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7" w:rsidRPr="009F209C" w:rsidRDefault="001966B7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C69108D" wp14:editId="05ACB27D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D4820E7" wp14:editId="6323204C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F067" wp14:editId="340595BB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3</w:t>
                            </w:r>
                          </w:p>
                          <w:p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3</w:t>
                      </w:r>
                      <w:bookmarkStart w:id="1" w:name="_GoBack"/>
                      <w:bookmarkEnd w:id="1"/>
                    </w:p>
                    <w:p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209C">
        <w:rPr>
          <w:rFonts w:ascii="Comic Sans MS" w:hAnsi="Comic Sans MS"/>
          <w:b/>
          <w:sz w:val="24"/>
          <w:szCs w:val="24"/>
        </w:rPr>
        <w:tab/>
      </w: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F981" wp14:editId="2B69AA26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3 </w:t>
                            </w:r>
                          </w:p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3 </w:t>
                      </w:r>
                    </w:p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:rsidR="001966B7" w:rsidRPr="009F209C" w:rsidRDefault="001966B7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 w:rsidRPr="009F209C"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1966B7" w:rsidRPr="009F209C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>Reading</w:t>
            </w: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– 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Analysing a text using Bloom’s Questions.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Dictionary skills and creating our own dictionary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Phonics using Phonics International</w:t>
            </w:r>
          </w:p>
          <w:p w:rsidR="001966B7" w:rsidRP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1966B7">
              <w:rPr>
                <w:rFonts w:ascii="SassoonCRInfant" w:hAnsi="SassoonCRInfant"/>
                <w:b/>
                <w:sz w:val="23"/>
                <w:szCs w:val="23"/>
              </w:rPr>
              <w:t>Reflective reading tasks focusing on both fiction and non-fiction texts.</w:t>
            </w:r>
          </w:p>
          <w:p w:rsidR="001966B7" w:rsidRPr="00C1558F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C1558F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Writing – </w:t>
            </w:r>
          </w:p>
          <w:p w:rsidR="001966B7" w:rsidRPr="00C1558F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Continuing to use VCOP during writing tasks.</w:t>
            </w:r>
          </w:p>
          <w:p w:rsidR="001966B7" w:rsidRPr="00C1558F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Using </w:t>
            </w:r>
            <w:r w:rsidRPr="00C1558F">
              <w:rPr>
                <w:rFonts w:ascii="SassoonCRInfant" w:hAnsi="SassoonCRInfant"/>
                <w:b/>
                <w:sz w:val="23"/>
                <w:szCs w:val="23"/>
              </w:rPr>
              <w:t>adjectives, nouns, verbs and adverbs to make our writing interesting.</w:t>
            </w:r>
          </w:p>
          <w:p w:rsidR="001966B7" w:rsidRPr="00D1196D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Using rhythm and onomatopoeia in poetry and imaginative writing tasks.</w:t>
            </w:r>
          </w:p>
          <w:p w:rsidR="001966B7" w:rsidRPr="001966B7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Creating fact files</w:t>
            </w:r>
          </w:p>
          <w:p w:rsidR="001966B7" w:rsidRPr="001966B7" w:rsidRDefault="001966B7" w:rsidP="001966B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Focus on character and setting for imaginative writing</w:t>
            </w:r>
          </w:p>
          <w:p w:rsidR="001966B7" w:rsidRPr="009F209C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Talking &amp; Listening – </w:t>
            </w:r>
          </w:p>
          <w:p w:rsidR="001966B7" w:rsidRPr="001966B7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Scots poetry recital</w:t>
            </w:r>
          </w:p>
          <w:p w:rsidR="001966B7" w:rsidRPr="009F209C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Performance/choral poetry</w:t>
            </w:r>
          </w:p>
        </w:tc>
      </w:tr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1966B7" w:rsidRPr="009F209C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Time – Looking at telling the time from analogue and digital clocks.</w:t>
            </w:r>
          </w:p>
          <w:p w:rsidR="001966B7" w:rsidRPr="001966B7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Patterns</w:t>
            </w:r>
          </w:p>
          <w:p w:rsidR="001966B7" w:rsidRPr="001966B7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Symmetry</w:t>
            </w:r>
          </w:p>
          <w:p w:rsidR="001966B7" w:rsidRPr="00C1558F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Ancient number systems and numbers place in the world</w:t>
            </w:r>
          </w:p>
          <w:p w:rsidR="001966B7" w:rsidRPr="00C1558F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Addition and Subtraction – looking at the different strategies e.g. paritioning and bridging to the next 10</w:t>
            </w:r>
          </w:p>
        </w:tc>
      </w:tr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1966B7" w:rsidRPr="001966B7" w:rsidRDefault="001966B7" w:rsidP="001966B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P.E. – 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We will be working on our fitness in circuit activitie</w:t>
            </w:r>
            <w:r w:rsidR="00B71AA0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s</w:t>
            </w:r>
          </w:p>
          <w:p w:rsidR="001966B7" w:rsidRPr="001966B7" w:rsidRDefault="00B71AA0" w:rsidP="001966B7">
            <w:pPr>
              <w:pStyle w:val="ListParagraph"/>
              <w:ind w:left="1500"/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What makes us healthy, </w:t>
            </w:r>
            <w:r w:rsidR="001966B7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including the Eatwell plate and 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looking after our </w:t>
            </w:r>
            <w:r w:rsidR="001966B7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teeth</w:t>
            </w:r>
          </w:p>
        </w:tc>
      </w:tr>
      <w:tr w:rsidR="001966B7" w:rsidRPr="009F209C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1966B7" w:rsidRPr="00D1196D" w:rsidRDefault="001966B7" w:rsidP="00FF3E19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Scotland – Looking at Robert Burns, Scots language, Scots poetry, Scottish country dance </w:t>
            </w:r>
            <w:proofErr w:type="spellStart"/>
            <w:r>
              <w:rPr>
                <w:rFonts w:ascii="SassoonCRInfantMedium" w:hAnsi="SassoonCRInfantMedium"/>
                <w:b/>
                <w:sz w:val="23"/>
                <w:szCs w:val="23"/>
              </w:rPr>
              <w:t>etc</w:t>
            </w:r>
            <w:proofErr w:type="spellEnd"/>
          </w:p>
          <w:p w:rsidR="001966B7" w:rsidRPr="001966B7" w:rsidRDefault="001966B7" w:rsidP="001966B7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Egyptians – Looking at Egyptian gods, famous pharaohs, number systems, mummification </w:t>
            </w:r>
            <w:proofErr w:type="spellStart"/>
            <w:r>
              <w:rPr>
                <w:rFonts w:ascii="SassoonCRInfantMedium" w:hAnsi="SassoonCRInfantMedium"/>
                <w:b/>
                <w:sz w:val="23"/>
                <w:szCs w:val="23"/>
              </w:rPr>
              <w:t>etc</w:t>
            </w:r>
            <w:proofErr w:type="spellEnd"/>
          </w:p>
        </w:tc>
      </w:tr>
      <w:tr w:rsidR="001966B7" w:rsidRPr="009F209C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1966B7" w:rsidRPr="00D1196D" w:rsidRDefault="001966B7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We will have outdoor P.E on a Tuesday and indoor P.E on a Wednesday or Friday.  </w:t>
            </w: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>Please unsure appropriate P.E kits are in school.</w:t>
            </w:r>
          </w:p>
        </w:tc>
      </w:tr>
    </w:tbl>
    <w:p w:rsidR="001966B7" w:rsidRDefault="001966B7" w:rsidP="001966B7">
      <w:bookmarkStart w:id="0" w:name="_GoBack"/>
      <w:bookmarkEnd w:id="0"/>
    </w:p>
    <w:sectPr w:rsidR="001966B7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7"/>
    <w:rsid w:val="001966B7"/>
    <w:rsid w:val="00714CB9"/>
    <w:rsid w:val="00B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2018-01-29T13:42:00Z</dcterms:created>
  <dcterms:modified xsi:type="dcterms:W3CDTF">2018-01-29T13:42:00Z</dcterms:modified>
</cp:coreProperties>
</file>