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B7" w:rsidRPr="00E224E6" w:rsidRDefault="00BA67A1" w:rsidP="00B169C2">
      <w:pPr>
        <w:rPr>
          <w:b/>
        </w:rPr>
      </w:pPr>
      <w:bookmarkStart w:id="0" w:name="_GoBack"/>
      <w:bookmarkEnd w:id="0"/>
      <w:r w:rsidRPr="00E224E6">
        <w:rPr>
          <w:b/>
        </w:rPr>
        <w:t xml:space="preserve">1.3 – Leadership </w:t>
      </w:r>
      <w:r w:rsidR="00EF0E33" w:rsidRPr="00E224E6">
        <w:rPr>
          <w:b/>
        </w:rPr>
        <w:t>of change</w:t>
      </w:r>
      <w:r w:rsidR="004C2068" w:rsidRPr="00E224E6">
        <w:rPr>
          <w:b/>
        </w:rPr>
        <w:t xml:space="preserve"> </w:t>
      </w:r>
      <w:r w:rsidR="001857B7" w:rsidRPr="00E224E6">
        <w:rPr>
          <w:b/>
        </w:rPr>
        <w:t xml:space="preserve">– </w:t>
      </w:r>
      <w:r w:rsidR="00301BFE" w:rsidRPr="00E224E6">
        <w:rPr>
          <w:b/>
        </w:rPr>
        <w:t>Very Good</w:t>
      </w:r>
    </w:p>
    <w:p w:rsidR="00852B94" w:rsidRPr="00E224E6" w:rsidRDefault="00852B94" w:rsidP="00852B94">
      <w:pPr>
        <w:pStyle w:val="ListParagraph"/>
        <w:numPr>
          <w:ilvl w:val="0"/>
          <w:numId w:val="8"/>
        </w:numPr>
      </w:pPr>
      <w:r w:rsidRPr="00E224E6">
        <w:t>The HT provides strong and supportive leadership and there is now a culture of ownership of continuous improvement</w:t>
      </w:r>
      <w:r w:rsidR="00FA50D0" w:rsidRPr="00E224E6">
        <w:t>, supported by the DHT,</w:t>
      </w:r>
      <w:r w:rsidRPr="00E224E6">
        <w:t xml:space="preserve"> within the E</w:t>
      </w:r>
      <w:r w:rsidR="00301BFE" w:rsidRPr="00E224E6">
        <w:t xml:space="preserve">arly Learning and </w:t>
      </w:r>
      <w:r w:rsidR="00EF3438" w:rsidRPr="00E224E6">
        <w:t>Childcare</w:t>
      </w:r>
      <w:r w:rsidR="00301BFE" w:rsidRPr="00E224E6">
        <w:t>, (ELC)</w:t>
      </w:r>
      <w:r w:rsidRPr="00E224E6">
        <w:t xml:space="preserve"> setting.  </w:t>
      </w:r>
    </w:p>
    <w:p w:rsidR="00852B94" w:rsidRPr="00E224E6" w:rsidRDefault="001553F5" w:rsidP="00852B94">
      <w:pPr>
        <w:pStyle w:val="ListParagraph"/>
        <w:numPr>
          <w:ilvl w:val="0"/>
          <w:numId w:val="8"/>
        </w:numPr>
      </w:pPr>
      <w:r w:rsidRPr="00E224E6">
        <w:t xml:space="preserve">Teamwork is </w:t>
      </w:r>
      <w:r w:rsidR="00852B94" w:rsidRPr="00E224E6">
        <w:t xml:space="preserve">very </w:t>
      </w:r>
      <w:r w:rsidR="00301BFE" w:rsidRPr="00E224E6">
        <w:t xml:space="preserve">effective. </w:t>
      </w:r>
      <w:r w:rsidR="00852B94" w:rsidRPr="00E224E6">
        <w:t xml:space="preserve">This is impacting positively on team practices, the learning environment, and children’s experiences. </w:t>
      </w:r>
    </w:p>
    <w:p w:rsidR="00852B94" w:rsidRPr="00E224E6" w:rsidRDefault="00852B94" w:rsidP="00467600">
      <w:pPr>
        <w:pStyle w:val="ListParagraph"/>
        <w:numPr>
          <w:ilvl w:val="0"/>
          <w:numId w:val="8"/>
        </w:numPr>
      </w:pPr>
      <w:r w:rsidRPr="00E224E6">
        <w:t xml:space="preserve">The ELC team have a shared vision </w:t>
      </w:r>
      <w:r w:rsidR="005A1752" w:rsidRPr="00E224E6">
        <w:t xml:space="preserve">of improvement </w:t>
      </w:r>
      <w:r w:rsidRPr="00E224E6">
        <w:t>for ELC</w:t>
      </w:r>
      <w:r w:rsidR="005A1752" w:rsidRPr="00E224E6">
        <w:t xml:space="preserve">. They have worked </w:t>
      </w:r>
      <w:r w:rsidR="00EF3438" w:rsidRPr="00E224E6">
        <w:t xml:space="preserve">to develop aims </w:t>
      </w:r>
      <w:r w:rsidR="005A1752" w:rsidRPr="00E224E6">
        <w:t>which reflect BtA and align with the school Vision and Values.</w:t>
      </w:r>
      <w:r w:rsidR="00AC797D" w:rsidRPr="00E224E6">
        <w:t xml:space="preserve"> </w:t>
      </w:r>
    </w:p>
    <w:p w:rsidR="00467600" w:rsidRPr="00E224E6" w:rsidRDefault="00467600" w:rsidP="00467600">
      <w:pPr>
        <w:pStyle w:val="ListParagraph"/>
        <w:numPr>
          <w:ilvl w:val="0"/>
          <w:numId w:val="8"/>
        </w:numPr>
      </w:pPr>
      <w:r w:rsidRPr="00E224E6">
        <w:t xml:space="preserve">All </w:t>
      </w:r>
      <w:r w:rsidR="00852B94" w:rsidRPr="00E224E6">
        <w:t xml:space="preserve">ELC </w:t>
      </w:r>
      <w:r w:rsidR="00DD0CD6" w:rsidRPr="00E224E6">
        <w:t xml:space="preserve">practitioners told us they now </w:t>
      </w:r>
      <w:r w:rsidRPr="00E224E6">
        <w:t>feel valued, included and very much part of the school communi</w:t>
      </w:r>
      <w:r w:rsidR="00852B94" w:rsidRPr="00E224E6">
        <w:t xml:space="preserve">ty </w:t>
      </w:r>
      <w:r w:rsidR="00AC797D" w:rsidRPr="00E224E6">
        <w:t xml:space="preserve">and </w:t>
      </w:r>
      <w:r w:rsidRPr="00E224E6">
        <w:t xml:space="preserve">well </w:t>
      </w:r>
      <w:r w:rsidR="003311AE" w:rsidRPr="00E224E6">
        <w:t>supported by the SLT.</w:t>
      </w:r>
    </w:p>
    <w:p w:rsidR="00467600" w:rsidRPr="00E224E6" w:rsidRDefault="00772E67" w:rsidP="001553F5">
      <w:pPr>
        <w:pStyle w:val="ListParagraph"/>
        <w:numPr>
          <w:ilvl w:val="0"/>
          <w:numId w:val="8"/>
        </w:numPr>
      </w:pPr>
      <w:r w:rsidRPr="00E224E6">
        <w:t xml:space="preserve">The practitioner team </w:t>
      </w:r>
      <w:r w:rsidR="00852B94" w:rsidRPr="00E224E6">
        <w:t>have</w:t>
      </w:r>
      <w:r w:rsidR="005A1752" w:rsidRPr="00E224E6">
        <w:t xml:space="preserve"> a good understanding of early years pedagogy and have embraced Froebelian approaches to learning.</w:t>
      </w:r>
    </w:p>
    <w:p w:rsidR="00852B94" w:rsidRPr="00E224E6" w:rsidRDefault="00852B94" w:rsidP="00852B94">
      <w:pPr>
        <w:pStyle w:val="ListParagraph"/>
        <w:numPr>
          <w:ilvl w:val="0"/>
          <w:numId w:val="8"/>
        </w:numPr>
      </w:pPr>
      <w:r w:rsidRPr="00E224E6">
        <w:t xml:space="preserve">The </w:t>
      </w:r>
      <w:r w:rsidR="005A1752" w:rsidRPr="00E224E6">
        <w:t>DHT and EYOs work</w:t>
      </w:r>
      <w:r w:rsidRPr="00E224E6">
        <w:t xml:space="preserve"> with </w:t>
      </w:r>
      <w:r w:rsidR="005A1752" w:rsidRPr="00E224E6">
        <w:t xml:space="preserve">the ELC team </w:t>
      </w:r>
      <w:r w:rsidRPr="00E224E6">
        <w:t xml:space="preserve">to support </w:t>
      </w:r>
      <w:r w:rsidR="005A1752" w:rsidRPr="00E224E6">
        <w:t xml:space="preserve">regular </w:t>
      </w:r>
      <w:r w:rsidRPr="00E224E6">
        <w:t xml:space="preserve">engagement in </w:t>
      </w:r>
      <w:r w:rsidR="006E6EE3" w:rsidRPr="00E224E6">
        <w:t>self-evaluation</w:t>
      </w:r>
      <w:r w:rsidRPr="00E224E6">
        <w:t xml:space="preserve"> and ensure </w:t>
      </w:r>
      <w:r w:rsidR="00987B3E" w:rsidRPr="00E224E6">
        <w:t xml:space="preserve">robust monitoring </w:t>
      </w:r>
      <w:r w:rsidRPr="00E224E6">
        <w:t>of all aspects of the ELC provision</w:t>
      </w:r>
      <w:r w:rsidR="005A1752" w:rsidRPr="00E224E6">
        <w:t xml:space="preserve">. This leads to continuous improvement across the setting. </w:t>
      </w:r>
    </w:p>
    <w:p w:rsidR="003311AE" w:rsidRPr="00E224E6" w:rsidRDefault="00852B94" w:rsidP="00852B94">
      <w:pPr>
        <w:pStyle w:val="ListParagraph"/>
        <w:numPr>
          <w:ilvl w:val="0"/>
          <w:numId w:val="8"/>
        </w:numPr>
      </w:pPr>
      <w:r w:rsidRPr="00E224E6">
        <w:t>P</w:t>
      </w:r>
      <w:r w:rsidR="005F3253" w:rsidRPr="00E224E6">
        <w:t>ractitioners</w:t>
      </w:r>
      <w:r w:rsidR="00987B3E" w:rsidRPr="00E224E6">
        <w:t xml:space="preserve"> </w:t>
      </w:r>
      <w:r w:rsidRPr="00E224E6">
        <w:t xml:space="preserve">value the </w:t>
      </w:r>
      <w:r w:rsidR="00987B3E" w:rsidRPr="00E224E6">
        <w:t>regular formal and info</w:t>
      </w:r>
      <w:r w:rsidRPr="00E224E6">
        <w:t xml:space="preserve">rmal feedback on their practice by the </w:t>
      </w:r>
      <w:r w:rsidR="005A1752" w:rsidRPr="00E224E6">
        <w:t>D</w:t>
      </w:r>
      <w:r w:rsidRPr="00E224E6">
        <w:t>HT</w:t>
      </w:r>
      <w:r w:rsidR="00987B3E" w:rsidRPr="00E224E6">
        <w:t>.</w:t>
      </w:r>
    </w:p>
    <w:p w:rsidR="005A1752" w:rsidRPr="00E224E6" w:rsidRDefault="005A1752" w:rsidP="00852B94">
      <w:pPr>
        <w:pStyle w:val="ListParagraph"/>
        <w:numPr>
          <w:ilvl w:val="0"/>
          <w:numId w:val="8"/>
        </w:numPr>
      </w:pPr>
      <w:r w:rsidRPr="00E224E6">
        <w:t>Practitioners are becoming confident and can see the value in peer moderation to improve practice.</w:t>
      </w:r>
    </w:p>
    <w:p w:rsidR="00C12F16" w:rsidRPr="00E224E6" w:rsidRDefault="00852B94" w:rsidP="001857B7">
      <w:pPr>
        <w:pStyle w:val="ListParagraph"/>
        <w:numPr>
          <w:ilvl w:val="0"/>
          <w:numId w:val="8"/>
        </w:numPr>
      </w:pPr>
      <w:r w:rsidRPr="00E224E6">
        <w:t xml:space="preserve">Practitioners </w:t>
      </w:r>
      <w:r w:rsidR="00C12F16" w:rsidRPr="00E224E6">
        <w:t xml:space="preserve">feel empowered and </w:t>
      </w:r>
      <w:r w:rsidR="00795588" w:rsidRPr="00E224E6">
        <w:t xml:space="preserve">are building on their learning from </w:t>
      </w:r>
      <w:r w:rsidR="001553F5" w:rsidRPr="00E224E6">
        <w:t>the cluster networks</w:t>
      </w:r>
      <w:r w:rsidR="00C12F16" w:rsidRPr="00E224E6">
        <w:t xml:space="preserve"> and other CLPL opportunities including RIC events.</w:t>
      </w:r>
    </w:p>
    <w:p w:rsidR="002E2319" w:rsidRPr="00E224E6" w:rsidRDefault="00C12F16" w:rsidP="001857B7">
      <w:pPr>
        <w:pStyle w:val="ListParagraph"/>
        <w:numPr>
          <w:ilvl w:val="0"/>
          <w:numId w:val="8"/>
        </w:numPr>
      </w:pPr>
      <w:r w:rsidRPr="00E224E6">
        <w:t xml:space="preserve">Practitioners are committed to building partnerships across West Lothian </w:t>
      </w:r>
      <w:r w:rsidR="002E2319" w:rsidRPr="00E224E6">
        <w:t>to develop and improve practice.</w:t>
      </w:r>
    </w:p>
    <w:p w:rsidR="00E822B7" w:rsidRPr="00E224E6" w:rsidRDefault="00E822B7" w:rsidP="00467600">
      <w:pPr>
        <w:pStyle w:val="ListParagraph"/>
        <w:numPr>
          <w:ilvl w:val="0"/>
          <w:numId w:val="8"/>
        </w:numPr>
      </w:pPr>
      <w:r w:rsidRPr="00E224E6">
        <w:t>All practitioners have distributive leadership roles and there is a feeling of positivity around change and leading improvements in their setting.</w:t>
      </w:r>
    </w:p>
    <w:p w:rsidR="00BA67A1" w:rsidRPr="00E224E6" w:rsidRDefault="00BA67A1" w:rsidP="00085596">
      <w:pPr>
        <w:pStyle w:val="ListParagraph"/>
      </w:pPr>
    </w:p>
    <w:p w:rsidR="00BA67A1" w:rsidRPr="00E224E6" w:rsidRDefault="00BA67A1" w:rsidP="00BA67A1">
      <w:pPr>
        <w:rPr>
          <w:b/>
        </w:rPr>
      </w:pPr>
      <w:r w:rsidRPr="00E224E6">
        <w:rPr>
          <w:b/>
        </w:rPr>
        <w:t>Next Step</w:t>
      </w:r>
      <w:r w:rsidR="00EF0E33" w:rsidRPr="00E224E6">
        <w:rPr>
          <w:b/>
        </w:rPr>
        <w:t>s</w:t>
      </w:r>
    </w:p>
    <w:p w:rsidR="00C12F16" w:rsidRPr="00E224E6" w:rsidRDefault="00C43ECF" w:rsidP="00C12F16">
      <w:pPr>
        <w:pStyle w:val="ListParagraph"/>
        <w:numPr>
          <w:ilvl w:val="0"/>
          <w:numId w:val="8"/>
        </w:numPr>
      </w:pPr>
      <w:r w:rsidRPr="00E224E6">
        <w:t>The SLT should now work with a</w:t>
      </w:r>
      <w:r w:rsidR="006476CD" w:rsidRPr="00E224E6">
        <w:t xml:space="preserve">ll ELC practitioners to </w:t>
      </w:r>
      <w:r w:rsidR="00C12F16" w:rsidRPr="00E224E6">
        <w:t>embed the newly developed aims of the setting and ensure that the Visions and Values are visible and known and understood by children and families.</w:t>
      </w:r>
    </w:p>
    <w:p w:rsidR="00A0564E" w:rsidRPr="00E224E6" w:rsidRDefault="00A0564E" w:rsidP="001D2551">
      <w:pPr>
        <w:pStyle w:val="ListParagraph"/>
        <w:numPr>
          <w:ilvl w:val="0"/>
          <w:numId w:val="6"/>
        </w:numPr>
        <w:rPr>
          <w:b/>
        </w:rPr>
      </w:pPr>
      <w:r w:rsidRPr="00E224E6">
        <w:t xml:space="preserve">The </w:t>
      </w:r>
      <w:r w:rsidR="00301BFE" w:rsidRPr="00E224E6">
        <w:t>SLT should</w:t>
      </w:r>
      <w:r w:rsidRPr="00E224E6">
        <w:t xml:space="preserve"> lead collaborative working </w:t>
      </w:r>
      <w:r w:rsidR="00C97ACB" w:rsidRPr="00E224E6">
        <w:t>across</w:t>
      </w:r>
      <w:r w:rsidR="00301BFE" w:rsidRPr="00E224E6">
        <w:t xml:space="preserve"> the Early L</w:t>
      </w:r>
      <w:r w:rsidRPr="00E224E6">
        <w:t xml:space="preserve">evel to develop </w:t>
      </w:r>
      <w:r w:rsidR="00C97ACB" w:rsidRPr="00E224E6">
        <w:t xml:space="preserve">play based </w:t>
      </w:r>
      <w:r w:rsidRPr="00E224E6">
        <w:t>pedagogy and practice in P1.</w:t>
      </w:r>
    </w:p>
    <w:p w:rsidR="000E6EFD" w:rsidRPr="00E224E6" w:rsidRDefault="000E6EFD" w:rsidP="001D2551">
      <w:pPr>
        <w:rPr>
          <w:b/>
        </w:rPr>
      </w:pPr>
    </w:p>
    <w:p w:rsidR="00C12F16" w:rsidRPr="00E224E6" w:rsidRDefault="00C12F16" w:rsidP="001D2551">
      <w:pPr>
        <w:rPr>
          <w:b/>
        </w:rPr>
      </w:pPr>
    </w:p>
    <w:p w:rsidR="001D2551" w:rsidRPr="00E224E6" w:rsidRDefault="001D2551" w:rsidP="001D2551">
      <w:pPr>
        <w:rPr>
          <w:b/>
        </w:rPr>
      </w:pPr>
      <w:r w:rsidRPr="00E224E6">
        <w:rPr>
          <w:b/>
        </w:rPr>
        <w:t xml:space="preserve">2.2 – Curriculum </w:t>
      </w:r>
      <w:r w:rsidR="000E6EFD" w:rsidRPr="00E224E6">
        <w:rPr>
          <w:b/>
        </w:rPr>
        <w:t>–</w:t>
      </w:r>
      <w:r w:rsidRPr="00E224E6">
        <w:rPr>
          <w:b/>
        </w:rPr>
        <w:t xml:space="preserve"> </w:t>
      </w:r>
      <w:r w:rsidR="00AC797D" w:rsidRPr="00E224E6">
        <w:rPr>
          <w:b/>
        </w:rPr>
        <w:t xml:space="preserve">Good/ </w:t>
      </w:r>
      <w:r w:rsidR="000E6EFD" w:rsidRPr="00E224E6">
        <w:rPr>
          <w:b/>
        </w:rPr>
        <w:t xml:space="preserve">Very </w:t>
      </w:r>
      <w:r w:rsidRPr="00E224E6">
        <w:rPr>
          <w:b/>
        </w:rPr>
        <w:t>Good</w:t>
      </w:r>
    </w:p>
    <w:p w:rsidR="000E6EFD" w:rsidRPr="00E224E6" w:rsidRDefault="000E6EFD" w:rsidP="000E6EFD">
      <w:pPr>
        <w:pStyle w:val="ListParagraph"/>
        <w:numPr>
          <w:ilvl w:val="0"/>
          <w:numId w:val="17"/>
        </w:numPr>
      </w:pPr>
      <w:r w:rsidRPr="00E224E6">
        <w:t xml:space="preserve">The </w:t>
      </w:r>
      <w:r w:rsidR="00301BFE" w:rsidRPr="00E224E6">
        <w:t>ELC setting</w:t>
      </w:r>
      <w:r w:rsidRPr="00E224E6">
        <w:t xml:space="preserve"> environment reflects Froebelian principles and this has had a positive impact on pedagogy and richness of children’s experiences.</w:t>
      </w:r>
    </w:p>
    <w:p w:rsidR="00301BFE" w:rsidRPr="00E224E6" w:rsidRDefault="008D0762" w:rsidP="00301BFE">
      <w:pPr>
        <w:pStyle w:val="ListParagraph"/>
        <w:numPr>
          <w:ilvl w:val="0"/>
          <w:numId w:val="17"/>
        </w:numPr>
      </w:pPr>
      <w:r w:rsidRPr="00E224E6">
        <w:t>A</w:t>
      </w:r>
      <w:r w:rsidR="000E6EFD" w:rsidRPr="00E224E6">
        <w:t xml:space="preserve"> </w:t>
      </w:r>
      <w:r w:rsidRPr="00E224E6">
        <w:t xml:space="preserve">rich variety </w:t>
      </w:r>
      <w:r w:rsidR="000E6EFD" w:rsidRPr="00E224E6">
        <w:t xml:space="preserve">of loose parts and open ended resources is </w:t>
      </w:r>
      <w:r w:rsidRPr="00E224E6">
        <w:t>used effectively by staff to</w:t>
      </w:r>
      <w:r w:rsidR="000E6EFD" w:rsidRPr="00E224E6">
        <w:t xml:space="preserve"> promote curiosity, inquiry and creativity.</w:t>
      </w:r>
    </w:p>
    <w:p w:rsidR="000E6EFD" w:rsidRPr="00E224E6" w:rsidRDefault="00301BFE" w:rsidP="00301BFE">
      <w:pPr>
        <w:pStyle w:val="ListParagraph"/>
        <w:numPr>
          <w:ilvl w:val="0"/>
          <w:numId w:val="17"/>
        </w:numPr>
      </w:pPr>
      <w:r w:rsidRPr="00E224E6">
        <w:t>During our visit we observed that almost a</w:t>
      </w:r>
      <w:r w:rsidR="000E6EFD" w:rsidRPr="00E224E6">
        <w:t>ll children were highly focused and engaged in purposeful play</w:t>
      </w:r>
      <w:r w:rsidR="008C7196" w:rsidRPr="00E224E6">
        <w:t xml:space="preserve"> indoors and out</w:t>
      </w:r>
      <w:r w:rsidR="000E6EFD" w:rsidRPr="00E224E6">
        <w:t xml:space="preserve">. </w:t>
      </w:r>
    </w:p>
    <w:p w:rsidR="000E6EFD" w:rsidRPr="00E224E6" w:rsidRDefault="008C7196" w:rsidP="008C7196">
      <w:pPr>
        <w:pStyle w:val="ListParagraph"/>
        <w:numPr>
          <w:ilvl w:val="0"/>
          <w:numId w:val="17"/>
        </w:numPr>
      </w:pPr>
      <w:r w:rsidRPr="00E224E6">
        <w:t xml:space="preserve">A wide range of imaginative experiences are planned in response to </w:t>
      </w:r>
      <w:r w:rsidR="000E6EFD" w:rsidRPr="00E224E6">
        <w:t>children’s interests</w:t>
      </w:r>
      <w:r w:rsidRPr="00E224E6">
        <w:t xml:space="preserve">. Children are encouraged and supported </w:t>
      </w:r>
      <w:r w:rsidR="000E6EFD" w:rsidRPr="00E224E6">
        <w:t>to take a lead in planning their own learning.</w:t>
      </w:r>
    </w:p>
    <w:p w:rsidR="001D2551" w:rsidRPr="00E224E6" w:rsidRDefault="001D2551" w:rsidP="001D2551">
      <w:pPr>
        <w:pStyle w:val="ListParagraph"/>
        <w:numPr>
          <w:ilvl w:val="0"/>
          <w:numId w:val="17"/>
        </w:numPr>
      </w:pPr>
      <w:r w:rsidRPr="00E224E6">
        <w:lastRenderedPageBreak/>
        <w:t>There is a strong focus on literacy, numeracy</w:t>
      </w:r>
      <w:r w:rsidR="00301BFE" w:rsidRPr="00E224E6">
        <w:t xml:space="preserve"> and H&amp;WB and both experiences and</w:t>
      </w:r>
      <w:r w:rsidRPr="00E224E6">
        <w:t xml:space="preserve"> outcomes and the key aspects of learnin</w:t>
      </w:r>
      <w:r w:rsidR="00863488" w:rsidRPr="00E224E6">
        <w:t xml:space="preserve">g are used to inform planning. </w:t>
      </w:r>
    </w:p>
    <w:p w:rsidR="008D0762" w:rsidRPr="00E224E6" w:rsidRDefault="00974B74" w:rsidP="001D2551">
      <w:pPr>
        <w:pStyle w:val="ListParagraph"/>
        <w:numPr>
          <w:ilvl w:val="0"/>
          <w:numId w:val="17"/>
        </w:numPr>
      </w:pPr>
      <w:r w:rsidRPr="00E224E6">
        <w:t xml:space="preserve">The </w:t>
      </w:r>
      <w:r w:rsidR="008D0762" w:rsidRPr="00E224E6">
        <w:t xml:space="preserve">ELC </w:t>
      </w:r>
      <w:r w:rsidRPr="00E224E6">
        <w:t xml:space="preserve">practitioner team </w:t>
      </w:r>
      <w:r w:rsidR="008D0762" w:rsidRPr="00E224E6">
        <w:t>continue to develop t</w:t>
      </w:r>
      <w:r w:rsidR="003E6F49" w:rsidRPr="00E224E6">
        <w:t>he rich</w:t>
      </w:r>
      <w:r w:rsidR="008C7196" w:rsidRPr="00E224E6">
        <w:t>,</w:t>
      </w:r>
      <w:r w:rsidR="003E6F49" w:rsidRPr="00E224E6">
        <w:t xml:space="preserve"> </w:t>
      </w:r>
      <w:r w:rsidR="008D0762" w:rsidRPr="00E224E6">
        <w:t>enabling outdoor area to promote curiosity, creativity and enquiry</w:t>
      </w:r>
      <w:r w:rsidR="008C7196" w:rsidRPr="00E224E6">
        <w:t xml:space="preserve"> for all children</w:t>
      </w:r>
      <w:r w:rsidR="008D0762" w:rsidRPr="00E224E6">
        <w:t>.</w:t>
      </w:r>
      <w:r w:rsidR="001B7602" w:rsidRPr="00E224E6">
        <w:t xml:space="preserve"> </w:t>
      </w:r>
    </w:p>
    <w:p w:rsidR="008C7196" w:rsidRPr="00E224E6" w:rsidRDefault="001B7602" w:rsidP="008C7196">
      <w:pPr>
        <w:pStyle w:val="ListParagraph"/>
        <w:numPr>
          <w:ilvl w:val="0"/>
          <w:numId w:val="17"/>
        </w:numPr>
      </w:pPr>
      <w:r w:rsidRPr="00E224E6">
        <w:t>Practitioners</w:t>
      </w:r>
      <w:r w:rsidR="00397D83" w:rsidRPr="00E224E6">
        <w:t xml:space="preserve"> were observed being responsive to children’s interests, supporting and challenging</w:t>
      </w:r>
      <w:r w:rsidRPr="00E224E6">
        <w:t xml:space="preserve"> the children in their play</w:t>
      </w:r>
      <w:r w:rsidR="001D2551" w:rsidRPr="00E224E6">
        <w:t>.</w:t>
      </w:r>
    </w:p>
    <w:p w:rsidR="000478C0" w:rsidRPr="00E224E6" w:rsidRDefault="000478C0" w:rsidP="001D2551">
      <w:pPr>
        <w:pStyle w:val="ListParagraph"/>
        <w:numPr>
          <w:ilvl w:val="0"/>
          <w:numId w:val="17"/>
        </w:numPr>
      </w:pPr>
      <w:r w:rsidRPr="00E224E6">
        <w:t xml:space="preserve">Practitioners </w:t>
      </w:r>
      <w:r w:rsidR="006E3F56" w:rsidRPr="00E224E6">
        <w:t xml:space="preserve">now </w:t>
      </w:r>
      <w:r w:rsidRPr="00E224E6">
        <w:t>use the local environment and amenities t</w:t>
      </w:r>
      <w:r w:rsidR="006E3F56" w:rsidRPr="00E224E6">
        <w:t>o</w:t>
      </w:r>
      <w:r w:rsidRPr="00E224E6">
        <w:t xml:space="preserve"> </w:t>
      </w:r>
      <w:r w:rsidR="006E3F56" w:rsidRPr="00E224E6">
        <w:t xml:space="preserve">effectively </w:t>
      </w:r>
      <w:r w:rsidRPr="00E224E6">
        <w:t>support and enrich learning experiences</w:t>
      </w:r>
      <w:r w:rsidR="008C7196" w:rsidRPr="00E224E6">
        <w:t>.</w:t>
      </w:r>
    </w:p>
    <w:p w:rsidR="001D2551" w:rsidRPr="00E224E6" w:rsidRDefault="008C7196" w:rsidP="001D2551">
      <w:pPr>
        <w:pStyle w:val="ListParagraph"/>
        <w:numPr>
          <w:ilvl w:val="0"/>
          <w:numId w:val="10"/>
        </w:numPr>
      </w:pPr>
      <w:r w:rsidRPr="00E224E6">
        <w:t>Children benefit from learning through</w:t>
      </w:r>
      <w:r w:rsidR="003E6F49" w:rsidRPr="00E224E6">
        <w:t xml:space="preserve"> a</w:t>
      </w:r>
      <w:r w:rsidR="00974B74" w:rsidRPr="00E224E6">
        <w:t xml:space="preserve"> range of real life contexts</w:t>
      </w:r>
      <w:r w:rsidRPr="00E224E6">
        <w:t xml:space="preserve"> enabling them to develop independence and confidence, indoors and out</w:t>
      </w:r>
      <w:r w:rsidR="001D2551" w:rsidRPr="00E224E6">
        <w:t>.</w:t>
      </w:r>
    </w:p>
    <w:p w:rsidR="008C7196" w:rsidRPr="00E224E6" w:rsidRDefault="008C7196" w:rsidP="001B7602">
      <w:pPr>
        <w:pStyle w:val="ListParagraph"/>
        <w:numPr>
          <w:ilvl w:val="0"/>
          <w:numId w:val="23"/>
        </w:numPr>
      </w:pPr>
      <w:r w:rsidRPr="00E224E6">
        <w:t>All practitioners are committed to high quality professional learning to ex</w:t>
      </w:r>
      <w:r w:rsidR="003E6F49" w:rsidRPr="00E224E6">
        <w:t>tend knowledge and skills. This</w:t>
      </w:r>
      <w:r w:rsidRPr="00E224E6">
        <w:t xml:space="preserve"> is clearly evidenced in the life of the setting. </w:t>
      </w:r>
    </w:p>
    <w:p w:rsidR="001857B7" w:rsidRPr="00E224E6" w:rsidRDefault="001857B7" w:rsidP="001857B7">
      <w:pPr>
        <w:pStyle w:val="ListParagraph"/>
      </w:pPr>
    </w:p>
    <w:p w:rsidR="001D2551" w:rsidRPr="00E224E6" w:rsidRDefault="001D2551" w:rsidP="001D2551">
      <w:pPr>
        <w:rPr>
          <w:b/>
        </w:rPr>
      </w:pPr>
      <w:r w:rsidRPr="00E224E6">
        <w:rPr>
          <w:b/>
        </w:rPr>
        <w:t>Next Steps</w:t>
      </w:r>
    </w:p>
    <w:p w:rsidR="008C7196" w:rsidRPr="00E224E6" w:rsidRDefault="00974B74" w:rsidP="00974B74">
      <w:pPr>
        <w:pStyle w:val="ListParagraph"/>
        <w:numPr>
          <w:ilvl w:val="0"/>
          <w:numId w:val="18"/>
        </w:numPr>
      </w:pPr>
      <w:r w:rsidRPr="00E224E6">
        <w:t xml:space="preserve">To </w:t>
      </w:r>
      <w:r w:rsidR="008C7196" w:rsidRPr="00E224E6">
        <w:t>further develop opportunitie</w:t>
      </w:r>
      <w:r w:rsidR="003E6F49" w:rsidRPr="00E224E6">
        <w:t xml:space="preserve">s for children to independently </w:t>
      </w:r>
      <w:r w:rsidR="008C7196" w:rsidRPr="00E224E6">
        <w:t>make use of digital technologies in their learning.</w:t>
      </w:r>
    </w:p>
    <w:p w:rsidR="002553CB" w:rsidRPr="00E224E6" w:rsidRDefault="00974B74" w:rsidP="00BA67A1">
      <w:pPr>
        <w:pStyle w:val="ListParagraph"/>
        <w:numPr>
          <w:ilvl w:val="0"/>
          <w:numId w:val="18"/>
        </w:numPr>
      </w:pPr>
      <w:r w:rsidRPr="00E224E6">
        <w:t xml:space="preserve">To </w:t>
      </w:r>
      <w:r w:rsidR="00933164" w:rsidRPr="00E224E6">
        <w:t xml:space="preserve">further </w:t>
      </w:r>
      <w:r w:rsidRPr="00E224E6">
        <w:t xml:space="preserve">develop </w:t>
      </w:r>
      <w:r w:rsidR="00933164" w:rsidRPr="00E224E6">
        <w:t xml:space="preserve">family and community </w:t>
      </w:r>
      <w:r w:rsidRPr="00E224E6">
        <w:t xml:space="preserve">partnerships to </w:t>
      </w:r>
      <w:r w:rsidR="00933164" w:rsidRPr="00E224E6">
        <w:t xml:space="preserve">support children’s </w:t>
      </w:r>
      <w:r w:rsidR="003E6F49" w:rsidRPr="00E224E6">
        <w:t xml:space="preserve">learning around </w:t>
      </w:r>
      <w:r w:rsidR="00863488" w:rsidRPr="00E224E6">
        <w:t xml:space="preserve">the world of work </w:t>
      </w:r>
      <w:r w:rsidR="002E0568" w:rsidRPr="00E224E6">
        <w:t>to</w:t>
      </w:r>
      <w:r w:rsidR="00863488" w:rsidRPr="00E224E6">
        <w:t xml:space="preserve"> foster a culture</w:t>
      </w:r>
      <w:r w:rsidR="002553CB" w:rsidRPr="00E224E6">
        <w:t xml:space="preserve"> of aspiration.</w:t>
      </w:r>
    </w:p>
    <w:p w:rsidR="00E20239" w:rsidRPr="00E224E6" w:rsidRDefault="00E20239" w:rsidP="00BA67A1">
      <w:pPr>
        <w:rPr>
          <w:b/>
        </w:rPr>
      </w:pPr>
    </w:p>
    <w:p w:rsidR="002553CB" w:rsidRPr="00E224E6" w:rsidRDefault="002553CB" w:rsidP="00BA67A1">
      <w:pPr>
        <w:rPr>
          <w:b/>
        </w:rPr>
      </w:pPr>
    </w:p>
    <w:p w:rsidR="00E20239" w:rsidRPr="00E224E6" w:rsidRDefault="00E20239" w:rsidP="00BA67A1">
      <w:pPr>
        <w:rPr>
          <w:b/>
        </w:rPr>
      </w:pPr>
    </w:p>
    <w:p w:rsidR="004A260A" w:rsidRPr="00E224E6" w:rsidRDefault="00852A4F" w:rsidP="00BA67A1">
      <w:pPr>
        <w:rPr>
          <w:b/>
        </w:rPr>
      </w:pPr>
      <w:r w:rsidRPr="00E224E6">
        <w:rPr>
          <w:b/>
        </w:rPr>
        <w:t>2.3</w:t>
      </w:r>
      <w:r w:rsidR="00FA48A8" w:rsidRPr="00E224E6">
        <w:rPr>
          <w:b/>
        </w:rPr>
        <w:t xml:space="preserve"> – Learning, Teaching &amp; Assessment</w:t>
      </w:r>
      <w:r w:rsidR="00B0507D" w:rsidRPr="00E224E6">
        <w:rPr>
          <w:b/>
        </w:rPr>
        <w:t xml:space="preserve">   </w:t>
      </w:r>
      <w:r w:rsidR="00301BFE" w:rsidRPr="00E224E6">
        <w:rPr>
          <w:b/>
        </w:rPr>
        <w:t>- Very</w:t>
      </w:r>
      <w:r w:rsidR="006E6EE3" w:rsidRPr="00E224E6">
        <w:rPr>
          <w:b/>
        </w:rPr>
        <w:t xml:space="preserve"> </w:t>
      </w:r>
      <w:r w:rsidR="004C2068" w:rsidRPr="00E224E6">
        <w:rPr>
          <w:b/>
        </w:rPr>
        <w:t>Good</w:t>
      </w:r>
    </w:p>
    <w:p w:rsidR="006E6EE3" w:rsidRPr="00E224E6" w:rsidRDefault="003E6F49" w:rsidP="006E6EE3">
      <w:pPr>
        <w:pStyle w:val="ListParagraph"/>
        <w:numPr>
          <w:ilvl w:val="0"/>
          <w:numId w:val="9"/>
        </w:numPr>
      </w:pPr>
      <w:r w:rsidRPr="00E224E6">
        <w:t>The EYOs support</w:t>
      </w:r>
      <w:r w:rsidR="006E6EE3" w:rsidRPr="00E224E6">
        <w:t xml:space="preserve"> practitioners to develop their consultative planning practices and children’s voice is evident.</w:t>
      </w:r>
      <w:r w:rsidRPr="00E224E6">
        <w:t xml:space="preserve">  </w:t>
      </w:r>
    </w:p>
    <w:p w:rsidR="000E6EFD" w:rsidRPr="00E224E6" w:rsidRDefault="003E6F49" w:rsidP="000E6EFD">
      <w:pPr>
        <w:pStyle w:val="ListParagraph"/>
        <w:numPr>
          <w:ilvl w:val="0"/>
          <w:numId w:val="9"/>
        </w:numPr>
      </w:pPr>
      <w:r w:rsidRPr="00E224E6">
        <w:t>All staff take responsibility for floorbook planning with the children.  When questioned, children confidently spoke around the experiences in the floorbooks demonstrating deep learning</w:t>
      </w:r>
      <w:r w:rsidR="000E6EFD" w:rsidRPr="00E224E6">
        <w:t>. The learning walls enable learning to be shared with parents/carers.</w:t>
      </w:r>
    </w:p>
    <w:p w:rsidR="00852A4F" w:rsidRPr="00E224E6" w:rsidRDefault="00301BFE" w:rsidP="00EA329F">
      <w:pPr>
        <w:pStyle w:val="ListParagraph"/>
        <w:numPr>
          <w:ilvl w:val="0"/>
          <w:numId w:val="9"/>
        </w:numPr>
      </w:pPr>
      <w:r w:rsidRPr="00E224E6">
        <w:t xml:space="preserve">Almost all </w:t>
      </w:r>
      <w:r w:rsidR="006141DF" w:rsidRPr="00E224E6">
        <w:t>children were observed being highly engaged and persevering with tasks.</w:t>
      </w:r>
    </w:p>
    <w:p w:rsidR="00BB3041" w:rsidRPr="00E224E6" w:rsidRDefault="001857B7" w:rsidP="00EA329F">
      <w:pPr>
        <w:pStyle w:val="ListParagraph"/>
        <w:numPr>
          <w:ilvl w:val="0"/>
          <w:numId w:val="9"/>
        </w:numPr>
      </w:pPr>
      <w:r w:rsidRPr="00E224E6">
        <w:t>A</w:t>
      </w:r>
      <w:r w:rsidR="00BB3041" w:rsidRPr="00E224E6">
        <w:t>lmost all</w:t>
      </w:r>
      <w:r w:rsidR="0069172D" w:rsidRPr="00E224E6">
        <w:t xml:space="preserve"> c</w:t>
      </w:r>
      <w:r w:rsidR="006141DF" w:rsidRPr="00E224E6">
        <w:t xml:space="preserve">hildren were </w:t>
      </w:r>
      <w:r w:rsidR="00BB3041" w:rsidRPr="00E224E6">
        <w:t xml:space="preserve">confident in </w:t>
      </w:r>
      <w:r w:rsidR="006141DF" w:rsidRPr="00E224E6">
        <w:t xml:space="preserve">the </w:t>
      </w:r>
      <w:r w:rsidR="00301BFE" w:rsidRPr="00E224E6">
        <w:t>ELC setting</w:t>
      </w:r>
      <w:r w:rsidR="0069172D" w:rsidRPr="00E224E6">
        <w:t>, making independent choices.</w:t>
      </w:r>
      <w:r w:rsidR="00646119" w:rsidRPr="00E224E6">
        <w:t xml:space="preserve">  </w:t>
      </w:r>
    </w:p>
    <w:p w:rsidR="006141DF" w:rsidRPr="00E224E6" w:rsidRDefault="00646119" w:rsidP="00BB3041">
      <w:pPr>
        <w:pStyle w:val="ListParagraph"/>
        <w:numPr>
          <w:ilvl w:val="0"/>
          <w:numId w:val="9"/>
        </w:numPr>
      </w:pPr>
      <w:r w:rsidRPr="00E224E6">
        <w:t>Children confidently approach</w:t>
      </w:r>
      <w:r w:rsidR="00301BFE" w:rsidRPr="00E224E6">
        <w:t>ed</w:t>
      </w:r>
      <w:r w:rsidRPr="00E224E6">
        <w:t xml:space="preserve"> </w:t>
      </w:r>
      <w:r w:rsidR="00BB3041" w:rsidRPr="00E224E6">
        <w:t>practitioners</w:t>
      </w:r>
      <w:r w:rsidRPr="00E224E6">
        <w:t xml:space="preserve"> for support when needed.</w:t>
      </w:r>
      <w:r w:rsidR="00BB3041" w:rsidRPr="00E224E6">
        <w:t xml:space="preserve">  Practitioners sensitively support children’s p</w:t>
      </w:r>
      <w:r w:rsidR="00301BFE" w:rsidRPr="00E224E6">
        <w:t xml:space="preserve">lay, </w:t>
      </w:r>
      <w:r w:rsidR="00BB3041" w:rsidRPr="00E224E6">
        <w:t xml:space="preserve">demonstrating an awareness of differing needs, using </w:t>
      </w:r>
      <w:r w:rsidR="003E6F49" w:rsidRPr="00E224E6">
        <w:t>varying</w:t>
      </w:r>
      <w:r w:rsidR="00BB3041" w:rsidRPr="00E224E6">
        <w:t xml:space="preserve"> strategies as and when required.</w:t>
      </w:r>
    </w:p>
    <w:p w:rsidR="0033423D" w:rsidRPr="00E224E6" w:rsidRDefault="003E6F49" w:rsidP="000E6EFD">
      <w:pPr>
        <w:pStyle w:val="ListParagraph"/>
        <w:numPr>
          <w:ilvl w:val="0"/>
          <w:numId w:val="9"/>
        </w:numPr>
      </w:pPr>
      <w:r w:rsidRPr="00E224E6">
        <w:t>Staff</w:t>
      </w:r>
      <w:r w:rsidR="00DD0CD6" w:rsidRPr="00E224E6">
        <w:t xml:space="preserve"> interactions effectively extended c</w:t>
      </w:r>
      <w:r w:rsidRPr="00E224E6">
        <w:t>hildren’s learning ensuring that</w:t>
      </w:r>
      <w:r w:rsidR="00DD0CD6" w:rsidRPr="00E224E6">
        <w:t xml:space="preserve"> interest in </w:t>
      </w:r>
      <w:r w:rsidRPr="00E224E6">
        <w:t xml:space="preserve">their </w:t>
      </w:r>
      <w:r w:rsidR="00DD0CD6" w:rsidRPr="00E224E6">
        <w:t xml:space="preserve">play and learning </w:t>
      </w:r>
      <w:r w:rsidRPr="00E224E6">
        <w:t>is sustained</w:t>
      </w:r>
      <w:r w:rsidR="00DD0CD6" w:rsidRPr="00E224E6">
        <w:t>.</w:t>
      </w:r>
      <w:r w:rsidRPr="00E224E6">
        <w:t xml:space="preserve">  Experienced practitioners are good role models for less experienced staff and students.</w:t>
      </w:r>
    </w:p>
    <w:p w:rsidR="006E6EE3" w:rsidRPr="00E224E6" w:rsidRDefault="006E6EE3" w:rsidP="000E6EFD">
      <w:pPr>
        <w:pStyle w:val="ListParagraph"/>
        <w:numPr>
          <w:ilvl w:val="0"/>
          <w:numId w:val="9"/>
        </w:numPr>
      </w:pPr>
      <w:r w:rsidRPr="00E224E6">
        <w:t>Children are supported to develop a range of dispositions to learning.</w:t>
      </w:r>
    </w:p>
    <w:p w:rsidR="00FC5CD1" w:rsidRPr="00E224E6" w:rsidRDefault="0069172D" w:rsidP="00EA329F">
      <w:pPr>
        <w:pStyle w:val="ListParagraph"/>
        <w:numPr>
          <w:ilvl w:val="0"/>
          <w:numId w:val="9"/>
        </w:numPr>
      </w:pPr>
      <w:r w:rsidRPr="00E224E6">
        <w:t xml:space="preserve">Children </w:t>
      </w:r>
      <w:r w:rsidR="00671DFF" w:rsidRPr="00E224E6">
        <w:t xml:space="preserve">have opportunities to participate in </w:t>
      </w:r>
      <w:r w:rsidR="00DD0CD6" w:rsidRPr="00E224E6">
        <w:t xml:space="preserve">some </w:t>
      </w:r>
      <w:r w:rsidR="00671DFF" w:rsidRPr="00E224E6">
        <w:t>group experiences.</w:t>
      </w:r>
    </w:p>
    <w:p w:rsidR="00B60743" w:rsidRPr="00E224E6" w:rsidRDefault="00B60743" w:rsidP="00EA329F">
      <w:pPr>
        <w:pStyle w:val="ListParagraph"/>
        <w:numPr>
          <w:ilvl w:val="0"/>
          <w:numId w:val="9"/>
        </w:numPr>
      </w:pPr>
      <w:r w:rsidRPr="00E224E6">
        <w:t>Children are given opportunities to tal</w:t>
      </w:r>
      <w:r w:rsidR="00CE004F" w:rsidRPr="00E224E6">
        <w:t xml:space="preserve">k about their learning and achievements with </w:t>
      </w:r>
      <w:r w:rsidR="00301BFE" w:rsidRPr="00E224E6">
        <w:t>practitioners</w:t>
      </w:r>
      <w:r w:rsidR="00CE004F" w:rsidRPr="00E224E6">
        <w:t xml:space="preserve"> and their peers.</w:t>
      </w:r>
    </w:p>
    <w:p w:rsidR="00C75674" w:rsidRPr="00E224E6" w:rsidRDefault="00D156A9" w:rsidP="00EA329F">
      <w:pPr>
        <w:pStyle w:val="ListParagraph"/>
        <w:numPr>
          <w:ilvl w:val="0"/>
          <w:numId w:val="9"/>
        </w:numPr>
      </w:pPr>
      <w:r w:rsidRPr="00E224E6">
        <w:lastRenderedPageBreak/>
        <w:t xml:space="preserve">Online Learning Journals are used </w:t>
      </w:r>
      <w:r w:rsidR="00C75674" w:rsidRPr="00E224E6">
        <w:t xml:space="preserve">effectively by all practitioners </w:t>
      </w:r>
      <w:r w:rsidR="002B625B" w:rsidRPr="00E224E6">
        <w:t>to</w:t>
      </w:r>
      <w:r w:rsidR="0069172D" w:rsidRPr="00E224E6">
        <w:t xml:space="preserve"> record </w:t>
      </w:r>
      <w:r w:rsidR="00FC5CD1" w:rsidRPr="00E224E6">
        <w:t>observation</w:t>
      </w:r>
      <w:r w:rsidR="00044703" w:rsidRPr="00E224E6">
        <w:t>s</w:t>
      </w:r>
      <w:r w:rsidR="00FC5CD1" w:rsidRPr="00E224E6">
        <w:t xml:space="preserve"> about </w:t>
      </w:r>
      <w:r w:rsidR="00044703" w:rsidRPr="00E224E6">
        <w:t>children’s</w:t>
      </w:r>
      <w:r w:rsidR="0069172D" w:rsidRPr="00E224E6">
        <w:t xml:space="preserve"> progress and development</w:t>
      </w:r>
      <w:r w:rsidRPr="00E224E6">
        <w:t xml:space="preserve">.  </w:t>
      </w:r>
      <w:r w:rsidR="00B7462C" w:rsidRPr="00E224E6">
        <w:t>The two EYOs model good practice here and support others well ensuring equity in quality of observations for all children.</w:t>
      </w:r>
    </w:p>
    <w:p w:rsidR="00FC5CD1" w:rsidRPr="00E224E6" w:rsidRDefault="002B625B" w:rsidP="00282832">
      <w:pPr>
        <w:pStyle w:val="ListParagraph"/>
        <w:numPr>
          <w:ilvl w:val="0"/>
          <w:numId w:val="9"/>
        </w:numPr>
      </w:pPr>
      <w:r w:rsidRPr="00E224E6">
        <w:t xml:space="preserve">Planning is </w:t>
      </w:r>
      <w:r w:rsidR="002B13DC" w:rsidRPr="00E224E6">
        <w:t>responsive to</w:t>
      </w:r>
      <w:r w:rsidR="00283804" w:rsidRPr="00E224E6">
        <w:t xml:space="preserve"> children’s interests and needs and </w:t>
      </w:r>
      <w:r w:rsidR="00B7462C" w:rsidRPr="00E224E6">
        <w:t>clear assessment focus</w:t>
      </w:r>
      <w:r w:rsidR="002E0568" w:rsidRPr="00E224E6">
        <w:t>, linked to planning</w:t>
      </w:r>
      <w:r w:rsidR="00B7462C" w:rsidRPr="00E224E6">
        <w:t xml:space="preserve"> is identified at weekly meetings</w:t>
      </w:r>
      <w:r w:rsidR="00283804" w:rsidRPr="00E224E6">
        <w:t>.</w:t>
      </w:r>
    </w:p>
    <w:p w:rsidR="00261329" w:rsidRPr="00E224E6" w:rsidRDefault="00261329" w:rsidP="00261329">
      <w:pPr>
        <w:pStyle w:val="ListParagraph"/>
      </w:pPr>
    </w:p>
    <w:p w:rsidR="006871BE" w:rsidRPr="00E224E6" w:rsidRDefault="006871BE" w:rsidP="00BA67A1">
      <w:pPr>
        <w:rPr>
          <w:b/>
        </w:rPr>
      </w:pPr>
      <w:r w:rsidRPr="00E224E6">
        <w:rPr>
          <w:b/>
        </w:rPr>
        <w:t>Next Steps</w:t>
      </w:r>
    </w:p>
    <w:p w:rsidR="002E0568" w:rsidRPr="00E224E6" w:rsidRDefault="002E0568" w:rsidP="002E0568">
      <w:pPr>
        <w:pStyle w:val="ListParagraph"/>
        <w:numPr>
          <w:ilvl w:val="0"/>
          <w:numId w:val="9"/>
        </w:numPr>
      </w:pPr>
      <w:r w:rsidRPr="00E224E6">
        <w:rPr>
          <w:rStyle w:val="normaltextrun"/>
          <w:rFonts w:ascii="Calibri" w:hAnsi="Calibri"/>
          <w:shd w:val="clear" w:color="auto" w:fill="FFFFFF"/>
        </w:rPr>
        <w:t>There is some scope to further develop parents’ and children’s understanding of the United Nations Rights of the Child.</w:t>
      </w:r>
      <w:r w:rsidRPr="00E224E6">
        <w:rPr>
          <w:rStyle w:val="eop"/>
          <w:rFonts w:ascii="Calibri" w:hAnsi="Calibri"/>
          <w:shd w:val="clear" w:color="auto" w:fill="FFFFFF"/>
        </w:rPr>
        <w:t> </w:t>
      </w:r>
    </w:p>
    <w:p w:rsidR="00282832" w:rsidRPr="00E224E6" w:rsidRDefault="002E0568" w:rsidP="002E0568">
      <w:pPr>
        <w:pStyle w:val="ListParagraph"/>
        <w:numPr>
          <w:ilvl w:val="0"/>
          <w:numId w:val="9"/>
        </w:numPr>
      </w:pPr>
      <w:r w:rsidRPr="00E224E6">
        <w:rPr>
          <w:rStyle w:val="normaltextrun"/>
          <w:rFonts w:ascii="Calibri" w:hAnsi="Calibri"/>
          <w:shd w:val="clear" w:color="auto" w:fill="FFFFFF"/>
        </w:rPr>
        <w:t>Practitioners should continue to further develop their questioning skills to scaffold learning and encourage challenge and creativity.</w:t>
      </w:r>
      <w:r w:rsidRPr="00E224E6">
        <w:rPr>
          <w:rStyle w:val="eop"/>
          <w:rFonts w:ascii="Calibri" w:hAnsi="Calibri"/>
          <w:shd w:val="clear" w:color="auto" w:fill="FFFFFF"/>
        </w:rPr>
        <w:t> </w:t>
      </w:r>
    </w:p>
    <w:p w:rsidR="006E6EE3" w:rsidRPr="00E224E6" w:rsidRDefault="006E6EE3" w:rsidP="00282832">
      <w:pPr>
        <w:pStyle w:val="ListParagraph"/>
      </w:pPr>
    </w:p>
    <w:p w:rsidR="002553CB" w:rsidRPr="00E224E6" w:rsidRDefault="002553CB" w:rsidP="00282832">
      <w:pPr>
        <w:pStyle w:val="ListParagraph"/>
      </w:pPr>
    </w:p>
    <w:p w:rsidR="00EF3438" w:rsidRPr="00E224E6" w:rsidRDefault="00EF3438" w:rsidP="00282832">
      <w:pPr>
        <w:pStyle w:val="ListParagraph"/>
      </w:pPr>
    </w:p>
    <w:p w:rsidR="007A7061" w:rsidRPr="00E224E6" w:rsidRDefault="00FC5CD1" w:rsidP="00F51381">
      <w:pPr>
        <w:rPr>
          <w:b/>
        </w:rPr>
      </w:pPr>
      <w:r w:rsidRPr="00E224E6">
        <w:rPr>
          <w:b/>
        </w:rPr>
        <w:t>3.1</w:t>
      </w:r>
      <w:r w:rsidR="008A4BA7" w:rsidRPr="00E224E6">
        <w:rPr>
          <w:b/>
        </w:rPr>
        <w:t xml:space="preserve"> – Ensuring Wellbeing, Equality &amp; Inclusion</w:t>
      </w:r>
      <w:r w:rsidR="004C2068" w:rsidRPr="00E224E6">
        <w:rPr>
          <w:b/>
        </w:rPr>
        <w:t xml:space="preserve"> </w:t>
      </w:r>
      <w:r w:rsidR="00D725FC" w:rsidRPr="00E224E6">
        <w:rPr>
          <w:b/>
        </w:rPr>
        <w:t>–</w:t>
      </w:r>
      <w:r w:rsidR="004C2068" w:rsidRPr="00E224E6">
        <w:rPr>
          <w:b/>
        </w:rPr>
        <w:t xml:space="preserve"> </w:t>
      </w:r>
      <w:r w:rsidR="00AD0C6E" w:rsidRPr="00E224E6">
        <w:rPr>
          <w:b/>
        </w:rPr>
        <w:t xml:space="preserve">Very </w:t>
      </w:r>
      <w:r w:rsidR="004C2068" w:rsidRPr="00E224E6">
        <w:rPr>
          <w:b/>
        </w:rPr>
        <w:t>Good</w:t>
      </w:r>
      <w:r w:rsidR="00AD0C6E" w:rsidRPr="00E224E6">
        <w:rPr>
          <w:b/>
        </w:rPr>
        <w:t xml:space="preserve"> </w:t>
      </w:r>
    </w:p>
    <w:p w:rsidR="002E15C6" w:rsidRPr="00E224E6" w:rsidRDefault="002E15C6" w:rsidP="002E15C6">
      <w:pPr>
        <w:pStyle w:val="ListParagraph"/>
        <w:numPr>
          <w:ilvl w:val="0"/>
          <w:numId w:val="21"/>
        </w:numPr>
      </w:pPr>
      <w:r w:rsidRPr="00E224E6">
        <w:t xml:space="preserve">There is a </w:t>
      </w:r>
      <w:r w:rsidR="00301BFE" w:rsidRPr="00E224E6">
        <w:t>nurturing,</w:t>
      </w:r>
      <w:r w:rsidR="005A5148" w:rsidRPr="00E224E6">
        <w:t xml:space="preserve"> inclusive and welcoming </w:t>
      </w:r>
      <w:r w:rsidRPr="00E224E6">
        <w:t xml:space="preserve">ethos in the </w:t>
      </w:r>
      <w:r w:rsidR="00301BFE" w:rsidRPr="00E224E6">
        <w:t>ELC setting</w:t>
      </w:r>
      <w:r w:rsidRPr="00E224E6">
        <w:t xml:space="preserve">.  Interactions are warm, positive and supportive and underpin the work of the </w:t>
      </w:r>
      <w:r w:rsidR="00B0507D" w:rsidRPr="00E224E6">
        <w:t xml:space="preserve">team resulting in children who are </w:t>
      </w:r>
      <w:r w:rsidR="00F51381" w:rsidRPr="00E224E6">
        <w:t>growing in confidence</w:t>
      </w:r>
      <w:r w:rsidR="00B0507D" w:rsidRPr="00E224E6">
        <w:t>.</w:t>
      </w:r>
    </w:p>
    <w:p w:rsidR="00F51381" w:rsidRPr="00E224E6" w:rsidRDefault="00F51381" w:rsidP="002E15C6">
      <w:pPr>
        <w:pStyle w:val="ListParagraph"/>
        <w:numPr>
          <w:ilvl w:val="0"/>
          <w:numId w:val="21"/>
        </w:numPr>
      </w:pPr>
      <w:r w:rsidRPr="00E224E6">
        <w:t xml:space="preserve">Partnerships with parents are strong and </w:t>
      </w:r>
      <w:r w:rsidR="00283804" w:rsidRPr="00E224E6">
        <w:t>practitioners</w:t>
      </w:r>
      <w:r w:rsidRPr="00E224E6">
        <w:t xml:space="preserve"> use these partnerships to gain deeper understanding of the child as an individual.</w:t>
      </w:r>
    </w:p>
    <w:p w:rsidR="00F51381" w:rsidRPr="00E224E6" w:rsidRDefault="00EB3601" w:rsidP="002E15C6">
      <w:pPr>
        <w:pStyle w:val="ListParagraph"/>
        <w:numPr>
          <w:ilvl w:val="0"/>
          <w:numId w:val="21"/>
        </w:numPr>
      </w:pPr>
      <w:r w:rsidRPr="00E224E6">
        <w:t>All practitioners are knowledgeable about children’s and families’ individual needs</w:t>
      </w:r>
      <w:r w:rsidR="00283804" w:rsidRPr="00E224E6">
        <w:t>. They are</w:t>
      </w:r>
      <w:r w:rsidRPr="00E224E6">
        <w:t xml:space="preserve"> aware of targets and strategies for support for children with IEPs</w:t>
      </w:r>
      <w:r w:rsidR="00F51381" w:rsidRPr="00E224E6">
        <w:t xml:space="preserve">.  </w:t>
      </w:r>
    </w:p>
    <w:p w:rsidR="00702547" w:rsidRPr="00E224E6" w:rsidRDefault="00DB1A24" w:rsidP="00F51381">
      <w:pPr>
        <w:pStyle w:val="ListParagraph"/>
        <w:numPr>
          <w:ilvl w:val="0"/>
          <w:numId w:val="21"/>
        </w:numPr>
      </w:pPr>
      <w:r w:rsidRPr="00E224E6">
        <w:t xml:space="preserve">Children are involved in decision making across learning in the </w:t>
      </w:r>
      <w:r w:rsidR="00301BFE" w:rsidRPr="00E224E6">
        <w:t>ELC setting</w:t>
      </w:r>
      <w:r w:rsidRPr="00E224E6">
        <w:t>.  They</w:t>
      </w:r>
      <w:r w:rsidR="00C00069" w:rsidRPr="00E224E6">
        <w:t xml:space="preserve"> are listened to and given time to e</w:t>
      </w:r>
      <w:r w:rsidR="00B0507D" w:rsidRPr="00E224E6">
        <w:t xml:space="preserve">xpress their thoughts and ideas and there is clear evidence of this in the </w:t>
      </w:r>
      <w:r w:rsidR="00EB3601" w:rsidRPr="00E224E6">
        <w:t>displays</w:t>
      </w:r>
      <w:r w:rsidR="008A627C" w:rsidRPr="00E224E6">
        <w:t xml:space="preserve"> </w:t>
      </w:r>
      <w:r w:rsidR="00B0507D" w:rsidRPr="00E224E6">
        <w:t xml:space="preserve">and </w:t>
      </w:r>
      <w:r w:rsidR="00301BFE" w:rsidRPr="00E224E6">
        <w:t>Floorbooks</w:t>
      </w:r>
      <w:r w:rsidR="00B0507D" w:rsidRPr="00E224E6">
        <w:t>.</w:t>
      </w:r>
      <w:r w:rsidR="00F51381" w:rsidRPr="00E224E6">
        <w:t xml:space="preserve"> </w:t>
      </w:r>
    </w:p>
    <w:p w:rsidR="00511614" w:rsidRPr="00E224E6" w:rsidRDefault="00EB3601" w:rsidP="002E15C6">
      <w:pPr>
        <w:pStyle w:val="ListParagraph"/>
        <w:numPr>
          <w:ilvl w:val="0"/>
          <w:numId w:val="21"/>
        </w:numPr>
      </w:pPr>
      <w:r w:rsidRPr="00E224E6">
        <w:t>C</w:t>
      </w:r>
      <w:r w:rsidR="00F44D67" w:rsidRPr="00E224E6">
        <w:t xml:space="preserve">onsideration is </w:t>
      </w:r>
      <w:r w:rsidR="00A4778A" w:rsidRPr="00E224E6">
        <w:t>given</w:t>
      </w:r>
      <w:r w:rsidR="00F44D67" w:rsidRPr="00E224E6">
        <w:t xml:space="preserve"> to </w:t>
      </w:r>
      <w:r w:rsidRPr="00E224E6">
        <w:t xml:space="preserve">individuals’ </w:t>
      </w:r>
      <w:r w:rsidR="00301BFE" w:rsidRPr="00E224E6">
        <w:t>needs and</w:t>
      </w:r>
      <w:r w:rsidR="00F44D67" w:rsidRPr="00E224E6">
        <w:t xml:space="preserve"> support when planning learning experiences.</w:t>
      </w:r>
      <w:r w:rsidR="00C00069" w:rsidRPr="00E224E6">
        <w:t xml:space="preserve"> </w:t>
      </w:r>
    </w:p>
    <w:p w:rsidR="00C00069" w:rsidRPr="00E224E6" w:rsidRDefault="00C00069" w:rsidP="00C00069">
      <w:pPr>
        <w:pStyle w:val="ListParagraph"/>
        <w:numPr>
          <w:ilvl w:val="0"/>
          <w:numId w:val="21"/>
        </w:numPr>
      </w:pPr>
      <w:r w:rsidRPr="00E224E6">
        <w:t xml:space="preserve">All </w:t>
      </w:r>
      <w:r w:rsidR="00F51381" w:rsidRPr="00E224E6">
        <w:t>practitioners</w:t>
      </w:r>
      <w:r w:rsidRPr="00E224E6">
        <w:t xml:space="preserve"> know what is expected of them in relation to statutory duties, and take responsibility for this.</w:t>
      </w:r>
    </w:p>
    <w:p w:rsidR="00AF572F" w:rsidRPr="00E224E6" w:rsidRDefault="00283804" w:rsidP="00AF572F">
      <w:pPr>
        <w:pStyle w:val="ListParagraph"/>
        <w:numPr>
          <w:ilvl w:val="0"/>
          <w:numId w:val="21"/>
        </w:numPr>
      </w:pPr>
      <w:r w:rsidRPr="00E224E6">
        <w:t>Strong</w:t>
      </w:r>
      <w:r w:rsidR="005F5CB1" w:rsidRPr="00E224E6">
        <w:t xml:space="preserve"> relationships between the </w:t>
      </w:r>
      <w:r w:rsidRPr="00E224E6">
        <w:t>ELC</w:t>
      </w:r>
      <w:r w:rsidR="005F5CB1" w:rsidRPr="00E224E6">
        <w:t xml:space="preserve"> team and other agencies promote</w:t>
      </w:r>
      <w:r w:rsidR="00C00069" w:rsidRPr="00E224E6">
        <w:t xml:space="preserve"> inclusion.</w:t>
      </w:r>
      <w:r w:rsidR="001553F5" w:rsidRPr="00E224E6">
        <w:t xml:space="preserve">  </w:t>
      </w:r>
    </w:p>
    <w:p w:rsidR="005A5148" w:rsidRPr="00E224E6" w:rsidRDefault="00D51F85" w:rsidP="00AF572F">
      <w:pPr>
        <w:pStyle w:val="ListParagraph"/>
        <w:numPr>
          <w:ilvl w:val="0"/>
          <w:numId w:val="21"/>
        </w:numPr>
      </w:pPr>
      <w:r w:rsidRPr="00E224E6">
        <w:t>The G</w:t>
      </w:r>
      <w:r w:rsidR="00C75674" w:rsidRPr="00E224E6">
        <w:t>IRFEC wellbeing indicators</w:t>
      </w:r>
      <w:r w:rsidRPr="00E224E6">
        <w:t xml:space="preserve"> are displayed </w:t>
      </w:r>
      <w:r w:rsidR="00C75674" w:rsidRPr="00E224E6">
        <w:t xml:space="preserve">around the </w:t>
      </w:r>
      <w:r w:rsidR="00301BFE" w:rsidRPr="00E224E6">
        <w:t>ELC setting</w:t>
      </w:r>
      <w:r w:rsidR="002E0568" w:rsidRPr="00E224E6">
        <w:t xml:space="preserve"> and practitioners are working to develop children’s understanding of these.</w:t>
      </w:r>
      <w:r w:rsidR="00DC3776" w:rsidRPr="00E224E6">
        <w:t xml:space="preserve"> </w:t>
      </w:r>
    </w:p>
    <w:p w:rsidR="00F82BA5" w:rsidRPr="00E224E6" w:rsidRDefault="00F82BA5" w:rsidP="00AF572F">
      <w:pPr>
        <w:pStyle w:val="ListParagraph"/>
        <w:numPr>
          <w:ilvl w:val="0"/>
          <w:numId w:val="21"/>
        </w:numPr>
      </w:pPr>
      <w:r w:rsidRPr="00E224E6">
        <w:t>Children’s involvement in healthy menu p</w:t>
      </w:r>
      <w:r w:rsidR="00D51F85" w:rsidRPr="00E224E6">
        <w:t xml:space="preserve">rovision for snack is evident. </w:t>
      </w:r>
      <w:r w:rsidRPr="00E224E6">
        <w:t>Children can talk about making healthy choices.</w:t>
      </w:r>
    </w:p>
    <w:p w:rsidR="00AD0C6E" w:rsidRPr="00E224E6" w:rsidRDefault="00AD0C6E" w:rsidP="00AF572F">
      <w:pPr>
        <w:pStyle w:val="ListParagraph"/>
        <w:numPr>
          <w:ilvl w:val="0"/>
          <w:numId w:val="21"/>
        </w:numPr>
      </w:pPr>
      <w:r w:rsidRPr="00E224E6">
        <w:t>The strong</w:t>
      </w:r>
      <w:r w:rsidR="00EA6613" w:rsidRPr="00E224E6">
        <w:t>,</w:t>
      </w:r>
      <w:r w:rsidRPr="00E224E6">
        <w:t xml:space="preserve"> collaborative and nurturing team ethos</w:t>
      </w:r>
      <w:r w:rsidR="00EA6613" w:rsidRPr="00E224E6">
        <w:t xml:space="preserve"> impacts on the wellbeing of all children.  Two year olds in the setting are supported skilfully and sensitively by staff who know and meets their needs well.</w:t>
      </w:r>
    </w:p>
    <w:p w:rsidR="002E15C6" w:rsidRPr="00E224E6" w:rsidRDefault="002E15C6" w:rsidP="002E15C6"/>
    <w:p w:rsidR="00ED6482" w:rsidRPr="00E224E6" w:rsidRDefault="00ED6482" w:rsidP="00FC5CD1">
      <w:pPr>
        <w:rPr>
          <w:b/>
        </w:rPr>
      </w:pPr>
      <w:r w:rsidRPr="00E224E6">
        <w:rPr>
          <w:b/>
        </w:rPr>
        <w:t>Next steps</w:t>
      </w:r>
    </w:p>
    <w:p w:rsidR="001B7E6A" w:rsidRPr="00E224E6" w:rsidRDefault="00DC3776" w:rsidP="00FC5CD1">
      <w:pPr>
        <w:pStyle w:val="ListParagraph"/>
        <w:numPr>
          <w:ilvl w:val="0"/>
          <w:numId w:val="7"/>
        </w:numPr>
      </w:pPr>
      <w:r w:rsidRPr="00E224E6">
        <w:t>Practitioners</w:t>
      </w:r>
      <w:r w:rsidR="00F51381" w:rsidRPr="00E224E6">
        <w:t xml:space="preserve"> </w:t>
      </w:r>
      <w:r w:rsidRPr="00E224E6">
        <w:t xml:space="preserve">should </w:t>
      </w:r>
      <w:r w:rsidR="00EA6613" w:rsidRPr="00E224E6">
        <w:t>continue with their plans to further</w:t>
      </w:r>
      <w:r w:rsidR="00F51381" w:rsidRPr="00E224E6">
        <w:t xml:space="preserve"> develop children’s and families’ understanding of GIRF</w:t>
      </w:r>
      <w:r w:rsidRPr="00E224E6">
        <w:t>EC and the wellbeing indicators by embedding them in play and the life of the ELC setting.</w:t>
      </w:r>
      <w:r w:rsidR="00EA6613" w:rsidRPr="00E224E6">
        <w:t xml:space="preserve"> </w:t>
      </w:r>
    </w:p>
    <w:p w:rsidR="006E6EE3" w:rsidRPr="00E224E6" w:rsidRDefault="00EA6613" w:rsidP="00FC5CD1">
      <w:pPr>
        <w:pStyle w:val="ListParagraph"/>
        <w:numPr>
          <w:ilvl w:val="0"/>
          <w:numId w:val="7"/>
        </w:numPr>
      </w:pPr>
      <w:r w:rsidRPr="00E224E6">
        <w:t>Practitioners, supported by SLT should now consider how the newly installed sensory room can be used to suppo</w:t>
      </w:r>
      <w:r w:rsidR="00E224E6" w:rsidRPr="00E224E6">
        <w:t>rt the wellbeing of</w:t>
      </w:r>
      <w:r w:rsidRPr="00E224E6">
        <w:t xml:space="preserve"> all children in the setting.</w:t>
      </w:r>
    </w:p>
    <w:p w:rsidR="006E6EE3" w:rsidRPr="00E224E6" w:rsidRDefault="006E6EE3" w:rsidP="00FC5CD1">
      <w:pPr>
        <w:rPr>
          <w:b/>
        </w:rPr>
      </w:pPr>
    </w:p>
    <w:p w:rsidR="00985871" w:rsidRPr="00E224E6" w:rsidRDefault="00FC5CD1" w:rsidP="00FC5CD1">
      <w:pPr>
        <w:rPr>
          <w:b/>
        </w:rPr>
      </w:pPr>
      <w:r w:rsidRPr="00E224E6">
        <w:rPr>
          <w:b/>
        </w:rPr>
        <w:t>3.2</w:t>
      </w:r>
      <w:r w:rsidR="006A5B91" w:rsidRPr="00E224E6">
        <w:rPr>
          <w:b/>
        </w:rPr>
        <w:t xml:space="preserve"> </w:t>
      </w:r>
      <w:r w:rsidR="007618A1" w:rsidRPr="00E224E6">
        <w:rPr>
          <w:b/>
        </w:rPr>
        <w:t>Securing children’s progress</w:t>
      </w:r>
      <w:r w:rsidR="004C2068" w:rsidRPr="00E224E6">
        <w:rPr>
          <w:b/>
        </w:rPr>
        <w:t xml:space="preserve"> </w:t>
      </w:r>
      <w:r w:rsidR="00771EA9" w:rsidRPr="00E224E6">
        <w:rPr>
          <w:b/>
        </w:rPr>
        <w:t>–</w:t>
      </w:r>
      <w:r w:rsidR="00AD0C6E" w:rsidRPr="00E224E6">
        <w:rPr>
          <w:b/>
        </w:rPr>
        <w:t xml:space="preserve"> Very </w:t>
      </w:r>
      <w:r w:rsidR="004C2068" w:rsidRPr="00E224E6">
        <w:rPr>
          <w:b/>
        </w:rPr>
        <w:t>Good</w:t>
      </w:r>
      <w:r w:rsidR="00771EA9" w:rsidRPr="00E224E6">
        <w:rPr>
          <w:b/>
        </w:rPr>
        <w:t xml:space="preserve"> </w:t>
      </w:r>
    </w:p>
    <w:p w:rsidR="00FC5CD1" w:rsidRPr="00E224E6" w:rsidRDefault="005D5983" w:rsidP="00EA329F">
      <w:pPr>
        <w:pStyle w:val="ListParagraph"/>
        <w:numPr>
          <w:ilvl w:val="0"/>
          <w:numId w:val="12"/>
        </w:numPr>
      </w:pPr>
      <w:r w:rsidRPr="00E224E6">
        <w:t xml:space="preserve">Children have a wide range of opportunities to develop mark making </w:t>
      </w:r>
      <w:r w:rsidR="005E30A1" w:rsidRPr="00E224E6">
        <w:t>and</w:t>
      </w:r>
      <w:r w:rsidRPr="00E224E6">
        <w:t xml:space="preserve"> writing skills across their learning indoors and out.</w:t>
      </w:r>
    </w:p>
    <w:p w:rsidR="0034721A" w:rsidRPr="00E224E6" w:rsidRDefault="005E30A1" w:rsidP="00F82BA5">
      <w:pPr>
        <w:pStyle w:val="ListParagraph"/>
        <w:numPr>
          <w:ilvl w:val="0"/>
          <w:numId w:val="12"/>
        </w:numPr>
      </w:pPr>
      <w:r w:rsidRPr="00E224E6">
        <w:t>There is evidence of rich n</w:t>
      </w:r>
      <w:r w:rsidR="006B38FD" w:rsidRPr="00E224E6">
        <w:t xml:space="preserve">umeracy and maths experiences </w:t>
      </w:r>
      <w:r w:rsidRPr="00E224E6">
        <w:t xml:space="preserve">which </w:t>
      </w:r>
      <w:r w:rsidR="006B38FD" w:rsidRPr="00E224E6">
        <w:t xml:space="preserve">are </w:t>
      </w:r>
      <w:r w:rsidR="00F82BA5" w:rsidRPr="00E224E6">
        <w:t xml:space="preserve">responsively </w:t>
      </w:r>
      <w:r w:rsidR="006B38FD" w:rsidRPr="00E224E6">
        <w:t xml:space="preserve">planned </w:t>
      </w:r>
      <w:r w:rsidR="008C5D0B" w:rsidRPr="00E224E6">
        <w:t>with the</w:t>
      </w:r>
      <w:r w:rsidR="006B38FD" w:rsidRPr="00E224E6">
        <w:t xml:space="preserve"> children</w:t>
      </w:r>
      <w:r w:rsidRPr="00E224E6">
        <w:t>. C</w:t>
      </w:r>
      <w:r w:rsidR="00512A5F" w:rsidRPr="00E224E6">
        <w:t>hildren</w:t>
      </w:r>
      <w:r w:rsidR="006B38FD" w:rsidRPr="00E224E6">
        <w:t xml:space="preserve"> were observed</w:t>
      </w:r>
      <w:r w:rsidRPr="00E224E6">
        <w:t xml:space="preserve"> confidently</w:t>
      </w:r>
      <w:r w:rsidR="006B38FD" w:rsidRPr="00E224E6">
        <w:t xml:space="preserve"> using </w:t>
      </w:r>
      <w:r w:rsidR="00512A5F" w:rsidRPr="00E224E6">
        <w:t>MNU</w:t>
      </w:r>
      <w:r w:rsidR="008C5D0B" w:rsidRPr="00E224E6">
        <w:t xml:space="preserve"> skills </w:t>
      </w:r>
      <w:r w:rsidR="00512A5F" w:rsidRPr="00E224E6">
        <w:t>across learning indoors and out</w:t>
      </w:r>
      <w:r w:rsidR="008C5D0B" w:rsidRPr="00E224E6">
        <w:t xml:space="preserve">. </w:t>
      </w:r>
    </w:p>
    <w:p w:rsidR="00CD3876" w:rsidRPr="00E224E6" w:rsidRDefault="00CD3876" w:rsidP="00215D0F">
      <w:pPr>
        <w:pStyle w:val="ListParagraph"/>
        <w:numPr>
          <w:ilvl w:val="0"/>
          <w:numId w:val="12"/>
        </w:numPr>
      </w:pPr>
      <w:r w:rsidRPr="00E224E6">
        <w:t>The rich range of open ended resources enable staff to support and challenge children in their play.</w:t>
      </w:r>
    </w:p>
    <w:p w:rsidR="005D5983" w:rsidRPr="00E224E6" w:rsidRDefault="005D5983" w:rsidP="00215D0F">
      <w:pPr>
        <w:pStyle w:val="ListParagraph"/>
        <w:numPr>
          <w:ilvl w:val="0"/>
          <w:numId w:val="12"/>
        </w:numPr>
      </w:pPr>
      <w:r w:rsidRPr="00E224E6">
        <w:t>Children are happy, engaged and highly motivated about playing outdoors.  There is a rich range of opportunities for them to develop their creativity and problem solving skills.  This is all impacting positively on children’s health and wellbeing.</w:t>
      </w:r>
    </w:p>
    <w:p w:rsidR="005A5148" w:rsidRPr="00E224E6" w:rsidRDefault="005A5148" w:rsidP="00215D0F">
      <w:pPr>
        <w:pStyle w:val="ListParagraph"/>
        <w:numPr>
          <w:ilvl w:val="0"/>
          <w:numId w:val="12"/>
        </w:numPr>
      </w:pPr>
      <w:r w:rsidRPr="00E224E6">
        <w:t>Children are developing within the four capacities of CfE</w:t>
      </w:r>
      <w:r w:rsidR="00532880" w:rsidRPr="00E224E6">
        <w:t>.</w:t>
      </w:r>
    </w:p>
    <w:p w:rsidR="00215D0F" w:rsidRPr="00E224E6" w:rsidRDefault="00215D0F" w:rsidP="00215D0F">
      <w:pPr>
        <w:pStyle w:val="ListParagraph"/>
        <w:numPr>
          <w:ilvl w:val="0"/>
          <w:numId w:val="12"/>
        </w:numPr>
      </w:pPr>
      <w:r w:rsidRPr="00E224E6">
        <w:t xml:space="preserve">Children are </w:t>
      </w:r>
      <w:r w:rsidR="005E30A1" w:rsidRPr="00E224E6">
        <w:t>settled</w:t>
      </w:r>
      <w:r w:rsidRPr="00E224E6">
        <w:t xml:space="preserve"> and confident in the </w:t>
      </w:r>
      <w:r w:rsidR="00301BFE" w:rsidRPr="00E224E6">
        <w:t>ELC setting</w:t>
      </w:r>
      <w:r w:rsidRPr="00E224E6">
        <w:t xml:space="preserve"> and were observed demonstratin</w:t>
      </w:r>
      <w:r w:rsidR="00085596" w:rsidRPr="00E224E6">
        <w:t>g a good level of independence.</w:t>
      </w:r>
    </w:p>
    <w:p w:rsidR="000A190D" w:rsidRPr="00E224E6" w:rsidRDefault="00532880" w:rsidP="00085596">
      <w:pPr>
        <w:pStyle w:val="ListParagraph"/>
        <w:numPr>
          <w:ilvl w:val="0"/>
          <w:numId w:val="12"/>
        </w:numPr>
      </w:pPr>
      <w:r w:rsidRPr="00E224E6">
        <w:t>The work of the EYO graduate has supported</w:t>
      </w:r>
      <w:r w:rsidR="006E6EE3" w:rsidRPr="00E224E6">
        <w:t xml:space="preserve"> </w:t>
      </w:r>
      <w:r w:rsidRPr="00E224E6">
        <w:t>whole team engagement</w:t>
      </w:r>
      <w:r w:rsidR="00085596" w:rsidRPr="00E224E6">
        <w:t xml:space="preserve"> with the WL trackers for literacy, numeracy and H&amp;</w:t>
      </w:r>
      <w:r w:rsidR="00301BFE" w:rsidRPr="00E224E6">
        <w:t xml:space="preserve">WB. </w:t>
      </w:r>
    </w:p>
    <w:p w:rsidR="00085596" w:rsidRPr="00E224E6" w:rsidRDefault="00532880" w:rsidP="00085596">
      <w:pPr>
        <w:pStyle w:val="ListParagraph"/>
        <w:numPr>
          <w:ilvl w:val="0"/>
          <w:numId w:val="12"/>
        </w:numPr>
      </w:pPr>
      <w:r w:rsidRPr="00E224E6">
        <w:t>The strong working relationship between the EYO graduate and the speech and language therapist is impacting on the skills of the team to enable them to support targeted children.  All targeted children are making good progress.</w:t>
      </w:r>
    </w:p>
    <w:p w:rsidR="000A190D" w:rsidRPr="00E224E6" w:rsidRDefault="00CD3876" w:rsidP="00085596">
      <w:pPr>
        <w:pStyle w:val="ListParagraph"/>
        <w:numPr>
          <w:ilvl w:val="0"/>
          <w:numId w:val="12"/>
        </w:numPr>
      </w:pPr>
      <w:r w:rsidRPr="00E224E6">
        <w:t>The EYO graduate makes very good use of the literacy progression pathways to plan for interventions for targeted children.</w:t>
      </w:r>
    </w:p>
    <w:p w:rsidR="008D0054" w:rsidRPr="00E224E6" w:rsidRDefault="008D0054" w:rsidP="00215D0F">
      <w:pPr>
        <w:pStyle w:val="ListParagraph"/>
        <w:numPr>
          <w:ilvl w:val="0"/>
          <w:numId w:val="12"/>
        </w:numPr>
      </w:pPr>
      <w:r w:rsidRPr="00E224E6">
        <w:t>The</w:t>
      </w:r>
      <w:r w:rsidR="00F82BA5" w:rsidRPr="00E224E6">
        <w:t xml:space="preserve">re are regular planned opportunities for the whole ELC team </w:t>
      </w:r>
      <w:r w:rsidRPr="00E224E6">
        <w:t>to discuss children’s progress and plan for interventions</w:t>
      </w:r>
      <w:r w:rsidR="005E30A1" w:rsidRPr="00E224E6">
        <w:t xml:space="preserve"> and support to ensure equi</w:t>
      </w:r>
      <w:r w:rsidR="006F6F57" w:rsidRPr="00E224E6">
        <w:t>ty and inclusion.</w:t>
      </w:r>
    </w:p>
    <w:p w:rsidR="00282832" w:rsidRPr="00E224E6" w:rsidRDefault="005E30A1" w:rsidP="005E30A1">
      <w:pPr>
        <w:pStyle w:val="ListParagraph"/>
        <w:numPr>
          <w:ilvl w:val="0"/>
          <w:numId w:val="12"/>
        </w:numPr>
      </w:pPr>
      <w:r w:rsidRPr="00E224E6">
        <w:t xml:space="preserve">There is a full programme in place to support children and their families’ transition to school.  </w:t>
      </w:r>
    </w:p>
    <w:p w:rsidR="00085596" w:rsidRPr="00E224E6" w:rsidRDefault="00085596" w:rsidP="00085596">
      <w:pPr>
        <w:pStyle w:val="ListParagraph"/>
        <w:numPr>
          <w:ilvl w:val="0"/>
          <w:numId w:val="12"/>
        </w:numPr>
      </w:pPr>
      <w:r w:rsidRPr="00E224E6">
        <w:t xml:space="preserve">Children’s progress and development is discussed with Primary 1 </w:t>
      </w:r>
      <w:r w:rsidR="00C02611" w:rsidRPr="00E224E6">
        <w:t xml:space="preserve">staff </w:t>
      </w:r>
      <w:r w:rsidRPr="00E224E6">
        <w:t xml:space="preserve">at point of transition to ensure </w:t>
      </w:r>
      <w:r w:rsidR="00C02611" w:rsidRPr="00E224E6">
        <w:t xml:space="preserve">continuity and </w:t>
      </w:r>
      <w:r w:rsidRPr="00E224E6">
        <w:t xml:space="preserve">progression. </w:t>
      </w:r>
    </w:p>
    <w:p w:rsidR="005E30A1" w:rsidRPr="00E224E6" w:rsidRDefault="005E30A1" w:rsidP="005E30A1">
      <w:pPr>
        <w:pStyle w:val="ListParagraph"/>
      </w:pPr>
    </w:p>
    <w:p w:rsidR="00DC35A0" w:rsidRPr="00E224E6" w:rsidRDefault="006871BE" w:rsidP="00DC35A0">
      <w:pPr>
        <w:rPr>
          <w:b/>
        </w:rPr>
      </w:pPr>
      <w:r w:rsidRPr="00E224E6">
        <w:rPr>
          <w:b/>
        </w:rPr>
        <w:t>Next Steps</w:t>
      </w:r>
    </w:p>
    <w:p w:rsidR="00CD3876" w:rsidRPr="00E224E6" w:rsidRDefault="00CD3876" w:rsidP="004F0217">
      <w:pPr>
        <w:pStyle w:val="ListParagraph"/>
        <w:numPr>
          <w:ilvl w:val="0"/>
          <w:numId w:val="29"/>
        </w:numPr>
        <w:rPr>
          <w:rStyle w:val="eop"/>
        </w:rPr>
      </w:pPr>
      <w:r w:rsidRPr="00E224E6">
        <w:rPr>
          <w:rStyle w:val="normaltextrun"/>
          <w:rFonts w:ascii="Calibri" w:hAnsi="Calibri"/>
          <w:shd w:val="clear" w:color="auto" w:fill="FFFFFF"/>
        </w:rPr>
        <w:t>ELC practitioners should continue their efforts to engage parents in their children’s learning and continue to support home learning.</w:t>
      </w:r>
      <w:r w:rsidRPr="00E224E6">
        <w:rPr>
          <w:rStyle w:val="eop"/>
          <w:rFonts w:ascii="Calibri" w:hAnsi="Calibri"/>
          <w:shd w:val="clear" w:color="auto" w:fill="FFFFFF"/>
        </w:rPr>
        <w:t> </w:t>
      </w:r>
    </w:p>
    <w:p w:rsidR="004F0217" w:rsidRPr="00E224E6" w:rsidRDefault="006E6EE3" w:rsidP="004F0217">
      <w:pPr>
        <w:pStyle w:val="ListParagraph"/>
        <w:numPr>
          <w:ilvl w:val="0"/>
          <w:numId w:val="29"/>
        </w:numPr>
      </w:pPr>
      <w:r w:rsidRPr="00E224E6">
        <w:t xml:space="preserve">The </w:t>
      </w:r>
      <w:r w:rsidR="00CD3876" w:rsidRPr="00E224E6">
        <w:t>D</w:t>
      </w:r>
      <w:r w:rsidRPr="00E224E6">
        <w:t>HT</w:t>
      </w:r>
      <w:r w:rsidR="000A190D" w:rsidRPr="00E224E6">
        <w:t xml:space="preserve"> </w:t>
      </w:r>
      <w:r w:rsidR="00CD3876" w:rsidRPr="00E224E6">
        <w:t xml:space="preserve">and EYOs </w:t>
      </w:r>
      <w:r w:rsidR="000A190D" w:rsidRPr="00E224E6">
        <w:t>should continue to work with practitioners to</w:t>
      </w:r>
      <w:r w:rsidR="00CD3876" w:rsidRPr="00E224E6">
        <w:t xml:space="preserve"> help them</w:t>
      </w:r>
      <w:r w:rsidR="00CD3876" w:rsidRPr="00E224E6">
        <w:rPr>
          <w:rStyle w:val="normaltextrun"/>
          <w:shd w:val="clear" w:color="auto" w:fill="FFFFFF"/>
        </w:rPr>
        <w:t xml:space="preserve"> develop their knowledge of curriculum pathways to inform next steps in learning</w:t>
      </w:r>
      <w:r w:rsidR="00CD3876" w:rsidRPr="00E224E6">
        <w:rPr>
          <w:rStyle w:val="eop"/>
          <w:shd w:val="clear" w:color="auto" w:fill="FFFFFF"/>
        </w:rPr>
        <w:t>.</w:t>
      </w:r>
    </w:p>
    <w:p w:rsidR="004F0217" w:rsidRPr="00E224E6" w:rsidRDefault="004F0217" w:rsidP="004F0217"/>
    <w:p w:rsidR="00637CBB" w:rsidRPr="00E224E6" w:rsidRDefault="007D12F6" w:rsidP="004F0217">
      <w:r w:rsidRPr="00E224E6">
        <w:br w:type="page"/>
      </w:r>
    </w:p>
    <w:p w:rsidR="00637CBB" w:rsidRPr="00E224E6" w:rsidRDefault="00637CBB" w:rsidP="004F0217"/>
    <w:p w:rsidR="00EF3438" w:rsidRPr="00E224E6" w:rsidRDefault="00EF3438" w:rsidP="004F0217">
      <w:pPr>
        <w:rPr>
          <w:b/>
        </w:rPr>
      </w:pPr>
    </w:p>
    <w:p w:rsidR="007D12F6" w:rsidRPr="00E224E6" w:rsidRDefault="007D12F6" w:rsidP="004F0217">
      <w:r w:rsidRPr="00E224E6">
        <w:rPr>
          <w:b/>
        </w:rPr>
        <w:t>2.7 Partnerships –</w:t>
      </w:r>
      <w:r w:rsidR="000204F0" w:rsidRPr="00E224E6">
        <w:rPr>
          <w:b/>
        </w:rPr>
        <w:t xml:space="preserve"> </w:t>
      </w:r>
      <w:r w:rsidR="00E224E6" w:rsidRPr="00E224E6">
        <w:rPr>
          <w:b/>
        </w:rPr>
        <w:t xml:space="preserve">Very </w:t>
      </w:r>
      <w:r w:rsidR="00DD0CD6" w:rsidRPr="00E224E6">
        <w:rPr>
          <w:b/>
        </w:rPr>
        <w:t>Good</w:t>
      </w:r>
    </w:p>
    <w:p w:rsidR="007D12F6" w:rsidRPr="00E224E6" w:rsidRDefault="007D12F6" w:rsidP="007D12F6">
      <w:pPr>
        <w:pStyle w:val="ListParagraph"/>
        <w:numPr>
          <w:ilvl w:val="0"/>
          <w:numId w:val="25"/>
        </w:numPr>
      </w:pPr>
      <w:r w:rsidRPr="00E224E6">
        <w:t xml:space="preserve">Relationships with parents are </w:t>
      </w:r>
      <w:r w:rsidR="00AD0C6E" w:rsidRPr="00E224E6">
        <w:t xml:space="preserve">very </w:t>
      </w:r>
      <w:r w:rsidRPr="00E224E6">
        <w:t xml:space="preserve">good.  </w:t>
      </w:r>
      <w:r w:rsidR="00C013E7" w:rsidRPr="00E224E6">
        <w:t>Practitioners</w:t>
      </w:r>
      <w:r w:rsidRPr="00E224E6">
        <w:t xml:space="preserve"> are very welcoming and supportive and </w:t>
      </w:r>
      <w:r w:rsidR="00166EE4" w:rsidRPr="00E224E6">
        <w:t xml:space="preserve">parents </w:t>
      </w:r>
      <w:r w:rsidR="00360767" w:rsidRPr="00E224E6">
        <w:t>feel part of the life of the centre.</w:t>
      </w:r>
    </w:p>
    <w:p w:rsidR="00AD0C6E" w:rsidRPr="00E224E6" w:rsidRDefault="00AD0C6E" w:rsidP="007D12F6">
      <w:pPr>
        <w:pStyle w:val="ListParagraph"/>
        <w:numPr>
          <w:ilvl w:val="0"/>
          <w:numId w:val="25"/>
        </w:numPr>
      </w:pPr>
      <w:r w:rsidRPr="00E224E6">
        <w:t>Parents’ views and opinions on the life of the centre are continually sought.  They are valued and acted upon.</w:t>
      </w:r>
    </w:p>
    <w:p w:rsidR="006E3F56" w:rsidRPr="00E224E6" w:rsidRDefault="00C013E7" w:rsidP="00AD0C6E">
      <w:pPr>
        <w:pStyle w:val="ListParagraph"/>
        <w:numPr>
          <w:ilvl w:val="0"/>
          <w:numId w:val="25"/>
        </w:numPr>
      </w:pPr>
      <w:r w:rsidRPr="00E224E6">
        <w:t>Practitioners</w:t>
      </w:r>
      <w:r w:rsidR="00496CB5" w:rsidRPr="00E224E6">
        <w:t xml:space="preserve"> are committed to learning and sharing practice through the early years cluster networks. </w:t>
      </w:r>
    </w:p>
    <w:p w:rsidR="00F336FE" w:rsidRPr="00E224E6" w:rsidRDefault="00F336FE" w:rsidP="007D12F6">
      <w:pPr>
        <w:pStyle w:val="ListParagraph"/>
        <w:numPr>
          <w:ilvl w:val="0"/>
          <w:numId w:val="25"/>
        </w:numPr>
      </w:pPr>
      <w:r w:rsidRPr="00E224E6">
        <w:t xml:space="preserve">Displays </w:t>
      </w:r>
      <w:r w:rsidR="006E3F56" w:rsidRPr="00E224E6">
        <w:t xml:space="preserve">in the foyer </w:t>
      </w:r>
      <w:r w:rsidRPr="00E224E6">
        <w:t xml:space="preserve">support home learning </w:t>
      </w:r>
      <w:r w:rsidR="006E3F56" w:rsidRPr="00E224E6">
        <w:t xml:space="preserve">activities </w:t>
      </w:r>
      <w:r w:rsidRPr="00E224E6">
        <w:t xml:space="preserve">and encourage </w:t>
      </w:r>
      <w:r w:rsidR="00AC797D" w:rsidRPr="00E224E6">
        <w:t xml:space="preserve">parent/ carer </w:t>
      </w:r>
      <w:r w:rsidR="00301BFE" w:rsidRPr="00E224E6">
        <w:t>engagement.</w:t>
      </w:r>
    </w:p>
    <w:p w:rsidR="0087339B" w:rsidRPr="00E224E6" w:rsidRDefault="00A547D1" w:rsidP="007D12F6">
      <w:pPr>
        <w:pStyle w:val="ListParagraph"/>
        <w:numPr>
          <w:ilvl w:val="0"/>
          <w:numId w:val="25"/>
        </w:numPr>
      </w:pPr>
      <w:r w:rsidRPr="00E224E6">
        <w:t xml:space="preserve">Links with partner agencies are </w:t>
      </w:r>
      <w:r w:rsidR="00AD0C6E" w:rsidRPr="00E224E6">
        <w:t>strong</w:t>
      </w:r>
      <w:r w:rsidRPr="00E224E6">
        <w:t>.</w:t>
      </w:r>
      <w:r w:rsidR="0087339B" w:rsidRPr="00E224E6">
        <w:t xml:space="preserve">  </w:t>
      </w:r>
      <w:r w:rsidR="00AD0C6E" w:rsidRPr="00E224E6">
        <w:t xml:space="preserve">The centre has a very strong partnership with the school’s PEF speech and language therapist.  The EYO graduate has been upskilled due to the strength of this relationship. </w:t>
      </w:r>
    </w:p>
    <w:p w:rsidR="00E55F5C" w:rsidRPr="00E224E6" w:rsidRDefault="00AD0C6E" w:rsidP="00CB3FFA">
      <w:pPr>
        <w:pStyle w:val="ListParagraph"/>
        <w:numPr>
          <w:ilvl w:val="0"/>
          <w:numId w:val="25"/>
        </w:numPr>
      </w:pPr>
      <w:r w:rsidRPr="00E224E6">
        <w:t>The EYO graduate works effect</w:t>
      </w:r>
      <w:r w:rsidR="00AC797D" w:rsidRPr="00E224E6">
        <w:t>ively</w:t>
      </w:r>
      <w:r w:rsidRPr="00E224E6">
        <w:t xml:space="preserve"> with collea</w:t>
      </w:r>
      <w:r w:rsidR="00AC797D" w:rsidRPr="00E224E6">
        <w:t>g</w:t>
      </w:r>
      <w:r w:rsidRPr="00E224E6">
        <w:t>u</w:t>
      </w:r>
      <w:r w:rsidR="00AC797D" w:rsidRPr="00E224E6">
        <w:t>es and partner</w:t>
      </w:r>
      <w:r w:rsidRPr="00E224E6">
        <w:t>s to implement a r</w:t>
      </w:r>
      <w:r w:rsidR="00AC797D" w:rsidRPr="00E224E6">
        <w:t>a</w:t>
      </w:r>
      <w:r w:rsidRPr="00E224E6">
        <w:t>n</w:t>
      </w:r>
      <w:r w:rsidR="00AC797D" w:rsidRPr="00E224E6">
        <w:t xml:space="preserve">ge of targeted supports which </w:t>
      </w:r>
      <w:r w:rsidR="00DA45BB" w:rsidRPr="00E224E6">
        <w:t>support family</w:t>
      </w:r>
      <w:r w:rsidR="006E3F56" w:rsidRPr="00E224E6">
        <w:t xml:space="preserve"> involvement.</w:t>
      </w:r>
      <w:r w:rsidR="00DA45BB" w:rsidRPr="00E224E6">
        <w:t xml:space="preserve"> </w:t>
      </w:r>
    </w:p>
    <w:p w:rsidR="00EA6613" w:rsidRPr="00E224E6" w:rsidRDefault="00EA6613" w:rsidP="00EA6613">
      <w:pPr>
        <w:pStyle w:val="ListParagraph"/>
      </w:pPr>
    </w:p>
    <w:p w:rsidR="00C75674" w:rsidRPr="00E224E6" w:rsidRDefault="00F336FE" w:rsidP="006E3F56">
      <w:pPr>
        <w:rPr>
          <w:b/>
        </w:rPr>
      </w:pPr>
      <w:r w:rsidRPr="00E224E6">
        <w:rPr>
          <w:b/>
        </w:rPr>
        <w:t>Next Steps</w:t>
      </w:r>
    </w:p>
    <w:p w:rsidR="00A74E39" w:rsidRPr="00E224E6" w:rsidRDefault="00D51F85" w:rsidP="00D51F85">
      <w:pPr>
        <w:pStyle w:val="ListParagraph"/>
        <w:numPr>
          <w:ilvl w:val="0"/>
          <w:numId w:val="31"/>
        </w:numPr>
        <w:rPr>
          <w:b/>
        </w:rPr>
      </w:pPr>
      <w:r w:rsidRPr="00E224E6">
        <w:t xml:space="preserve">The SLT should </w:t>
      </w:r>
      <w:r w:rsidR="00AD0C6E" w:rsidRPr="00E224E6">
        <w:t xml:space="preserve">continue with their work to </w:t>
      </w:r>
      <w:r w:rsidRPr="00E224E6">
        <w:t xml:space="preserve">support </w:t>
      </w:r>
      <w:r w:rsidR="00C013E7" w:rsidRPr="00E224E6">
        <w:t>collaborative working across early level to develop play based pedagogy and practice in P1.</w:t>
      </w:r>
    </w:p>
    <w:p w:rsidR="00AE7C1E" w:rsidRPr="00E224E6" w:rsidRDefault="006E6EE3" w:rsidP="00F336FE">
      <w:pPr>
        <w:pStyle w:val="ListParagraph"/>
        <w:numPr>
          <w:ilvl w:val="0"/>
          <w:numId w:val="26"/>
        </w:numPr>
        <w:rPr>
          <w:b/>
        </w:rPr>
      </w:pPr>
      <w:r w:rsidRPr="00E224E6">
        <w:t xml:space="preserve">Practitioners should continue </w:t>
      </w:r>
      <w:r w:rsidR="006E3F56" w:rsidRPr="00E224E6">
        <w:t>to work with parents/ carers to encourage their contributions to the life and work of the centre.</w:t>
      </w:r>
    </w:p>
    <w:p w:rsidR="00D51F85" w:rsidRPr="00E224E6" w:rsidRDefault="00D51F85" w:rsidP="00D51F85">
      <w:pPr>
        <w:pStyle w:val="ListParagraph"/>
        <w:rPr>
          <w:b/>
          <w:highlight w:val="green"/>
        </w:rPr>
      </w:pPr>
    </w:p>
    <w:p w:rsidR="00637CBB" w:rsidRPr="00E224E6" w:rsidRDefault="00637CBB" w:rsidP="00D51F85">
      <w:pPr>
        <w:pStyle w:val="ListParagraph"/>
        <w:rPr>
          <w:b/>
          <w:highlight w:val="green"/>
        </w:rPr>
      </w:pPr>
    </w:p>
    <w:p w:rsidR="00CF3D59" w:rsidRPr="00E224E6" w:rsidRDefault="00CF3D59" w:rsidP="00D51F85">
      <w:pPr>
        <w:pStyle w:val="ListParagraph"/>
        <w:rPr>
          <w:b/>
          <w:highlight w:val="green"/>
        </w:rPr>
      </w:pPr>
    </w:p>
    <w:tbl>
      <w:tblPr>
        <w:tblStyle w:val="TableGrid"/>
        <w:tblW w:w="0" w:type="auto"/>
        <w:tblInd w:w="0" w:type="dxa"/>
        <w:tblLook w:val="04A0" w:firstRow="1" w:lastRow="0" w:firstColumn="1" w:lastColumn="0" w:noHBand="0" w:noVBand="1"/>
      </w:tblPr>
      <w:tblGrid>
        <w:gridCol w:w="3560"/>
        <w:gridCol w:w="3561"/>
        <w:gridCol w:w="3561"/>
      </w:tblGrid>
      <w:tr w:rsidR="00E224E6" w:rsidRPr="00E224E6" w:rsidTr="00AE7C1E">
        <w:tc>
          <w:tcPr>
            <w:tcW w:w="3560" w:type="dxa"/>
          </w:tcPr>
          <w:p w:rsidR="00AE7C1E" w:rsidRPr="00E224E6" w:rsidRDefault="00AE7C1E" w:rsidP="00F336FE">
            <w:pPr>
              <w:rPr>
                <w:b/>
              </w:rPr>
            </w:pPr>
            <w:r w:rsidRPr="00E224E6">
              <w:rPr>
                <w:b/>
              </w:rPr>
              <w:t>QI</w:t>
            </w:r>
          </w:p>
        </w:tc>
        <w:tc>
          <w:tcPr>
            <w:tcW w:w="3561" w:type="dxa"/>
          </w:tcPr>
          <w:p w:rsidR="00AE7C1E" w:rsidRPr="00E224E6" w:rsidRDefault="00AE7C1E" w:rsidP="00F336FE">
            <w:pPr>
              <w:rPr>
                <w:b/>
              </w:rPr>
            </w:pPr>
            <w:r w:rsidRPr="00E224E6">
              <w:rPr>
                <w:b/>
              </w:rPr>
              <w:t>School Grading</w:t>
            </w:r>
          </w:p>
        </w:tc>
        <w:tc>
          <w:tcPr>
            <w:tcW w:w="3561" w:type="dxa"/>
          </w:tcPr>
          <w:p w:rsidR="00AE7C1E" w:rsidRPr="00E224E6" w:rsidRDefault="00AE7C1E" w:rsidP="00F336FE">
            <w:pPr>
              <w:rPr>
                <w:b/>
              </w:rPr>
            </w:pPr>
            <w:r w:rsidRPr="00E224E6">
              <w:rPr>
                <w:b/>
              </w:rPr>
              <w:t>VSE Grading</w:t>
            </w:r>
          </w:p>
        </w:tc>
      </w:tr>
      <w:tr w:rsidR="00E224E6" w:rsidRPr="00E224E6" w:rsidTr="00AE7C1E">
        <w:tc>
          <w:tcPr>
            <w:tcW w:w="3560" w:type="dxa"/>
          </w:tcPr>
          <w:p w:rsidR="00AE7C1E" w:rsidRPr="00E224E6" w:rsidRDefault="00AE7C1E" w:rsidP="00AE7C1E">
            <w:pPr>
              <w:rPr>
                <w:b/>
              </w:rPr>
            </w:pPr>
            <w:r w:rsidRPr="00E224E6">
              <w:rPr>
                <w:b/>
              </w:rPr>
              <w:t xml:space="preserve">1.3 – Leadership of change </w:t>
            </w:r>
          </w:p>
          <w:p w:rsidR="00AE7C1E" w:rsidRPr="00E224E6" w:rsidRDefault="00AE7C1E" w:rsidP="00F336FE">
            <w:pPr>
              <w:rPr>
                <w:b/>
              </w:rPr>
            </w:pPr>
          </w:p>
        </w:tc>
        <w:tc>
          <w:tcPr>
            <w:tcW w:w="3561" w:type="dxa"/>
          </w:tcPr>
          <w:p w:rsidR="00AE7C1E" w:rsidRPr="00E224E6" w:rsidRDefault="00A547D1" w:rsidP="00F336FE">
            <w:pPr>
              <w:rPr>
                <w:b/>
              </w:rPr>
            </w:pPr>
            <w:r w:rsidRPr="00E224E6">
              <w:rPr>
                <w:b/>
              </w:rPr>
              <w:t>Very Good</w:t>
            </w:r>
          </w:p>
        </w:tc>
        <w:tc>
          <w:tcPr>
            <w:tcW w:w="3561" w:type="dxa"/>
          </w:tcPr>
          <w:p w:rsidR="00AE7C1E" w:rsidRPr="00E224E6" w:rsidRDefault="00AD0C6E" w:rsidP="00F336FE">
            <w:pPr>
              <w:rPr>
                <w:b/>
              </w:rPr>
            </w:pPr>
            <w:r w:rsidRPr="00E224E6">
              <w:rPr>
                <w:b/>
              </w:rPr>
              <w:t>Very Good</w:t>
            </w:r>
          </w:p>
        </w:tc>
      </w:tr>
      <w:tr w:rsidR="00E224E6" w:rsidRPr="00E224E6" w:rsidTr="00AE7C1E">
        <w:tc>
          <w:tcPr>
            <w:tcW w:w="3560" w:type="dxa"/>
          </w:tcPr>
          <w:p w:rsidR="00AE7C1E" w:rsidRPr="00E224E6" w:rsidRDefault="00AE7C1E" w:rsidP="00AE7C1E">
            <w:pPr>
              <w:rPr>
                <w:b/>
              </w:rPr>
            </w:pPr>
            <w:r w:rsidRPr="00E224E6">
              <w:rPr>
                <w:b/>
              </w:rPr>
              <w:t xml:space="preserve">2.2 – Curriculum </w:t>
            </w:r>
          </w:p>
        </w:tc>
        <w:tc>
          <w:tcPr>
            <w:tcW w:w="3561" w:type="dxa"/>
          </w:tcPr>
          <w:p w:rsidR="00A547D1" w:rsidRPr="00E224E6" w:rsidRDefault="00282832" w:rsidP="00A547D1">
            <w:pPr>
              <w:rPr>
                <w:b/>
              </w:rPr>
            </w:pPr>
            <w:r w:rsidRPr="00E224E6">
              <w:rPr>
                <w:b/>
              </w:rPr>
              <w:t>Good</w:t>
            </w:r>
          </w:p>
          <w:p w:rsidR="00AE7C1E" w:rsidRPr="00E224E6" w:rsidRDefault="00AE7C1E" w:rsidP="00F336FE">
            <w:pPr>
              <w:rPr>
                <w:b/>
              </w:rPr>
            </w:pPr>
          </w:p>
        </w:tc>
        <w:tc>
          <w:tcPr>
            <w:tcW w:w="3561" w:type="dxa"/>
          </w:tcPr>
          <w:p w:rsidR="00AE7C1E" w:rsidRPr="00E224E6" w:rsidRDefault="00AD0C6E" w:rsidP="00F336FE">
            <w:pPr>
              <w:rPr>
                <w:b/>
              </w:rPr>
            </w:pPr>
            <w:r w:rsidRPr="00E224E6">
              <w:rPr>
                <w:b/>
              </w:rPr>
              <w:t>Good</w:t>
            </w:r>
          </w:p>
        </w:tc>
      </w:tr>
      <w:tr w:rsidR="00E224E6" w:rsidRPr="00E224E6" w:rsidTr="00AE7C1E">
        <w:tc>
          <w:tcPr>
            <w:tcW w:w="3560" w:type="dxa"/>
          </w:tcPr>
          <w:p w:rsidR="00AE7C1E" w:rsidRPr="00E224E6" w:rsidRDefault="00AE7C1E" w:rsidP="00AE7C1E">
            <w:pPr>
              <w:rPr>
                <w:b/>
              </w:rPr>
            </w:pPr>
            <w:r w:rsidRPr="00E224E6">
              <w:rPr>
                <w:b/>
              </w:rPr>
              <w:t xml:space="preserve">2.3 – Learning, Teaching &amp; Assessment   </w:t>
            </w:r>
          </w:p>
        </w:tc>
        <w:tc>
          <w:tcPr>
            <w:tcW w:w="3561" w:type="dxa"/>
          </w:tcPr>
          <w:p w:rsidR="00A547D1" w:rsidRPr="00E224E6" w:rsidRDefault="00AC797D" w:rsidP="00A547D1">
            <w:pPr>
              <w:rPr>
                <w:b/>
              </w:rPr>
            </w:pPr>
            <w:r w:rsidRPr="00E224E6">
              <w:rPr>
                <w:b/>
              </w:rPr>
              <w:t xml:space="preserve">Very </w:t>
            </w:r>
            <w:r w:rsidR="00A547D1" w:rsidRPr="00E224E6">
              <w:rPr>
                <w:b/>
              </w:rPr>
              <w:t>Good</w:t>
            </w:r>
          </w:p>
          <w:p w:rsidR="00AE7C1E" w:rsidRPr="00E224E6" w:rsidRDefault="00AE7C1E" w:rsidP="00F336FE">
            <w:pPr>
              <w:rPr>
                <w:b/>
              </w:rPr>
            </w:pPr>
          </w:p>
        </w:tc>
        <w:tc>
          <w:tcPr>
            <w:tcW w:w="3561" w:type="dxa"/>
          </w:tcPr>
          <w:p w:rsidR="00AE7C1E" w:rsidRPr="00E224E6" w:rsidRDefault="00AD0C6E" w:rsidP="00F336FE">
            <w:pPr>
              <w:rPr>
                <w:b/>
              </w:rPr>
            </w:pPr>
            <w:r w:rsidRPr="00E224E6">
              <w:rPr>
                <w:b/>
              </w:rPr>
              <w:t>Very Good</w:t>
            </w:r>
          </w:p>
        </w:tc>
      </w:tr>
      <w:tr w:rsidR="00E224E6" w:rsidRPr="00E224E6" w:rsidTr="00AE7C1E">
        <w:tc>
          <w:tcPr>
            <w:tcW w:w="3560" w:type="dxa"/>
          </w:tcPr>
          <w:p w:rsidR="00AE7C1E" w:rsidRPr="00E224E6" w:rsidRDefault="00AE7C1E" w:rsidP="00AE7C1E">
            <w:pPr>
              <w:rPr>
                <w:b/>
              </w:rPr>
            </w:pPr>
            <w:r w:rsidRPr="00E224E6">
              <w:rPr>
                <w:b/>
              </w:rPr>
              <w:t xml:space="preserve">3.1 – Ensuring Wellbeing, Equality &amp; Inclusion </w:t>
            </w:r>
          </w:p>
          <w:p w:rsidR="00AE7C1E" w:rsidRPr="00E224E6" w:rsidRDefault="00AE7C1E" w:rsidP="00AE7C1E">
            <w:pPr>
              <w:rPr>
                <w:b/>
              </w:rPr>
            </w:pPr>
          </w:p>
        </w:tc>
        <w:tc>
          <w:tcPr>
            <w:tcW w:w="3561" w:type="dxa"/>
          </w:tcPr>
          <w:p w:rsidR="00A547D1" w:rsidRPr="00E224E6" w:rsidRDefault="00A547D1" w:rsidP="00A547D1">
            <w:pPr>
              <w:rPr>
                <w:b/>
              </w:rPr>
            </w:pPr>
            <w:r w:rsidRPr="00E224E6">
              <w:rPr>
                <w:b/>
              </w:rPr>
              <w:t>Good</w:t>
            </w:r>
          </w:p>
          <w:p w:rsidR="00AE7C1E" w:rsidRPr="00E224E6" w:rsidRDefault="00AE7C1E" w:rsidP="00F336FE">
            <w:pPr>
              <w:rPr>
                <w:b/>
              </w:rPr>
            </w:pPr>
          </w:p>
        </w:tc>
        <w:tc>
          <w:tcPr>
            <w:tcW w:w="3561" w:type="dxa"/>
          </w:tcPr>
          <w:p w:rsidR="00AE7C1E" w:rsidRPr="00E224E6" w:rsidRDefault="00EA6613" w:rsidP="00F336FE">
            <w:pPr>
              <w:rPr>
                <w:b/>
              </w:rPr>
            </w:pPr>
            <w:r w:rsidRPr="00E224E6">
              <w:rPr>
                <w:b/>
              </w:rPr>
              <w:t>Very Good</w:t>
            </w:r>
          </w:p>
        </w:tc>
      </w:tr>
      <w:tr w:rsidR="00E224E6" w:rsidRPr="00E224E6" w:rsidTr="00AE7C1E">
        <w:tc>
          <w:tcPr>
            <w:tcW w:w="3560" w:type="dxa"/>
          </w:tcPr>
          <w:p w:rsidR="00AE7C1E" w:rsidRPr="00E224E6" w:rsidRDefault="00AE7C1E" w:rsidP="00AE7C1E">
            <w:pPr>
              <w:rPr>
                <w:b/>
              </w:rPr>
            </w:pPr>
            <w:r w:rsidRPr="00E224E6">
              <w:rPr>
                <w:b/>
              </w:rPr>
              <w:t xml:space="preserve">3.2 Securing children’s progress </w:t>
            </w:r>
          </w:p>
          <w:p w:rsidR="00AE7C1E" w:rsidRPr="00E224E6" w:rsidRDefault="00AE7C1E" w:rsidP="00F336FE">
            <w:pPr>
              <w:rPr>
                <w:b/>
              </w:rPr>
            </w:pPr>
          </w:p>
        </w:tc>
        <w:tc>
          <w:tcPr>
            <w:tcW w:w="3561" w:type="dxa"/>
          </w:tcPr>
          <w:p w:rsidR="00A547D1" w:rsidRPr="00E224E6" w:rsidRDefault="00A547D1" w:rsidP="00A547D1">
            <w:pPr>
              <w:rPr>
                <w:b/>
              </w:rPr>
            </w:pPr>
            <w:r w:rsidRPr="00E224E6">
              <w:rPr>
                <w:b/>
              </w:rPr>
              <w:t>Good</w:t>
            </w:r>
          </w:p>
          <w:p w:rsidR="00AE7C1E" w:rsidRPr="00E224E6" w:rsidRDefault="00AE7C1E" w:rsidP="00F336FE">
            <w:pPr>
              <w:rPr>
                <w:b/>
              </w:rPr>
            </w:pPr>
          </w:p>
        </w:tc>
        <w:tc>
          <w:tcPr>
            <w:tcW w:w="3561" w:type="dxa"/>
          </w:tcPr>
          <w:p w:rsidR="00AE7C1E" w:rsidRPr="00E224E6" w:rsidRDefault="00EA6613" w:rsidP="00F336FE">
            <w:pPr>
              <w:rPr>
                <w:b/>
              </w:rPr>
            </w:pPr>
            <w:r w:rsidRPr="00E224E6">
              <w:rPr>
                <w:b/>
              </w:rPr>
              <w:t>Very Good</w:t>
            </w:r>
          </w:p>
        </w:tc>
      </w:tr>
      <w:tr w:rsidR="00AE7C1E" w:rsidRPr="00E224E6" w:rsidTr="00AE7C1E">
        <w:tc>
          <w:tcPr>
            <w:tcW w:w="3560" w:type="dxa"/>
          </w:tcPr>
          <w:p w:rsidR="00AE7C1E" w:rsidRPr="00E224E6" w:rsidRDefault="00AE7C1E" w:rsidP="00AE7C1E">
            <w:pPr>
              <w:rPr>
                <w:b/>
              </w:rPr>
            </w:pPr>
            <w:r w:rsidRPr="00E224E6">
              <w:rPr>
                <w:b/>
              </w:rPr>
              <w:t xml:space="preserve">2.7 Partnerships </w:t>
            </w:r>
          </w:p>
          <w:p w:rsidR="00AE7C1E" w:rsidRPr="00E224E6" w:rsidRDefault="00AE7C1E" w:rsidP="00F336FE">
            <w:pPr>
              <w:rPr>
                <w:b/>
              </w:rPr>
            </w:pPr>
          </w:p>
        </w:tc>
        <w:tc>
          <w:tcPr>
            <w:tcW w:w="3561" w:type="dxa"/>
          </w:tcPr>
          <w:p w:rsidR="00A547D1" w:rsidRPr="00E224E6" w:rsidRDefault="00A547D1" w:rsidP="00A547D1">
            <w:pPr>
              <w:rPr>
                <w:b/>
              </w:rPr>
            </w:pPr>
            <w:r w:rsidRPr="00E224E6">
              <w:rPr>
                <w:b/>
              </w:rPr>
              <w:t>Good</w:t>
            </w:r>
          </w:p>
          <w:p w:rsidR="00AE7C1E" w:rsidRPr="00E224E6" w:rsidRDefault="00AE7C1E" w:rsidP="00F336FE">
            <w:pPr>
              <w:rPr>
                <w:b/>
              </w:rPr>
            </w:pPr>
          </w:p>
        </w:tc>
        <w:tc>
          <w:tcPr>
            <w:tcW w:w="3561" w:type="dxa"/>
          </w:tcPr>
          <w:p w:rsidR="00AE7C1E" w:rsidRPr="00E224E6" w:rsidRDefault="00E224E6" w:rsidP="00E224E6">
            <w:pPr>
              <w:rPr>
                <w:b/>
              </w:rPr>
            </w:pPr>
            <w:r w:rsidRPr="00E224E6">
              <w:rPr>
                <w:b/>
              </w:rPr>
              <w:t>Very G</w:t>
            </w:r>
            <w:r w:rsidR="00EA6613" w:rsidRPr="00E224E6">
              <w:rPr>
                <w:b/>
              </w:rPr>
              <w:t>ood</w:t>
            </w:r>
          </w:p>
        </w:tc>
      </w:tr>
    </w:tbl>
    <w:p w:rsidR="00AE7C1E" w:rsidRPr="00E224E6" w:rsidRDefault="00AE7C1E" w:rsidP="00F336FE">
      <w:pPr>
        <w:rPr>
          <w:b/>
        </w:rPr>
      </w:pPr>
    </w:p>
    <w:p w:rsidR="00662BE8" w:rsidRPr="00E224E6" w:rsidRDefault="00662BE8" w:rsidP="00F336FE">
      <w:pPr>
        <w:rPr>
          <w:b/>
        </w:rPr>
      </w:pPr>
    </w:p>
    <w:p w:rsidR="006D3BBC" w:rsidRDefault="006D3BBC" w:rsidP="00F336FE">
      <w:pPr>
        <w:rPr>
          <w:b/>
        </w:rPr>
      </w:pPr>
    </w:p>
    <w:p w:rsidR="001553F5" w:rsidRDefault="001553F5" w:rsidP="00F336FE">
      <w:pPr>
        <w:rPr>
          <w:b/>
        </w:rPr>
      </w:pPr>
    </w:p>
    <w:p w:rsidR="001553F5" w:rsidRDefault="001553F5" w:rsidP="00F336FE">
      <w:pPr>
        <w:rPr>
          <w:b/>
        </w:rPr>
      </w:pPr>
    </w:p>
    <w:sectPr w:rsidR="001553F5" w:rsidSect="00BA67A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30" w:rsidRDefault="00AE5030" w:rsidP="00BA67A1">
      <w:pPr>
        <w:spacing w:after="0" w:line="240" w:lineRule="auto"/>
      </w:pPr>
      <w:r>
        <w:separator/>
      </w:r>
    </w:p>
  </w:endnote>
  <w:endnote w:type="continuationSeparator" w:id="0">
    <w:p w:rsidR="00AE5030" w:rsidRDefault="00AE5030" w:rsidP="00BA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28018"/>
      <w:docPartObj>
        <w:docPartGallery w:val="Page Numbers (Bottom of Page)"/>
        <w:docPartUnique/>
      </w:docPartObj>
    </w:sdtPr>
    <w:sdtEndPr>
      <w:rPr>
        <w:noProof/>
      </w:rPr>
    </w:sdtEndPr>
    <w:sdtContent>
      <w:p w:rsidR="00044703" w:rsidRDefault="00044703">
        <w:pPr>
          <w:pStyle w:val="Footer"/>
          <w:jc w:val="right"/>
        </w:pPr>
        <w:r>
          <w:fldChar w:fldCharType="begin"/>
        </w:r>
        <w:r>
          <w:instrText xml:space="preserve"> PAGE   \* MERGEFORMAT </w:instrText>
        </w:r>
        <w:r>
          <w:fldChar w:fldCharType="separate"/>
        </w:r>
        <w:r w:rsidR="00D8522F">
          <w:rPr>
            <w:noProof/>
          </w:rPr>
          <w:t>1</w:t>
        </w:r>
        <w:r>
          <w:rPr>
            <w:noProof/>
          </w:rPr>
          <w:fldChar w:fldCharType="end"/>
        </w:r>
      </w:p>
    </w:sdtContent>
  </w:sdt>
  <w:p w:rsidR="00044703" w:rsidRDefault="0004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30" w:rsidRDefault="00AE5030" w:rsidP="00BA67A1">
      <w:pPr>
        <w:spacing w:after="0" w:line="240" w:lineRule="auto"/>
      </w:pPr>
      <w:r>
        <w:separator/>
      </w:r>
    </w:p>
  </w:footnote>
  <w:footnote w:type="continuationSeparator" w:id="0">
    <w:p w:rsidR="00AE5030" w:rsidRDefault="00AE5030" w:rsidP="00BA6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38" w:rsidRDefault="002553CB" w:rsidP="00EF3438">
    <w:pPr>
      <w:rPr>
        <w:b/>
      </w:rPr>
    </w:pPr>
    <w:r>
      <w:rPr>
        <w:noProof/>
        <w:lang w:eastAsia="en-GB"/>
      </w:rPr>
      <w:drawing>
        <wp:anchor distT="0" distB="0" distL="114300" distR="114300" simplePos="0" relativeHeight="251659264" behindDoc="0" locked="0" layoutInCell="1" allowOverlap="1" wp14:anchorId="28F376EF" wp14:editId="1F2675DC">
          <wp:simplePos x="0" y="0"/>
          <wp:positionH relativeFrom="column">
            <wp:posOffset>5239109</wp:posOffset>
          </wp:positionH>
          <wp:positionV relativeFrom="paragraph">
            <wp:posOffset>-273397</wp:posOffset>
          </wp:positionV>
          <wp:extent cx="1562100" cy="1139190"/>
          <wp:effectExtent l="0" t="0" r="0" b="3810"/>
          <wp:wrapNone/>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1139190"/>
                  </a:xfrm>
                  <a:prstGeom prst="rect">
                    <a:avLst/>
                  </a:prstGeom>
                  <a:noFill/>
                  <a:ln>
                    <a:noFill/>
                  </a:ln>
                  <a:effectLst/>
                  <a:extLst/>
                </pic:spPr>
              </pic:pic>
            </a:graphicData>
          </a:graphic>
        </wp:anchor>
      </w:drawing>
    </w:r>
    <w:r w:rsidR="00EF3438">
      <w:rPr>
        <w:b/>
      </w:rPr>
      <w:t xml:space="preserve">St Mary’s Polbeth </w:t>
    </w:r>
  </w:p>
  <w:p w:rsidR="00637CBB" w:rsidRPr="00EF3438" w:rsidRDefault="00EF3438" w:rsidP="00EF3438">
    <w:pPr>
      <w:rPr>
        <w:b/>
      </w:rPr>
    </w:pPr>
    <w:r>
      <w:rPr>
        <w:b/>
      </w:rPr>
      <w:t>Authority Supported Validated Self Evaluation (VSE) Findings</w:t>
    </w:r>
    <w:r w:rsidR="005A1752">
      <w:rPr>
        <w:b/>
      </w:rPr>
      <w:t xml:space="preserve"> - </w:t>
    </w:r>
    <w:r>
      <w:rPr>
        <w:b/>
      </w:rPr>
      <w:t>Tuesday, 12 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CD8"/>
    <w:multiLevelType w:val="hybridMultilevel"/>
    <w:tmpl w:val="BB425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DC237D"/>
    <w:multiLevelType w:val="hybridMultilevel"/>
    <w:tmpl w:val="5148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94E7D"/>
    <w:multiLevelType w:val="hybridMultilevel"/>
    <w:tmpl w:val="9C6C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E38DC"/>
    <w:multiLevelType w:val="hybridMultilevel"/>
    <w:tmpl w:val="02AA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714CF"/>
    <w:multiLevelType w:val="hybridMultilevel"/>
    <w:tmpl w:val="DBB4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3519A"/>
    <w:multiLevelType w:val="hybridMultilevel"/>
    <w:tmpl w:val="6DA03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A61FAE"/>
    <w:multiLevelType w:val="hybridMultilevel"/>
    <w:tmpl w:val="65F2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21A1C"/>
    <w:multiLevelType w:val="hybridMultilevel"/>
    <w:tmpl w:val="ABB4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41BC7"/>
    <w:multiLevelType w:val="hybridMultilevel"/>
    <w:tmpl w:val="B69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C0DA6"/>
    <w:multiLevelType w:val="hybridMultilevel"/>
    <w:tmpl w:val="B93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A553F"/>
    <w:multiLevelType w:val="hybridMultilevel"/>
    <w:tmpl w:val="2FF2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B2685"/>
    <w:multiLevelType w:val="hybridMultilevel"/>
    <w:tmpl w:val="0BC8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C30C2"/>
    <w:multiLevelType w:val="hybridMultilevel"/>
    <w:tmpl w:val="59C0A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0A723E6"/>
    <w:multiLevelType w:val="hybridMultilevel"/>
    <w:tmpl w:val="E118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B7DFD"/>
    <w:multiLevelType w:val="hybridMultilevel"/>
    <w:tmpl w:val="38C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36C37"/>
    <w:multiLevelType w:val="hybridMultilevel"/>
    <w:tmpl w:val="878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E0076"/>
    <w:multiLevelType w:val="hybridMultilevel"/>
    <w:tmpl w:val="DA16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2F58DE"/>
    <w:multiLevelType w:val="hybridMultilevel"/>
    <w:tmpl w:val="0482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0253C"/>
    <w:multiLevelType w:val="hybridMultilevel"/>
    <w:tmpl w:val="4C6C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F232B"/>
    <w:multiLevelType w:val="hybridMultilevel"/>
    <w:tmpl w:val="B9C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F70EF"/>
    <w:multiLevelType w:val="hybridMultilevel"/>
    <w:tmpl w:val="BBC6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BE15BB"/>
    <w:multiLevelType w:val="hybridMultilevel"/>
    <w:tmpl w:val="6AA4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84192D"/>
    <w:multiLevelType w:val="hybridMultilevel"/>
    <w:tmpl w:val="3374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FF01C0"/>
    <w:multiLevelType w:val="hybridMultilevel"/>
    <w:tmpl w:val="A83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F6300"/>
    <w:multiLevelType w:val="hybridMultilevel"/>
    <w:tmpl w:val="1DAE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2186E"/>
    <w:multiLevelType w:val="hybridMultilevel"/>
    <w:tmpl w:val="BAB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E46DF8"/>
    <w:multiLevelType w:val="hybridMultilevel"/>
    <w:tmpl w:val="026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AE1C13"/>
    <w:multiLevelType w:val="hybridMultilevel"/>
    <w:tmpl w:val="98380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08206B"/>
    <w:multiLevelType w:val="hybridMultilevel"/>
    <w:tmpl w:val="6686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1C31FDC"/>
    <w:multiLevelType w:val="hybridMultilevel"/>
    <w:tmpl w:val="DC0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D30738"/>
    <w:multiLevelType w:val="hybridMultilevel"/>
    <w:tmpl w:val="42F6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1A494D"/>
    <w:multiLevelType w:val="hybridMultilevel"/>
    <w:tmpl w:val="944A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2A20C4"/>
    <w:multiLevelType w:val="hybridMultilevel"/>
    <w:tmpl w:val="022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3"/>
  </w:num>
  <w:num w:numId="4">
    <w:abstractNumId w:val="2"/>
  </w:num>
  <w:num w:numId="5">
    <w:abstractNumId w:val="19"/>
  </w:num>
  <w:num w:numId="6">
    <w:abstractNumId w:val="13"/>
  </w:num>
  <w:num w:numId="7">
    <w:abstractNumId w:val="27"/>
  </w:num>
  <w:num w:numId="8">
    <w:abstractNumId w:val="23"/>
  </w:num>
  <w:num w:numId="9">
    <w:abstractNumId w:val="32"/>
  </w:num>
  <w:num w:numId="10">
    <w:abstractNumId w:val="26"/>
  </w:num>
  <w:num w:numId="11">
    <w:abstractNumId w:val="9"/>
  </w:num>
  <w:num w:numId="12">
    <w:abstractNumId w:val="16"/>
  </w:num>
  <w:num w:numId="13">
    <w:abstractNumId w:val="0"/>
  </w:num>
  <w:num w:numId="14">
    <w:abstractNumId w:val="31"/>
  </w:num>
  <w:num w:numId="15">
    <w:abstractNumId w:val="4"/>
  </w:num>
  <w:num w:numId="16">
    <w:abstractNumId w:val="8"/>
  </w:num>
  <w:num w:numId="17">
    <w:abstractNumId w:val="6"/>
  </w:num>
  <w:num w:numId="18">
    <w:abstractNumId w:val="21"/>
  </w:num>
  <w:num w:numId="19">
    <w:abstractNumId w:val="30"/>
  </w:num>
  <w:num w:numId="20">
    <w:abstractNumId w:val="17"/>
  </w:num>
  <w:num w:numId="21">
    <w:abstractNumId w:val="7"/>
  </w:num>
  <w:num w:numId="22">
    <w:abstractNumId w:val="12"/>
  </w:num>
  <w:num w:numId="23">
    <w:abstractNumId w:val="5"/>
  </w:num>
  <w:num w:numId="24">
    <w:abstractNumId w:val="28"/>
  </w:num>
  <w:num w:numId="25">
    <w:abstractNumId w:val="10"/>
  </w:num>
  <w:num w:numId="26">
    <w:abstractNumId w:val="24"/>
  </w:num>
  <w:num w:numId="27">
    <w:abstractNumId w:val="1"/>
  </w:num>
  <w:num w:numId="28">
    <w:abstractNumId w:val="15"/>
  </w:num>
  <w:num w:numId="29">
    <w:abstractNumId w:val="25"/>
  </w:num>
  <w:num w:numId="30">
    <w:abstractNumId w:val="18"/>
  </w:num>
  <w:num w:numId="31">
    <w:abstractNumId w:val="14"/>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A1"/>
    <w:rsid w:val="00005DEA"/>
    <w:rsid w:val="000204F0"/>
    <w:rsid w:val="0003021C"/>
    <w:rsid w:val="000414E2"/>
    <w:rsid w:val="00044703"/>
    <w:rsid w:val="000478C0"/>
    <w:rsid w:val="000676A9"/>
    <w:rsid w:val="00081226"/>
    <w:rsid w:val="00085596"/>
    <w:rsid w:val="000A190D"/>
    <w:rsid w:val="000A3BB3"/>
    <w:rsid w:val="000C05BC"/>
    <w:rsid w:val="000C5844"/>
    <w:rsid w:val="000D547F"/>
    <w:rsid w:val="000E6EFD"/>
    <w:rsid w:val="000F21C8"/>
    <w:rsid w:val="000F7CA9"/>
    <w:rsid w:val="00104393"/>
    <w:rsid w:val="00136139"/>
    <w:rsid w:val="00137A64"/>
    <w:rsid w:val="001534D6"/>
    <w:rsid w:val="001553F5"/>
    <w:rsid w:val="00166EE4"/>
    <w:rsid w:val="001857B7"/>
    <w:rsid w:val="001A7BCB"/>
    <w:rsid w:val="001B7602"/>
    <w:rsid w:val="001B7E6A"/>
    <w:rsid w:val="001D2551"/>
    <w:rsid w:val="001E2DFC"/>
    <w:rsid w:val="001E426F"/>
    <w:rsid w:val="001E58E0"/>
    <w:rsid w:val="001F3262"/>
    <w:rsid w:val="00215D0F"/>
    <w:rsid w:val="002553CB"/>
    <w:rsid w:val="00261329"/>
    <w:rsid w:val="00282832"/>
    <w:rsid w:val="00283804"/>
    <w:rsid w:val="002874F9"/>
    <w:rsid w:val="002910B7"/>
    <w:rsid w:val="002A66CD"/>
    <w:rsid w:val="002B13DC"/>
    <w:rsid w:val="002B5951"/>
    <w:rsid w:val="002B625B"/>
    <w:rsid w:val="002D4837"/>
    <w:rsid w:val="002E0568"/>
    <w:rsid w:val="002E15C6"/>
    <w:rsid w:val="002E2319"/>
    <w:rsid w:val="00301BFE"/>
    <w:rsid w:val="00307960"/>
    <w:rsid w:val="003311AE"/>
    <w:rsid w:val="0033423D"/>
    <w:rsid w:val="0034721A"/>
    <w:rsid w:val="00352CCD"/>
    <w:rsid w:val="00360767"/>
    <w:rsid w:val="0038088F"/>
    <w:rsid w:val="003930A6"/>
    <w:rsid w:val="00397D83"/>
    <w:rsid w:val="003B56C1"/>
    <w:rsid w:val="003D4FCB"/>
    <w:rsid w:val="003E3FC6"/>
    <w:rsid w:val="003E6F49"/>
    <w:rsid w:val="003E7D4F"/>
    <w:rsid w:val="003F12CE"/>
    <w:rsid w:val="00402060"/>
    <w:rsid w:val="00467600"/>
    <w:rsid w:val="00492B59"/>
    <w:rsid w:val="004944D4"/>
    <w:rsid w:val="00496CB5"/>
    <w:rsid w:val="004A260A"/>
    <w:rsid w:val="004C2068"/>
    <w:rsid w:val="004C6187"/>
    <w:rsid w:val="004E620B"/>
    <w:rsid w:val="004F0217"/>
    <w:rsid w:val="00511614"/>
    <w:rsid w:val="00512877"/>
    <w:rsid w:val="00512A5F"/>
    <w:rsid w:val="00517D44"/>
    <w:rsid w:val="005247B4"/>
    <w:rsid w:val="00532880"/>
    <w:rsid w:val="0057394A"/>
    <w:rsid w:val="0058587C"/>
    <w:rsid w:val="005A125B"/>
    <w:rsid w:val="005A1752"/>
    <w:rsid w:val="005A34C9"/>
    <w:rsid w:val="005A5148"/>
    <w:rsid w:val="005B2347"/>
    <w:rsid w:val="005B6BB5"/>
    <w:rsid w:val="005C79DC"/>
    <w:rsid w:val="005D5983"/>
    <w:rsid w:val="005E30A1"/>
    <w:rsid w:val="005F3253"/>
    <w:rsid w:val="005F5CB1"/>
    <w:rsid w:val="00613D5D"/>
    <w:rsid w:val="006141DF"/>
    <w:rsid w:val="00637CBB"/>
    <w:rsid w:val="0064190B"/>
    <w:rsid w:val="00646119"/>
    <w:rsid w:val="006476CD"/>
    <w:rsid w:val="00656C03"/>
    <w:rsid w:val="00662BE8"/>
    <w:rsid w:val="00671DFF"/>
    <w:rsid w:val="00686E18"/>
    <w:rsid w:val="006871BE"/>
    <w:rsid w:val="0069172D"/>
    <w:rsid w:val="006A03F7"/>
    <w:rsid w:val="006A5B91"/>
    <w:rsid w:val="006B38FD"/>
    <w:rsid w:val="006C4EE6"/>
    <w:rsid w:val="006D3BBC"/>
    <w:rsid w:val="006E3F56"/>
    <w:rsid w:val="006E6EE3"/>
    <w:rsid w:val="006F6F57"/>
    <w:rsid w:val="0070165A"/>
    <w:rsid w:val="00702547"/>
    <w:rsid w:val="0071042D"/>
    <w:rsid w:val="00710F38"/>
    <w:rsid w:val="00711BAF"/>
    <w:rsid w:val="00741CAE"/>
    <w:rsid w:val="007618A1"/>
    <w:rsid w:val="00771EA9"/>
    <w:rsid w:val="00772E67"/>
    <w:rsid w:val="00795588"/>
    <w:rsid w:val="007A7061"/>
    <w:rsid w:val="007C2A0D"/>
    <w:rsid w:val="007D12F6"/>
    <w:rsid w:val="00804680"/>
    <w:rsid w:val="00814DA6"/>
    <w:rsid w:val="00852A4F"/>
    <w:rsid w:val="00852AEE"/>
    <w:rsid w:val="00852B94"/>
    <w:rsid w:val="00863488"/>
    <w:rsid w:val="0087339B"/>
    <w:rsid w:val="00895D16"/>
    <w:rsid w:val="008A2390"/>
    <w:rsid w:val="008A4BA7"/>
    <w:rsid w:val="008A627C"/>
    <w:rsid w:val="008C3907"/>
    <w:rsid w:val="008C5D0B"/>
    <w:rsid w:val="008C7196"/>
    <w:rsid w:val="008D0054"/>
    <w:rsid w:val="008D0762"/>
    <w:rsid w:val="008E3EE6"/>
    <w:rsid w:val="008E7750"/>
    <w:rsid w:val="00905B3B"/>
    <w:rsid w:val="00913A74"/>
    <w:rsid w:val="00927918"/>
    <w:rsid w:val="00933164"/>
    <w:rsid w:val="00943ED3"/>
    <w:rsid w:val="00974B74"/>
    <w:rsid w:val="00985871"/>
    <w:rsid w:val="00987B3E"/>
    <w:rsid w:val="009B4592"/>
    <w:rsid w:val="009F3774"/>
    <w:rsid w:val="00A0564E"/>
    <w:rsid w:val="00A13E1D"/>
    <w:rsid w:val="00A4778A"/>
    <w:rsid w:val="00A547D1"/>
    <w:rsid w:val="00A57F54"/>
    <w:rsid w:val="00A6711A"/>
    <w:rsid w:val="00A74E39"/>
    <w:rsid w:val="00A808EE"/>
    <w:rsid w:val="00A90AD8"/>
    <w:rsid w:val="00A9347A"/>
    <w:rsid w:val="00AA1929"/>
    <w:rsid w:val="00AA2257"/>
    <w:rsid w:val="00AA40AB"/>
    <w:rsid w:val="00AB2E0C"/>
    <w:rsid w:val="00AC797D"/>
    <w:rsid w:val="00AD0C6E"/>
    <w:rsid w:val="00AD71EB"/>
    <w:rsid w:val="00AE5030"/>
    <w:rsid w:val="00AE7C1E"/>
    <w:rsid w:val="00AF572F"/>
    <w:rsid w:val="00B0507D"/>
    <w:rsid w:val="00B16342"/>
    <w:rsid w:val="00B169C2"/>
    <w:rsid w:val="00B455A1"/>
    <w:rsid w:val="00B60743"/>
    <w:rsid w:val="00B73D3D"/>
    <w:rsid w:val="00B7462C"/>
    <w:rsid w:val="00BA67A1"/>
    <w:rsid w:val="00BB3041"/>
    <w:rsid w:val="00BB5843"/>
    <w:rsid w:val="00BF1E41"/>
    <w:rsid w:val="00C00069"/>
    <w:rsid w:val="00C013E7"/>
    <w:rsid w:val="00C02611"/>
    <w:rsid w:val="00C12F16"/>
    <w:rsid w:val="00C33256"/>
    <w:rsid w:val="00C43ECF"/>
    <w:rsid w:val="00C442E1"/>
    <w:rsid w:val="00C57F7E"/>
    <w:rsid w:val="00C75674"/>
    <w:rsid w:val="00C86580"/>
    <w:rsid w:val="00C95F2E"/>
    <w:rsid w:val="00C97ACB"/>
    <w:rsid w:val="00CB3FFA"/>
    <w:rsid w:val="00CD3876"/>
    <w:rsid w:val="00CD4A41"/>
    <w:rsid w:val="00CD6FB4"/>
    <w:rsid w:val="00CE004F"/>
    <w:rsid w:val="00CF3D59"/>
    <w:rsid w:val="00CF536D"/>
    <w:rsid w:val="00D14A46"/>
    <w:rsid w:val="00D156A9"/>
    <w:rsid w:val="00D51F85"/>
    <w:rsid w:val="00D571A1"/>
    <w:rsid w:val="00D725FC"/>
    <w:rsid w:val="00D846BD"/>
    <w:rsid w:val="00D8522F"/>
    <w:rsid w:val="00DA45BB"/>
    <w:rsid w:val="00DB1A24"/>
    <w:rsid w:val="00DC35A0"/>
    <w:rsid w:val="00DC3776"/>
    <w:rsid w:val="00DD0CD6"/>
    <w:rsid w:val="00DE4348"/>
    <w:rsid w:val="00DF30F7"/>
    <w:rsid w:val="00E1440D"/>
    <w:rsid w:val="00E20239"/>
    <w:rsid w:val="00E224E6"/>
    <w:rsid w:val="00E318B1"/>
    <w:rsid w:val="00E4104D"/>
    <w:rsid w:val="00E430D1"/>
    <w:rsid w:val="00E431CF"/>
    <w:rsid w:val="00E441C2"/>
    <w:rsid w:val="00E449FE"/>
    <w:rsid w:val="00E55F5C"/>
    <w:rsid w:val="00E67A15"/>
    <w:rsid w:val="00E77C41"/>
    <w:rsid w:val="00E822B7"/>
    <w:rsid w:val="00E876A6"/>
    <w:rsid w:val="00E9787F"/>
    <w:rsid w:val="00EA329F"/>
    <w:rsid w:val="00EA6613"/>
    <w:rsid w:val="00EA69D3"/>
    <w:rsid w:val="00EB0EBB"/>
    <w:rsid w:val="00EB3386"/>
    <w:rsid w:val="00EB3601"/>
    <w:rsid w:val="00EC4FC8"/>
    <w:rsid w:val="00ED6482"/>
    <w:rsid w:val="00EF06B6"/>
    <w:rsid w:val="00EF0E33"/>
    <w:rsid w:val="00EF3438"/>
    <w:rsid w:val="00EF4F2A"/>
    <w:rsid w:val="00F17A62"/>
    <w:rsid w:val="00F336FE"/>
    <w:rsid w:val="00F35B1E"/>
    <w:rsid w:val="00F36FE5"/>
    <w:rsid w:val="00F44D67"/>
    <w:rsid w:val="00F51381"/>
    <w:rsid w:val="00F647FE"/>
    <w:rsid w:val="00F82BA5"/>
    <w:rsid w:val="00FA48A8"/>
    <w:rsid w:val="00FA50D0"/>
    <w:rsid w:val="00FC31B8"/>
    <w:rsid w:val="00FC5CD1"/>
    <w:rsid w:val="00FD3E84"/>
    <w:rsid w:val="00FE1FB1"/>
    <w:rsid w:val="00FF1FD5"/>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1"/>
  </w:style>
  <w:style w:type="paragraph" w:styleId="Footer">
    <w:name w:val="footer"/>
    <w:basedOn w:val="Normal"/>
    <w:link w:val="FooterChar"/>
    <w:uiPriority w:val="99"/>
    <w:unhideWhenUsed/>
    <w:rsid w:val="00BA6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1"/>
  </w:style>
  <w:style w:type="paragraph" w:styleId="BalloonText">
    <w:name w:val="Balloon Text"/>
    <w:basedOn w:val="Normal"/>
    <w:link w:val="BalloonTextChar"/>
    <w:uiPriority w:val="99"/>
    <w:semiHidden/>
    <w:unhideWhenUsed/>
    <w:rsid w:val="00BA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A1"/>
    <w:rPr>
      <w:rFonts w:ascii="Tahoma" w:hAnsi="Tahoma" w:cs="Tahoma"/>
      <w:sz w:val="16"/>
      <w:szCs w:val="16"/>
    </w:rPr>
  </w:style>
  <w:style w:type="paragraph" w:styleId="ListParagraph">
    <w:name w:val="List Paragraph"/>
    <w:basedOn w:val="Normal"/>
    <w:uiPriority w:val="34"/>
    <w:qFormat/>
    <w:rsid w:val="00044703"/>
    <w:pPr>
      <w:ind w:left="720"/>
      <w:contextualSpacing/>
    </w:pPr>
  </w:style>
  <w:style w:type="table" w:styleId="TableGrid">
    <w:name w:val="Table Grid"/>
    <w:basedOn w:val="TableNormal"/>
    <w:uiPriority w:val="59"/>
    <w:rsid w:val="001857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E0568"/>
  </w:style>
  <w:style w:type="character" w:customStyle="1" w:styleId="eop">
    <w:name w:val="eop"/>
    <w:basedOn w:val="DefaultParagraphFont"/>
    <w:rsid w:val="002E0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1"/>
  </w:style>
  <w:style w:type="paragraph" w:styleId="Footer">
    <w:name w:val="footer"/>
    <w:basedOn w:val="Normal"/>
    <w:link w:val="FooterChar"/>
    <w:uiPriority w:val="99"/>
    <w:unhideWhenUsed/>
    <w:rsid w:val="00BA6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1"/>
  </w:style>
  <w:style w:type="paragraph" w:styleId="BalloonText">
    <w:name w:val="Balloon Text"/>
    <w:basedOn w:val="Normal"/>
    <w:link w:val="BalloonTextChar"/>
    <w:uiPriority w:val="99"/>
    <w:semiHidden/>
    <w:unhideWhenUsed/>
    <w:rsid w:val="00BA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A1"/>
    <w:rPr>
      <w:rFonts w:ascii="Tahoma" w:hAnsi="Tahoma" w:cs="Tahoma"/>
      <w:sz w:val="16"/>
      <w:szCs w:val="16"/>
    </w:rPr>
  </w:style>
  <w:style w:type="paragraph" w:styleId="ListParagraph">
    <w:name w:val="List Paragraph"/>
    <w:basedOn w:val="Normal"/>
    <w:uiPriority w:val="34"/>
    <w:qFormat/>
    <w:rsid w:val="00044703"/>
    <w:pPr>
      <w:ind w:left="720"/>
      <w:contextualSpacing/>
    </w:pPr>
  </w:style>
  <w:style w:type="table" w:styleId="TableGrid">
    <w:name w:val="Table Grid"/>
    <w:basedOn w:val="TableNormal"/>
    <w:uiPriority w:val="59"/>
    <w:rsid w:val="001857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E0568"/>
  </w:style>
  <w:style w:type="character" w:customStyle="1" w:styleId="eop">
    <w:name w:val="eop"/>
    <w:basedOn w:val="DefaultParagraphFont"/>
    <w:rsid w:val="002E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5932">
      <w:bodyDiv w:val="1"/>
      <w:marLeft w:val="0"/>
      <w:marRight w:val="0"/>
      <w:marTop w:val="0"/>
      <w:marBottom w:val="0"/>
      <w:divBdr>
        <w:top w:val="none" w:sz="0" w:space="0" w:color="auto"/>
        <w:left w:val="none" w:sz="0" w:space="0" w:color="auto"/>
        <w:bottom w:val="none" w:sz="0" w:space="0" w:color="auto"/>
        <w:right w:val="none" w:sz="0" w:space="0" w:color="auto"/>
      </w:divBdr>
    </w:div>
    <w:div w:id="1436100211">
      <w:bodyDiv w:val="1"/>
      <w:marLeft w:val="0"/>
      <w:marRight w:val="0"/>
      <w:marTop w:val="0"/>
      <w:marBottom w:val="0"/>
      <w:divBdr>
        <w:top w:val="none" w:sz="0" w:space="0" w:color="auto"/>
        <w:left w:val="none" w:sz="0" w:space="0" w:color="auto"/>
        <w:bottom w:val="none" w:sz="0" w:space="0" w:color="auto"/>
        <w:right w:val="none" w:sz="0" w:space="0" w:color="auto"/>
      </w:divBdr>
    </w:div>
    <w:div w:id="1725105829">
      <w:bodyDiv w:val="1"/>
      <w:marLeft w:val="0"/>
      <w:marRight w:val="0"/>
      <w:marTop w:val="0"/>
      <w:marBottom w:val="0"/>
      <w:divBdr>
        <w:top w:val="none" w:sz="0" w:space="0" w:color="auto"/>
        <w:left w:val="none" w:sz="0" w:space="0" w:color="auto"/>
        <w:bottom w:val="none" w:sz="0" w:space="0" w:color="auto"/>
        <w:right w:val="none" w:sz="0" w:space="0" w:color="auto"/>
      </w:divBdr>
    </w:div>
    <w:div w:id="17929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West Lothian Council - Education Services</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Mvairi Lynch</dc:creator>
  <cp:lastModifiedBy>Emma Robertson</cp:lastModifiedBy>
  <cp:revision>2</cp:revision>
  <cp:lastPrinted>2019-03-05T16:25:00Z</cp:lastPrinted>
  <dcterms:created xsi:type="dcterms:W3CDTF">2019-10-21T15:06:00Z</dcterms:created>
  <dcterms:modified xsi:type="dcterms:W3CDTF">2019-10-21T15:06:00Z</dcterms:modified>
</cp:coreProperties>
</file>