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02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5528"/>
        <w:gridCol w:w="4336"/>
      </w:tblGrid>
      <w:tr w:rsidR="002D5920" w:rsidRPr="009047DB" w14:paraId="6FD9FF3B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931C58D" w14:textId="7EA32E77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Literacy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574A8FC" w14:textId="4544F7BE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Numeracy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5783A190" w14:textId="1157BAE1" w:rsidR="002D5920" w:rsidRPr="009047DB" w:rsidRDefault="002D5920" w:rsidP="003D768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7DB">
              <w:rPr>
                <w:b/>
                <w:bCs/>
                <w:sz w:val="28"/>
                <w:szCs w:val="28"/>
                <w:u w:val="single"/>
              </w:rPr>
              <w:t>Extra</w:t>
            </w:r>
          </w:p>
        </w:tc>
      </w:tr>
      <w:tr w:rsidR="002D5920" w:rsidRPr="009047DB" w14:paraId="0C2845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728C67FB" w14:textId="77777777" w:rsidR="0052563C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spellzone</w:t>
            </w:r>
            <w:proofErr w:type="spellEnd"/>
            <w:r>
              <w:rPr>
                <w:sz w:val="28"/>
                <w:szCs w:val="28"/>
              </w:rPr>
              <w:t xml:space="preserve"> a-e words’ and </w:t>
            </w:r>
          </w:p>
          <w:p w14:paraId="6E880CFE" w14:textId="77777777" w:rsidR="002D5920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</w:t>
            </w:r>
            <w:proofErr w:type="spellStart"/>
            <w:r>
              <w:rPr>
                <w:sz w:val="28"/>
                <w:szCs w:val="28"/>
              </w:rPr>
              <w:t>spellzone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-e words.’ </w:t>
            </w:r>
          </w:p>
          <w:p w14:paraId="1921662F" w14:textId="7E942006" w:rsidR="0052563C" w:rsidRPr="009047DB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See if you can make sentences using each of the lists.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3159D458" w14:textId="5277A209" w:rsidR="003D768F" w:rsidRPr="009047DB" w:rsidRDefault="008262DD" w:rsidP="00525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and practice a times table by writing out the sums or using a 100 square to help. Then try hit the button to test yourself.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0D64299" w14:textId="77777777" w:rsidR="002D5920" w:rsidRDefault="009047DB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YouTube search ‘Dr Binocs parts of a plant.’</w:t>
            </w:r>
          </w:p>
          <w:p w14:paraId="5E340171" w14:textId="612536AB" w:rsidR="009047DB" w:rsidRPr="009047DB" w:rsidRDefault="009047DB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the video and roughly draw a plant, then talk about each part. </w:t>
            </w:r>
          </w:p>
        </w:tc>
      </w:tr>
      <w:tr w:rsidR="002D5920" w:rsidRPr="009047DB" w14:paraId="157C81F4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25C1F62D" w14:textId="77777777" w:rsidR="003D768F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‘BBC Bitesize adverbs.’</w:t>
            </w:r>
          </w:p>
          <w:p w14:paraId="526E1D36" w14:textId="77777777" w:rsidR="0052563C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the video and try the quiz.</w:t>
            </w:r>
          </w:p>
          <w:p w14:paraId="7FF3F770" w14:textId="236D98FB" w:rsidR="0052563C" w:rsidRPr="009047DB" w:rsidRDefault="0052563C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choose 5 of your favourite activities/hobbies and describe how you do them using ‘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’ adverbs.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D688730" w14:textId="4C68BA88" w:rsidR="009047DB" w:rsidRPr="008262DD" w:rsidRDefault="008262DD" w:rsidP="009047DB">
            <w:pPr>
              <w:jc w:val="center"/>
              <w:rPr>
                <w:sz w:val="28"/>
                <w:szCs w:val="28"/>
              </w:rPr>
            </w:pPr>
            <w:r w:rsidRPr="008262DD">
              <w:rPr>
                <w:sz w:val="28"/>
                <w:szCs w:val="28"/>
              </w:rPr>
              <w:t xml:space="preserve">Practice another times table, this time by googling  </w:t>
            </w:r>
            <w:hyperlink r:id="rId4" w:history="1">
              <w:r w:rsidRPr="008262DD">
                <w:rPr>
                  <w:rStyle w:val="Hyperlink"/>
                  <w:sz w:val="28"/>
                  <w:szCs w:val="28"/>
                </w:rPr>
                <w:t>www.timestables.co.uk/</w:t>
              </w:r>
            </w:hyperlink>
            <w:r w:rsidRPr="008262DD">
              <w:rPr>
                <w:sz w:val="28"/>
                <w:szCs w:val="28"/>
              </w:rPr>
              <w:t xml:space="preserve"> and then by googling ‘Tommy’s Trek </w:t>
            </w:r>
            <w:r w:rsidR="008E3C7A">
              <w:rPr>
                <w:sz w:val="28"/>
                <w:szCs w:val="28"/>
              </w:rPr>
              <w:t>times tables</w:t>
            </w:r>
            <w:r w:rsidRPr="008262DD">
              <w:rPr>
                <w:sz w:val="28"/>
                <w:szCs w:val="28"/>
              </w:rPr>
              <w:t xml:space="preserve">.’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3E170DE3" w14:textId="0A38DA44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YouTube search ‘seed dispersal Jessica Dorner’. Sketch some of the seeds in the video – talk about how they get transported.</w:t>
            </w:r>
          </w:p>
        </w:tc>
      </w:tr>
      <w:tr w:rsidR="002D5920" w:rsidRPr="009047DB" w14:paraId="4B9C7337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649221DD" w14:textId="7C7DB0F3" w:rsidR="002D5920" w:rsidRPr="009047DB" w:rsidRDefault="00060664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YouTube search ‘</w:t>
            </w:r>
            <w:proofErr w:type="gramStart"/>
            <w:r>
              <w:rPr>
                <w:sz w:val="28"/>
                <w:szCs w:val="28"/>
              </w:rPr>
              <w:t>minions</w:t>
            </w:r>
            <w:proofErr w:type="gramEnd"/>
            <w:r>
              <w:rPr>
                <w:sz w:val="28"/>
                <w:szCs w:val="28"/>
              </w:rPr>
              <w:t xml:space="preserve"> competition mini movie.’ Write your own story about entering a minion </w:t>
            </w:r>
            <w:proofErr w:type="gramStart"/>
            <w:r>
              <w:rPr>
                <w:sz w:val="28"/>
                <w:szCs w:val="28"/>
              </w:rPr>
              <w:t>competition, but</w:t>
            </w:r>
            <w:proofErr w:type="gramEnd"/>
            <w:r>
              <w:rPr>
                <w:sz w:val="28"/>
                <w:szCs w:val="28"/>
              </w:rPr>
              <w:t xml:space="preserve"> use as many ‘</w:t>
            </w: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>’ adverbs as you can!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552A0C47" w14:textId="21D70541" w:rsidR="002D5920" w:rsidRPr="009047DB" w:rsidRDefault="008E3C7A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your 100 square or google splat </w:t>
            </w:r>
            <w:proofErr w:type="gramStart"/>
            <w:r>
              <w:rPr>
                <w:sz w:val="28"/>
                <w:szCs w:val="28"/>
              </w:rPr>
              <w:t>square, and</w:t>
            </w:r>
            <w:proofErr w:type="gramEnd"/>
            <w:r>
              <w:rPr>
                <w:sz w:val="28"/>
                <w:szCs w:val="28"/>
              </w:rPr>
              <w:t xml:space="preserve"> colour the 5x tables. Then write each </w:t>
            </w:r>
            <w:proofErr w:type="gramStart"/>
            <w:r>
              <w:rPr>
                <w:sz w:val="28"/>
                <w:szCs w:val="28"/>
              </w:rPr>
              <w:t>number, and</w:t>
            </w:r>
            <w:proofErr w:type="gramEnd"/>
            <w:r>
              <w:rPr>
                <w:sz w:val="28"/>
                <w:szCs w:val="28"/>
              </w:rPr>
              <w:t xml:space="preserve"> see how many 5s it takes to make each number to divide them by 5. (E.g. 5 = one 5, 10 = two 5s, 15 = three 5s).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4925D656" w14:textId="5C53D223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your own seed and talk about how it would be transported! Use the video in the lesson above to help get ideas. </w:t>
            </w:r>
          </w:p>
        </w:tc>
      </w:tr>
      <w:tr w:rsidR="002D5920" w:rsidRPr="009047DB" w14:paraId="7DC1E818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4BFCD3E1" w14:textId="10022553" w:rsidR="003D768F" w:rsidRPr="009047DB" w:rsidRDefault="00060664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‘BBC Bitesize, coordinating conjunctions.’ Watch the video and try the quiz. Then use</w:t>
            </w:r>
            <w:r w:rsidR="00FD6400">
              <w:rPr>
                <w:sz w:val="28"/>
                <w:szCs w:val="28"/>
              </w:rPr>
              <w:t xml:space="preserve"> the connectives you have learned in your own silly sentences.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4D8AD4B0" w14:textId="77777777" w:rsidR="009047DB" w:rsidRDefault="008E3C7A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ict</w:t>
            </w:r>
            <w:proofErr w:type="spellEnd"/>
            <w:r>
              <w:rPr>
                <w:sz w:val="28"/>
                <w:szCs w:val="28"/>
              </w:rPr>
              <w:t xml:space="preserve"> games doggy division’ and practice dividing by splitting into equal groups. </w:t>
            </w:r>
          </w:p>
          <w:p w14:paraId="3D5942D8" w14:textId="46C169A2" w:rsidR="008E3C7A" w:rsidRPr="009047DB" w:rsidRDefault="008E3C7A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Then try writing some of your own dividing sums. 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246625B9" w14:textId="4079D884" w:rsidR="002D5920" w:rsidRPr="009047DB" w:rsidRDefault="00B70092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Google ‘BBC Bitesize characteristics of living things.’ Watch the </w:t>
            </w:r>
            <w:proofErr w:type="gramStart"/>
            <w:r>
              <w:rPr>
                <w:sz w:val="28"/>
                <w:szCs w:val="28"/>
              </w:rPr>
              <w:t>clip, and</w:t>
            </w:r>
            <w:proofErr w:type="gramEnd"/>
            <w:r>
              <w:rPr>
                <w:sz w:val="28"/>
                <w:szCs w:val="28"/>
              </w:rPr>
              <w:t xml:space="preserve"> write or draw how many living and non-living things you can see from a view in your window or garden.</w:t>
            </w:r>
          </w:p>
        </w:tc>
      </w:tr>
      <w:tr w:rsidR="002D5920" w:rsidRPr="009047DB" w14:paraId="48C70DC0" w14:textId="77777777" w:rsidTr="009047DB">
        <w:tc>
          <w:tcPr>
            <w:tcW w:w="5524" w:type="dxa"/>
            <w:shd w:val="clear" w:color="auto" w:fill="FBE4D5" w:themeFill="accent2" w:themeFillTint="33"/>
          </w:tcPr>
          <w:p w14:paraId="12F1E246" w14:textId="1335610A" w:rsidR="003D768F" w:rsidRPr="009047DB" w:rsidRDefault="00FD6400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‘missing conjunctions pdf’ – try a few of the worksheets that appear.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182DBB9C" w14:textId="77777777" w:rsidR="009047DB" w:rsidRDefault="008E3C7A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Google ‘</w:t>
            </w:r>
            <w:proofErr w:type="spellStart"/>
            <w:r>
              <w:rPr>
                <w:sz w:val="28"/>
                <w:szCs w:val="28"/>
              </w:rPr>
              <w:t>arcademics</w:t>
            </w:r>
            <w:proofErr w:type="spellEnd"/>
            <w:r>
              <w:rPr>
                <w:sz w:val="28"/>
                <w:szCs w:val="28"/>
              </w:rPr>
              <w:t xml:space="preserve"> demolition division’ and try the game on a difficulty that suits you.</w:t>
            </w:r>
          </w:p>
          <w:p w14:paraId="64824D27" w14:textId="40A6BDCD" w:rsidR="008E3C7A" w:rsidRPr="009047DB" w:rsidRDefault="008E3C7A" w:rsidP="0090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Then try </w:t>
            </w:r>
            <w:proofErr w:type="spellStart"/>
            <w:r>
              <w:rPr>
                <w:sz w:val="28"/>
                <w:szCs w:val="28"/>
              </w:rPr>
              <w:t>topmarks</w:t>
            </w:r>
            <w:proofErr w:type="spellEnd"/>
            <w:r>
              <w:rPr>
                <w:sz w:val="28"/>
                <w:szCs w:val="28"/>
              </w:rPr>
              <w:t xml:space="preserve"> number fact families and practice making multiplying and dividing sums.</w:t>
            </w:r>
          </w:p>
        </w:tc>
        <w:tc>
          <w:tcPr>
            <w:tcW w:w="4336" w:type="dxa"/>
            <w:shd w:val="clear" w:color="auto" w:fill="E2EFD9" w:themeFill="accent6" w:themeFillTint="33"/>
          </w:tcPr>
          <w:p w14:paraId="75D6B412" w14:textId="08D347B0" w:rsidR="002D5920" w:rsidRPr="009047DB" w:rsidRDefault="00FD6400" w:rsidP="003D7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Have a go at logging into </w:t>
            </w:r>
            <w:proofErr w:type="spellStart"/>
            <w:r>
              <w:rPr>
                <w:sz w:val="28"/>
                <w:szCs w:val="28"/>
              </w:rPr>
              <w:t>TypingClub</w:t>
            </w:r>
            <w:proofErr w:type="spellEnd"/>
            <w:r>
              <w:rPr>
                <w:sz w:val="28"/>
                <w:szCs w:val="28"/>
              </w:rPr>
              <w:t xml:space="preserve"> and IDL and playing a few rounds!</w:t>
            </w:r>
          </w:p>
        </w:tc>
      </w:tr>
    </w:tbl>
    <w:p w14:paraId="1A2F9261" w14:textId="1AD835BA" w:rsidR="00CD5FC9" w:rsidRPr="009047DB" w:rsidRDefault="003D768F" w:rsidP="003D768F">
      <w:pPr>
        <w:jc w:val="center"/>
        <w:rPr>
          <w:sz w:val="32"/>
          <w:szCs w:val="32"/>
        </w:rPr>
      </w:pPr>
      <w:r w:rsidRPr="009047DB">
        <w:rPr>
          <w:sz w:val="32"/>
          <w:szCs w:val="32"/>
        </w:rPr>
        <w:t>P</w:t>
      </w:r>
      <w:r w:rsidR="0052563C">
        <w:rPr>
          <w:sz w:val="32"/>
          <w:szCs w:val="32"/>
        </w:rPr>
        <w:t>3-4</w:t>
      </w:r>
      <w:r w:rsidRPr="009047DB">
        <w:rPr>
          <w:sz w:val="32"/>
          <w:szCs w:val="32"/>
        </w:rPr>
        <w:t xml:space="preserve"> Activity Grid 20</w:t>
      </w:r>
      <w:r w:rsidRPr="009047DB">
        <w:rPr>
          <w:sz w:val="32"/>
          <w:szCs w:val="32"/>
          <w:vertAlign w:val="superscript"/>
        </w:rPr>
        <w:t>th</w:t>
      </w:r>
      <w:r w:rsidRPr="009047DB">
        <w:rPr>
          <w:sz w:val="32"/>
          <w:szCs w:val="32"/>
        </w:rPr>
        <w:t xml:space="preserve"> April </w:t>
      </w:r>
    </w:p>
    <w:sectPr w:rsidR="00CD5FC9" w:rsidRPr="009047DB" w:rsidSect="002D5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20"/>
    <w:rsid w:val="00060664"/>
    <w:rsid w:val="002D5920"/>
    <w:rsid w:val="003D768F"/>
    <w:rsid w:val="0052563C"/>
    <w:rsid w:val="008262DD"/>
    <w:rsid w:val="008633DF"/>
    <w:rsid w:val="0087239A"/>
    <w:rsid w:val="008E3C7A"/>
    <w:rsid w:val="009047DB"/>
    <w:rsid w:val="00B70092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F8E3"/>
  <w15:chartTrackingRefBased/>
  <w15:docId w15:val="{4B0E697B-9840-464F-A33B-CD96423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9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tab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Martin</dc:creator>
  <cp:keywords/>
  <dc:description/>
  <cp:lastModifiedBy>Mr Martin</cp:lastModifiedBy>
  <cp:revision>3</cp:revision>
  <dcterms:created xsi:type="dcterms:W3CDTF">2020-04-13T13:59:00Z</dcterms:created>
  <dcterms:modified xsi:type="dcterms:W3CDTF">2020-04-13T14:13:00Z</dcterms:modified>
</cp:coreProperties>
</file>