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4C" w:rsidRDefault="00A4304C"/>
    <w:tbl>
      <w:tblPr>
        <w:tblStyle w:val="TableGrid"/>
        <w:tblW w:w="10462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1101"/>
        <w:gridCol w:w="4123"/>
        <w:gridCol w:w="838"/>
        <w:gridCol w:w="4400"/>
      </w:tblGrid>
      <w:tr w:rsidR="00A4304C" w:rsidRPr="00A4304C" w:rsidTr="00EE1149">
        <w:tc>
          <w:tcPr>
            <w:tcW w:w="1101" w:type="dxa"/>
          </w:tcPr>
          <w:p w:rsidR="00A4304C" w:rsidRPr="00A4304C" w:rsidRDefault="00A4304C" w:rsidP="00F44269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5CF01" wp14:editId="48735DC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-457945</wp:posOffset>
                      </wp:positionV>
                      <wp:extent cx="4984750" cy="1403985"/>
                      <wp:effectExtent l="0" t="0" r="635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04C" w:rsidRPr="00A4304C" w:rsidRDefault="008446A1" w:rsidP="00A4304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TEENAGE BEDROOM</w:t>
                                  </w:r>
                                  <w:r w:rsidR="00A4304C" w:rsidRPr="00A4304C">
                                    <w:rPr>
                                      <w:b/>
                                    </w:rPr>
                                    <w:t xml:space="preserve"> – MARKING INSTRUCTIONS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5pt;margin-top:-36.05pt;width:39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M2IgIAAB4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" stroked="f">
                      <v:textbox style="mso-fit-shape-to-text:t">
                        <w:txbxContent>
                          <w:p w:rsidR="00A4304C" w:rsidRPr="00A4304C" w:rsidRDefault="008446A1" w:rsidP="00A430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TEENAGE BEDROOM</w:t>
                            </w:r>
                            <w:r w:rsidR="00A4304C" w:rsidRPr="00A4304C">
                              <w:rPr>
                                <w:b/>
                              </w:rPr>
                              <w:t xml:space="preserve"> – MARKING INSTRUCTIONS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304C">
              <w:rPr>
                <w:b/>
              </w:rPr>
              <w:t>Question</w:t>
            </w:r>
          </w:p>
        </w:tc>
        <w:tc>
          <w:tcPr>
            <w:tcW w:w="4123" w:type="dxa"/>
          </w:tcPr>
          <w:p w:rsidR="00A4304C" w:rsidRPr="00A4304C" w:rsidRDefault="00A4304C" w:rsidP="00F44269">
            <w:pPr>
              <w:rPr>
                <w:b/>
              </w:rPr>
            </w:pPr>
            <w:r w:rsidRPr="00A4304C">
              <w:rPr>
                <w:b/>
              </w:rPr>
              <w:t>Expected Answer</w:t>
            </w:r>
            <w:r>
              <w:rPr>
                <w:b/>
              </w:rPr>
              <w:t>(s)</w:t>
            </w:r>
          </w:p>
        </w:tc>
        <w:tc>
          <w:tcPr>
            <w:tcW w:w="838" w:type="dxa"/>
          </w:tcPr>
          <w:p w:rsidR="00A4304C" w:rsidRDefault="00A4304C" w:rsidP="00F44269">
            <w:pPr>
              <w:rPr>
                <w:b/>
              </w:rPr>
            </w:pPr>
            <w:r>
              <w:rPr>
                <w:b/>
              </w:rPr>
              <w:t>Max</w:t>
            </w:r>
          </w:p>
          <w:p w:rsidR="00A4304C" w:rsidRPr="00A4304C" w:rsidRDefault="00A4304C" w:rsidP="00F44269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4400" w:type="dxa"/>
          </w:tcPr>
          <w:p w:rsidR="00A4304C" w:rsidRDefault="00A4304C" w:rsidP="00F44269">
            <w:pPr>
              <w:rPr>
                <w:b/>
              </w:rPr>
            </w:pPr>
            <w:r>
              <w:rPr>
                <w:b/>
              </w:rPr>
              <w:t>Additional Guidance</w:t>
            </w:r>
          </w:p>
        </w:tc>
      </w:tr>
      <w:tr w:rsidR="00A4304C" w:rsidTr="00EE1149">
        <w:tc>
          <w:tcPr>
            <w:tcW w:w="1101" w:type="dxa"/>
          </w:tcPr>
          <w:p w:rsidR="00A4304C" w:rsidRDefault="00A4304C" w:rsidP="00F44269">
            <w:r>
              <w:t>1.</w:t>
            </w:r>
          </w:p>
        </w:tc>
        <w:tc>
          <w:tcPr>
            <w:tcW w:w="4123" w:type="dxa"/>
          </w:tcPr>
          <w:p w:rsidR="00A4304C" w:rsidRDefault="00EE1149" w:rsidP="008446A1">
            <w:r>
              <w:t>Candidates should identify two reasons why the first paragraph is an effective opening.</w:t>
            </w:r>
          </w:p>
          <w:p w:rsidR="00EE1149" w:rsidRDefault="00EE1149" w:rsidP="008446A1"/>
          <w:p w:rsidR="00EE1149" w:rsidRPr="00EE1149" w:rsidRDefault="00EE1149" w:rsidP="008446A1">
            <w:pPr>
              <w:rPr>
                <w:b/>
                <w:i/>
              </w:rPr>
            </w:pPr>
            <w:r w:rsidRPr="00EE1149">
              <w:rPr>
                <w:b/>
                <w:i/>
              </w:rPr>
              <w:t>1 identification = 1 mark</w:t>
            </w:r>
          </w:p>
          <w:p w:rsidR="00EE1149" w:rsidRDefault="00EE1149" w:rsidP="008446A1">
            <w:r w:rsidRPr="00EE1149">
              <w:rPr>
                <w:b/>
                <w:i/>
              </w:rPr>
              <w:t>2 areas of identification = 2 marks</w:t>
            </w:r>
          </w:p>
        </w:tc>
        <w:tc>
          <w:tcPr>
            <w:tcW w:w="838" w:type="dxa"/>
          </w:tcPr>
          <w:p w:rsidR="00A4304C" w:rsidRPr="008446A1" w:rsidRDefault="00A4304C" w:rsidP="00F44269">
            <w:pPr>
              <w:rPr>
                <w:b/>
              </w:rPr>
            </w:pPr>
            <w:r>
              <w:t xml:space="preserve">    </w:t>
            </w:r>
            <w:r w:rsidR="008446A1" w:rsidRPr="008446A1">
              <w:rPr>
                <w:b/>
              </w:rPr>
              <w:t>2</w:t>
            </w:r>
          </w:p>
        </w:tc>
        <w:tc>
          <w:tcPr>
            <w:tcW w:w="4400" w:type="dxa"/>
          </w:tcPr>
          <w:p w:rsidR="00EE1149" w:rsidRDefault="008446A1" w:rsidP="00A4304C">
            <w:r>
              <w:t xml:space="preserve">(Clearly) signals </w:t>
            </w:r>
            <w:r>
              <w:t>the two areas of concern/the focus of the piece, namely</w:t>
            </w:r>
            <w:r>
              <w:t xml:space="preserve"> &gt;</w:t>
            </w:r>
            <w:r>
              <w:t xml:space="preserve"> concern with the physical sympto</w:t>
            </w:r>
            <w:r w:rsidR="00EE1149">
              <w:t>ms/evidence:</w:t>
            </w:r>
          </w:p>
          <w:p w:rsidR="00EE1149" w:rsidRDefault="00EE1149" w:rsidP="00A4304C">
            <w:r>
              <w:t>“</w:t>
            </w:r>
            <w:proofErr w:type="gramStart"/>
            <w:r>
              <w:t>discarded</w:t>
            </w:r>
            <w:proofErr w:type="gramEnd"/>
            <w:r>
              <w:t xml:space="preserve"> clothes and mugs” introduces the topic of the messy teenage bedroom. (1) </w:t>
            </w:r>
          </w:p>
          <w:p w:rsidR="00EE1149" w:rsidRDefault="00EE1149" w:rsidP="00A4304C"/>
          <w:p w:rsidR="008446A1" w:rsidRDefault="00EE1149" w:rsidP="00A4304C">
            <w:r>
              <w:t>T</w:t>
            </w:r>
            <w:r w:rsidR="008446A1">
              <w:t>he untidiness (1)</w:t>
            </w:r>
            <w:r w:rsidR="008446A1">
              <w:t xml:space="preserve"> </w:t>
            </w:r>
          </w:p>
          <w:p w:rsidR="00EE1149" w:rsidRDefault="00EE1149" w:rsidP="00A4304C"/>
          <w:p w:rsidR="00A4304C" w:rsidRDefault="00EE1149" w:rsidP="00A4304C">
            <w:r>
              <w:t>T</w:t>
            </w:r>
            <w:r w:rsidR="008446A1">
              <w:t>he emotional dimension (1) Accept also selection of “untrained eye” (1) introducing the idea of the lack of (psychological) expertise of the average parent (1)</w:t>
            </w:r>
          </w:p>
          <w:p w:rsidR="00A4304C" w:rsidRDefault="00A4304C" w:rsidP="00F44269"/>
        </w:tc>
      </w:tr>
      <w:tr w:rsidR="00A4304C" w:rsidTr="00EE1149">
        <w:tc>
          <w:tcPr>
            <w:tcW w:w="1101" w:type="dxa"/>
          </w:tcPr>
          <w:p w:rsidR="00A4304C" w:rsidRDefault="00A4304C" w:rsidP="00F44269">
            <w:r>
              <w:t>2.</w:t>
            </w:r>
          </w:p>
        </w:tc>
        <w:tc>
          <w:tcPr>
            <w:tcW w:w="4123" w:type="dxa"/>
          </w:tcPr>
          <w:p w:rsidR="00A4304C" w:rsidRDefault="00872240" w:rsidP="00F44269">
            <w:r>
              <w:t>This question should be answered in two parts:</w:t>
            </w:r>
          </w:p>
          <w:p w:rsidR="00872240" w:rsidRDefault="00872240" w:rsidP="00F44269"/>
          <w:p w:rsidR="00872240" w:rsidRDefault="00872240" w:rsidP="00F44269">
            <w:r>
              <w:t>Identification of writer’s attitude: 1 mark</w:t>
            </w:r>
          </w:p>
          <w:p w:rsidR="00872240" w:rsidRDefault="00872240" w:rsidP="00F44269">
            <w:r>
              <w:t>Identification of 1 area: 1 mark (x 4)</w:t>
            </w:r>
          </w:p>
          <w:p w:rsidR="00872240" w:rsidRDefault="00872240" w:rsidP="00F44269">
            <w:r>
              <w:t xml:space="preserve"> </w:t>
            </w:r>
          </w:p>
          <w:p w:rsidR="00872240" w:rsidRDefault="00872240" w:rsidP="00F44269"/>
          <w:p w:rsidR="00A4304C" w:rsidRPr="00A4304C" w:rsidRDefault="00A4304C" w:rsidP="00872240"/>
        </w:tc>
        <w:tc>
          <w:tcPr>
            <w:tcW w:w="838" w:type="dxa"/>
          </w:tcPr>
          <w:p w:rsidR="00A4304C" w:rsidRPr="00A4304C" w:rsidRDefault="00A4304C" w:rsidP="00F44269">
            <w:pPr>
              <w:rPr>
                <w:b/>
              </w:rPr>
            </w:pPr>
            <w:r>
              <w:t xml:space="preserve">   </w:t>
            </w:r>
            <w:r w:rsidRPr="00A4304C">
              <w:rPr>
                <w:b/>
              </w:rPr>
              <w:t xml:space="preserve"> </w:t>
            </w:r>
            <w:r w:rsidR="00872240">
              <w:rPr>
                <w:b/>
              </w:rPr>
              <w:t>5</w:t>
            </w:r>
          </w:p>
        </w:tc>
        <w:tc>
          <w:tcPr>
            <w:tcW w:w="4400" w:type="dxa"/>
          </w:tcPr>
          <w:p w:rsidR="00A4304C" w:rsidRDefault="00872240" w:rsidP="00872240">
            <w:r>
              <w:t>The writer isn’t impressed by the state of her son’s bedroom (1)</w:t>
            </w:r>
          </w:p>
          <w:p w:rsidR="00872240" w:rsidRDefault="00872240" w:rsidP="00872240"/>
          <w:p w:rsidR="00872240" w:rsidRDefault="00872240" w:rsidP="00872240">
            <w:r>
              <w:t>Because: (any 4 – gloss of)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The smell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Dirty washing everywhere “discarded clothes of indeterminate cleanliness”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Items all over the place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Towels everywhere “damp and heaped on the floor”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Books being used incorrectly.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“spoon virtually welded to the front cover”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“fungal lifeform” – questions cleanliness, bacteria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Clean laundry in with dirty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Nothing was stored properly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“various stages of decay” mugs all over the bedroom with bacteria growing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7"/>
              </w:numPr>
            </w:pPr>
            <w:r>
              <w:t>“</w:t>
            </w:r>
            <w:proofErr w:type="gramStart"/>
            <w:r>
              <w:t>single</w:t>
            </w:r>
            <w:proofErr w:type="gramEnd"/>
            <w:r>
              <w:t xml:space="preserve"> socks” “lots and lots of socks” contributing to the disorganisation and mess.</w:t>
            </w:r>
          </w:p>
          <w:p w:rsidR="00872240" w:rsidRDefault="00872240" w:rsidP="00872240">
            <w:pPr>
              <w:pStyle w:val="ListParagraph"/>
            </w:pPr>
          </w:p>
        </w:tc>
      </w:tr>
      <w:tr w:rsidR="00A4304C" w:rsidTr="00EE1149">
        <w:tc>
          <w:tcPr>
            <w:tcW w:w="1101" w:type="dxa"/>
          </w:tcPr>
          <w:p w:rsidR="00A4304C" w:rsidRDefault="00A4304C" w:rsidP="00F44269">
            <w:r>
              <w:t xml:space="preserve">3. </w:t>
            </w:r>
          </w:p>
        </w:tc>
        <w:tc>
          <w:tcPr>
            <w:tcW w:w="4123" w:type="dxa"/>
          </w:tcPr>
          <w:p w:rsidR="00872240" w:rsidRDefault="00872240" w:rsidP="00A4304C">
            <w:r>
              <w:t>“</w:t>
            </w:r>
            <w:r>
              <w:t>easy-going</w:t>
            </w:r>
            <w:r>
              <w:t xml:space="preserve">”, </w:t>
            </w:r>
            <w:r>
              <w:t xml:space="preserve"> </w:t>
            </w:r>
            <w:r>
              <w:t>“</w:t>
            </w:r>
            <w:r>
              <w:t>disproportionate reaction</w:t>
            </w:r>
            <w:r>
              <w:t>”</w:t>
            </w:r>
            <w:r>
              <w:t xml:space="preserve"> </w:t>
            </w:r>
            <w:r>
              <w:t>“</w:t>
            </w:r>
            <w:r>
              <w:t>bizarrely out of character</w:t>
            </w:r>
            <w:r>
              <w:t xml:space="preserve">” </w:t>
            </w:r>
            <w:r>
              <w:t>because</w:t>
            </w:r>
            <w:r>
              <w:t>:</w:t>
            </w:r>
          </w:p>
          <w:p w:rsidR="00872240" w:rsidRDefault="00872240" w:rsidP="00A4304C"/>
          <w:p w:rsidR="00872240" w:rsidRDefault="00872240" w:rsidP="00A4304C">
            <w:r>
              <w:t>Glosses of 2 of the following &gt;</w:t>
            </w:r>
          </w:p>
          <w:p w:rsidR="00872240" w:rsidRDefault="00872240" w:rsidP="00A4304C"/>
          <w:p w:rsidR="00A4304C" w:rsidRDefault="00872240" w:rsidP="00872240">
            <w:r>
              <w:t>L</w:t>
            </w:r>
            <w:r>
              <w:t xml:space="preserve">ifts alone = 0 </w:t>
            </w:r>
          </w:p>
          <w:p w:rsidR="00872240" w:rsidRDefault="00872240" w:rsidP="00872240"/>
          <w:p w:rsidR="00872240" w:rsidRPr="00872240" w:rsidRDefault="00872240" w:rsidP="00872240">
            <w:pPr>
              <w:rPr>
                <w:b/>
                <w:i/>
              </w:rPr>
            </w:pPr>
            <w:r w:rsidRPr="00872240">
              <w:rPr>
                <w:b/>
                <w:i/>
              </w:rPr>
              <w:t>Any 2 points for 2 marks</w:t>
            </w:r>
          </w:p>
        </w:tc>
        <w:tc>
          <w:tcPr>
            <w:tcW w:w="838" w:type="dxa"/>
          </w:tcPr>
          <w:p w:rsidR="00A4304C" w:rsidRPr="00A4304C" w:rsidRDefault="00A4304C" w:rsidP="00F44269">
            <w:pPr>
              <w:rPr>
                <w:b/>
              </w:rPr>
            </w:pPr>
            <w:r>
              <w:t xml:space="preserve">  </w:t>
            </w:r>
            <w:r w:rsidR="00872240">
              <w:t xml:space="preserve">  </w:t>
            </w:r>
            <w:r w:rsidR="00872240">
              <w:rPr>
                <w:b/>
              </w:rPr>
              <w:t>2</w:t>
            </w:r>
          </w:p>
        </w:tc>
        <w:tc>
          <w:tcPr>
            <w:tcW w:w="4400" w:type="dxa"/>
          </w:tcPr>
          <w:p w:rsidR="00872240" w:rsidRDefault="00872240" w:rsidP="00872240">
            <w:pPr>
              <w:pStyle w:val="ListParagraph"/>
              <w:numPr>
                <w:ilvl w:val="0"/>
                <w:numId w:val="18"/>
              </w:numPr>
            </w:pPr>
            <w:r>
              <w:t xml:space="preserve">Peel was so laid-back/tolerant (1) 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8"/>
              </w:numPr>
            </w:pPr>
            <w:r>
              <w:t xml:space="preserve">this was </w:t>
            </w:r>
            <w:r>
              <w:t xml:space="preserve">an excessive/ inappropriate </w:t>
            </w:r>
            <w:r>
              <w:t xml:space="preserve">response (1) 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8"/>
              </w:numPr>
            </w:pPr>
            <w:r>
              <w:t xml:space="preserve">this was strangely (1) </w:t>
            </w:r>
          </w:p>
          <w:p w:rsidR="00872240" w:rsidRDefault="00872240" w:rsidP="00872240">
            <w:pPr>
              <w:pStyle w:val="ListParagraph"/>
              <w:numPr>
                <w:ilvl w:val="0"/>
                <w:numId w:val="18"/>
              </w:numPr>
            </w:pPr>
            <w:r>
              <w:t xml:space="preserve">untypical of him/not like him/abnormal (1) </w:t>
            </w:r>
          </w:p>
          <w:p w:rsidR="00872240" w:rsidRDefault="00872240" w:rsidP="00872240">
            <w:pPr>
              <w:ind w:left="360"/>
            </w:pPr>
          </w:p>
          <w:p w:rsidR="00A4304C" w:rsidRDefault="00872240" w:rsidP="00872240">
            <w:pPr>
              <w:ind w:left="360"/>
            </w:pPr>
            <w:r>
              <w:t xml:space="preserve">Accept also an answer to the effect that her children were young/she had not had experience of teenagers (1) And so she </w:t>
            </w:r>
            <w:r>
              <w:lastRenderedPageBreak/>
              <w:t>thought his response (1) was excessive (1)</w:t>
            </w:r>
          </w:p>
          <w:p w:rsidR="00D658C6" w:rsidRPr="00A4304C" w:rsidRDefault="00D658C6" w:rsidP="00872240">
            <w:pPr>
              <w:ind w:left="360"/>
            </w:pPr>
          </w:p>
        </w:tc>
      </w:tr>
      <w:tr w:rsidR="00A4304C" w:rsidTr="00EE1149">
        <w:tc>
          <w:tcPr>
            <w:tcW w:w="1101" w:type="dxa"/>
          </w:tcPr>
          <w:p w:rsidR="00A4304C" w:rsidRDefault="00A4304C" w:rsidP="00F44269">
            <w:r>
              <w:lastRenderedPageBreak/>
              <w:t>4.</w:t>
            </w:r>
          </w:p>
        </w:tc>
        <w:tc>
          <w:tcPr>
            <w:tcW w:w="4123" w:type="dxa"/>
          </w:tcPr>
          <w:p w:rsidR="00872240" w:rsidRDefault="00872240" w:rsidP="00872240">
            <w:r>
              <w:t xml:space="preserve">Candidates should identify the structural link, but may do so in either direction Selection (1) + identified reference (1) from examples in additional guidance </w:t>
            </w:r>
          </w:p>
          <w:p w:rsidR="00872240" w:rsidRDefault="00872240" w:rsidP="00872240"/>
          <w:p w:rsidR="00872240" w:rsidRDefault="00872240" w:rsidP="00872240">
            <w:r>
              <w:t xml:space="preserve">OR </w:t>
            </w:r>
          </w:p>
          <w:p w:rsidR="00872240" w:rsidRDefault="00872240" w:rsidP="00872240"/>
          <w:p w:rsidR="00872240" w:rsidRDefault="00872240" w:rsidP="00872240">
            <w:r>
              <w:t xml:space="preserve">Selection identified as looking back (1) Selection identified as looking forward (1) </w:t>
            </w:r>
          </w:p>
          <w:p w:rsidR="00872240" w:rsidRDefault="00872240" w:rsidP="00872240"/>
          <w:p w:rsidR="00872240" w:rsidRDefault="00872240" w:rsidP="00872240">
            <w:pPr>
              <w:rPr>
                <w:i/>
              </w:rPr>
            </w:pPr>
            <w:r w:rsidRPr="00A4304C">
              <w:rPr>
                <w:i/>
              </w:rPr>
              <w:t>Selection alone gets maximum of one mark</w:t>
            </w:r>
          </w:p>
          <w:p w:rsidR="00A4304C" w:rsidRPr="00A4304C" w:rsidRDefault="00A4304C" w:rsidP="00F44269">
            <w:pPr>
              <w:rPr>
                <w:b/>
                <w:i/>
              </w:rPr>
            </w:pPr>
          </w:p>
        </w:tc>
        <w:tc>
          <w:tcPr>
            <w:tcW w:w="838" w:type="dxa"/>
          </w:tcPr>
          <w:p w:rsidR="00A4304C" w:rsidRPr="00A4304C" w:rsidRDefault="00A4304C" w:rsidP="00F44269">
            <w:pPr>
              <w:rPr>
                <w:b/>
              </w:rPr>
            </w:pPr>
            <w:r w:rsidRPr="00A4304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D658C6">
              <w:rPr>
                <w:b/>
              </w:rPr>
              <w:t>2</w:t>
            </w:r>
          </w:p>
        </w:tc>
        <w:tc>
          <w:tcPr>
            <w:tcW w:w="4400" w:type="dxa"/>
          </w:tcPr>
          <w:p w:rsidR="00D658C6" w:rsidRDefault="00D658C6" w:rsidP="00D658C6">
            <w:r>
              <w:t xml:space="preserve">“I understand” looks forward </w:t>
            </w:r>
            <w:r>
              <w:t xml:space="preserve">to the ideas in the following paragraphs </w:t>
            </w:r>
            <w:r>
              <w:t xml:space="preserve">(1) </w:t>
            </w:r>
          </w:p>
          <w:p w:rsidR="00D658C6" w:rsidRDefault="00D658C6" w:rsidP="00D658C6"/>
          <w:p w:rsidR="00D658C6" w:rsidRDefault="00D658C6" w:rsidP="00D658C6">
            <w:r>
              <w:t>“those feelings” looks back</w:t>
            </w:r>
            <w:r>
              <w:t xml:space="preserve"> to the previous paragraph’s content</w:t>
            </w:r>
            <w:r>
              <w:t xml:space="preserve"> (1) </w:t>
            </w:r>
          </w:p>
          <w:p w:rsidR="00D658C6" w:rsidRDefault="00D658C6" w:rsidP="00D658C6"/>
          <w:p w:rsidR="00D658C6" w:rsidRDefault="00D658C6" w:rsidP="00D658C6">
            <w:r>
              <w:t xml:space="preserve">OR </w:t>
            </w:r>
          </w:p>
          <w:p w:rsidR="00D658C6" w:rsidRDefault="00D658C6" w:rsidP="00D658C6"/>
          <w:p w:rsidR="00D658C6" w:rsidRDefault="00D658C6" w:rsidP="00D658C6">
            <w:r>
              <w:t xml:space="preserve">“I understand” looks forward (1) to explanation/reference to or quotation of “powerlessness … the sense of failing” </w:t>
            </w:r>
            <w:proofErr w:type="spellStart"/>
            <w:r>
              <w:t>etc</w:t>
            </w:r>
            <w:proofErr w:type="spellEnd"/>
            <w:r>
              <w:t xml:space="preserve"> (1) </w:t>
            </w:r>
          </w:p>
          <w:p w:rsidR="00D658C6" w:rsidRDefault="00D658C6" w:rsidP="00D658C6"/>
          <w:p w:rsidR="00D658C6" w:rsidRDefault="00D658C6" w:rsidP="00D658C6">
            <w:r>
              <w:t xml:space="preserve">OR </w:t>
            </w:r>
          </w:p>
          <w:p w:rsidR="00D658C6" w:rsidRDefault="00D658C6" w:rsidP="00D658C6"/>
          <w:p w:rsidR="00D658C6" w:rsidRDefault="00D658C6" w:rsidP="00D658C6">
            <w:r>
              <w:t xml:space="preserve">“those feelings” looks back (1) to “feelings” in the previous paragraph (1) </w:t>
            </w:r>
          </w:p>
          <w:p w:rsidR="00D658C6" w:rsidRDefault="00D658C6" w:rsidP="00D658C6"/>
          <w:p w:rsidR="00D658C6" w:rsidRDefault="00D658C6" w:rsidP="00D658C6">
            <w:r>
              <w:t xml:space="preserve">Accept also “Now” looks back to/contrasts with (1) “Years ago” (1) </w:t>
            </w:r>
          </w:p>
          <w:p w:rsidR="00D658C6" w:rsidRDefault="00D658C6" w:rsidP="00D658C6"/>
          <w:p w:rsidR="00D658C6" w:rsidRDefault="00D658C6" w:rsidP="00D658C6">
            <w:r>
              <w:t xml:space="preserve">OR </w:t>
            </w:r>
          </w:p>
          <w:p w:rsidR="00D658C6" w:rsidRDefault="00D658C6" w:rsidP="00D658C6"/>
          <w:p w:rsidR="00D658C6" w:rsidRDefault="00D658C6" w:rsidP="00D658C6">
            <w:r>
              <w:t xml:space="preserve">“Now” looks forward to/introduces (1) statement of current situation (1) </w:t>
            </w:r>
          </w:p>
          <w:p w:rsidR="00D658C6" w:rsidRDefault="00D658C6" w:rsidP="00D658C6"/>
          <w:p w:rsidR="00D658C6" w:rsidRDefault="00D658C6" w:rsidP="00D658C6">
            <w:r>
              <w:t xml:space="preserve">OR </w:t>
            </w:r>
          </w:p>
          <w:p w:rsidR="00D658C6" w:rsidRDefault="00D658C6" w:rsidP="00D658C6"/>
          <w:p w:rsidR="00A4304C" w:rsidRDefault="00D658C6" w:rsidP="00D658C6">
            <w:r>
              <w:t>“Now I understand” looks back to/contrasts with (1) idea of bafflement/astonishment at Peel’s reaction (1)</w:t>
            </w:r>
          </w:p>
          <w:p w:rsidR="00D658C6" w:rsidRDefault="00D658C6" w:rsidP="00D658C6"/>
        </w:tc>
      </w:tr>
      <w:tr w:rsidR="00A4304C" w:rsidTr="00EE1149">
        <w:tc>
          <w:tcPr>
            <w:tcW w:w="1101" w:type="dxa"/>
          </w:tcPr>
          <w:p w:rsidR="00A4304C" w:rsidRDefault="00A4304C" w:rsidP="00F44269">
            <w:r>
              <w:t>5.</w:t>
            </w:r>
          </w:p>
        </w:tc>
        <w:tc>
          <w:tcPr>
            <w:tcW w:w="4123" w:type="dxa"/>
          </w:tcPr>
          <w:p w:rsidR="00872240" w:rsidRDefault="00872240" w:rsidP="00872240">
            <w:r>
              <w:t xml:space="preserve">Candidates should identify examples of the writer’s language to emphasise the </w:t>
            </w:r>
            <w:r w:rsidR="00FE3020">
              <w:t>concerns the writer has for her son due to the condition of his bedroom.</w:t>
            </w:r>
          </w:p>
          <w:p w:rsidR="00872240" w:rsidRDefault="00872240" w:rsidP="00872240"/>
          <w:p w:rsidR="00872240" w:rsidRDefault="00872240" w:rsidP="00872240">
            <w:r>
              <w:t xml:space="preserve">Candidates should draw inferences from the writer’s use of language to show appreciation of this important idea. </w:t>
            </w:r>
          </w:p>
          <w:p w:rsidR="00872240" w:rsidRDefault="00872240" w:rsidP="00872240"/>
          <w:p w:rsidR="00872240" w:rsidRDefault="00872240" w:rsidP="00872240">
            <w:r>
              <w:t xml:space="preserve">Examples </w:t>
            </w:r>
            <w:r w:rsidRPr="00A4304C">
              <w:rPr>
                <w:b/>
              </w:rPr>
              <w:t>(1 + 1),</w:t>
            </w:r>
            <w:r>
              <w:t xml:space="preserve"> analyses </w:t>
            </w:r>
            <w:r w:rsidRPr="00A4304C">
              <w:rPr>
                <w:b/>
              </w:rPr>
              <w:t>(1 + 1)</w:t>
            </w:r>
            <w:r>
              <w:t xml:space="preserve"> from options stated in additional guidance Answers do not have to cover more than one aspect of language use, but while most will select and comment on two disparate expressions.</w:t>
            </w:r>
          </w:p>
          <w:p w:rsidR="00872240" w:rsidRDefault="00872240" w:rsidP="00872240"/>
          <w:p w:rsidR="00872240" w:rsidRDefault="00872240" w:rsidP="00872240">
            <w:r>
              <w:t>Quote: (1)</w:t>
            </w:r>
          </w:p>
          <w:p w:rsidR="00872240" w:rsidRDefault="00872240" w:rsidP="00872240">
            <w:r>
              <w:t xml:space="preserve">Analysis: (1) </w:t>
            </w:r>
          </w:p>
          <w:p w:rsidR="00872240" w:rsidRDefault="00872240" w:rsidP="00872240"/>
          <w:p w:rsidR="00872240" w:rsidRPr="00A4304C" w:rsidRDefault="00FE3020" w:rsidP="00872240">
            <w:pPr>
              <w:rPr>
                <w:i/>
              </w:rPr>
            </w:pPr>
            <w:r>
              <w:rPr>
                <w:b/>
                <w:i/>
              </w:rPr>
              <w:t>This should be carried out x 2</w:t>
            </w:r>
            <w:r w:rsidR="00872240" w:rsidRPr="00A4304C">
              <w:rPr>
                <w:b/>
                <w:i/>
              </w:rPr>
              <w:t xml:space="preserve"> times</w:t>
            </w:r>
          </w:p>
        </w:tc>
        <w:tc>
          <w:tcPr>
            <w:tcW w:w="838" w:type="dxa"/>
          </w:tcPr>
          <w:p w:rsidR="00A4304C" w:rsidRPr="00FE3020" w:rsidRDefault="00FE3020" w:rsidP="00F44269">
            <w:pPr>
              <w:rPr>
                <w:b/>
              </w:rPr>
            </w:pPr>
            <w:r>
              <w:lastRenderedPageBreak/>
              <w:t xml:space="preserve">    </w:t>
            </w:r>
            <w:r w:rsidRPr="00FE3020">
              <w:rPr>
                <w:b/>
              </w:rPr>
              <w:t>6</w:t>
            </w:r>
          </w:p>
        </w:tc>
        <w:tc>
          <w:tcPr>
            <w:tcW w:w="4400" w:type="dxa"/>
          </w:tcPr>
          <w:p w:rsidR="005A19CC" w:rsidRPr="005A19CC" w:rsidRDefault="005A19CC" w:rsidP="005A19CC">
            <w:pPr>
              <w:rPr>
                <w:b/>
              </w:rPr>
            </w:pPr>
            <w:r w:rsidRPr="005A19CC">
              <w:rPr>
                <w:b/>
              </w:rPr>
              <w:t>Word Choice</w:t>
            </w:r>
            <w:r>
              <w:rPr>
                <w:b/>
              </w:rPr>
              <w:t>:</w:t>
            </w:r>
          </w:p>
          <w:p w:rsidR="005A19CC" w:rsidRDefault="005A19CC" w:rsidP="005A19CC">
            <w:pPr>
              <w:pStyle w:val="ListParagraph"/>
              <w:numPr>
                <w:ilvl w:val="0"/>
                <w:numId w:val="21"/>
              </w:numPr>
            </w:pPr>
            <w:r>
              <w:t>“</w:t>
            </w:r>
            <w:proofErr w:type="gramStart"/>
            <w:r>
              <w:t>squalor</w:t>
            </w:r>
            <w:proofErr w:type="gramEnd"/>
            <w:r>
              <w:t>” (1) suggests filth, grime and unhygienic. (1)</w:t>
            </w:r>
          </w:p>
          <w:p w:rsidR="005A19CC" w:rsidRDefault="005A19CC" w:rsidP="005A19CC">
            <w:pPr>
              <w:pStyle w:val="ListParagraph"/>
              <w:numPr>
                <w:ilvl w:val="0"/>
                <w:numId w:val="21"/>
              </w:numPr>
            </w:pPr>
            <w:r>
              <w:t>“</w:t>
            </w:r>
            <w:proofErr w:type="gramStart"/>
            <w:r>
              <w:t>chaos</w:t>
            </w:r>
            <w:proofErr w:type="gramEnd"/>
            <w:r>
              <w:t xml:space="preserve">” (1) suggests her son’s life is full of disorder, bedlam and pandemonium. </w:t>
            </w:r>
          </w:p>
          <w:p w:rsidR="005A19CC" w:rsidRDefault="005A19CC" w:rsidP="005A19CC">
            <w:pPr>
              <w:pStyle w:val="ListParagraph"/>
              <w:numPr>
                <w:ilvl w:val="0"/>
                <w:numId w:val="21"/>
              </w:numPr>
            </w:pPr>
            <w:r>
              <w:t>“</w:t>
            </w:r>
            <w:proofErr w:type="gramStart"/>
            <w:r>
              <w:t>flea</w:t>
            </w:r>
            <w:proofErr w:type="gramEnd"/>
            <w:r>
              <w:t xml:space="preserve"> ridden squat” (1) (also hyperbole) – connotations of dirty, a dump, unliveable. Highlighting her worry. (1)</w:t>
            </w:r>
          </w:p>
          <w:p w:rsidR="005A19CC" w:rsidRDefault="005A19CC" w:rsidP="005A19CC">
            <w:pPr>
              <w:pStyle w:val="ListParagraph"/>
            </w:pPr>
          </w:p>
          <w:p w:rsidR="005A19CC" w:rsidRDefault="005A19CC" w:rsidP="005A19CC">
            <w:pPr>
              <w:rPr>
                <w:b/>
              </w:rPr>
            </w:pPr>
            <w:r w:rsidRPr="005A19CC">
              <w:rPr>
                <w:b/>
              </w:rPr>
              <w:t>Imagery</w:t>
            </w:r>
            <w:r>
              <w:rPr>
                <w:b/>
              </w:rPr>
              <w:t>:</w:t>
            </w:r>
          </w:p>
          <w:p w:rsidR="005A19CC" w:rsidRDefault="005A19CC" w:rsidP="005A19CC">
            <w:pPr>
              <w:pStyle w:val="ListParagraph"/>
              <w:numPr>
                <w:ilvl w:val="0"/>
                <w:numId w:val="22"/>
              </w:numPr>
            </w:pPr>
            <w:r w:rsidRPr="005A19CC">
              <w:t xml:space="preserve">Simile. “As If your child is </w:t>
            </w:r>
            <w:r>
              <w:t>s</w:t>
            </w:r>
            <w:r w:rsidRPr="005A19CC">
              <w:t>ticking two fingers up at you”</w:t>
            </w:r>
            <w:r>
              <w:t xml:space="preserve"> (1) where the writer asks herself if he is mocking her through the use of the messy bedroom. The "two fingers” represents insolence. (1)</w:t>
            </w:r>
          </w:p>
          <w:p w:rsidR="005A19CC" w:rsidRDefault="005A19CC" w:rsidP="005A19CC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Metaphor: “on another level” (1) Metaphorical level of parent thinking too deeply into the situation. (1)</w:t>
            </w:r>
          </w:p>
          <w:p w:rsidR="005A19CC" w:rsidRDefault="005A19CC" w:rsidP="005A19CC"/>
          <w:p w:rsidR="005A19CC" w:rsidRDefault="005A19CC" w:rsidP="005A19CC">
            <w:pPr>
              <w:rPr>
                <w:b/>
              </w:rPr>
            </w:pPr>
            <w:r w:rsidRPr="005A19CC">
              <w:rPr>
                <w:b/>
              </w:rPr>
              <w:t>Sentence Structure</w:t>
            </w:r>
            <w:r>
              <w:rPr>
                <w:b/>
              </w:rPr>
              <w:t>:</w:t>
            </w:r>
          </w:p>
          <w:p w:rsidR="005A19CC" w:rsidRPr="005A19CC" w:rsidRDefault="005A19CC" w:rsidP="005A19CC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 xml:space="preserve">Rhetorical question: “will he end up in a flea-ridden squat?” (1) </w:t>
            </w:r>
            <w:proofErr w:type="gramStart"/>
            <w:r>
              <w:t>highlights</w:t>
            </w:r>
            <w:proofErr w:type="gramEnd"/>
            <w:r>
              <w:t xml:space="preserve"> growing concern, involving the reader, seeking a sense of reassurance. (1)</w:t>
            </w:r>
          </w:p>
          <w:p w:rsidR="005A19CC" w:rsidRPr="00240B5E" w:rsidRDefault="005A19CC" w:rsidP="005A19CC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“And on a different level still” (1) Use of the word “And” at the beginning of the sentence provides the idea of more areas of concern for her child. (1)</w:t>
            </w:r>
            <w:r>
              <w:t xml:space="preserve"> </w:t>
            </w:r>
          </w:p>
          <w:p w:rsidR="00240B5E" w:rsidRPr="005A19CC" w:rsidRDefault="00240B5E" w:rsidP="00240B5E">
            <w:pPr>
              <w:pStyle w:val="ListParagraph"/>
              <w:rPr>
                <w:b/>
              </w:rPr>
            </w:pPr>
          </w:p>
        </w:tc>
      </w:tr>
      <w:tr w:rsidR="00A4304C" w:rsidTr="00EE1149">
        <w:tc>
          <w:tcPr>
            <w:tcW w:w="1101" w:type="dxa"/>
          </w:tcPr>
          <w:p w:rsidR="00A4304C" w:rsidRDefault="00A4304C" w:rsidP="00F44269">
            <w:r>
              <w:lastRenderedPageBreak/>
              <w:t>6.</w:t>
            </w:r>
          </w:p>
        </w:tc>
        <w:tc>
          <w:tcPr>
            <w:tcW w:w="4123" w:type="dxa"/>
          </w:tcPr>
          <w:p w:rsidR="00A4304C" w:rsidRDefault="00A4304C" w:rsidP="00F44269">
            <w:r>
              <w:t xml:space="preserve">Candidates should use their own words to identify reasons why </w:t>
            </w:r>
            <w:r w:rsidR="00240B5E">
              <w:t>the mother must go into her daughter’s bedroom.</w:t>
            </w:r>
          </w:p>
          <w:p w:rsidR="004529BD" w:rsidRDefault="004529BD" w:rsidP="00F44269"/>
          <w:p w:rsidR="004529BD" w:rsidRDefault="004529BD" w:rsidP="00F44269">
            <w:r>
              <w:t>Candidates should offer a gloss of these phrases and provide correct analytic comments.</w:t>
            </w:r>
          </w:p>
          <w:p w:rsidR="00A4304C" w:rsidRDefault="00A4304C" w:rsidP="00F44269"/>
          <w:p w:rsidR="00240B5E" w:rsidRDefault="00240B5E" w:rsidP="00F44269">
            <w:pPr>
              <w:rPr>
                <w:b/>
                <w:i/>
              </w:rPr>
            </w:pPr>
            <w:r>
              <w:rPr>
                <w:b/>
                <w:i/>
              </w:rPr>
              <w:t>Four reasons = four marks</w:t>
            </w:r>
          </w:p>
          <w:p w:rsidR="00A4304C" w:rsidRPr="00A4304C" w:rsidRDefault="00A4304C" w:rsidP="00F44269">
            <w:pPr>
              <w:rPr>
                <w:b/>
                <w:i/>
              </w:rPr>
            </w:pPr>
            <w:r w:rsidRPr="00A4304C">
              <w:rPr>
                <w:b/>
                <w:i/>
              </w:rPr>
              <w:t>Three reasons = three marks</w:t>
            </w:r>
          </w:p>
          <w:p w:rsidR="00A4304C" w:rsidRPr="00A4304C" w:rsidRDefault="00A4304C" w:rsidP="00F44269">
            <w:pPr>
              <w:rPr>
                <w:b/>
                <w:i/>
              </w:rPr>
            </w:pPr>
            <w:r w:rsidRPr="00A4304C">
              <w:rPr>
                <w:b/>
                <w:i/>
              </w:rPr>
              <w:t>Two reasons = two marks</w:t>
            </w:r>
          </w:p>
          <w:p w:rsidR="00A4304C" w:rsidRDefault="00A4304C" w:rsidP="00F44269">
            <w:r w:rsidRPr="00A4304C">
              <w:rPr>
                <w:b/>
                <w:i/>
              </w:rPr>
              <w:t>One reason = one mark</w:t>
            </w:r>
          </w:p>
        </w:tc>
        <w:tc>
          <w:tcPr>
            <w:tcW w:w="838" w:type="dxa"/>
          </w:tcPr>
          <w:p w:rsidR="00A4304C" w:rsidRPr="00A4304C" w:rsidRDefault="00A4304C" w:rsidP="00F4426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40B5E">
              <w:rPr>
                <w:b/>
              </w:rPr>
              <w:t xml:space="preserve"> 4</w:t>
            </w:r>
          </w:p>
        </w:tc>
        <w:tc>
          <w:tcPr>
            <w:tcW w:w="4400" w:type="dxa"/>
          </w:tcPr>
          <w:p w:rsidR="00A4304C" w:rsidRPr="00BB5CFA" w:rsidRDefault="00A4304C" w:rsidP="00F44269">
            <w:pPr>
              <w:rPr>
                <w:b/>
              </w:rPr>
            </w:pPr>
            <w:r w:rsidRPr="00BB5CFA">
              <w:rPr>
                <w:b/>
              </w:rPr>
              <w:t>Gloss of:</w:t>
            </w:r>
          </w:p>
          <w:p w:rsidR="00A4304C" w:rsidRDefault="00A4304C" w:rsidP="00F44269"/>
          <w:p w:rsidR="00A4304C" w:rsidRDefault="00240B5E" w:rsidP="00240B5E">
            <w:pPr>
              <w:pStyle w:val="ListParagraph"/>
              <w:numPr>
                <w:ilvl w:val="0"/>
                <w:numId w:val="12"/>
              </w:numPr>
            </w:pPr>
            <w:r>
              <w:t>“she leaves the windows open” (1)</w:t>
            </w:r>
          </w:p>
          <w:p w:rsidR="00240B5E" w:rsidRDefault="00240B5E" w:rsidP="00240B5E">
            <w:pPr>
              <w:pStyle w:val="ListParagraph"/>
              <w:numPr>
                <w:ilvl w:val="0"/>
                <w:numId w:val="12"/>
              </w:numPr>
            </w:pPr>
            <w:r>
              <w:t>“she uses my expensive hair products” (1)</w:t>
            </w:r>
          </w:p>
          <w:p w:rsidR="00240B5E" w:rsidRDefault="00240B5E" w:rsidP="00240B5E">
            <w:pPr>
              <w:pStyle w:val="ListParagraph"/>
              <w:numPr>
                <w:ilvl w:val="0"/>
                <w:numId w:val="12"/>
              </w:numPr>
            </w:pPr>
            <w:r>
              <w:t>Borrows clothes and doesn’t return them (1)</w:t>
            </w:r>
          </w:p>
          <w:p w:rsidR="00240B5E" w:rsidRDefault="00240B5E" w:rsidP="00240B5E">
            <w:pPr>
              <w:pStyle w:val="ListParagraph"/>
              <w:numPr>
                <w:ilvl w:val="0"/>
                <w:numId w:val="12"/>
              </w:numPr>
            </w:pPr>
            <w:r>
              <w:t>“drops her hated school uniform in a heap on the floor” (1)</w:t>
            </w:r>
          </w:p>
          <w:p w:rsidR="00240B5E" w:rsidRDefault="00240B5E" w:rsidP="00240B5E">
            <w:pPr>
              <w:pStyle w:val="ListParagraph"/>
              <w:numPr>
                <w:ilvl w:val="0"/>
                <w:numId w:val="12"/>
              </w:numPr>
            </w:pPr>
            <w:r>
              <w:t>“she’d go to school looking like a tramp” (1)</w:t>
            </w:r>
          </w:p>
          <w:p w:rsidR="00240B5E" w:rsidRDefault="00240B5E" w:rsidP="00240B5E">
            <w:pPr>
              <w:pStyle w:val="ListParagraph"/>
              <w:numPr>
                <w:ilvl w:val="0"/>
                <w:numId w:val="12"/>
              </w:numPr>
            </w:pPr>
            <w:r>
              <w:t xml:space="preserve">To find chopping boards and sharp knives as her daughter cannot eat apples normally. (1) </w:t>
            </w:r>
          </w:p>
          <w:p w:rsidR="00240B5E" w:rsidRDefault="00240B5E" w:rsidP="00240B5E">
            <w:pPr>
              <w:ind w:left="360"/>
            </w:pPr>
          </w:p>
          <w:p w:rsidR="00240B5E" w:rsidRDefault="00240B5E" w:rsidP="00240B5E">
            <w:pPr>
              <w:ind w:left="360"/>
              <w:rPr>
                <w:i/>
              </w:rPr>
            </w:pPr>
            <w:r w:rsidRPr="00240B5E">
              <w:rPr>
                <w:i/>
              </w:rPr>
              <w:t>Any four</w:t>
            </w:r>
          </w:p>
          <w:p w:rsidR="00240B5E" w:rsidRPr="00240B5E" w:rsidRDefault="00240B5E" w:rsidP="00240B5E">
            <w:pPr>
              <w:ind w:left="360"/>
              <w:rPr>
                <w:i/>
              </w:rPr>
            </w:pPr>
          </w:p>
        </w:tc>
      </w:tr>
      <w:tr w:rsidR="00A4304C" w:rsidTr="00EE1149">
        <w:tc>
          <w:tcPr>
            <w:tcW w:w="1101" w:type="dxa"/>
          </w:tcPr>
          <w:p w:rsidR="00A4304C" w:rsidRDefault="004529BD" w:rsidP="00F44269">
            <w:r>
              <w:t>7.</w:t>
            </w:r>
          </w:p>
        </w:tc>
        <w:tc>
          <w:tcPr>
            <w:tcW w:w="4123" w:type="dxa"/>
          </w:tcPr>
          <w:p w:rsidR="004529BD" w:rsidRDefault="004A17D3" w:rsidP="00F44269">
            <w:r>
              <w:t>Candidates should attempt to comment on the comparison.</w:t>
            </w:r>
          </w:p>
          <w:p w:rsidR="004A17D3" w:rsidRDefault="004A17D3" w:rsidP="00F44269"/>
          <w:p w:rsidR="004A17D3" w:rsidRPr="004A17D3" w:rsidRDefault="004A17D3" w:rsidP="00F44269">
            <w:r>
              <w:t>Rope is the umbilical cord connecting parent and child.</w:t>
            </w:r>
          </w:p>
        </w:tc>
        <w:tc>
          <w:tcPr>
            <w:tcW w:w="838" w:type="dxa"/>
          </w:tcPr>
          <w:p w:rsidR="00A4304C" w:rsidRPr="004529BD" w:rsidRDefault="004529BD" w:rsidP="00F44269">
            <w:pPr>
              <w:rPr>
                <w:b/>
              </w:rPr>
            </w:pPr>
            <w:r>
              <w:t xml:space="preserve">   </w:t>
            </w:r>
            <w:r w:rsidR="004A17D3">
              <w:rPr>
                <w:b/>
              </w:rPr>
              <w:t>2</w:t>
            </w:r>
          </w:p>
        </w:tc>
        <w:tc>
          <w:tcPr>
            <w:tcW w:w="4400" w:type="dxa"/>
          </w:tcPr>
          <w:p w:rsidR="004A17D3" w:rsidRDefault="004A17D3" w:rsidP="004A17D3">
            <w:r>
              <w:t xml:space="preserve">Approval: Just as rope connects/links/unites two different things (1) </w:t>
            </w:r>
          </w:p>
          <w:p w:rsidR="004A17D3" w:rsidRDefault="004A17D3" w:rsidP="004A17D3"/>
          <w:p w:rsidR="004A17D3" w:rsidRDefault="004A17D3" w:rsidP="004A17D3">
            <w:r>
              <w:t xml:space="preserve">So there are (emotional) bonds between parents and children (1) </w:t>
            </w:r>
          </w:p>
          <w:p w:rsidR="004A17D3" w:rsidRDefault="004A17D3" w:rsidP="004A17D3"/>
          <w:p w:rsidR="004A17D3" w:rsidRDefault="004A17D3" w:rsidP="004A17D3">
            <w:r>
              <w:t xml:space="preserve">Disapproval: “pull on the rope” suggests using it for support (1) which is not what the writer wishes to convey (1) </w:t>
            </w:r>
          </w:p>
          <w:p w:rsidR="004A17D3" w:rsidRDefault="004A17D3" w:rsidP="004A17D3"/>
          <w:p w:rsidR="004A17D3" w:rsidRDefault="004A17D3" w:rsidP="004A17D3">
            <w:r>
              <w:t xml:space="preserve">Watch for condensed answer, </w:t>
            </w:r>
            <w:proofErr w:type="spellStart"/>
            <w:r>
              <w:t>eg</w:t>
            </w:r>
            <w:proofErr w:type="spellEnd"/>
            <w:r>
              <w:t xml:space="preserve"> “pull on the rope” is ambiguous = (2) </w:t>
            </w:r>
          </w:p>
          <w:p w:rsidR="004529BD" w:rsidRDefault="004A17D3" w:rsidP="004A17D3">
            <w:r>
              <w:t xml:space="preserve">Other analyses may be offered, </w:t>
            </w:r>
            <w:proofErr w:type="spellStart"/>
            <w:r>
              <w:t>eg</w:t>
            </w:r>
            <w:proofErr w:type="spellEnd"/>
            <w:r>
              <w:t xml:space="preserve"> reference to the unyielding nature of a rope, comparability to an umbilical cord, comparability to tug of war, idea of restraint – these are acceptable, but there must be some comment on appropriateness for full marks.</w:t>
            </w:r>
          </w:p>
          <w:p w:rsidR="004A17D3" w:rsidRDefault="004A17D3" w:rsidP="004A17D3"/>
        </w:tc>
      </w:tr>
      <w:tr w:rsidR="004E5C30" w:rsidTr="00EE1149">
        <w:tc>
          <w:tcPr>
            <w:tcW w:w="1101" w:type="dxa"/>
          </w:tcPr>
          <w:p w:rsidR="004E5C30" w:rsidRDefault="004E5C30" w:rsidP="00F44269">
            <w:r>
              <w:lastRenderedPageBreak/>
              <w:t>8.</w:t>
            </w:r>
          </w:p>
        </w:tc>
        <w:tc>
          <w:tcPr>
            <w:tcW w:w="4123" w:type="dxa"/>
          </w:tcPr>
          <w:p w:rsidR="002A0DD5" w:rsidRDefault="002A0DD5" w:rsidP="002A0DD5">
            <w:r>
              <w:t xml:space="preserve">Candidates should use their own words to identify reasons why </w:t>
            </w:r>
          </w:p>
          <w:p w:rsidR="002A0DD5" w:rsidRDefault="002A0DD5" w:rsidP="002A0DD5"/>
          <w:p w:rsidR="002A0DD5" w:rsidRDefault="002A0DD5" w:rsidP="002A0DD5">
            <w:r>
              <w:t>Candidates should offer a gloss of these phrases and provide correct analytic comments.</w:t>
            </w:r>
          </w:p>
          <w:p w:rsidR="002A0DD5" w:rsidRDefault="002A0DD5" w:rsidP="002A0DD5"/>
          <w:p w:rsidR="002A0DD5" w:rsidRPr="00A4304C" w:rsidRDefault="002A0DD5" w:rsidP="002A0DD5">
            <w:pPr>
              <w:rPr>
                <w:b/>
                <w:i/>
              </w:rPr>
            </w:pPr>
            <w:r w:rsidRPr="00A4304C">
              <w:rPr>
                <w:b/>
                <w:i/>
              </w:rPr>
              <w:t>Three reasons = three marks</w:t>
            </w:r>
          </w:p>
          <w:p w:rsidR="002A0DD5" w:rsidRPr="00A4304C" w:rsidRDefault="002A0DD5" w:rsidP="002A0DD5">
            <w:pPr>
              <w:rPr>
                <w:b/>
                <w:i/>
              </w:rPr>
            </w:pPr>
            <w:r w:rsidRPr="00A4304C">
              <w:rPr>
                <w:b/>
                <w:i/>
              </w:rPr>
              <w:t>Two reasons = two marks</w:t>
            </w:r>
          </w:p>
          <w:p w:rsidR="004E5C30" w:rsidRDefault="002A0DD5" w:rsidP="002A0DD5">
            <w:r w:rsidRPr="00A4304C">
              <w:rPr>
                <w:b/>
                <w:i/>
              </w:rPr>
              <w:t>One reason = one mark</w:t>
            </w:r>
          </w:p>
        </w:tc>
        <w:tc>
          <w:tcPr>
            <w:tcW w:w="838" w:type="dxa"/>
          </w:tcPr>
          <w:p w:rsidR="004E5C30" w:rsidRPr="00C06DD6" w:rsidRDefault="00C06DD6" w:rsidP="00F44269">
            <w:pPr>
              <w:rPr>
                <w:b/>
              </w:rPr>
            </w:pPr>
            <w:r>
              <w:t xml:space="preserve">  </w:t>
            </w:r>
            <w:r w:rsidR="002A0DD5">
              <w:rPr>
                <w:b/>
              </w:rPr>
              <w:t xml:space="preserve"> 3</w:t>
            </w:r>
          </w:p>
        </w:tc>
        <w:tc>
          <w:tcPr>
            <w:tcW w:w="4400" w:type="dxa"/>
          </w:tcPr>
          <w:p w:rsidR="002A0DD5" w:rsidRDefault="002A0DD5" w:rsidP="002A0DD5">
            <w:r>
              <w:t>Glosses of</w:t>
            </w:r>
            <w:r>
              <w:t>:</w:t>
            </w:r>
            <w:r>
              <w:t xml:space="preserve"> </w:t>
            </w:r>
          </w:p>
          <w:p w:rsidR="002A0DD5" w:rsidRDefault="002A0DD5" w:rsidP="002A0DD5"/>
          <w:p w:rsidR="00A9159C" w:rsidRDefault="002A0DD5" w:rsidP="00A9159C">
            <w:pPr>
              <w:pStyle w:val="ListParagraph"/>
              <w:numPr>
                <w:ilvl w:val="0"/>
                <w:numId w:val="25"/>
              </w:numPr>
            </w:pPr>
            <w:r>
              <w:t xml:space="preserve">“Adolescence is about making the transition from dependent child to independent adult” </w:t>
            </w:r>
          </w:p>
          <w:p w:rsidR="00A9159C" w:rsidRDefault="00A9159C" w:rsidP="002A0DD5"/>
          <w:p w:rsidR="00A9159C" w:rsidRPr="00A9159C" w:rsidRDefault="002A0DD5" w:rsidP="00A9159C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“There are all these changes happening (to the) biological, psychological and social elements” “whirl</w:t>
            </w:r>
            <w:r w:rsidR="00A9159C">
              <w:t xml:space="preserve">ed about” or “confusing” </w:t>
            </w:r>
          </w:p>
          <w:p w:rsidR="00A9159C" w:rsidRDefault="00A9159C" w:rsidP="00A9159C">
            <w:pPr>
              <w:pStyle w:val="ListParagraph"/>
            </w:pPr>
          </w:p>
          <w:p w:rsidR="00A9159C" w:rsidRPr="00A9159C" w:rsidRDefault="00A9159C" w:rsidP="00A9159C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T</w:t>
            </w:r>
            <w:r w:rsidR="002A0DD5">
              <w:t xml:space="preserve">eenage years are a period of development/ growing up (1) </w:t>
            </w:r>
          </w:p>
          <w:p w:rsidR="00A9159C" w:rsidRDefault="00A9159C" w:rsidP="00A9159C">
            <w:pPr>
              <w:pStyle w:val="ListParagraph"/>
            </w:pPr>
          </w:p>
          <w:p w:rsidR="00C06DD6" w:rsidRPr="00A35A75" w:rsidRDefault="002A0DD5" w:rsidP="00A9159C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>various (physical and mental) aspects are developing (1) and it is a bewildering/ perplexing/puzzling time (1)</w:t>
            </w:r>
          </w:p>
          <w:p w:rsidR="00A35A75" w:rsidRPr="00A35A75" w:rsidRDefault="00A35A75" w:rsidP="00A35A75">
            <w:pPr>
              <w:pStyle w:val="ListParagraph"/>
              <w:rPr>
                <w:b/>
              </w:rPr>
            </w:pPr>
          </w:p>
          <w:p w:rsidR="00A35A75" w:rsidRPr="00A9159C" w:rsidRDefault="00A35A75" w:rsidP="00A35A75">
            <w:pPr>
              <w:pStyle w:val="ListParagraph"/>
              <w:rPr>
                <w:b/>
              </w:rPr>
            </w:pPr>
          </w:p>
        </w:tc>
      </w:tr>
      <w:tr w:rsidR="004E5C30" w:rsidTr="00EE1149">
        <w:tc>
          <w:tcPr>
            <w:tcW w:w="1101" w:type="dxa"/>
          </w:tcPr>
          <w:p w:rsidR="004E5C30" w:rsidRDefault="00C06DD6" w:rsidP="00F44269">
            <w:r>
              <w:t xml:space="preserve">9. </w:t>
            </w:r>
          </w:p>
        </w:tc>
        <w:tc>
          <w:tcPr>
            <w:tcW w:w="4123" w:type="dxa"/>
          </w:tcPr>
          <w:p w:rsidR="00C06DD6" w:rsidRDefault="00EA1792" w:rsidP="00F44269">
            <w:r>
              <w:t>This question asks for reasons the writer provides to sum up why children have messy bedrooms.</w:t>
            </w:r>
          </w:p>
          <w:p w:rsidR="00C06DD6" w:rsidRDefault="00C06DD6" w:rsidP="00F44269"/>
          <w:p w:rsidR="00C06DD6" w:rsidRPr="00C06DD6" w:rsidRDefault="00C06DD6" w:rsidP="00F44269">
            <w:pPr>
              <w:rPr>
                <w:i/>
              </w:rPr>
            </w:pPr>
            <w:r w:rsidRPr="00C06DD6">
              <w:rPr>
                <w:i/>
              </w:rPr>
              <w:t>The list in the additional guidance column is not exhaustive.</w:t>
            </w:r>
          </w:p>
        </w:tc>
        <w:tc>
          <w:tcPr>
            <w:tcW w:w="838" w:type="dxa"/>
          </w:tcPr>
          <w:p w:rsidR="004E5C30" w:rsidRPr="00EA1792" w:rsidRDefault="00C06DD6" w:rsidP="00F44269">
            <w:pPr>
              <w:rPr>
                <w:b/>
              </w:rPr>
            </w:pPr>
            <w:r>
              <w:t xml:space="preserve"> </w:t>
            </w:r>
            <w:r w:rsidR="00EA1792">
              <w:t xml:space="preserve">  </w:t>
            </w:r>
            <w:r w:rsidR="00EA1792" w:rsidRPr="00EA1792">
              <w:rPr>
                <w:b/>
              </w:rPr>
              <w:t>4</w:t>
            </w:r>
            <w:r w:rsidRPr="00EA1792">
              <w:rPr>
                <w:b/>
              </w:rPr>
              <w:t xml:space="preserve">  </w:t>
            </w:r>
          </w:p>
        </w:tc>
        <w:tc>
          <w:tcPr>
            <w:tcW w:w="4400" w:type="dxa"/>
          </w:tcPr>
          <w:p w:rsidR="00162E72" w:rsidRDefault="00A35A75" w:rsidP="00A35A75">
            <w:r>
              <w:t xml:space="preserve">Glosses of: </w:t>
            </w:r>
          </w:p>
          <w:p w:rsidR="00A35A75" w:rsidRDefault="00A35A75" w:rsidP="00A35A75"/>
          <w:p w:rsidR="00A35A75" w:rsidRDefault="00A35A75" w:rsidP="00A35A75">
            <w:pPr>
              <w:pStyle w:val="ListParagraph"/>
              <w:numPr>
                <w:ilvl w:val="0"/>
                <w:numId w:val="28"/>
              </w:numPr>
            </w:pPr>
            <w:r>
              <w:t>“Asserting independence”</w:t>
            </w:r>
          </w:p>
          <w:p w:rsidR="00A35A75" w:rsidRDefault="00A35A75" w:rsidP="00A35A75">
            <w:pPr>
              <w:pStyle w:val="ListParagraph"/>
              <w:numPr>
                <w:ilvl w:val="0"/>
                <w:numId w:val="28"/>
              </w:numPr>
            </w:pPr>
            <w:r>
              <w:t>Letting parents know that they are growing up and have “human rights”</w:t>
            </w:r>
          </w:p>
          <w:p w:rsidR="00A35A75" w:rsidRDefault="00A35A75" w:rsidP="00A35A75">
            <w:pPr>
              <w:pStyle w:val="ListParagraph"/>
              <w:numPr>
                <w:ilvl w:val="0"/>
                <w:numId w:val="28"/>
              </w:numPr>
            </w:pPr>
            <w:r>
              <w:t>Psychological</w:t>
            </w:r>
          </w:p>
          <w:p w:rsidR="00A35A75" w:rsidRDefault="00A35A75" w:rsidP="00A35A75">
            <w:pPr>
              <w:pStyle w:val="ListParagraph"/>
              <w:numPr>
                <w:ilvl w:val="0"/>
                <w:numId w:val="28"/>
              </w:numPr>
            </w:pPr>
            <w:r>
              <w:t>Emotional periods in a child’s life, their bedroom reflects this</w:t>
            </w:r>
          </w:p>
          <w:p w:rsidR="00A35A75" w:rsidRDefault="00A35A75" w:rsidP="00A35A75">
            <w:pPr>
              <w:pStyle w:val="ListParagraph"/>
              <w:numPr>
                <w:ilvl w:val="0"/>
                <w:numId w:val="28"/>
              </w:numPr>
            </w:pPr>
            <w:r>
              <w:t>“Adolescence is a very chaotic time emotionally” and messy bedrooms are a way to get through this</w:t>
            </w:r>
          </w:p>
          <w:p w:rsidR="00A35A75" w:rsidRDefault="00A35A75" w:rsidP="00A35A75">
            <w:pPr>
              <w:pStyle w:val="ListParagraph"/>
              <w:numPr>
                <w:ilvl w:val="0"/>
                <w:numId w:val="28"/>
              </w:numPr>
            </w:pPr>
            <w:r>
              <w:t>Rebellion against their parents</w:t>
            </w:r>
          </w:p>
          <w:p w:rsidR="00A35A75" w:rsidRDefault="00A35A75" w:rsidP="00A35A75">
            <w:pPr>
              <w:pStyle w:val="ListParagraph"/>
              <w:numPr>
                <w:ilvl w:val="0"/>
                <w:numId w:val="28"/>
              </w:numPr>
            </w:pPr>
            <w:r>
              <w:t>Unsure of how to look after themselves</w:t>
            </w:r>
          </w:p>
          <w:p w:rsidR="00A35A75" w:rsidRDefault="00A35A75" w:rsidP="00A35A75">
            <w:pPr>
              <w:pStyle w:val="ListParagraph"/>
              <w:numPr>
                <w:ilvl w:val="0"/>
                <w:numId w:val="28"/>
              </w:numPr>
            </w:pPr>
            <w:r>
              <w:t>Making the “transition from dependent child to independent adult” is a difficult time, their bedrooms reflect this</w:t>
            </w:r>
          </w:p>
          <w:p w:rsidR="00A35A75" w:rsidRDefault="00A35A75" w:rsidP="00A35A75">
            <w:pPr>
              <w:pStyle w:val="ListParagraph"/>
              <w:numPr>
                <w:ilvl w:val="0"/>
                <w:numId w:val="28"/>
              </w:numPr>
            </w:pPr>
            <w:r>
              <w:t>Teenagers can be selfish and don’t think about how their parents feel</w:t>
            </w:r>
          </w:p>
          <w:p w:rsidR="00A35A75" w:rsidRDefault="00A35A75" w:rsidP="00A35A75"/>
          <w:p w:rsidR="00A35A75" w:rsidRPr="00A35A75" w:rsidRDefault="00A35A75" w:rsidP="00A35A75">
            <w:pPr>
              <w:rPr>
                <w:b/>
                <w:i/>
              </w:rPr>
            </w:pPr>
            <w:bookmarkStart w:id="0" w:name="_GoBack"/>
            <w:r w:rsidRPr="00A35A75">
              <w:rPr>
                <w:b/>
                <w:i/>
              </w:rPr>
              <w:t>Any four</w:t>
            </w:r>
            <w:bookmarkEnd w:id="0"/>
          </w:p>
        </w:tc>
      </w:tr>
    </w:tbl>
    <w:p w:rsidR="00A4304C" w:rsidRDefault="00A4304C"/>
    <w:sectPr w:rsidR="00A430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4C" w:rsidRDefault="00A4304C" w:rsidP="00A4304C">
      <w:pPr>
        <w:spacing w:after="0" w:line="240" w:lineRule="auto"/>
      </w:pPr>
      <w:r>
        <w:separator/>
      </w:r>
    </w:p>
  </w:endnote>
  <w:endnote w:type="continuationSeparator" w:id="0">
    <w:p w:rsidR="00A4304C" w:rsidRDefault="00A4304C" w:rsidP="00A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4C" w:rsidRDefault="00A4304C" w:rsidP="00A4304C">
      <w:pPr>
        <w:spacing w:after="0" w:line="240" w:lineRule="auto"/>
      </w:pPr>
      <w:r>
        <w:separator/>
      </w:r>
    </w:p>
  </w:footnote>
  <w:footnote w:type="continuationSeparator" w:id="0">
    <w:p w:rsidR="00A4304C" w:rsidRDefault="00A4304C" w:rsidP="00A4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4C" w:rsidRDefault="00A4304C">
    <w:pPr>
      <w:pStyle w:val="Header"/>
    </w:pPr>
    <w:r>
      <w:t>National 5 English (Reading for Understanding, Analysis and Evaluation)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A14"/>
    <w:multiLevelType w:val="hybridMultilevel"/>
    <w:tmpl w:val="A96A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0CCF"/>
    <w:multiLevelType w:val="hybridMultilevel"/>
    <w:tmpl w:val="0A2C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567"/>
    <w:multiLevelType w:val="hybridMultilevel"/>
    <w:tmpl w:val="483A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AB3"/>
    <w:multiLevelType w:val="hybridMultilevel"/>
    <w:tmpl w:val="63CC0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8631C"/>
    <w:multiLevelType w:val="hybridMultilevel"/>
    <w:tmpl w:val="DEB8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E7D4D"/>
    <w:multiLevelType w:val="hybridMultilevel"/>
    <w:tmpl w:val="983CC6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109AB"/>
    <w:multiLevelType w:val="hybridMultilevel"/>
    <w:tmpl w:val="0A7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143C0"/>
    <w:multiLevelType w:val="hybridMultilevel"/>
    <w:tmpl w:val="692401DE"/>
    <w:lvl w:ilvl="0" w:tplc="226870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4624B2"/>
    <w:multiLevelType w:val="hybridMultilevel"/>
    <w:tmpl w:val="EF1478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B3100"/>
    <w:multiLevelType w:val="hybridMultilevel"/>
    <w:tmpl w:val="23D274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F0E7F"/>
    <w:multiLevelType w:val="hybridMultilevel"/>
    <w:tmpl w:val="2FE24E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65F6B"/>
    <w:multiLevelType w:val="hybridMultilevel"/>
    <w:tmpl w:val="A6965540"/>
    <w:lvl w:ilvl="0" w:tplc="BCE8BC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034BE6"/>
    <w:multiLevelType w:val="hybridMultilevel"/>
    <w:tmpl w:val="DE50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85D03"/>
    <w:multiLevelType w:val="hybridMultilevel"/>
    <w:tmpl w:val="0106B7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24BFD"/>
    <w:multiLevelType w:val="hybridMultilevel"/>
    <w:tmpl w:val="BB82FE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41276"/>
    <w:multiLevelType w:val="hybridMultilevel"/>
    <w:tmpl w:val="ACBAD8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726B0"/>
    <w:multiLevelType w:val="hybridMultilevel"/>
    <w:tmpl w:val="6FAC9EEE"/>
    <w:lvl w:ilvl="0" w:tplc="1F80C0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570268"/>
    <w:multiLevelType w:val="hybridMultilevel"/>
    <w:tmpl w:val="1D86F8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A1830"/>
    <w:multiLevelType w:val="hybridMultilevel"/>
    <w:tmpl w:val="56186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67CF0"/>
    <w:multiLevelType w:val="hybridMultilevel"/>
    <w:tmpl w:val="B3E8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F51BF"/>
    <w:multiLevelType w:val="hybridMultilevel"/>
    <w:tmpl w:val="CC2C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70A0C"/>
    <w:multiLevelType w:val="hybridMultilevel"/>
    <w:tmpl w:val="803293EA"/>
    <w:lvl w:ilvl="0" w:tplc="6F9AFB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6309F7"/>
    <w:multiLevelType w:val="hybridMultilevel"/>
    <w:tmpl w:val="E82EA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5E551A"/>
    <w:multiLevelType w:val="hybridMultilevel"/>
    <w:tmpl w:val="1ADE0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D63FA"/>
    <w:multiLevelType w:val="hybridMultilevel"/>
    <w:tmpl w:val="714CDF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76E1B"/>
    <w:multiLevelType w:val="hybridMultilevel"/>
    <w:tmpl w:val="BAFA9A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77AF8"/>
    <w:multiLevelType w:val="hybridMultilevel"/>
    <w:tmpl w:val="8014E9A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7A89369C"/>
    <w:multiLevelType w:val="hybridMultilevel"/>
    <w:tmpl w:val="8BD273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9"/>
  </w:num>
  <w:num w:numId="5">
    <w:abstractNumId w:val="15"/>
  </w:num>
  <w:num w:numId="6">
    <w:abstractNumId w:val="18"/>
  </w:num>
  <w:num w:numId="7">
    <w:abstractNumId w:val="7"/>
  </w:num>
  <w:num w:numId="8">
    <w:abstractNumId w:val="21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6"/>
  </w:num>
  <w:num w:numId="14">
    <w:abstractNumId w:val="26"/>
  </w:num>
  <w:num w:numId="15">
    <w:abstractNumId w:val="14"/>
  </w:num>
  <w:num w:numId="16">
    <w:abstractNumId w:val="2"/>
  </w:num>
  <w:num w:numId="17">
    <w:abstractNumId w:val="20"/>
  </w:num>
  <w:num w:numId="18">
    <w:abstractNumId w:val="24"/>
  </w:num>
  <w:num w:numId="19">
    <w:abstractNumId w:val="8"/>
  </w:num>
  <w:num w:numId="20">
    <w:abstractNumId w:val="3"/>
  </w:num>
  <w:num w:numId="21">
    <w:abstractNumId w:val="12"/>
  </w:num>
  <w:num w:numId="22">
    <w:abstractNumId w:val="25"/>
  </w:num>
  <w:num w:numId="23">
    <w:abstractNumId w:val="27"/>
  </w:num>
  <w:num w:numId="24">
    <w:abstractNumId w:val="5"/>
  </w:num>
  <w:num w:numId="25">
    <w:abstractNumId w:val="10"/>
  </w:num>
  <w:num w:numId="26">
    <w:abstractNumId w:val="13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4C"/>
    <w:rsid w:val="00162E72"/>
    <w:rsid w:val="00240B5E"/>
    <w:rsid w:val="002A0DD5"/>
    <w:rsid w:val="004529BD"/>
    <w:rsid w:val="004A17D3"/>
    <w:rsid w:val="004E5C30"/>
    <w:rsid w:val="005A19CC"/>
    <w:rsid w:val="006E7A7B"/>
    <w:rsid w:val="008446A1"/>
    <w:rsid w:val="00872240"/>
    <w:rsid w:val="00915947"/>
    <w:rsid w:val="00A35A75"/>
    <w:rsid w:val="00A4304C"/>
    <w:rsid w:val="00A9159C"/>
    <w:rsid w:val="00BB5CFA"/>
    <w:rsid w:val="00C06DD6"/>
    <w:rsid w:val="00C914F3"/>
    <w:rsid w:val="00D658C6"/>
    <w:rsid w:val="00EA1792"/>
    <w:rsid w:val="00EE1149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4C"/>
  </w:style>
  <w:style w:type="paragraph" w:styleId="Footer">
    <w:name w:val="footer"/>
    <w:basedOn w:val="Normal"/>
    <w:link w:val="FooterChar"/>
    <w:uiPriority w:val="99"/>
    <w:unhideWhenUsed/>
    <w:rsid w:val="00A43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4C"/>
  </w:style>
  <w:style w:type="paragraph" w:styleId="ListParagraph">
    <w:name w:val="List Paragraph"/>
    <w:basedOn w:val="Normal"/>
    <w:uiPriority w:val="34"/>
    <w:qFormat/>
    <w:rsid w:val="00A4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4C"/>
  </w:style>
  <w:style w:type="paragraph" w:styleId="Footer">
    <w:name w:val="footer"/>
    <w:basedOn w:val="Normal"/>
    <w:link w:val="FooterChar"/>
    <w:uiPriority w:val="99"/>
    <w:unhideWhenUsed/>
    <w:rsid w:val="00A43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4C"/>
  </w:style>
  <w:style w:type="paragraph" w:styleId="ListParagraph">
    <w:name w:val="List Paragraph"/>
    <w:basedOn w:val="Normal"/>
    <w:uiPriority w:val="34"/>
    <w:qFormat/>
    <w:rsid w:val="00A4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Brown</dc:creator>
  <cp:lastModifiedBy>Lyndsey Brown</cp:lastModifiedBy>
  <cp:revision>15</cp:revision>
  <dcterms:created xsi:type="dcterms:W3CDTF">2016-05-17T12:37:00Z</dcterms:created>
  <dcterms:modified xsi:type="dcterms:W3CDTF">2016-05-17T14:08:00Z</dcterms:modified>
</cp:coreProperties>
</file>