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6CDEE" w:themeColor="accent1" w:themeTint="99"/>
  <w:body>
    <w:p w14:paraId="04A8D045" w14:textId="56AB79B1" w:rsidR="00F74E9D" w:rsidRPr="00F74E9D" w:rsidRDefault="00F74E9D" w:rsidP="00F74E9D">
      <w:pPr>
        <w:pStyle w:val="IntenseQuote"/>
        <w:rPr>
          <w:rFonts w:ascii="Tw Cen MT" w:hAnsi="Tw Cen MT"/>
          <w:b/>
          <w:bCs/>
          <w:color w:val="auto"/>
          <w:sz w:val="32"/>
          <w:szCs w:val="32"/>
        </w:rPr>
      </w:pPr>
      <w:r w:rsidRPr="00F74E9D">
        <w:rPr>
          <w:rFonts w:ascii="Tw Cen MT" w:hAnsi="Tw Cen MT"/>
          <w:b/>
          <w:bCs/>
          <w:color w:val="auto"/>
          <w:sz w:val="32"/>
          <w:szCs w:val="32"/>
        </w:rPr>
        <w:t>SLC Senior Study Support Programme</w:t>
      </w:r>
    </w:p>
    <w:p w14:paraId="5B4A8809" w14:textId="59F939F8" w:rsidR="00F74E9D" w:rsidRDefault="008119D8" w:rsidP="00F74E9D">
      <w:pPr>
        <w:jc w:val="center"/>
        <w:rPr>
          <w:rFonts w:ascii="Tw Cen MT" w:hAnsi="Tw Cen MT"/>
          <w:b/>
          <w:bCs/>
          <w:sz w:val="32"/>
          <w:szCs w:val="32"/>
        </w:rPr>
      </w:pPr>
      <w:r>
        <w:rPr>
          <w:rFonts w:ascii="Tw Cen MT" w:hAnsi="Tw Cen MT"/>
          <w:b/>
          <w:bCs/>
          <w:sz w:val="32"/>
          <w:szCs w:val="32"/>
        </w:rPr>
        <w:t xml:space="preserve">SLC </w:t>
      </w:r>
      <w:r w:rsidR="00F74E9D" w:rsidRPr="00F74E9D">
        <w:rPr>
          <w:rFonts w:ascii="Tw Cen MT" w:hAnsi="Tw Cen MT"/>
          <w:b/>
          <w:bCs/>
          <w:sz w:val="32"/>
          <w:szCs w:val="32"/>
        </w:rPr>
        <w:t xml:space="preserve">Live Study Support Sessions </w:t>
      </w:r>
    </w:p>
    <w:p w14:paraId="0EDCB58B" w14:textId="5720D1EC" w:rsidR="008119D8" w:rsidRDefault="008119D8" w:rsidP="00993F33">
      <w:pPr>
        <w:jc w:val="center"/>
        <w:rPr>
          <w:rFonts w:ascii="Tw Cen MT" w:hAnsi="Tw Cen MT"/>
          <w:b/>
          <w:bCs/>
          <w:sz w:val="32"/>
          <w:szCs w:val="32"/>
          <w:u w:val="single"/>
        </w:rPr>
      </w:pPr>
      <w:r w:rsidRPr="008119D8">
        <w:rPr>
          <w:rFonts w:ascii="Tw Cen MT" w:hAnsi="Tw Cen MT"/>
          <w:b/>
          <w:bCs/>
          <w:sz w:val="32"/>
          <w:szCs w:val="32"/>
          <w:u w:val="single"/>
        </w:rPr>
        <w:t>A Guide to Joining Study Sessions</w:t>
      </w:r>
    </w:p>
    <w:p w14:paraId="5E9BE2D3" w14:textId="6F97FE57" w:rsidR="00D9581C" w:rsidRPr="00DF6F59" w:rsidRDefault="008119D8" w:rsidP="00D9581C">
      <w:pPr>
        <w:pStyle w:val="ListParagraph"/>
        <w:numPr>
          <w:ilvl w:val="0"/>
          <w:numId w:val="1"/>
        </w:numPr>
        <w:rPr>
          <w:rFonts w:ascii="Tw Cen MT" w:hAnsi="Tw Cen MT"/>
          <w:b/>
          <w:bCs/>
          <w:sz w:val="28"/>
          <w:szCs w:val="28"/>
        </w:rPr>
      </w:pPr>
      <w:r w:rsidRPr="00DF6F59">
        <w:rPr>
          <w:rFonts w:ascii="Tw Cen MT" w:hAnsi="Tw Cen MT"/>
          <w:b/>
          <w:bCs/>
          <w:sz w:val="28"/>
          <w:szCs w:val="28"/>
        </w:rPr>
        <w:t>Choose your study session</w:t>
      </w:r>
      <w:r w:rsidR="00D9581C" w:rsidRPr="00DF6F59">
        <w:rPr>
          <w:rFonts w:ascii="Tw Cen MT" w:hAnsi="Tw Cen MT"/>
          <w:b/>
          <w:bCs/>
          <w:sz w:val="28"/>
          <w:szCs w:val="28"/>
        </w:rPr>
        <w:t>(s)</w:t>
      </w:r>
    </w:p>
    <w:p w14:paraId="11F3AAD3" w14:textId="77777777" w:rsidR="00D9581C" w:rsidRDefault="00D9581C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1EA6926A" w14:textId="45B64A4C" w:rsidR="008119D8" w:rsidRDefault="008119D8" w:rsidP="00D9581C">
      <w:pPr>
        <w:pStyle w:val="ListParagraph"/>
        <w:rPr>
          <w:rFonts w:ascii="Tw Cen MT" w:hAnsi="Tw Cen MT"/>
          <w:sz w:val="24"/>
          <w:szCs w:val="24"/>
        </w:rPr>
      </w:pPr>
      <w:r w:rsidRPr="00D9581C">
        <w:rPr>
          <w:rFonts w:ascii="Tw Cen MT" w:hAnsi="Tw Cen MT"/>
          <w:sz w:val="24"/>
          <w:szCs w:val="24"/>
        </w:rPr>
        <w:t>A weekly schedule of all study sessions will be published – keep an eye out for this! This will be published a week in advance and will give you an idea of the focus for each session. Write the date and time down in your planner.</w:t>
      </w:r>
      <w:r w:rsidR="00D9581C">
        <w:rPr>
          <w:rFonts w:ascii="Tw Cen MT" w:hAnsi="Tw Cen MT"/>
          <w:sz w:val="24"/>
          <w:szCs w:val="24"/>
        </w:rPr>
        <w:t xml:space="preserve"> You can join as little or as many sessions as you wish.</w:t>
      </w:r>
    </w:p>
    <w:p w14:paraId="1A06BE2F" w14:textId="77777777" w:rsidR="00D9581C" w:rsidRPr="00DF6F59" w:rsidRDefault="00D9581C" w:rsidP="00D9581C">
      <w:pPr>
        <w:pStyle w:val="ListParagraph"/>
        <w:rPr>
          <w:rFonts w:ascii="Tw Cen MT" w:hAnsi="Tw Cen MT"/>
          <w:b/>
          <w:bCs/>
          <w:sz w:val="28"/>
          <w:szCs w:val="28"/>
        </w:rPr>
      </w:pPr>
    </w:p>
    <w:p w14:paraId="46F367D5" w14:textId="5B09788D" w:rsidR="008119D8" w:rsidRPr="00DF6F59" w:rsidRDefault="008119D8" w:rsidP="008119D8">
      <w:pPr>
        <w:pStyle w:val="ListParagraph"/>
        <w:numPr>
          <w:ilvl w:val="0"/>
          <w:numId w:val="1"/>
        </w:numPr>
        <w:rPr>
          <w:rFonts w:ascii="Tw Cen MT" w:hAnsi="Tw Cen MT"/>
          <w:b/>
          <w:bCs/>
          <w:sz w:val="28"/>
          <w:szCs w:val="28"/>
        </w:rPr>
      </w:pPr>
      <w:r w:rsidRPr="00DF6F59">
        <w:rPr>
          <w:rFonts w:ascii="Tw Cen MT" w:hAnsi="Tw Cen MT"/>
          <w:b/>
          <w:bCs/>
          <w:sz w:val="28"/>
          <w:szCs w:val="28"/>
        </w:rPr>
        <w:t>Join the Google Classroom</w:t>
      </w:r>
      <w:r w:rsidR="00D9581C" w:rsidRPr="00DF6F59">
        <w:rPr>
          <w:rFonts w:ascii="Tw Cen MT" w:hAnsi="Tw Cen MT"/>
          <w:b/>
          <w:bCs/>
          <w:sz w:val="28"/>
          <w:szCs w:val="28"/>
        </w:rPr>
        <w:t>(s)</w:t>
      </w:r>
    </w:p>
    <w:p w14:paraId="6426A542" w14:textId="77777777" w:rsidR="00D9581C" w:rsidRDefault="00D9581C" w:rsidP="008119D8">
      <w:pPr>
        <w:pStyle w:val="ListParagraph"/>
        <w:rPr>
          <w:rFonts w:ascii="Tw Cen MT" w:hAnsi="Tw Cen MT"/>
          <w:sz w:val="24"/>
          <w:szCs w:val="24"/>
        </w:rPr>
      </w:pPr>
    </w:p>
    <w:p w14:paraId="3F883424" w14:textId="4BDDFE3E" w:rsidR="008119D8" w:rsidRDefault="008119D8" w:rsidP="008119D8">
      <w:pPr>
        <w:pStyle w:val="ListParagraph"/>
        <w:rPr>
          <w:rFonts w:ascii="Tw Cen MT" w:hAnsi="Tw Cen MT"/>
          <w:sz w:val="24"/>
          <w:szCs w:val="24"/>
        </w:rPr>
      </w:pPr>
      <w:r w:rsidRPr="008119D8">
        <w:rPr>
          <w:rFonts w:ascii="Tw Cen MT" w:hAnsi="Tw Cen MT"/>
          <w:sz w:val="24"/>
          <w:szCs w:val="24"/>
        </w:rPr>
        <w:t xml:space="preserve">Sessions will be delivered </w:t>
      </w:r>
      <w:r>
        <w:rPr>
          <w:rFonts w:ascii="Tw Cen MT" w:hAnsi="Tw Cen MT"/>
          <w:sz w:val="24"/>
          <w:szCs w:val="24"/>
        </w:rPr>
        <w:t>via</w:t>
      </w:r>
      <w:r w:rsidRPr="008119D8">
        <w:rPr>
          <w:rFonts w:ascii="Tw Cen MT" w:hAnsi="Tw Cen MT"/>
          <w:sz w:val="24"/>
          <w:szCs w:val="24"/>
        </w:rPr>
        <w:t xml:space="preserve"> Google Meet – you will need to be a member of a Google Classroom for each su</w:t>
      </w:r>
      <w:r>
        <w:rPr>
          <w:rFonts w:ascii="Tw Cen MT" w:hAnsi="Tw Cen MT"/>
          <w:sz w:val="24"/>
          <w:szCs w:val="24"/>
        </w:rPr>
        <w:t>b</w:t>
      </w:r>
      <w:r w:rsidRPr="008119D8">
        <w:rPr>
          <w:rFonts w:ascii="Tw Cen MT" w:hAnsi="Tw Cen MT"/>
          <w:sz w:val="24"/>
          <w:szCs w:val="24"/>
        </w:rPr>
        <w:t xml:space="preserve">ject </w:t>
      </w:r>
      <w:r w:rsidR="00D9581C">
        <w:rPr>
          <w:rFonts w:ascii="Tw Cen MT" w:hAnsi="Tw Cen MT"/>
          <w:sz w:val="24"/>
          <w:szCs w:val="24"/>
        </w:rPr>
        <w:t xml:space="preserve">that </w:t>
      </w:r>
      <w:r w:rsidRPr="008119D8">
        <w:rPr>
          <w:rFonts w:ascii="Tw Cen MT" w:hAnsi="Tw Cen MT"/>
          <w:sz w:val="24"/>
          <w:szCs w:val="24"/>
        </w:rPr>
        <w:t xml:space="preserve">you are interested in. </w:t>
      </w:r>
      <w:r w:rsidR="00D9581C">
        <w:rPr>
          <w:rFonts w:ascii="Tw Cen MT" w:hAnsi="Tw Cen MT"/>
          <w:sz w:val="24"/>
          <w:szCs w:val="24"/>
        </w:rPr>
        <w:t>See your subject teacher or PSE teacher for each Google Classroom code. You must join the classroom in advance of the live session.</w:t>
      </w:r>
    </w:p>
    <w:p w14:paraId="1E6F7800" w14:textId="77777777" w:rsidR="00D9581C" w:rsidRDefault="00D9581C" w:rsidP="008119D8">
      <w:pPr>
        <w:pStyle w:val="ListParagraph"/>
        <w:rPr>
          <w:rFonts w:ascii="Tw Cen MT" w:hAnsi="Tw Cen MT"/>
          <w:sz w:val="24"/>
          <w:szCs w:val="24"/>
        </w:rPr>
      </w:pPr>
    </w:p>
    <w:p w14:paraId="0D4E94CD" w14:textId="4AA4F704" w:rsidR="00D9581C" w:rsidRPr="00DF6F59" w:rsidRDefault="00D9581C" w:rsidP="00D9581C">
      <w:pPr>
        <w:pStyle w:val="ListParagraph"/>
        <w:numPr>
          <w:ilvl w:val="0"/>
          <w:numId w:val="1"/>
        </w:numPr>
        <w:rPr>
          <w:rFonts w:ascii="Tw Cen MT" w:hAnsi="Tw Cen MT"/>
          <w:b/>
          <w:bCs/>
          <w:sz w:val="28"/>
          <w:szCs w:val="28"/>
        </w:rPr>
      </w:pPr>
      <w:r w:rsidRPr="00DF6F59">
        <w:rPr>
          <w:rFonts w:ascii="Tw Cen MT" w:hAnsi="Tw Cen MT"/>
          <w:b/>
          <w:bCs/>
          <w:sz w:val="28"/>
          <w:szCs w:val="28"/>
        </w:rPr>
        <w:t>Attend the Google Meet</w:t>
      </w:r>
      <w:r w:rsidR="00DF6F59">
        <w:rPr>
          <w:rFonts w:ascii="Tw Cen MT" w:hAnsi="Tw Cen MT"/>
          <w:b/>
          <w:bCs/>
          <w:sz w:val="28"/>
          <w:szCs w:val="28"/>
        </w:rPr>
        <w:t>s</w:t>
      </w:r>
    </w:p>
    <w:p w14:paraId="3F6B2BDD" w14:textId="0D7E8DE9" w:rsidR="00D9581C" w:rsidRDefault="00D9581C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4B16E834" w14:textId="39C48054" w:rsidR="00D9581C" w:rsidRDefault="00D9581C" w:rsidP="00D9581C">
      <w:pPr>
        <w:pStyle w:val="ListParagrap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Log onto the Google classroom 5 minutes before the Live </w:t>
      </w:r>
      <w:r w:rsidR="00993F33">
        <w:rPr>
          <w:rFonts w:ascii="Tw Cen MT" w:hAnsi="Tw Cen MT"/>
          <w:sz w:val="24"/>
          <w:szCs w:val="24"/>
        </w:rPr>
        <w:t>M</w:t>
      </w:r>
      <w:r>
        <w:rPr>
          <w:rFonts w:ascii="Tw Cen MT" w:hAnsi="Tw Cen MT"/>
          <w:sz w:val="24"/>
          <w:szCs w:val="24"/>
        </w:rPr>
        <w:t>eet is due to start. The joining link should become visible just before the session begins, click on this link and you will be admitted to the Live Meet</w:t>
      </w:r>
    </w:p>
    <w:p w14:paraId="41652FC5" w14:textId="61E65F4C" w:rsidR="00D9581C" w:rsidRDefault="00D9581C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5A7A2448" w14:textId="77777777" w:rsidR="00A47820" w:rsidRPr="00DF6F59" w:rsidRDefault="00A47820" w:rsidP="00A47820">
      <w:pPr>
        <w:pStyle w:val="ListParagraph"/>
        <w:numPr>
          <w:ilvl w:val="0"/>
          <w:numId w:val="1"/>
        </w:numPr>
        <w:rPr>
          <w:rFonts w:ascii="Tw Cen MT" w:hAnsi="Tw Cen MT"/>
          <w:b/>
          <w:bCs/>
          <w:sz w:val="28"/>
          <w:szCs w:val="28"/>
        </w:rPr>
      </w:pPr>
      <w:r w:rsidRPr="00DF6F59">
        <w:rPr>
          <w:rFonts w:ascii="Tw Cen MT" w:hAnsi="Tw Cen MT"/>
          <w:b/>
          <w:bCs/>
          <w:sz w:val="28"/>
          <w:szCs w:val="28"/>
        </w:rPr>
        <w:t>Getting the most from your revision sessions</w:t>
      </w:r>
    </w:p>
    <w:p w14:paraId="3A174E52" w14:textId="2B246B65" w:rsidR="00D9581C" w:rsidRDefault="00D9581C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55226BDF" w14:textId="77388553" w:rsidR="00DF6F59" w:rsidRDefault="00D9581C" w:rsidP="00D9581C">
      <w:pPr>
        <w:pStyle w:val="ListParagrap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During the </w:t>
      </w:r>
      <w:r w:rsidR="00993F33">
        <w:rPr>
          <w:rFonts w:ascii="Tw Cen MT" w:hAnsi="Tw Cen MT"/>
          <w:sz w:val="24"/>
          <w:szCs w:val="24"/>
        </w:rPr>
        <w:t>Google Meet</w:t>
      </w:r>
      <w:r>
        <w:rPr>
          <w:rFonts w:ascii="Tw Cen MT" w:hAnsi="Tw Cen MT"/>
          <w:sz w:val="24"/>
          <w:szCs w:val="24"/>
        </w:rPr>
        <w:t xml:space="preserve"> there will be opportunities for you to interact with the teacher delivering </w:t>
      </w:r>
      <w:r w:rsidR="00993F33">
        <w:rPr>
          <w:rFonts w:ascii="Tw Cen MT" w:hAnsi="Tw Cen MT"/>
          <w:sz w:val="24"/>
          <w:szCs w:val="24"/>
        </w:rPr>
        <w:t>the session</w:t>
      </w:r>
      <w:r>
        <w:rPr>
          <w:rFonts w:ascii="Tw Cen MT" w:hAnsi="Tw Cen MT"/>
          <w:sz w:val="24"/>
          <w:szCs w:val="24"/>
        </w:rPr>
        <w:t xml:space="preserve">. The teacher will set-out their own expectations </w:t>
      </w:r>
    </w:p>
    <w:p w14:paraId="71581A00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4951E77C" w14:textId="14753D04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  <w:r w:rsidRPr="00F74E9D">
        <w:rPr>
          <w:rFonts w:ascii="Tw Cen MT" w:hAnsi="Tw Cen MT"/>
          <w:noProof/>
        </w:rPr>
        <w:drawing>
          <wp:anchor distT="36576" distB="36576" distL="36576" distR="36576" simplePos="0" relativeHeight="251661312" behindDoc="1" locked="0" layoutInCell="1" allowOverlap="1" wp14:anchorId="30E7EF01" wp14:editId="1B0CC62E">
            <wp:simplePos x="0" y="0"/>
            <wp:positionH relativeFrom="margin">
              <wp:posOffset>4235450</wp:posOffset>
            </wp:positionH>
            <wp:positionV relativeFrom="paragraph">
              <wp:posOffset>107950</wp:posOffset>
            </wp:positionV>
            <wp:extent cx="102870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00" y="21221"/>
                <wp:lineTo x="21200" y="0"/>
                <wp:lineTo x="0" y="0"/>
              </wp:wrapPolygon>
            </wp:wrapTight>
            <wp:docPr id="15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E9D">
        <w:rPr>
          <w:rFonts w:ascii="Tw Cen MT" w:hAnsi="Tw Cen M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1A084F" wp14:editId="3FC2089E">
            <wp:simplePos x="0" y="0"/>
            <wp:positionH relativeFrom="margin">
              <wp:posOffset>4220210</wp:posOffset>
            </wp:positionH>
            <wp:positionV relativeFrom="paragraph">
              <wp:posOffset>95250</wp:posOffset>
            </wp:positionV>
            <wp:extent cx="2368550" cy="1421130"/>
            <wp:effectExtent l="0" t="0" r="0" b="7620"/>
            <wp:wrapSquare wrapText="bothSides"/>
            <wp:docPr id="1" name="Picture 1" descr="Black pencil fence with one yellow pencil under a 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 pencil fence with one yellow pencil under a lightbul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ED02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25C85448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2CF0C55C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6AEAFD1C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2B391B4A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3A26BD15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15DE2835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09C4CA4C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3254C1DA" w14:textId="77777777" w:rsidR="00DF6F59" w:rsidRDefault="00DF6F59" w:rsidP="00D9581C">
      <w:pPr>
        <w:pStyle w:val="ListParagraph"/>
        <w:rPr>
          <w:rFonts w:ascii="Tw Cen MT" w:hAnsi="Tw Cen MT"/>
          <w:sz w:val="24"/>
          <w:szCs w:val="24"/>
        </w:rPr>
      </w:pPr>
    </w:p>
    <w:p w14:paraId="073C6D0E" w14:textId="5D9182D3" w:rsidR="00A47820" w:rsidRDefault="00D9581C" w:rsidP="00D9581C">
      <w:pPr>
        <w:pStyle w:val="ListParagrap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for this. You can use the chat function to ask questions or raise your hand if you would </w:t>
      </w:r>
    </w:p>
    <w:p w14:paraId="7E66ED5C" w14:textId="3550C3C4" w:rsidR="00D9581C" w:rsidRDefault="00D9581C" w:rsidP="00A47820">
      <w:pPr>
        <w:pStyle w:val="ListParagrap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like to </w:t>
      </w:r>
      <w:r w:rsidR="00A47820">
        <w:rPr>
          <w:rFonts w:ascii="Tw Cen MT" w:hAnsi="Tw Cen MT"/>
          <w:sz w:val="24"/>
          <w:szCs w:val="24"/>
        </w:rPr>
        <w:t>ask a question</w:t>
      </w:r>
      <w:r>
        <w:rPr>
          <w:rFonts w:ascii="Tw Cen MT" w:hAnsi="Tw Cen MT"/>
          <w:sz w:val="24"/>
          <w:szCs w:val="24"/>
        </w:rPr>
        <w:t xml:space="preserve">. </w:t>
      </w:r>
      <w:r w:rsidR="00A47820">
        <w:rPr>
          <w:rFonts w:ascii="Tw Cen MT" w:hAnsi="Tw Cen MT"/>
          <w:sz w:val="24"/>
          <w:szCs w:val="24"/>
        </w:rPr>
        <w:t>You might find note taking a useful tool during the sessions.</w:t>
      </w:r>
    </w:p>
    <w:p w14:paraId="7672F391" w14:textId="77777777" w:rsidR="00A47820" w:rsidRPr="00A47820" w:rsidRDefault="00A47820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058D0741" w14:textId="114336E9" w:rsidR="00A47820" w:rsidRPr="00DF6F59" w:rsidRDefault="00DF6F59" w:rsidP="00A47820">
      <w:pPr>
        <w:pStyle w:val="ListParagraph"/>
        <w:numPr>
          <w:ilvl w:val="0"/>
          <w:numId w:val="1"/>
        </w:numPr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C</w:t>
      </w:r>
      <w:r w:rsidR="00A47820" w:rsidRPr="00DF6F59">
        <w:rPr>
          <w:rFonts w:ascii="Tw Cen MT" w:hAnsi="Tw Cen MT"/>
          <w:b/>
          <w:bCs/>
          <w:sz w:val="28"/>
          <w:szCs w:val="28"/>
        </w:rPr>
        <w:t>an’t attend the live lessons</w:t>
      </w:r>
      <w:r w:rsidR="00B20DC6">
        <w:rPr>
          <w:rFonts w:ascii="Tw Cen MT" w:hAnsi="Tw Cen MT"/>
          <w:b/>
          <w:bCs/>
          <w:sz w:val="28"/>
          <w:szCs w:val="28"/>
        </w:rPr>
        <w:t>?</w:t>
      </w:r>
    </w:p>
    <w:p w14:paraId="6D149B45" w14:textId="77777777" w:rsidR="00A47820" w:rsidRDefault="00A47820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7FC66F45" w14:textId="6AED4D6E" w:rsidR="00A47820" w:rsidRDefault="00993F33" w:rsidP="00A47820">
      <w:pPr>
        <w:pStyle w:val="ListParagrap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Don’t worry – there’s still lots of resources available for you to access at home. </w:t>
      </w:r>
      <w:r w:rsidR="00A47820">
        <w:rPr>
          <w:rFonts w:ascii="Tw Cen MT" w:hAnsi="Tw Cen MT"/>
          <w:sz w:val="24"/>
          <w:szCs w:val="24"/>
        </w:rPr>
        <w:t>The following links will take you to a range of online resources which will support your revision at home:</w:t>
      </w:r>
    </w:p>
    <w:p w14:paraId="3A8EBFCD" w14:textId="77777777" w:rsidR="00993F33" w:rsidRDefault="00993F33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0E4EB9AF" w14:textId="7684D9EB" w:rsidR="0054453A" w:rsidRPr="00993F33" w:rsidRDefault="00993F33" w:rsidP="00A47820">
      <w:pPr>
        <w:pStyle w:val="ListParagraph"/>
        <w:rPr>
          <w:rFonts w:ascii="Tw Cen MT" w:hAnsi="Tw Cen MT"/>
          <w:sz w:val="24"/>
          <w:szCs w:val="24"/>
        </w:rPr>
      </w:pPr>
      <w:r w:rsidRPr="00993F33">
        <w:rPr>
          <w:rFonts w:ascii="Tw Cen MT" w:hAnsi="Tw Cen MT"/>
          <w:b/>
          <w:bCs/>
          <w:sz w:val="24"/>
          <w:szCs w:val="24"/>
          <w:u w:val="single"/>
        </w:rPr>
        <w:t>Your School Website/Twitter page</w:t>
      </w:r>
      <w:r>
        <w:rPr>
          <w:rFonts w:ascii="Tw Cen MT" w:hAnsi="Tw Cen MT"/>
          <w:b/>
          <w:bCs/>
          <w:sz w:val="24"/>
          <w:szCs w:val="24"/>
        </w:rPr>
        <w:t xml:space="preserve"> – </w:t>
      </w:r>
      <w:r>
        <w:rPr>
          <w:rFonts w:ascii="Tw Cen MT" w:hAnsi="Tw Cen MT"/>
          <w:sz w:val="24"/>
          <w:szCs w:val="24"/>
        </w:rPr>
        <w:t xml:space="preserve">Study timetables and pre-recorded resources will be uploaded to these spaces. Keep an eye on them for updates. </w:t>
      </w:r>
    </w:p>
    <w:p w14:paraId="4FADA9FD" w14:textId="545F3C14" w:rsidR="00A47820" w:rsidRDefault="00A47820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6490BE0E" w14:textId="4207A588" w:rsidR="00A47820" w:rsidRDefault="00A47820" w:rsidP="00A47820">
      <w:pPr>
        <w:pStyle w:val="ListParagraph"/>
        <w:rPr>
          <w:rFonts w:ascii="Tw Cen MT" w:hAnsi="Tw Cen MT"/>
          <w:sz w:val="24"/>
          <w:szCs w:val="24"/>
        </w:rPr>
      </w:pPr>
      <w:r w:rsidRPr="00993F33">
        <w:rPr>
          <w:rFonts w:ascii="Tw Cen MT" w:hAnsi="Tw Cen MT"/>
          <w:b/>
          <w:bCs/>
          <w:sz w:val="24"/>
          <w:szCs w:val="24"/>
          <w:u w:val="single"/>
        </w:rPr>
        <w:t>E-Sgoil</w:t>
      </w:r>
      <w:r>
        <w:rPr>
          <w:rFonts w:ascii="Tw Cen MT" w:hAnsi="Tw Cen MT"/>
          <w:sz w:val="24"/>
          <w:szCs w:val="24"/>
        </w:rPr>
        <w:t xml:space="preserve"> offer virtual study support programmes -</w:t>
      </w:r>
      <w:r w:rsidRPr="00DF6F59">
        <w:rPr>
          <w:color w:val="FF0000"/>
        </w:rPr>
        <w:t xml:space="preserve"> </w:t>
      </w:r>
      <w:hyperlink r:id="rId8" w:history="1">
        <w:r w:rsidRPr="00DF6F59">
          <w:rPr>
            <w:rStyle w:val="Hyperlink"/>
            <w:rFonts w:ascii="Tw Cen MT" w:hAnsi="Tw Cen MT"/>
            <w:color w:val="FF0000"/>
            <w:sz w:val="24"/>
            <w:szCs w:val="24"/>
          </w:rPr>
          <w:t>https://e-sgoil.com/</w:t>
        </w:r>
      </w:hyperlink>
    </w:p>
    <w:p w14:paraId="3A66195D" w14:textId="79E7DF25" w:rsidR="00A47820" w:rsidRDefault="00A47820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4F6890E4" w14:textId="67E96D3D" w:rsidR="00A47820" w:rsidRPr="00DF6F59" w:rsidRDefault="00DF6F59" w:rsidP="00A47820">
      <w:pPr>
        <w:pStyle w:val="ListParagraph"/>
        <w:rPr>
          <w:rFonts w:ascii="Tw Cen MT" w:hAnsi="Tw Cen MT"/>
          <w:color w:val="FF0000"/>
          <w:sz w:val="24"/>
          <w:szCs w:val="24"/>
        </w:rPr>
      </w:pPr>
      <w:r w:rsidRPr="00993F33">
        <w:rPr>
          <w:rFonts w:ascii="Tw Cen MT" w:hAnsi="Tw Cen MT"/>
          <w:b/>
          <w:bCs/>
          <w:sz w:val="24"/>
          <w:szCs w:val="24"/>
          <w:u w:val="single"/>
        </w:rPr>
        <w:t>Education Scotland National e-Learning Offer</w:t>
      </w:r>
      <w:r>
        <w:rPr>
          <w:rFonts w:ascii="Tw Cen MT" w:hAnsi="Tw Cen MT"/>
          <w:sz w:val="24"/>
          <w:szCs w:val="24"/>
        </w:rPr>
        <w:t xml:space="preserve"> – you can access a range of resources for study support here </w:t>
      </w:r>
      <w:hyperlink r:id="rId9" w:history="1">
        <w:r w:rsidRPr="00DF6F59">
          <w:rPr>
            <w:rStyle w:val="Hyperlink"/>
            <w:rFonts w:ascii="Tw Cen MT" w:hAnsi="Tw Cen MT"/>
            <w:color w:val="FF0000"/>
            <w:sz w:val="24"/>
            <w:szCs w:val="24"/>
          </w:rPr>
          <w:t>https://education.gov.scot/nelo/</w:t>
        </w:r>
      </w:hyperlink>
    </w:p>
    <w:p w14:paraId="5E90ED1C" w14:textId="60C88E4C" w:rsidR="00DF6F59" w:rsidRDefault="00DF6F59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0907E369" w14:textId="134A5E88" w:rsidR="00DF6F59" w:rsidRDefault="00DF6F59" w:rsidP="00A47820">
      <w:pPr>
        <w:pStyle w:val="ListParagraph"/>
        <w:rPr>
          <w:rFonts w:ascii="Tw Cen MT" w:hAnsi="Tw Cen MT"/>
          <w:sz w:val="24"/>
          <w:szCs w:val="24"/>
        </w:rPr>
      </w:pPr>
      <w:r w:rsidRPr="00993F33">
        <w:rPr>
          <w:rFonts w:ascii="Tw Cen MT" w:hAnsi="Tw Cen MT"/>
          <w:b/>
          <w:bCs/>
          <w:sz w:val="24"/>
          <w:szCs w:val="24"/>
          <w:u w:val="single"/>
        </w:rPr>
        <w:t>West OS</w:t>
      </w:r>
      <w:r>
        <w:rPr>
          <w:rFonts w:ascii="Tw Cen MT" w:hAnsi="Tw Cen MT"/>
          <w:sz w:val="24"/>
          <w:szCs w:val="24"/>
        </w:rPr>
        <w:t xml:space="preserve"> has a selection of pre-recorded lessons for a range of subjects. You can find this tile on Glow. You must be logged onto your Glow Account to access this resource (Your @sl.glow.scot email )</w:t>
      </w:r>
    </w:p>
    <w:p w14:paraId="271940CE" w14:textId="666AE7BB" w:rsidR="00DF6F59" w:rsidRDefault="00993F33" w:rsidP="00A47820">
      <w:pPr>
        <w:pStyle w:val="ListParagraph"/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3CAD09D" wp14:editId="0C6FB445">
            <wp:simplePos x="0" y="0"/>
            <wp:positionH relativeFrom="column">
              <wp:posOffset>722630</wp:posOffset>
            </wp:positionH>
            <wp:positionV relativeFrom="paragraph">
              <wp:posOffset>92075</wp:posOffset>
            </wp:positionV>
            <wp:extent cx="1703705" cy="1136650"/>
            <wp:effectExtent l="0" t="0" r="0" b="6350"/>
            <wp:wrapSquare wrapText="bothSides"/>
            <wp:docPr id="2" name="Picture 2" descr="School desk with books and pencils with chalkboard 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ool desk with books and pencils with chalkboard in backgroun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54FAF" w14:textId="482FA21C" w:rsidR="00DF6F59" w:rsidRDefault="00DF6F59" w:rsidP="00A47820">
      <w:pPr>
        <w:pStyle w:val="ListParagraph"/>
        <w:rPr>
          <w:rFonts w:ascii="Tw Cen MT" w:hAnsi="Tw Cen MT"/>
          <w:sz w:val="24"/>
          <w:szCs w:val="24"/>
        </w:rPr>
      </w:pPr>
    </w:p>
    <w:p w14:paraId="1C0DF623" w14:textId="620262C1" w:rsidR="00A47820" w:rsidRPr="00A47820" w:rsidRDefault="00A47820" w:rsidP="00A47820">
      <w:pPr>
        <w:rPr>
          <w:rFonts w:ascii="Tw Cen MT" w:hAnsi="Tw Cen MT"/>
          <w:sz w:val="24"/>
          <w:szCs w:val="24"/>
        </w:rPr>
      </w:pPr>
    </w:p>
    <w:p w14:paraId="3E459E02" w14:textId="0722AF7D" w:rsidR="00A47820" w:rsidRDefault="00A47820" w:rsidP="00A47820">
      <w:pPr>
        <w:pStyle w:val="ListParagraph"/>
        <w:rPr>
          <w:rFonts w:ascii="Tw Cen MT" w:hAnsi="Tw Cen MT"/>
          <w:sz w:val="24"/>
          <w:szCs w:val="24"/>
        </w:rPr>
      </w:pPr>
    </w:p>
    <w:sectPr w:rsidR="00A47820" w:rsidSect="008119D8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51A19"/>
    <w:multiLevelType w:val="hybridMultilevel"/>
    <w:tmpl w:val="6622A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286D85"/>
    <w:rsid w:val="0054453A"/>
    <w:rsid w:val="008119D8"/>
    <w:rsid w:val="00970BE3"/>
    <w:rsid w:val="00993F33"/>
    <w:rsid w:val="00A47820"/>
    <w:rsid w:val="00B20DC6"/>
    <w:rsid w:val="00D9581C"/>
    <w:rsid w:val="00DF6F59"/>
    <w:rsid w:val="00F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74DE"/>
  <w15:chartTrackingRefBased/>
  <w15:docId w15:val="{8EF34685-E174-4C8D-A315-483FC297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9D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74E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E9D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11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820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goil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education.gov.scot/nelo/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72E0-8675-404B-AC13-74040C53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Gibney, Hayley</dc:creator>
  <cp:keywords/>
  <dc:description/>
  <cp:lastModifiedBy>Gibney, Hayley</cp:lastModifiedBy>
  <cp:revision>3</cp:revision>
  <dcterms:created xsi:type="dcterms:W3CDTF">2021-10-26T12:49:00Z</dcterms:created>
  <dcterms:modified xsi:type="dcterms:W3CDTF">2021-10-27T11:49:00Z</dcterms:modified>
</cp:coreProperties>
</file>