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301E3F" w:rsidRDefault="00714F6A" w:rsidP="00B561C0">
      <w:pPr>
        <w:rPr>
          <w:b/>
          <w:u w:val="single"/>
        </w:rPr>
      </w:pPr>
      <w:r>
        <w:rPr>
          <w:b/>
          <w:u w:val="single"/>
        </w:rPr>
        <w:t>Metacognition – Recommendation 4</w:t>
      </w:r>
    </w:p>
    <w:tbl>
      <w:tblPr>
        <w:tblW w:w="5000" w:type="pct"/>
        <w:jc w:val="center"/>
        <w:tblCellMar>
          <w:left w:w="0" w:type="dxa"/>
          <w:right w:w="0" w:type="dxa"/>
        </w:tblCellMar>
        <w:tblLook w:val="04A0" w:firstRow="1" w:lastRow="0" w:firstColumn="1" w:lastColumn="0" w:noHBand="0" w:noVBand="1"/>
      </w:tblPr>
      <w:tblGrid>
        <w:gridCol w:w="9026"/>
      </w:tblGrid>
      <w:tr w:rsidR="00714F6A" w:rsidTr="00714F6A">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14F6A">
                          <w:tc>
                            <w:tcPr>
                              <w:tcW w:w="0" w:type="auto"/>
                              <w:tcMar>
                                <w:top w:w="0" w:type="dxa"/>
                                <w:left w:w="270" w:type="dxa"/>
                                <w:bottom w:w="135" w:type="dxa"/>
                                <w:right w:w="270" w:type="dxa"/>
                              </w:tcMar>
                              <w:hideMark/>
                            </w:tcPr>
                            <w:p w:rsidR="00714F6A" w:rsidRDefault="00714F6A">
                              <w:pPr>
                                <w:spacing w:line="300" w:lineRule="auto"/>
                                <w:rPr>
                                  <w:rFonts w:cs="Arial"/>
                                  <w:color w:val="202020"/>
                                </w:rPr>
                              </w:pPr>
                            </w:p>
                          </w:tc>
                        </w:tr>
                      </w:tbl>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14F6A">
                          <w:tc>
                            <w:tcPr>
                              <w:tcW w:w="0" w:type="auto"/>
                              <w:tcMar>
                                <w:top w:w="0" w:type="dxa"/>
                                <w:left w:w="270" w:type="dxa"/>
                                <w:bottom w:w="135" w:type="dxa"/>
                                <w:right w:w="270" w:type="dxa"/>
                              </w:tcMar>
                              <w:hideMark/>
                            </w:tcPr>
                            <w:p w:rsidR="00714F6A" w:rsidRDefault="00714F6A">
                              <w:pPr>
                                <w:spacing w:line="300" w:lineRule="auto"/>
                                <w:rPr>
                                  <w:rFonts w:cs="Arial"/>
                                  <w:color w:val="202020"/>
                                </w:rPr>
                              </w:pPr>
                              <w:r>
                                <w:rPr>
                                  <w:rFonts w:cs="Arial"/>
                                  <w:color w:val="202020"/>
                                </w:rPr>
                                <w:t xml:space="preserve">. </w:t>
                              </w:r>
                            </w:p>
                          </w:tc>
                        </w:tr>
                      </w:tbl>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14F6A">
                          <w:trPr>
                            <w:hidden/>
                          </w:trPr>
                          <w:tc>
                            <w:tcPr>
                              <w:tcW w:w="0" w:type="auto"/>
                              <w:tcMar>
                                <w:top w:w="0" w:type="dxa"/>
                                <w:left w:w="270" w:type="dxa"/>
                                <w:bottom w:w="135" w:type="dxa"/>
                                <w:right w:w="270" w:type="dxa"/>
                              </w:tcMar>
                              <w:hideMark/>
                            </w:tcPr>
                            <w:p w:rsidR="00714F6A" w:rsidRDefault="00714F6A">
                              <w:pPr>
                                <w:rPr>
                                  <w:vanish/>
                                </w:rPr>
                              </w:pPr>
                            </w:p>
                          </w:tc>
                        </w:tr>
                      </w:tbl>
                      <w:p w:rsidR="00714F6A" w:rsidRDefault="00714F6A">
                        <w:pPr>
                          <w:rPr>
                            <w:sz w:val="20"/>
                          </w:rPr>
                        </w:pPr>
                      </w:p>
                    </w:tc>
                  </w:tr>
                </w:tbl>
                <w:p w:rsidR="00714F6A" w:rsidRDefault="00714F6A">
                  <w:pP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714F6A">
                    <w:trPr>
                      <w:jc w:val="center"/>
                      <w:hidden/>
                    </w:trPr>
                    <w:tc>
                      <w:tcPr>
                        <w:tcW w:w="0" w:type="auto"/>
                        <w:hideMark/>
                      </w:tcPr>
                      <w:p w:rsidR="00714F6A" w:rsidRDefault="00714F6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14F6A">
                          <w:tc>
                            <w:tcPr>
                              <w:tcW w:w="0" w:type="auto"/>
                              <w:tcMar>
                                <w:top w:w="135" w:type="dxa"/>
                                <w:left w:w="270" w:type="dxa"/>
                                <w:bottom w:w="135" w:type="dxa"/>
                                <w:right w:w="270" w:type="dxa"/>
                              </w:tcMar>
                              <w:vAlign w:val="center"/>
                              <w:hideMark/>
                            </w:tcPr>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8450"/>
                              </w:tblGrid>
                              <w:tr w:rsidR="00714F6A">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714F6A" w:rsidRDefault="00714F6A">
                                    <w:pPr>
                                      <w:spacing w:line="300" w:lineRule="auto"/>
                                      <w:jc w:val="center"/>
                                      <w:rPr>
                                        <w:rFonts w:ascii="Helvetica" w:hAnsi="Helvetica" w:cs="Helvetica"/>
                                        <w:color w:val="F2F2F2"/>
                                        <w:sz w:val="21"/>
                                        <w:szCs w:val="21"/>
                                      </w:rPr>
                                    </w:pPr>
                                    <w:r>
                                      <w:rPr>
                                        <w:rStyle w:val="Strong"/>
                                        <w:rFonts w:ascii="Helvetica" w:hAnsi="Helvetica" w:cs="Helvetica"/>
                                        <w:color w:val="ED5A2D"/>
                                      </w:rPr>
                                      <w:t xml:space="preserve">Recommendation 4: </w:t>
                                    </w:r>
                                    <w:r>
                                      <w:rPr>
                                        <w:rFonts w:ascii="Helvetica" w:hAnsi="Helvetica" w:cs="Helvetica"/>
                                        <w:b/>
                                        <w:bCs/>
                                        <w:color w:val="F2F2F2"/>
                                        <w:sz w:val="21"/>
                                        <w:szCs w:val="21"/>
                                      </w:rPr>
                                      <w:br/>
                                    </w:r>
                                    <w:r>
                                      <w:rPr>
                                        <w:rStyle w:val="Strong"/>
                                        <w:rFonts w:ascii="Helvetica" w:hAnsi="Helvetica" w:cs="Helvetica"/>
                                        <w:color w:val="000000"/>
                                      </w:rPr>
                                      <w:t>Set an appropriate level of challenge to develop pupils’ self-regulation and metacognition.</w:t>
                                    </w:r>
                                    <w:r>
                                      <w:rPr>
                                        <w:rFonts w:ascii="Helvetica" w:hAnsi="Helvetica" w:cs="Helvetica"/>
                                        <w:color w:val="F2F2F2"/>
                                        <w:sz w:val="21"/>
                                        <w:szCs w:val="21"/>
                                      </w:rPr>
                                      <w:t xml:space="preserve"> </w:t>
                                    </w:r>
                                  </w:p>
                                </w:tc>
                              </w:tr>
                            </w:tbl>
                            <w:p w:rsidR="00714F6A" w:rsidRDefault="00714F6A">
                              <w:pPr>
                                <w:rPr>
                                  <w:rFonts w:ascii="Times New Roman" w:hAnsi="Times New Roman"/>
                                  <w:sz w:val="20"/>
                                </w:rPr>
                              </w:pPr>
                            </w:p>
                          </w:tc>
                        </w:tr>
                      </w:tbl>
                      <w:p w:rsidR="00714F6A" w:rsidRDefault="00714F6A">
                        <w:pPr>
                          <w:rPr>
                            <w:sz w:val="20"/>
                          </w:rPr>
                        </w:pPr>
                      </w:p>
                    </w:tc>
                  </w:tr>
                </w:tbl>
                <w:p w:rsidR="00714F6A" w:rsidRDefault="00714F6A">
                  <w:pPr>
                    <w:jc w:val="cente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14F6A">
                          <w:tc>
                            <w:tcPr>
                              <w:tcW w:w="0" w:type="auto"/>
                              <w:tcMar>
                                <w:top w:w="0" w:type="dxa"/>
                                <w:left w:w="270" w:type="dxa"/>
                                <w:bottom w:w="135" w:type="dxa"/>
                                <w:right w:w="270" w:type="dxa"/>
                              </w:tcMar>
                              <w:hideMark/>
                            </w:tcPr>
                            <w:p w:rsidR="00714F6A" w:rsidRDefault="00714F6A">
                              <w:pPr>
                                <w:spacing w:before="150" w:after="150" w:line="300" w:lineRule="auto"/>
                                <w:rPr>
                                  <w:rFonts w:eastAsiaTheme="minorHAnsi" w:cs="Arial"/>
                                  <w:color w:val="202020"/>
                                </w:rPr>
                              </w:pPr>
                              <w:r>
                                <w:rPr>
                                  <w:rFonts w:cs="Arial"/>
                                  <w:color w:val="000000"/>
                                </w:rPr>
                                <w:t>Challenge is key to developing self-regulation and metacognition: if learners are not challenged, they will not develop new and useful strategies; nor will they reflect deeply on the content they are engaging with, or on their learning strategies, or stretch their understanding of themselves.</w:t>
                              </w:r>
                              <w:r>
                                <w:rPr>
                                  <w:rFonts w:cs="Arial"/>
                                  <w:color w:val="000000"/>
                                </w:rPr>
                                <w:br/>
                              </w:r>
                              <w:r>
                                <w:rPr>
                                  <w:rFonts w:cs="Arial"/>
                                  <w:color w:val="000000"/>
                                </w:rPr>
                                <w:br/>
                                <w:t>Put simply, and somewhat paradoxically, if pupils have to undertake a task that makes them struggle (remember ‘deliberate difficulties’ from email #5), they are more likely (in the future) to recall information from such tasks from their long-term memory. [1] </w:t>
                              </w:r>
                              <w:r>
                                <w:rPr>
                                  <w:rFonts w:cs="Arial"/>
                                  <w:color w:val="000000"/>
                                </w:rPr>
                                <w:br/>
                              </w:r>
                              <w:r>
                                <w:rPr>
                                  <w:rFonts w:cs="Arial"/>
                                  <w:color w:val="000000"/>
                                </w:rPr>
                                <w:br/>
                                <w:t>A successful pupil will regularly engage in metacognitive reflection, asking questions of themselves as they learn and take on challenging tasks, such as:</w:t>
                              </w:r>
                            </w:p>
                          </w:tc>
                        </w:tr>
                      </w:tbl>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9017"/>
                  </w:tblGrid>
                  <w:tr w:rsidR="00714F6A">
                    <w:trPr>
                      <w:jc w:val="center"/>
                      <w:hidden/>
                    </w:trPr>
                    <w:tc>
                      <w:tcPr>
                        <w:tcW w:w="0" w:type="auto"/>
                        <w:hideMark/>
                      </w:tcPr>
                      <w:p w:rsidR="00714F6A" w:rsidRDefault="00714F6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7"/>
                        </w:tblGrid>
                        <w:tr w:rsidR="00714F6A">
                          <w:tc>
                            <w:tcPr>
                              <w:tcW w:w="0" w:type="auto"/>
                              <w:tcMar>
                                <w:top w:w="135" w:type="dxa"/>
                                <w:left w:w="270" w:type="dxa"/>
                                <w:bottom w:w="135" w:type="dxa"/>
                                <w:right w:w="270" w:type="dxa"/>
                              </w:tcMar>
                              <w:vAlign w:val="center"/>
                              <w:hideMark/>
                            </w:tcPr>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8447"/>
                              </w:tblGrid>
                              <w:tr w:rsidR="00714F6A">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714F6A" w:rsidRDefault="00714F6A">
                                    <w:pPr>
                                      <w:spacing w:line="360" w:lineRule="auto"/>
                                      <w:rPr>
                                        <w:rFonts w:ascii="Helvetica" w:hAnsi="Helvetica" w:cs="Helvetica"/>
                                        <w:color w:val="000000"/>
                                        <w:sz w:val="20"/>
                                      </w:rPr>
                                    </w:pPr>
                                    <w:r>
                                      <w:rPr>
                                        <w:rStyle w:val="Strong"/>
                                        <w:rFonts w:ascii="Helvetica" w:hAnsi="Helvetica" w:cs="Helvetica"/>
                                        <w:i/>
                                        <w:iCs/>
                                        <w:color w:val="000000"/>
                                        <w:sz w:val="20"/>
                                      </w:rPr>
                                      <w:t>Knowledge of task:</w:t>
                                    </w:r>
                                  </w:p>
                                  <w:p w:rsidR="00714F6A" w:rsidRDefault="00714F6A" w:rsidP="00714F6A">
                                    <w:pPr>
                                      <w:numPr>
                                        <w:ilvl w:val="0"/>
                                        <w:numId w:val="10"/>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t>Is this task too challenging for me?</w:t>
                                    </w:r>
                                  </w:p>
                                  <w:p w:rsidR="00714F6A" w:rsidRDefault="00714F6A" w:rsidP="00714F6A">
                                    <w:pPr>
                                      <w:numPr>
                                        <w:ilvl w:val="0"/>
                                        <w:numId w:val="10"/>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t>What are the most difficult aspects of this task?</w:t>
                                    </w:r>
                                  </w:p>
                                  <w:p w:rsidR="00714F6A" w:rsidRDefault="00714F6A" w:rsidP="00714F6A">
                                    <w:pPr>
                                      <w:numPr>
                                        <w:ilvl w:val="0"/>
                                        <w:numId w:val="10"/>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t>How much time should I devote to this task?</w:t>
                                    </w:r>
                                  </w:p>
                                  <w:p w:rsidR="00714F6A" w:rsidRDefault="00714F6A" w:rsidP="00714F6A">
                                    <w:pPr>
                                      <w:numPr>
                                        <w:ilvl w:val="0"/>
                                        <w:numId w:val="10"/>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t>Are there easy bits I can get ‘done’? </w:t>
                                    </w:r>
                                  </w:p>
                                </w:tc>
                              </w:tr>
                            </w:tbl>
                            <w:p w:rsidR="00714F6A" w:rsidRDefault="00714F6A">
                              <w:pPr>
                                <w:rPr>
                                  <w:rFonts w:ascii="Times New Roman" w:hAnsi="Times New Roman"/>
                                  <w:sz w:val="20"/>
                                </w:rPr>
                              </w:pPr>
                            </w:p>
                          </w:tc>
                        </w:tr>
                      </w:tbl>
                      <w:p w:rsidR="00714F6A" w:rsidRDefault="00714F6A">
                        <w:pPr>
                          <w:rPr>
                            <w:sz w:val="20"/>
                          </w:rPr>
                        </w:pPr>
                      </w:p>
                    </w:tc>
                  </w:tr>
                </w:tbl>
                <w:p w:rsidR="00714F6A" w:rsidRDefault="00714F6A">
                  <w:pPr>
                    <w:jc w:val="cente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9018"/>
                  </w:tblGrid>
                  <w:tr w:rsidR="00714F6A">
                    <w:trPr>
                      <w:jc w:val="center"/>
                      <w:hidden/>
                    </w:trPr>
                    <w:tc>
                      <w:tcPr>
                        <w:tcW w:w="0" w:type="auto"/>
                        <w:hideMark/>
                      </w:tcPr>
                      <w:p w:rsidR="00714F6A" w:rsidRDefault="00714F6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8"/>
                        </w:tblGrid>
                        <w:tr w:rsidR="00714F6A">
                          <w:tc>
                            <w:tcPr>
                              <w:tcW w:w="0" w:type="auto"/>
                              <w:tcMar>
                                <w:top w:w="135" w:type="dxa"/>
                                <w:left w:w="270" w:type="dxa"/>
                                <w:bottom w:w="135" w:type="dxa"/>
                                <w:right w:w="270" w:type="dxa"/>
                              </w:tcMar>
                              <w:vAlign w:val="center"/>
                              <w:hideMark/>
                            </w:tcPr>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8448"/>
                              </w:tblGrid>
                              <w:tr w:rsidR="00714F6A">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714F6A" w:rsidRDefault="00714F6A">
                                    <w:pPr>
                                      <w:spacing w:line="360" w:lineRule="auto"/>
                                      <w:rPr>
                                        <w:rFonts w:ascii="Helvetica" w:hAnsi="Helvetica" w:cs="Helvetica"/>
                                        <w:color w:val="000000"/>
                                        <w:sz w:val="20"/>
                                      </w:rPr>
                                    </w:pPr>
                                    <w:r>
                                      <w:rPr>
                                        <w:rStyle w:val="Emphasis"/>
                                        <w:rFonts w:ascii="Helvetica" w:hAnsi="Helvetica" w:cs="Helvetica"/>
                                        <w:b/>
                                        <w:bCs/>
                                        <w:color w:val="000000"/>
                                        <w:sz w:val="20"/>
                                      </w:rPr>
                                      <w:t>Knowledge of self:</w:t>
                                    </w:r>
                                  </w:p>
                                  <w:p w:rsidR="00714F6A" w:rsidRDefault="00714F6A" w:rsidP="00714F6A">
                                    <w:pPr>
                                      <w:numPr>
                                        <w:ilvl w:val="0"/>
                                        <w:numId w:val="11"/>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t>Is this task asking for subject knowledge I can remember?</w:t>
                                    </w:r>
                                  </w:p>
                                  <w:p w:rsidR="00714F6A" w:rsidRDefault="00714F6A" w:rsidP="00714F6A">
                                    <w:pPr>
                                      <w:numPr>
                                        <w:ilvl w:val="0"/>
                                        <w:numId w:val="11"/>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t>Do I understand the concept(s) that underpins this task?</w:t>
                                    </w:r>
                                  </w:p>
                                  <w:p w:rsidR="00714F6A" w:rsidRDefault="00714F6A" w:rsidP="00714F6A">
                                    <w:pPr>
                                      <w:numPr>
                                        <w:ilvl w:val="0"/>
                                        <w:numId w:val="11"/>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t>Am I motivated to stick at this tricky task?</w:t>
                                    </w:r>
                                  </w:p>
                                  <w:p w:rsidR="00714F6A" w:rsidRDefault="00714F6A" w:rsidP="00714F6A">
                                    <w:pPr>
                                      <w:numPr>
                                        <w:ilvl w:val="0"/>
                                        <w:numId w:val="11"/>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lastRenderedPageBreak/>
                                      <w:t>What can I do to keep myself focused?</w:t>
                                    </w:r>
                                  </w:p>
                                </w:tc>
                              </w:tr>
                            </w:tbl>
                            <w:p w:rsidR="00714F6A" w:rsidRDefault="00714F6A">
                              <w:pPr>
                                <w:rPr>
                                  <w:rFonts w:ascii="Times New Roman" w:hAnsi="Times New Roman"/>
                                  <w:sz w:val="20"/>
                                </w:rPr>
                              </w:pPr>
                            </w:p>
                          </w:tc>
                        </w:tr>
                      </w:tbl>
                      <w:p w:rsidR="00714F6A" w:rsidRDefault="00714F6A">
                        <w:pPr>
                          <w:rPr>
                            <w:sz w:val="20"/>
                          </w:rPr>
                        </w:pPr>
                      </w:p>
                    </w:tc>
                  </w:tr>
                </w:tbl>
                <w:p w:rsidR="00714F6A" w:rsidRDefault="00714F6A">
                  <w:pPr>
                    <w:jc w:val="cente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9018"/>
                  </w:tblGrid>
                  <w:tr w:rsidR="00714F6A">
                    <w:trPr>
                      <w:jc w:val="center"/>
                      <w:hidden/>
                    </w:trPr>
                    <w:tc>
                      <w:tcPr>
                        <w:tcW w:w="0" w:type="auto"/>
                        <w:hideMark/>
                      </w:tcPr>
                      <w:p w:rsidR="00714F6A" w:rsidRDefault="00714F6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8"/>
                        </w:tblGrid>
                        <w:tr w:rsidR="00714F6A">
                          <w:tc>
                            <w:tcPr>
                              <w:tcW w:w="0" w:type="auto"/>
                              <w:tcMar>
                                <w:top w:w="135" w:type="dxa"/>
                                <w:left w:w="270" w:type="dxa"/>
                                <w:bottom w:w="135" w:type="dxa"/>
                                <w:right w:w="270" w:type="dxa"/>
                              </w:tcMar>
                              <w:vAlign w:val="center"/>
                              <w:hideMark/>
                            </w:tcPr>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8448"/>
                              </w:tblGrid>
                              <w:tr w:rsidR="00714F6A">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714F6A" w:rsidRDefault="00714F6A">
                                    <w:pPr>
                                      <w:spacing w:line="360" w:lineRule="auto"/>
                                      <w:rPr>
                                        <w:rFonts w:ascii="Helvetica" w:hAnsi="Helvetica" w:cs="Helvetica"/>
                                        <w:color w:val="000000"/>
                                        <w:sz w:val="20"/>
                                      </w:rPr>
                                    </w:pPr>
                                    <w:r>
                                      <w:rPr>
                                        <w:rStyle w:val="Emphasis"/>
                                        <w:rFonts w:ascii="Helvetica" w:hAnsi="Helvetica" w:cs="Helvetica"/>
                                        <w:b/>
                                        <w:bCs/>
                                        <w:color w:val="000000"/>
                                        <w:sz w:val="20"/>
                                      </w:rPr>
                                      <w:t>Knowledge of strategies:</w:t>
                                    </w:r>
                                  </w:p>
                                  <w:p w:rsidR="00714F6A" w:rsidRDefault="00714F6A" w:rsidP="00714F6A">
                                    <w:pPr>
                                      <w:numPr>
                                        <w:ilvl w:val="0"/>
                                        <w:numId w:val="12"/>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t>Are my notes effective for understanding this task?</w:t>
                                    </w:r>
                                  </w:p>
                                  <w:p w:rsidR="00714F6A" w:rsidRDefault="00714F6A" w:rsidP="00714F6A">
                                    <w:pPr>
                                      <w:numPr>
                                        <w:ilvl w:val="0"/>
                                        <w:numId w:val="12"/>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t>Do I need to ask the teacher for help?</w:t>
                                    </w:r>
                                  </w:p>
                                  <w:p w:rsidR="00714F6A" w:rsidRDefault="00714F6A" w:rsidP="00714F6A">
                                    <w:pPr>
                                      <w:numPr>
                                        <w:ilvl w:val="0"/>
                                        <w:numId w:val="12"/>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t>What strategies can I deploy if I am stuck?</w:t>
                                    </w:r>
                                  </w:p>
                                  <w:p w:rsidR="00714F6A" w:rsidRDefault="00714F6A" w:rsidP="00714F6A">
                                    <w:pPr>
                                      <w:numPr>
                                        <w:ilvl w:val="0"/>
                                        <w:numId w:val="12"/>
                                      </w:numPr>
                                      <w:spacing w:before="100" w:beforeAutospacing="1" w:after="100" w:afterAutospacing="1" w:line="360" w:lineRule="auto"/>
                                      <w:rPr>
                                        <w:rFonts w:ascii="Helvetica" w:hAnsi="Helvetica" w:cs="Helvetica"/>
                                        <w:color w:val="000000"/>
                                        <w:sz w:val="20"/>
                                      </w:rPr>
                                    </w:pPr>
                                    <w:r>
                                      <w:rPr>
                                        <w:rFonts w:ascii="Helvetica" w:hAnsi="Helvetica" w:cs="Helvetica"/>
                                        <w:color w:val="000000"/>
                                        <w:sz w:val="20"/>
                                      </w:rPr>
                                      <w:t>What can I do to ensure I remember what I’ve learned?</w:t>
                                    </w:r>
                                  </w:p>
                                </w:tc>
                              </w:tr>
                            </w:tbl>
                            <w:p w:rsidR="00714F6A" w:rsidRDefault="00714F6A">
                              <w:pPr>
                                <w:rPr>
                                  <w:rFonts w:ascii="Times New Roman" w:hAnsi="Times New Roman"/>
                                  <w:sz w:val="20"/>
                                </w:rPr>
                              </w:pPr>
                            </w:p>
                          </w:tc>
                        </w:tr>
                      </w:tbl>
                      <w:p w:rsidR="00714F6A" w:rsidRDefault="00714F6A">
                        <w:pPr>
                          <w:rPr>
                            <w:sz w:val="20"/>
                          </w:rPr>
                        </w:pPr>
                      </w:p>
                    </w:tc>
                  </w:tr>
                </w:tbl>
                <w:p w:rsidR="00714F6A" w:rsidRDefault="00714F6A">
                  <w:pPr>
                    <w:jc w:val="cente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14F6A">
                          <w:tc>
                            <w:tcPr>
                              <w:tcW w:w="0" w:type="auto"/>
                              <w:tcMar>
                                <w:top w:w="0" w:type="dxa"/>
                                <w:left w:w="270" w:type="dxa"/>
                                <w:bottom w:w="135" w:type="dxa"/>
                                <w:right w:w="270" w:type="dxa"/>
                              </w:tcMar>
                              <w:hideMark/>
                            </w:tcPr>
                            <w:p w:rsidR="00714F6A" w:rsidRDefault="00714F6A">
                              <w:pPr>
                                <w:spacing w:line="360" w:lineRule="auto"/>
                                <w:rPr>
                                  <w:rFonts w:ascii="Helvetica" w:hAnsi="Helvetica" w:cs="Helvetica"/>
                                  <w:color w:val="000000"/>
                                </w:rPr>
                              </w:pPr>
                              <w:r>
                                <w:rPr>
                                  <w:rFonts w:ascii="Helvetica" w:hAnsi="Helvetica" w:cs="Helvetica"/>
                                  <w:color w:val="000000"/>
                                </w:rPr>
                                <w:t>A successful metacognitive learner will ask such questions, either consciously or as an unconscious process, and typically exhibit an awareness of the degree of challenge in what they are learning.</w:t>
                              </w:r>
                              <w:r>
                                <w:rPr>
                                  <w:rFonts w:ascii="Helvetica" w:hAnsi="Helvetica" w:cs="Helvetica"/>
                                  <w:color w:val="000000"/>
                                </w:rPr>
                                <w:br/>
                              </w:r>
                              <w:r>
                                <w:rPr>
                                  <w:rFonts w:ascii="Helvetica" w:hAnsi="Helvetica" w:cs="Helvetica"/>
                                  <w:color w:val="000000"/>
                                </w:rPr>
                                <w:br/>
                                <w:t>However, challenge needs to be set at an appropriate level, otherwise one or both of the following may occur:</w:t>
                              </w:r>
                            </w:p>
                            <w:p w:rsidR="00714F6A" w:rsidRDefault="00714F6A" w:rsidP="00714F6A">
                              <w:pPr>
                                <w:numPr>
                                  <w:ilvl w:val="0"/>
                                  <w:numId w:val="13"/>
                                </w:numPr>
                                <w:spacing w:before="100" w:beforeAutospacing="1" w:after="100" w:afterAutospacing="1" w:line="360" w:lineRule="auto"/>
                                <w:rPr>
                                  <w:rFonts w:ascii="Helvetica" w:hAnsi="Helvetica" w:cs="Helvetica"/>
                                  <w:color w:val="000000"/>
                                </w:rPr>
                              </w:pPr>
                              <w:r>
                                <w:rPr>
                                  <w:rFonts w:ascii="Helvetica" w:hAnsi="Helvetica" w:cs="Helvetica"/>
                                  <w:color w:val="000000"/>
                                </w:rPr>
                                <w:t>the learner will not accept the challenge; or</w:t>
                              </w:r>
                            </w:p>
                            <w:p w:rsidR="00714F6A" w:rsidRDefault="00714F6A" w:rsidP="00714F6A">
                              <w:pPr>
                                <w:numPr>
                                  <w:ilvl w:val="0"/>
                                  <w:numId w:val="13"/>
                                </w:numPr>
                                <w:spacing w:before="100" w:beforeAutospacing="1" w:after="100" w:afterAutospacing="1" w:line="360" w:lineRule="auto"/>
                                <w:rPr>
                                  <w:rFonts w:ascii="Helvetica" w:hAnsi="Helvetica" w:cs="Helvetica"/>
                                  <w:color w:val="202020"/>
                                </w:rPr>
                              </w:pPr>
                              <w:r>
                                <w:rPr>
                                  <w:rFonts w:ascii="Helvetica" w:hAnsi="Helvetica" w:cs="Helvetica"/>
                                  <w:color w:val="000000"/>
                                </w:rPr>
                                <w:t>the learner will suffer cognitive overload.</w:t>
                              </w:r>
                            </w:p>
                          </w:tc>
                        </w:tr>
                      </w:tbl>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14F6A">
                          <w:tc>
                            <w:tcPr>
                              <w:tcW w:w="0" w:type="auto"/>
                              <w:tcMar>
                                <w:top w:w="0" w:type="dxa"/>
                                <w:left w:w="270" w:type="dxa"/>
                                <w:bottom w:w="135" w:type="dxa"/>
                                <w:right w:w="270" w:type="dxa"/>
                              </w:tcMar>
                              <w:hideMark/>
                            </w:tcPr>
                            <w:p w:rsidR="00714F6A" w:rsidRDefault="00714F6A">
                              <w:pPr>
                                <w:spacing w:line="360" w:lineRule="auto"/>
                                <w:rPr>
                                  <w:rFonts w:ascii="Helvetica" w:hAnsi="Helvetica" w:cs="Helvetica"/>
                                  <w:color w:val="000000"/>
                                </w:rPr>
                              </w:pPr>
                              <w:r>
                                <w:rPr>
                                  <w:rStyle w:val="Strong"/>
                                  <w:rFonts w:ascii="Helvetica" w:hAnsi="Helvetica" w:cs="Helvetica"/>
                                  <w:color w:val="000000"/>
                                </w:rPr>
                                <w:t>Accepted challenge and motivation</w:t>
                              </w:r>
                              <w:r>
                                <w:rPr>
                                  <w:rFonts w:ascii="Helvetica" w:hAnsi="Helvetica" w:cs="Helvetica"/>
                                  <w:color w:val="000000"/>
                                </w:rPr>
                                <w:br/>
                              </w:r>
                              <w:r>
                                <w:rPr>
                                  <w:rFonts w:ascii="Helvetica" w:hAnsi="Helvetica" w:cs="Helvetica"/>
                                  <w:color w:val="000000"/>
                                </w:rPr>
                                <w:br/>
                                <w:t>As we know, motivation is one of the essential components of self-regulated learning. Pupils, and even animals, opt out of difficult trials; they avoid tests they are unlikely to answer correctly. [2] Where learners are being challenged it is important to ensure they feel emotionally supported as well as being motivated to persevere.</w:t>
                              </w:r>
                              <w:r>
                                <w:rPr>
                                  <w:rFonts w:ascii="Helvetica" w:hAnsi="Helvetica" w:cs="Helvetica"/>
                                  <w:color w:val="000000"/>
                                </w:rPr>
                                <w:br/>
                              </w:r>
                              <w:r>
                                <w:rPr>
                                  <w:rFonts w:ascii="Helvetica" w:hAnsi="Helvetica" w:cs="Helvetica"/>
                                  <w:color w:val="000000"/>
                                </w:rPr>
                                <w:br/>
                                <w:t>Metacognition, then, is of special importance when pupils make decisions about how to study and how to maintain effort and motivation until the task is complete. [3]</w:t>
                              </w:r>
                              <w:r>
                                <w:rPr>
                                  <w:rFonts w:ascii="Helvetica" w:hAnsi="Helvetica" w:cs="Helvetica"/>
                                  <w:color w:val="000000"/>
                                </w:rPr>
                                <w:br/>
                              </w:r>
                              <w:r>
                                <w:rPr>
                                  <w:rFonts w:ascii="Helvetica" w:hAnsi="Helvetica" w:cs="Helvetica"/>
                                  <w:color w:val="000000"/>
                                </w:rPr>
                                <w:lastRenderedPageBreak/>
                                <w:br/>
                                <w:t>Take homework, for example—an ever-present challenge to pupils, teachers, and parents alike. It is paramount to pitch homework at the right level of challenge, especially as the control and monitoring offered by the teacher in the classroom is absent. Metacognitive strategies are required to preserve self-motivation in this undertaking.</w:t>
                              </w:r>
                              <w:r>
                                <w:rPr>
                                  <w:rFonts w:ascii="Helvetica" w:hAnsi="Helvetica" w:cs="Helvetica"/>
                                  <w:color w:val="000000"/>
                                </w:rPr>
                                <w:br/>
                              </w:r>
                              <w:r>
                                <w:rPr>
                                  <w:rFonts w:ascii="Helvetica" w:hAnsi="Helvetica" w:cs="Helvetica"/>
                                  <w:color w:val="000000"/>
                                </w:rPr>
                                <w:br/>
                                <w:t xml:space="preserve">First, pupils will make a judgement on how challenging the homework is to them. If a given homework is clearly difficult, then a pupil will need </w:t>
                              </w:r>
                              <w:r>
                                <w:rPr>
                                  <w:rStyle w:val="Strong"/>
                                  <w:rFonts w:ascii="Helvetica" w:hAnsi="Helvetica" w:cs="Helvetica"/>
                                  <w:color w:val="000000"/>
                                </w:rPr>
                                <w:t>self-efficacy</w:t>
                              </w:r>
                              <w:r>
                                <w:rPr>
                                  <w:rFonts w:ascii="Helvetica" w:hAnsi="Helvetica" w:cs="Helvetica"/>
                                  <w:color w:val="000000"/>
                                </w:rPr>
                                <w:t xml:space="preserve"> [4]—or self-confidence in their ability to complete a given task—which is shown to predict the deployment of metacognitive strategies.</w:t>
                              </w:r>
                              <w:r>
                                <w:rPr>
                                  <w:rFonts w:ascii="Helvetica" w:hAnsi="Helvetica" w:cs="Helvetica"/>
                                  <w:color w:val="000000"/>
                                </w:rPr>
                                <w:br/>
                              </w:r>
                              <w:r>
                                <w:rPr>
                                  <w:rFonts w:ascii="Helvetica" w:hAnsi="Helvetica" w:cs="Helvetica"/>
                                  <w:color w:val="000000"/>
                                </w:rPr>
                                <w:br/>
                                <w:t>In motivating pupils to persevere at challenging tasks, it is important to reward effort rather than absolute levels of achievement; to give feedback about personal progress, and to avoid social comparison.</w:t>
                              </w:r>
                              <w:r>
                                <w:rPr>
                                  <w:rFonts w:ascii="Helvetica" w:hAnsi="Helvetica" w:cs="Helvetica"/>
                                  <w:color w:val="000000"/>
                                </w:rPr>
                                <w:br/>
                              </w:r>
                              <w:r>
                                <w:rPr>
                                  <w:rFonts w:ascii="Helvetica" w:hAnsi="Helvetica" w:cs="Helvetica"/>
                                  <w:color w:val="000000"/>
                                </w:rPr>
                                <w:br/>
                                <w:t>One obvious factor that has been found to relate to more effective use of metacognitive strategies, and sticking to tasks like homework, is the ability to delay gratification. Pupils who are better able to delay gratification in favour of studying, or undertaking homework, are also better at planning and regulating their learning, and vice versa. [5]</w:t>
                              </w:r>
                              <w:r>
                                <w:rPr>
                                  <w:rFonts w:ascii="Helvetica" w:hAnsi="Helvetica" w:cs="Helvetica"/>
                                  <w:color w:val="000000"/>
                                </w:rPr>
                                <w:br/>
                              </w:r>
                              <w:r>
                                <w:rPr>
                                  <w:rFonts w:ascii="Helvetica" w:hAnsi="Helvetica" w:cs="Helvetica"/>
                                  <w:color w:val="000000"/>
                                </w:rPr>
                                <w:br/>
                                <w:t xml:space="preserve">In Walter </w:t>
                              </w:r>
                              <w:proofErr w:type="spellStart"/>
                              <w:r>
                                <w:rPr>
                                  <w:rFonts w:ascii="Helvetica" w:hAnsi="Helvetica" w:cs="Helvetica"/>
                                  <w:color w:val="000000"/>
                                </w:rPr>
                                <w:t>Mischel’s</w:t>
                              </w:r>
                              <w:proofErr w:type="spellEnd"/>
                              <w:r>
                                <w:rPr>
                                  <w:rFonts w:ascii="Helvetica" w:hAnsi="Helvetica" w:cs="Helvetica"/>
                                  <w:color w:val="000000"/>
                                </w:rPr>
                                <w:t xml:space="preserve"> famous </w:t>
                              </w:r>
                              <w:r>
                                <w:rPr>
                                  <w:rStyle w:val="Strong"/>
                                  <w:rFonts w:ascii="Helvetica" w:hAnsi="Helvetica" w:cs="Helvetica"/>
                                  <w:color w:val="000000"/>
                                </w:rPr>
                                <w:t>‘marshmallow test’</w:t>
                              </w:r>
                              <w:r>
                                <w:rPr>
                                  <w:rFonts w:ascii="Helvetica" w:hAnsi="Helvetica" w:cs="Helvetica"/>
                                  <w:color w:val="000000"/>
                                </w:rPr>
                                <w:t>, young children were given the challenge of delaying their gratification by being offered the choice of one small reward—the marshmallow—or wait for 15 minutes to gain a larger reward of two marshmallows. [6] In this experiment, the children deployed a range of metacognitive strategies such as not looking at the marshmallow, or closing their eyes and thinking of something completely different.</w:t>
                              </w:r>
                              <w:r>
                                <w:rPr>
                                  <w:rFonts w:ascii="Helvetica" w:hAnsi="Helvetica" w:cs="Helvetica"/>
                                  <w:color w:val="000000"/>
                                </w:rPr>
                                <w:br/>
                              </w:r>
                              <w:r>
                                <w:rPr>
                                  <w:rFonts w:ascii="Helvetica" w:hAnsi="Helvetica" w:cs="Helvetica"/>
                                  <w:color w:val="000000"/>
                                </w:rPr>
                                <w:br/>
                                <w:t>It is such strategies that teachers can support children to deploy in a range of contexts, such as the aforementioned homework example.</w:t>
                              </w:r>
                              <w:r>
                                <w:rPr>
                                  <w:rFonts w:ascii="Helvetica" w:hAnsi="Helvetica" w:cs="Helvetica"/>
                                  <w:color w:val="000000"/>
                                </w:rPr>
                                <w:br/>
                              </w:r>
                            </w:p>
                            <w:p w:rsidR="00714F6A" w:rsidRDefault="00714F6A">
                              <w:pPr>
                                <w:spacing w:line="360" w:lineRule="auto"/>
                                <w:rPr>
                                  <w:rFonts w:ascii="Helvetica" w:hAnsi="Helvetica" w:cs="Helvetica"/>
                                  <w:color w:val="202020"/>
                                </w:rPr>
                              </w:pPr>
                              <w:r>
                                <w:rPr>
                                  <w:rFonts w:ascii="Helvetica" w:hAnsi="Helvetica" w:cs="Helvetica"/>
                                  <w:color w:val="000000"/>
                                </w:rPr>
                                <w:lastRenderedPageBreak/>
                                <w:br/>
                              </w:r>
                              <w:r>
                                <w:rPr>
                                  <w:rStyle w:val="Strong"/>
                                  <w:rFonts w:ascii="Helvetica" w:hAnsi="Helvetica" w:cs="Helvetica"/>
                                  <w:color w:val="000000"/>
                                </w:rPr>
                                <w:t xml:space="preserve">Helping pupils reduce cognitive overload </w:t>
                              </w:r>
                              <w:r>
                                <w:rPr>
                                  <w:rFonts w:ascii="Helvetica" w:hAnsi="Helvetica" w:cs="Helvetica"/>
                                  <w:color w:val="000000"/>
                                </w:rPr>
                                <w:br/>
                              </w:r>
                              <w:r>
                                <w:rPr>
                                  <w:rFonts w:ascii="Helvetica" w:hAnsi="Helvetica" w:cs="Helvetica"/>
                                  <w:color w:val="000000"/>
                                </w:rPr>
                                <w:br/>
                                <w:t>What is an appropriate level of challenge? This question requires expert knowledge both of a given subject, and of pupils in the classroom.</w:t>
                              </w:r>
                              <w:r>
                                <w:rPr>
                                  <w:rFonts w:ascii="Helvetica" w:hAnsi="Helvetica" w:cs="Helvetica"/>
                                  <w:color w:val="000000"/>
                                </w:rPr>
                                <w:br/>
                              </w:r>
                              <w:r>
                                <w:rPr>
                                  <w:rFonts w:ascii="Helvetica" w:hAnsi="Helvetica" w:cs="Helvetica"/>
                                  <w:color w:val="000000"/>
                                </w:rPr>
                                <w:br/>
                              </w:r>
                              <w:r>
                                <w:rPr>
                                  <w:rStyle w:val="Strong"/>
                                  <w:rFonts w:ascii="Helvetica" w:hAnsi="Helvetica" w:cs="Helvetica"/>
                                  <w:color w:val="000000"/>
                                </w:rPr>
                                <w:t>‘Cognitive load’ theory</w:t>
                              </w:r>
                              <w:r>
                                <w:rPr>
                                  <w:rFonts w:ascii="Helvetica" w:hAnsi="Helvetica" w:cs="Helvetica"/>
                                  <w:color w:val="000000"/>
                                </w:rPr>
                                <w:t xml:space="preserve">, [7] developed by John </w:t>
                              </w:r>
                              <w:proofErr w:type="spellStart"/>
                              <w:r>
                                <w:rPr>
                                  <w:rFonts w:ascii="Helvetica" w:hAnsi="Helvetica" w:cs="Helvetica"/>
                                  <w:color w:val="000000"/>
                                </w:rPr>
                                <w:t>Sweller</w:t>
                              </w:r>
                              <w:proofErr w:type="spellEnd"/>
                              <w:r>
                                <w:rPr>
                                  <w:rFonts w:ascii="Helvetica" w:hAnsi="Helvetica" w:cs="Helvetica"/>
                                  <w:color w:val="000000"/>
                                </w:rPr>
                                <w:t xml:space="preserve"> out of the study of problem solving, offers a handy model to understand the ‘Goldilocks degree of challenge’: not too hard, not too easy, but just right. </w:t>
                              </w:r>
                              <w:r>
                                <w:rPr>
                                  <w:rFonts w:ascii="Helvetica" w:hAnsi="Helvetica" w:cs="Helvetica"/>
                                  <w:color w:val="000000"/>
                                </w:rPr>
                                <w:br/>
                              </w:r>
                              <w:r>
                                <w:rPr>
                                  <w:rFonts w:ascii="Helvetica" w:hAnsi="Helvetica" w:cs="Helvetica"/>
                                  <w:color w:val="000000"/>
                                </w:rPr>
                                <w:br/>
                                <w:t>Put simply, ‘cognitive load’ is the amount of information our working memory can hold at any one time. The working memory is where we process information and is key to learning.</w:t>
                              </w:r>
                              <w:r>
                                <w:rPr>
                                  <w:rFonts w:ascii="Helvetica" w:hAnsi="Helvetica" w:cs="Helvetica"/>
                                  <w:color w:val="000000"/>
                                </w:rPr>
                                <w:br/>
                              </w:r>
                              <w:r>
                                <w:rPr>
                                  <w:rFonts w:ascii="Helvetica" w:hAnsi="Helvetica" w:cs="Helvetica"/>
                                  <w:color w:val="000000"/>
                                </w:rPr>
                                <w:br/>
                                <w:t xml:space="preserve">The capacity of the </w:t>
                              </w:r>
                              <w:r>
                                <w:rPr>
                                  <w:rStyle w:val="Strong"/>
                                  <w:rFonts w:ascii="Helvetica" w:hAnsi="Helvetica" w:cs="Helvetica"/>
                                  <w:color w:val="000000"/>
                                </w:rPr>
                                <w:t>working memory</w:t>
                              </w:r>
                              <w:r>
                                <w:rPr>
                                  <w:rFonts w:ascii="Helvetica" w:hAnsi="Helvetica" w:cs="Helvetica"/>
                                  <w:color w:val="000000"/>
                                </w:rPr>
                                <w:t xml:space="preserve"> is limited. We can, however, support pupils to maximise their working memory with a range of apt metacognitive strategies.</w:t>
                              </w:r>
                              <w:r>
                                <w:rPr>
                                  <w:rFonts w:ascii="Helvetica" w:hAnsi="Helvetica" w:cs="Helvetica"/>
                                  <w:color w:val="000000"/>
                                </w:rPr>
                                <w:br/>
                              </w:r>
                              <w:r>
                                <w:rPr>
                                  <w:rFonts w:ascii="Helvetica" w:hAnsi="Helvetica" w:cs="Helvetica"/>
                                  <w:color w:val="000000"/>
                                </w:rPr>
                                <w:br/>
                                <w:t xml:space="preserve">For example, we can rehearse the components of a complex task (such as the worked examples already mentioned) so that it becomes automated, thus freeing up working memory capacity. Or we might suggest creating stories from information to be remembered, [8] or grouping information into more memorable categories or more accessible </w:t>
                              </w:r>
                              <w:r>
                                <w:rPr>
                                  <w:rStyle w:val="Strong"/>
                                  <w:rFonts w:ascii="Helvetica" w:hAnsi="Helvetica" w:cs="Helvetica"/>
                                  <w:color w:val="000000"/>
                                </w:rPr>
                                <w:t>‘chunks’</w:t>
                              </w:r>
                              <w:r>
                                <w:rPr>
                                  <w:rFonts w:ascii="Helvetica" w:hAnsi="Helvetica" w:cs="Helvetica"/>
                                  <w:color w:val="000000"/>
                                </w:rPr>
                                <w:t>. [9]</w:t>
                              </w:r>
                              <w:r>
                                <w:rPr>
                                  <w:rFonts w:ascii="Helvetica" w:hAnsi="Helvetica" w:cs="Helvetica"/>
                                  <w:color w:val="000000"/>
                                </w:rPr>
                                <w:br/>
                              </w:r>
                              <w:r>
                                <w:rPr>
                                  <w:rFonts w:ascii="Helvetica" w:hAnsi="Helvetica" w:cs="Helvetica"/>
                                  <w:color w:val="000000"/>
                                </w:rPr>
                                <w:br/>
                                <w:t>Understanding cognitive load in relation to self-regulation and metacognition has a number of consequences.</w:t>
                              </w:r>
                              <w:r>
                                <w:rPr>
                                  <w:rFonts w:ascii="Helvetica" w:hAnsi="Helvetica" w:cs="Helvetica"/>
                                  <w:color w:val="000000"/>
                                </w:rPr>
                                <w:br/>
                              </w:r>
                              <w:r>
                                <w:rPr>
                                  <w:rFonts w:ascii="Helvetica" w:hAnsi="Helvetica" w:cs="Helvetica"/>
                                  <w:color w:val="000000"/>
                                </w:rPr>
                                <w:br/>
                                <w:t>First, where we can draw on existing knowledge from the long-term memory, we increase capacity; this is one reason why knowledge matters and why learners need to be taught to first try and activate prior knowledge.</w:t>
                              </w:r>
                              <w:r>
                                <w:rPr>
                                  <w:rFonts w:ascii="Helvetica" w:hAnsi="Helvetica" w:cs="Helvetica"/>
                                  <w:color w:val="000000"/>
                                </w:rPr>
                                <w:br/>
                              </w:r>
                              <w:r>
                                <w:rPr>
                                  <w:rFonts w:ascii="Helvetica" w:hAnsi="Helvetica" w:cs="Helvetica"/>
                                  <w:color w:val="000000"/>
                                </w:rPr>
                                <w:br/>
                                <w:t xml:space="preserve">Second, we need to make sure that learning activities don’t overburden working memory; we need to teach strategies to cope with demanding tasks—for </w:t>
                              </w:r>
                              <w:r>
                                <w:rPr>
                                  <w:rFonts w:ascii="Helvetica" w:hAnsi="Helvetica" w:cs="Helvetica"/>
                                  <w:color w:val="000000"/>
                                </w:rPr>
                                <w:lastRenderedPageBreak/>
                                <w:t>example, using diagrams, notes, and other external aids, talking through the problem out loud, or breaking the task down into simpler steps. </w:t>
                              </w:r>
                              <w:r>
                                <w:rPr>
                                  <w:rFonts w:ascii="Helvetica" w:hAnsi="Helvetica" w:cs="Helvetica"/>
                                  <w:color w:val="000000"/>
                                </w:rPr>
                                <w:br/>
                              </w:r>
                              <w:r>
                                <w:rPr>
                                  <w:rFonts w:ascii="Helvetica" w:hAnsi="Helvetica" w:cs="Helvetica"/>
                                  <w:color w:val="000000"/>
                                </w:rPr>
                                <w:br/>
                                <w:t>In terms of developing self-regulated learning and metacognition, this means we need to make sure that we don’t give too much information at the same time (when delivering explicit instruction), and do not expect the learner to take on too much challenge when doing guided practice and independent work.</w:t>
                              </w:r>
                              <w:r>
                                <w:rPr>
                                  <w:rFonts w:ascii="Helvetica" w:hAnsi="Helvetica" w:cs="Helvetica"/>
                                  <w:color w:val="000000"/>
                                </w:rPr>
                                <w:br/>
                              </w:r>
                              <w:r>
                                <w:rPr>
                                  <w:rFonts w:ascii="Helvetica" w:hAnsi="Helvetica" w:cs="Helvetica"/>
                                  <w:color w:val="000000"/>
                                </w:rPr>
                                <w:br/>
                                <w:t xml:space="preserve">The use of </w:t>
                              </w:r>
                              <w:r>
                                <w:rPr>
                                  <w:rStyle w:val="Strong"/>
                                  <w:rFonts w:ascii="Helvetica" w:hAnsi="Helvetica" w:cs="Helvetica"/>
                                  <w:color w:val="000000"/>
                                </w:rPr>
                                <w:t>structured planning templates</w:t>
                              </w:r>
                              <w:r>
                                <w:rPr>
                                  <w:rFonts w:ascii="Helvetica" w:hAnsi="Helvetica" w:cs="Helvetica"/>
                                  <w:color w:val="000000"/>
                                </w:rPr>
                                <w:t xml:space="preserve">, </w:t>
                              </w:r>
                              <w:r>
                                <w:rPr>
                                  <w:rStyle w:val="Strong"/>
                                  <w:rFonts w:ascii="Helvetica" w:hAnsi="Helvetica" w:cs="Helvetica"/>
                                  <w:color w:val="000000"/>
                                </w:rPr>
                                <w:t>teacher modelling</w:t>
                              </w:r>
                              <w:r>
                                <w:rPr>
                                  <w:rFonts w:ascii="Helvetica" w:hAnsi="Helvetica" w:cs="Helvetica"/>
                                  <w:color w:val="000000"/>
                                </w:rPr>
                                <w:t xml:space="preserve">, </w:t>
                              </w:r>
                              <w:r>
                                <w:rPr>
                                  <w:rStyle w:val="Strong"/>
                                  <w:rFonts w:ascii="Helvetica" w:hAnsi="Helvetica" w:cs="Helvetica"/>
                                  <w:color w:val="000000"/>
                                </w:rPr>
                                <w:t>worked examples</w:t>
                              </w:r>
                              <w:r>
                                <w:rPr>
                                  <w:rFonts w:ascii="Helvetica" w:hAnsi="Helvetica" w:cs="Helvetica"/>
                                  <w:color w:val="000000"/>
                                </w:rPr>
                                <w:t xml:space="preserve">, and </w:t>
                              </w:r>
                              <w:r>
                                <w:rPr>
                                  <w:rStyle w:val="Strong"/>
                                  <w:rFonts w:ascii="Helvetica" w:hAnsi="Helvetica" w:cs="Helvetica"/>
                                  <w:color w:val="000000"/>
                                </w:rPr>
                                <w:t>breaking down activities into steps</w:t>
                              </w:r>
                              <w:r>
                                <w:rPr>
                                  <w:rFonts w:ascii="Helvetica" w:hAnsi="Helvetica" w:cs="Helvetica"/>
                                  <w:color w:val="000000"/>
                                </w:rPr>
                                <w:t xml:space="preserve"> can help achieve this. </w:t>
                              </w:r>
                              <w:r>
                                <w:rPr>
                                  <w:rFonts w:ascii="Helvetica" w:hAnsi="Helvetica" w:cs="Helvetica"/>
                                  <w:color w:val="000000"/>
                                </w:rPr>
                                <w:br/>
                              </w:r>
                              <w:r>
                                <w:rPr>
                                  <w:rFonts w:ascii="Helvetica" w:hAnsi="Helvetica" w:cs="Helvetica"/>
                                  <w:color w:val="000000"/>
                                </w:rPr>
                                <w:br/>
                                <w:t>It also means that any metacognitive teaching tasks—like asking pupils to reflect on their learning—should be carefully placed so as not to distract from the learning at hand. Teachers shouldn’t expect pupils to develop new cognitive and metacognitive skills at the same time.</w:t>
                              </w:r>
                              <w:r>
                                <w:rPr>
                                  <w:rFonts w:ascii="Helvetica" w:hAnsi="Helvetica" w:cs="Helvetica"/>
                                  <w:color w:val="202020"/>
                                </w:rPr>
                                <w:t xml:space="preserve"> </w:t>
                              </w:r>
                            </w:p>
                          </w:tc>
                        </w:tr>
                      </w:tbl>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14F6A">
                          <w:tc>
                            <w:tcPr>
                              <w:tcW w:w="0" w:type="auto"/>
                              <w:tcMar>
                                <w:top w:w="0" w:type="dxa"/>
                                <w:left w:w="270" w:type="dxa"/>
                                <w:bottom w:w="135" w:type="dxa"/>
                                <w:right w:w="270" w:type="dxa"/>
                              </w:tcMar>
                              <w:hideMark/>
                            </w:tcPr>
                            <w:p w:rsidR="00714F6A" w:rsidRDefault="00714F6A">
                              <w:pPr>
                                <w:spacing w:line="300" w:lineRule="auto"/>
                                <w:rPr>
                                  <w:rFonts w:cs="Arial"/>
                                  <w:color w:val="202020"/>
                                </w:rPr>
                              </w:pPr>
                              <w:r>
                                <w:rPr>
                                  <w:rStyle w:val="Strong"/>
                                  <w:rFonts w:cs="Arial"/>
                                  <w:color w:val="202020"/>
                                </w:rPr>
                                <w:t>Further resources...</w:t>
                              </w:r>
                              <w:r>
                                <w:rPr>
                                  <w:rFonts w:cs="Arial"/>
                                  <w:color w:val="202020"/>
                                </w:rPr>
                                <w:br/>
                              </w:r>
                              <w:r>
                                <w:rPr>
                                  <w:rFonts w:cs="Arial"/>
                                  <w:color w:val="202020"/>
                                </w:rPr>
                                <w:br/>
                                <w:t xml:space="preserve">If this email has whetted your appetite to find out more about metacognition and self-regulation, you can: </w:t>
                              </w:r>
                            </w:p>
                            <w:p w:rsidR="00714F6A" w:rsidRDefault="00714F6A" w:rsidP="00714F6A">
                              <w:pPr>
                                <w:numPr>
                                  <w:ilvl w:val="0"/>
                                  <w:numId w:val="14"/>
                                </w:numPr>
                                <w:spacing w:before="100" w:beforeAutospacing="1" w:after="100" w:afterAutospacing="1" w:line="300" w:lineRule="auto"/>
                                <w:rPr>
                                  <w:rFonts w:cs="Arial"/>
                                  <w:color w:val="202020"/>
                                </w:rPr>
                              </w:pPr>
                              <w:r>
                                <w:rPr>
                                  <w:rFonts w:cs="Arial"/>
                                  <w:color w:val="202020"/>
                                </w:rPr>
                                <w:t xml:space="preserve">Find out more about working memory from the experts, Professor Susan </w:t>
                              </w:r>
                              <w:proofErr w:type="spellStart"/>
                              <w:r>
                                <w:rPr>
                                  <w:rFonts w:cs="Arial"/>
                                  <w:color w:val="202020"/>
                                </w:rPr>
                                <w:t>Gathercole</w:t>
                              </w:r>
                              <w:proofErr w:type="spellEnd"/>
                              <w:r>
                                <w:rPr>
                                  <w:rFonts w:cs="Arial"/>
                                  <w:color w:val="202020"/>
                                </w:rPr>
                                <w:t xml:space="preserve"> and Dr Tracey </w:t>
                              </w:r>
                              <w:proofErr w:type="spellStart"/>
                              <w:r>
                                <w:rPr>
                                  <w:rFonts w:cs="Arial"/>
                                  <w:color w:val="202020"/>
                                </w:rPr>
                                <w:t>Packiam</w:t>
                              </w:r>
                              <w:proofErr w:type="spellEnd"/>
                              <w:r>
                                <w:rPr>
                                  <w:rFonts w:cs="Arial"/>
                                  <w:color w:val="202020"/>
                                </w:rPr>
                                <w:t xml:space="preserve"> </w:t>
                              </w:r>
                              <w:proofErr w:type="spellStart"/>
                              <w:r>
                                <w:rPr>
                                  <w:rFonts w:cs="Arial"/>
                                  <w:color w:val="202020"/>
                                </w:rPr>
                                <w:t>Alloway</w:t>
                              </w:r>
                              <w:proofErr w:type="spellEnd"/>
                              <w:r>
                                <w:rPr>
                                  <w:rFonts w:cs="Arial"/>
                                  <w:color w:val="202020"/>
                                </w:rPr>
                                <w:t xml:space="preserve">, in this accessible </w:t>
                              </w:r>
                              <w:r>
                                <w:rPr>
                                  <w:rStyle w:val="Strong"/>
                                  <w:rFonts w:cs="Arial"/>
                                  <w:color w:val="202020"/>
                                </w:rPr>
                                <w:t>'Understanding Working Memory: A Classroom Guide'</w:t>
                              </w:r>
                              <w:r>
                                <w:rPr>
                                  <w:rFonts w:cs="Arial"/>
                                  <w:color w:val="202020"/>
                                </w:rPr>
                                <w:t xml:space="preserve">. </w:t>
                              </w:r>
                              <w:hyperlink r:id="rId5" w:tgtFrame="_blank" w:history="1">
                                <w:r>
                                  <w:rPr>
                                    <w:rStyle w:val="Hyperlink"/>
                                    <w:rFonts w:cs="Arial"/>
                                    <w:color w:val="007C89"/>
                                  </w:rPr>
                                  <w:t>Click here to view</w:t>
                                </w:r>
                              </w:hyperlink>
                              <w:r>
                                <w:rPr>
                                  <w:rFonts w:cs="Arial"/>
                                  <w:color w:val="202020"/>
                                </w:rPr>
                                <w:t>.</w:t>
                              </w:r>
                              <w:r>
                                <w:rPr>
                                  <w:rFonts w:cs="Arial"/>
                                  <w:color w:val="202020"/>
                                </w:rPr>
                                <w:br/>
                                <w:t> </w:t>
                              </w:r>
                            </w:p>
                            <w:p w:rsidR="00714F6A" w:rsidRDefault="00714F6A" w:rsidP="00714F6A">
                              <w:pPr>
                                <w:numPr>
                                  <w:ilvl w:val="0"/>
                                  <w:numId w:val="14"/>
                                </w:numPr>
                                <w:spacing w:before="100" w:beforeAutospacing="1" w:after="100" w:afterAutospacing="1" w:line="300" w:lineRule="auto"/>
                                <w:rPr>
                                  <w:rFonts w:cs="Arial"/>
                                  <w:color w:val="202020"/>
                                </w:rPr>
                              </w:pPr>
                              <w:r>
                                <w:rPr>
                                  <w:rFonts w:cs="Arial"/>
                                  <w:color w:val="202020"/>
                                </w:rPr>
                                <w:t xml:space="preserve">Homework is always an important issue in schools, so viewing the evidence on homework is very useful. Huntington Research School has a handy blog on </w:t>
                              </w:r>
                              <w:r>
                                <w:rPr>
                                  <w:rStyle w:val="Strong"/>
                                  <w:rFonts w:cs="Arial"/>
                                  <w:color w:val="202020"/>
                                </w:rPr>
                                <w:t>'Homework: what does the evidence say?'</w:t>
                              </w:r>
                              <w:r>
                                <w:rPr>
                                  <w:rFonts w:cs="Arial"/>
                                  <w:color w:val="202020"/>
                                </w:rPr>
                                <w:t xml:space="preserve"> </w:t>
                              </w:r>
                              <w:hyperlink r:id="rId6" w:tgtFrame="_blank" w:history="1">
                                <w:r>
                                  <w:rPr>
                                    <w:rStyle w:val="Hyperlink"/>
                                    <w:rFonts w:cs="Arial"/>
                                    <w:color w:val="007C89"/>
                                  </w:rPr>
                                  <w:t>Click here to view</w:t>
                                </w:r>
                              </w:hyperlink>
                              <w:r>
                                <w:rPr>
                                  <w:rFonts w:cs="Arial"/>
                                  <w:color w:val="202020"/>
                                </w:rPr>
                                <w:t>.</w:t>
                              </w:r>
                              <w:r>
                                <w:rPr>
                                  <w:rFonts w:cs="Arial"/>
                                  <w:color w:val="202020"/>
                                </w:rPr>
                                <w:br/>
                                <w:t> </w:t>
                              </w:r>
                            </w:p>
                            <w:p w:rsidR="00714F6A" w:rsidRDefault="00714F6A" w:rsidP="00714F6A">
                              <w:pPr>
                                <w:numPr>
                                  <w:ilvl w:val="0"/>
                                  <w:numId w:val="14"/>
                                </w:numPr>
                                <w:spacing w:before="100" w:beforeAutospacing="1" w:after="100" w:afterAutospacing="1" w:line="300" w:lineRule="auto"/>
                                <w:rPr>
                                  <w:rFonts w:cs="Arial"/>
                                  <w:color w:val="202020"/>
                                </w:rPr>
                              </w:pPr>
                              <w:r>
                                <w:rPr>
                                  <w:rFonts w:cs="Arial"/>
                                  <w:color w:val="202020"/>
                                </w:rPr>
                                <w:t xml:space="preserve">'Cognitive load' is a very popular concept and it is being shared with many teachers, but we likely need to dig into the evidence and find out more. Happily, the New South Wales government have produced an </w:t>
                              </w:r>
                              <w:r>
                                <w:rPr>
                                  <w:rFonts w:cs="Arial"/>
                                  <w:color w:val="202020"/>
                                </w:rPr>
                                <w:lastRenderedPageBreak/>
                                <w:t xml:space="preserve">excellent guide - </w:t>
                              </w:r>
                              <w:r>
                                <w:rPr>
                                  <w:rStyle w:val="Strong"/>
                                  <w:rFonts w:cs="Arial"/>
                                  <w:color w:val="202020"/>
                                </w:rPr>
                                <w:t>'Cognitive load theory: Research that teachers really need to understand'</w:t>
                              </w:r>
                              <w:r>
                                <w:rPr>
                                  <w:rFonts w:cs="Arial"/>
                                  <w:color w:val="202020"/>
                                </w:rPr>
                                <w:t xml:space="preserve">. </w:t>
                              </w:r>
                              <w:hyperlink r:id="rId7" w:tgtFrame="_blank" w:history="1">
                                <w:r>
                                  <w:rPr>
                                    <w:rStyle w:val="Hyperlink"/>
                                    <w:rFonts w:cs="Arial"/>
                                    <w:color w:val="007C89"/>
                                  </w:rPr>
                                  <w:t>Click here to view</w:t>
                                </w:r>
                              </w:hyperlink>
                              <w:r>
                                <w:rPr>
                                  <w:rFonts w:cs="Arial"/>
                                  <w:color w:val="202020"/>
                                </w:rPr>
                                <w:t>.</w:t>
                              </w:r>
                            </w:p>
                            <w:p w:rsidR="00714F6A" w:rsidRDefault="00714F6A">
                              <w:pPr>
                                <w:spacing w:line="300" w:lineRule="auto"/>
                                <w:rPr>
                                  <w:rFonts w:cs="Arial"/>
                                  <w:color w:val="202020"/>
                                </w:rPr>
                              </w:pPr>
                              <w:r>
                                <w:rPr>
                                  <w:rFonts w:cs="Arial"/>
                                  <w:color w:val="202020"/>
                                </w:rPr>
                                <w:t xml:space="preserve">You can access all the </w:t>
                              </w:r>
                              <w:proofErr w:type="spellStart"/>
                              <w:r>
                                <w:rPr>
                                  <w:rStyle w:val="Strong"/>
                                  <w:rFonts w:cs="Arial"/>
                                  <w:color w:val="202020"/>
                                </w:rPr>
                                <w:t>EEF's</w:t>
                              </w:r>
                              <w:proofErr w:type="spellEnd"/>
                              <w:r>
                                <w:rPr>
                                  <w:rStyle w:val="Strong"/>
                                  <w:rFonts w:cs="Arial"/>
                                  <w:color w:val="202020"/>
                                </w:rPr>
                                <w:t xml:space="preserve"> guidance reports</w:t>
                              </w:r>
                              <w:r>
                                <w:rPr>
                                  <w:rFonts w:cs="Arial"/>
                                  <w:color w:val="202020"/>
                                </w:rPr>
                                <w:t xml:space="preserve"> - with clear and actionable recommendations for teachers on a range of high-priority issues - by </w:t>
                              </w:r>
                              <w:hyperlink r:id="rId8" w:tgtFrame="_blank" w:history="1">
                                <w:r>
                                  <w:rPr>
                                    <w:rStyle w:val="Hyperlink"/>
                                    <w:rFonts w:cs="Arial"/>
                                    <w:color w:val="007C89"/>
                                  </w:rPr>
                                  <w:t>clicking here</w:t>
                                </w:r>
                              </w:hyperlink>
                              <w:r>
                                <w:rPr>
                                  <w:rFonts w:cs="Arial"/>
                                  <w:color w:val="202020"/>
                                </w:rPr>
                                <w:t xml:space="preserve">.  </w:t>
                              </w:r>
                            </w:p>
                          </w:tc>
                        </w:tr>
                      </w:tbl>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270" w:type="dxa"/>
                    <w:left w:w="270" w:type="dxa"/>
                    <w:bottom w:w="270" w:type="dxa"/>
                    <w:right w:w="270" w:type="dxa"/>
                  </w:tcMar>
                  <w:vAlign w:val="center"/>
                  <w:hideMark/>
                </w:tcPr>
                <w:p w:rsidR="00714F6A" w:rsidRDefault="00714F6A">
                  <w:pPr>
                    <w:rPr>
                      <w:sz w:val="20"/>
                    </w:rPr>
                  </w:pPr>
                  <w:bookmarkStart w:id="0" w:name="_GoBack"/>
                  <w:bookmarkEnd w:id="0"/>
                </w:p>
              </w:tc>
            </w:tr>
          </w:tbl>
          <w:p w:rsidR="00714F6A" w:rsidRDefault="00714F6A">
            <w:pPr>
              <w:rPr>
                <w:vanish/>
                <w:szCs w:val="24"/>
              </w:rPr>
            </w:pPr>
          </w:p>
          <w:p w:rsidR="00714F6A" w:rsidRDefault="00714F6A">
            <w:pPr>
              <w:rPr>
                <w:vanish/>
                <w:szCs w:val="24"/>
              </w:rPr>
            </w:pPr>
          </w:p>
          <w:p w:rsidR="00714F6A" w:rsidRDefault="00714F6A">
            <w:pPr>
              <w:rPr>
                <w:sz w:val="20"/>
              </w:rPr>
            </w:pPr>
          </w:p>
        </w:tc>
      </w:tr>
    </w:tbl>
    <w:p w:rsidR="00301E3F" w:rsidRDefault="00301E3F" w:rsidP="00B561C0"/>
    <w:sectPr w:rsidR="00301E3F"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7984C38"/>
    <w:multiLevelType w:val="multilevel"/>
    <w:tmpl w:val="881AC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224F14"/>
    <w:multiLevelType w:val="multilevel"/>
    <w:tmpl w:val="D0B08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66FEC"/>
    <w:multiLevelType w:val="multilevel"/>
    <w:tmpl w:val="0E60F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3C45377"/>
    <w:multiLevelType w:val="multilevel"/>
    <w:tmpl w:val="70DE6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F3925AC"/>
    <w:multiLevelType w:val="multilevel"/>
    <w:tmpl w:val="C296A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805E8"/>
    <w:multiLevelType w:val="multilevel"/>
    <w:tmpl w:val="7FA2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DAB57A8"/>
    <w:multiLevelType w:val="multilevel"/>
    <w:tmpl w:val="1FF2E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D45C6"/>
    <w:multiLevelType w:val="multilevel"/>
    <w:tmpl w:val="0DD88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3F"/>
    <w:rsid w:val="00027C27"/>
    <w:rsid w:val="000C0CF4"/>
    <w:rsid w:val="00102F80"/>
    <w:rsid w:val="0015424D"/>
    <w:rsid w:val="00281579"/>
    <w:rsid w:val="00301E3F"/>
    <w:rsid w:val="00306C61"/>
    <w:rsid w:val="0037582B"/>
    <w:rsid w:val="00714F6A"/>
    <w:rsid w:val="00857548"/>
    <w:rsid w:val="009B7615"/>
    <w:rsid w:val="00B51BDC"/>
    <w:rsid w:val="00B561C0"/>
    <w:rsid w:val="00B773CE"/>
    <w:rsid w:val="00C37083"/>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9EF3"/>
  <w15:chartTrackingRefBased/>
  <w15:docId w15:val="{5B2DADF3-3FD1-46A7-9C77-749DCEAA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Strong">
    <w:name w:val="Strong"/>
    <w:basedOn w:val="DefaultParagraphFont"/>
    <w:uiPriority w:val="22"/>
    <w:qFormat/>
    <w:rsid w:val="00301E3F"/>
    <w:rPr>
      <w:b/>
      <w:bCs/>
    </w:rPr>
  </w:style>
  <w:style w:type="character" w:styleId="Emphasis">
    <w:name w:val="Emphasis"/>
    <w:basedOn w:val="DefaultParagraphFont"/>
    <w:uiPriority w:val="20"/>
    <w:qFormat/>
    <w:rsid w:val="00301E3F"/>
    <w:rPr>
      <w:i/>
      <w:iCs/>
    </w:rPr>
  </w:style>
  <w:style w:type="character" w:styleId="Hyperlink">
    <w:name w:val="Hyperlink"/>
    <w:basedOn w:val="DefaultParagraphFont"/>
    <w:uiPriority w:val="99"/>
    <w:semiHidden/>
    <w:unhideWhenUsed/>
    <w:rsid w:val="00301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70031">
      <w:bodyDiv w:val="1"/>
      <w:marLeft w:val="0"/>
      <w:marRight w:val="0"/>
      <w:marTop w:val="0"/>
      <w:marBottom w:val="0"/>
      <w:divBdr>
        <w:top w:val="none" w:sz="0" w:space="0" w:color="auto"/>
        <w:left w:val="none" w:sz="0" w:space="0" w:color="auto"/>
        <w:bottom w:val="none" w:sz="0" w:space="0" w:color="auto"/>
        <w:right w:val="none" w:sz="0" w:space="0" w:color="auto"/>
      </w:divBdr>
    </w:div>
    <w:div w:id="239870689">
      <w:bodyDiv w:val="1"/>
      <w:marLeft w:val="0"/>
      <w:marRight w:val="0"/>
      <w:marTop w:val="0"/>
      <w:marBottom w:val="0"/>
      <w:divBdr>
        <w:top w:val="none" w:sz="0" w:space="0" w:color="auto"/>
        <w:left w:val="none" w:sz="0" w:space="0" w:color="auto"/>
        <w:bottom w:val="none" w:sz="0" w:space="0" w:color="auto"/>
        <w:right w:val="none" w:sz="0" w:space="0" w:color="auto"/>
      </w:divBdr>
    </w:div>
    <w:div w:id="267812488">
      <w:bodyDiv w:val="1"/>
      <w:marLeft w:val="0"/>
      <w:marRight w:val="0"/>
      <w:marTop w:val="0"/>
      <w:marBottom w:val="0"/>
      <w:divBdr>
        <w:top w:val="none" w:sz="0" w:space="0" w:color="auto"/>
        <w:left w:val="none" w:sz="0" w:space="0" w:color="auto"/>
        <w:bottom w:val="none" w:sz="0" w:space="0" w:color="auto"/>
        <w:right w:val="none" w:sz="0" w:space="0" w:color="auto"/>
      </w:divBdr>
    </w:div>
    <w:div w:id="347144708">
      <w:bodyDiv w:val="1"/>
      <w:marLeft w:val="0"/>
      <w:marRight w:val="0"/>
      <w:marTop w:val="0"/>
      <w:marBottom w:val="0"/>
      <w:divBdr>
        <w:top w:val="none" w:sz="0" w:space="0" w:color="auto"/>
        <w:left w:val="none" w:sz="0" w:space="0" w:color="auto"/>
        <w:bottom w:val="none" w:sz="0" w:space="0" w:color="auto"/>
        <w:right w:val="none" w:sz="0" w:space="0" w:color="auto"/>
      </w:divBdr>
    </w:div>
    <w:div w:id="360085457">
      <w:bodyDiv w:val="1"/>
      <w:marLeft w:val="0"/>
      <w:marRight w:val="0"/>
      <w:marTop w:val="0"/>
      <w:marBottom w:val="0"/>
      <w:divBdr>
        <w:top w:val="none" w:sz="0" w:space="0" w:color="auto"/>
        <w:left w:val="none" w:sz="0" w:space="0" w:color="auto"/>
        <w:bottom w:val="none" w:sz="0" w:space="0" w:color="auto"/>
        <w:right w:val="none" w:sz="0" w:space="0" w:color="auto"/>
      </w:divBdr>
    </w:div>
    <w:div w:id="402028828">
      <w:bodyDiv w:val="1"/>
      <w:marLeft w:val="0"/>
      <w:marRight w:val="0"/>
      <w:marTop w:val="0"/>
      <w:marBottom w:val="0"/>
      <w:divBdr>
        <w:top w:val="none" w:sz="0" w:space="0" w:color="auto"/>
        <w:left w:val="none" w:sz="0" w:space="0" w:color="auto"/>
        <w:bottom w:val="none" w:sz="0" w:space="0" w:color="auto"/>
        <w:right w:val="none" w:sz="0" w:space="0" w:color="auto"/>
      </w:divBdr>
    </w:div>
    <w:div w:id="506477901">
      <w:bodyDiv w:val="1"/>
      <w:marLeft w:val="0"/>
      <w:marRight w:val="0"/>
      <w:marTop w:val="0"/>
      <w:marBottom w:val="0"/>
      <w:divBdr>
        <w:top w:val="none" w:sz="0" w:space="0" w:color="auto"/>
        <w:left w:val="none" w:sz="0" w:space="0" w:color="auto"/>
        <w:bottom w:val="none" w:sz="0" w:space="0" w:color="auto"/>
        <w:right w:val="none" w:sz="0" w:space="0" w:color="auto"/>
      </w:divBdr>
    </w:div>
    <w:div w:id="695304166">
      <w:bodyDiv w:val="1"/>
      <w:marLeft w:val="0"/>
      <w:marRight w:val="0"/>
      <w:marTop w:val="0"/>
      <w:marBottom w:val="0"/>
      <w:divBdr>
        <w:top w:val="none" w:sz="0" w:space="0" w:color="auto"/>
        <w:left w:val="none" w:sz="0" w:space="0" w:color="auto"/>
        <w:bottom w:val="none" w:sz="0" w:space="0" w:color="auto"/>
        <w:right w:val="none" w:sz="0" w:space="0" w:color="auto"/>
      </w:divBdr>
    </w:div>
    <w:div w:id="850216419">
      <w:bodyDiv w:val="1"/>
      <w:marLeft w:val="0"/>
      <w:marRight w:val="0"/>
      <w:marTop w:val="0"/>
      <w:marBottom w:val="0"/>
      <w:divBdr>
        <w:top w:val="none" w:sz="0" w:space="0" w:color="auto"/>
        <w:left w:val="none" w:sz="0" w:space="0" w:color="auto"/>
        <w:bottom w:val="none" w:sz="0" w:space="0" w:color="auto"/>
        <w:right w:val="none" w:sz="0" w:space="0" w:color="auto"/>
      </w:divBdr>
    </w:div>
    <w:div w:id="999038790">
      <w:bodyDiv w:val="1"/>
      <w:marLeft w:val="0"/>
      <w:marRight w:val="0"/>
      <w:marTop w:val="0"/>
      <w:marBottom w:val="0"/>
      <w:divBdr>
        <w:top w:val="none" w:sz="0" w:space="0" w:color="auto"/>
        <w:left w:val="none" w:sz="0" w:space="0" w:color="auto"/>
        <w:bottom w:val="none" w:sz="0" w:space="0" w:color="auto"/>
        <w:right w:val="none" w:sz="0" w:space="0" w:color="auto"/>
      </w:divBdr>
    </w:div>
    <w:div w:id="1111975600">
      <w:bodyDiv w:val="1"/>
      <w:marLeft w:val="0"/>
      <w:marRight w:val="0"/>
      <w:marTop w:val="0"/>
      <w:marBottom w:val="0"/>
      <w:divBdr>
        <w:top w:val="none" w:sz="0" w:space="0" w:color="auto"/>
        <w:left w:val="none" w:sz="0" w:space="0" w:color="auto"/>
        <w:bottom w:val="none" w:sz="0" w:space="0" w:color="auto"/>
        <w:right w:val="none" w:sz="0" w:space="0" w:color="auto"/>
      </w:divBdr>
    </w:div>
    <w:div w:id="1502886201">
      <w:bodyDiv w:val="1"/>
      <w:marLeft w:val="0"/>
      <w:marRight w:val="0"/>
      <w:marTop w:val="0"/>
      <w:marBottom w:val="0"/>
      <w:divBdr>
        <w:top w:val="none" w:sz="0" w:space="0" w:color="auto"/>
        <w:left w:val="none" w:sz="0" w:space="0" w:color="auto"/>
        <w:bottom w:val="none" w:sz="0" w:space="0" w:color="auto"/>
        <w:right w:val="none" w:sz="0" w:space="0" w:color="auto"/>
      </w:divBdr>
    </w:div>
    <w:div w:id="1773431275">
      <w:bodyDiv w:val="1"/>
      <w:marLeft w:val="0"/>
      <w:marRight w:val="0"/>
      <w:marTop w:val="0"/>
      <w:marBottom w:val="0"/>
      <w:divBdr>
        <w:top w:val="none" w:sz="0" w:space="0" w:color="auto"/>
        <w:left w:val="none" w:sz="0" w:space="0" w:color="auto"/>
        <w:bottom w:val="none" w:sz="0" w:space="0" w:color="auto"/>
        <w:right w:val="none" w:sz="0" w:space="0" w:color="auto"/>
      </w:divBdr>
    </w:div>
    <w:div w:id="20875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us8.list-manage.com/track/click?u=cb569f99caaaedff117cdc74c&amp;id=6f775c6a21&amp;e=ab6bf9c839" TargetMode="External"/><Relationship Id="rId3" Type="http://schemas.openxmlformats.org/officeDocument/2006/relationships/settings" Target="settings.xml"/><Relationship Id="rId7" Type="http://schemas.openxmlformats.org/officeDocument/2006/relationships/hyperlink" Target="https://educationendowmentfoundation.us8.list-manage.com/track/click?u=cb569f99caaaedff117cdc74c&amp;id=378d7752f4&amp;e=ab6bf9c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us8.list-manage.com/track/click?u=cb569f99caaaedff117cdc74c&amp;id=a4c9312929&amp;e=ab6bf9c839" TargetMode="External"/><Relationship Id="rId5" Type="http://schemas.openxmlformats.org/officeDocument/2006/relationships/hyperlink" Target="https://educationendowmentfoundation.us8.list-manage.com/track/click?u=cb569f99caaaedff117cdc74c&amp;id=618cf430dc&amp;e=ab6bf9c8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Watson</dc:creator>
  <cp:keywords/>
  <dc:description/>
  <cp:lastModifiedBy>Kylie Watson</cp:lastModifiedBy>
  <cp:revision>2</cp:revision>
  <dcterms:created xsi:type="dcterms:W3CDTF">2020-05-11T12:44:00Z</dcterms:created>
  <dcterms:modified xsi:type="dcterms:W3CDTF">2020-05-11T12:44:00Z</dcterms:modified>
</cp:coreProperties>
</file>