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301E3F" w:rsidRDefault="00301E3F" w:rsidP="00B561C0">
      <w:pPr>
        <w:rPr>
          <w:b/>
          <w:u w:val="single"/>
        </w:rPr>
      </w:pPr>
      <w:r w:rsidRPr="00301E3F">
        <w:rPr>
          <w:b/>
          <w:u w:val="single"/>
        </w:rPr>
        <w:t>Metacognition – Recommendation 2</w:t>
      </w:r>
    </w:p>
    <w:p w:rsidR="00301E3F" w:rsidRDefault="00301E3F" w:rsidP="00B561C0"/>
    <w:p w:rsidR="00301E3F" w:rsidRDefault="00301E3F" w:rsidP="00301E3F">
      <w:pPr>
        <w:spacing w:line="300" w:lineRule="auto"/>
        <w:rPr>
          <w:rFonts w:ascii="Helvetica" w:hAnsi="Helvetica" w:cs="Helvetica"/>
          <w:color w:val="F2F2F2"/>
          <w:sz w:val="21"/>
          <w:szCs w:val="21"/>
        </w:rPr>
      </w:pPr>
      <w:r>
        <w:rPr>
          <w:rStyle w:val="Strong"/>
          <w:rFonts w:ascii="Helvetica" w:hAnsi="Helvetica" w:cs="Helvetica"/>
          <w:color w:val="ED5A2D"/>
        </w:rPr>
        <w:t xml:space="preserve">Recommendation 2: </w:t>
      </w:r>
      <w:r>
        <w:rPr>
          <w:rFonts w:ascii="Helvetica" w:hAnsi="Helvetica" w:cs="Helvetica"/>
          <w:b/>
          <w:bCs/>
          <w:color w:val="F2F2F2"/>
          <w:sz w:val="21"/>
          <w:szCs w:val="21"/>
        </w:rPr>
        <w:br/>
      </w:r>
      <w:r>
        <w:rPr>
          <w:rStyle w:val="Strong"/>
          <w:rFonts w:ascii="Helvetica" w:hAnsi="Helvetica" w:cs="Helvetica"/>
          <w:color w:val="000000"/>
        </w:rPr>
        <w:t>Explicitly teach pupils metacognitive strategies, including how to plan, monitor, and evaluate their learning.</w:t>
      </w:r>
      <w:r>
        <w:rPr>
          <w:rFonts w:ascii="Helvetica" w:hAnsi="Helvetica" w:cs="Helvetica"/>
          <w:color w:val="F2F2F2"/>
          <w:sz w:val="21"/>
          <w:szCs w:val="21"/>
        </w:rPr>
        <w:t xml:space="preserve"> </w:t>
      </w:r>
    </w:p>
    <w:p w:rsidR="00301E3F" w:rsidRDefault="00301E3F" w:rsidP="00B561C0"/>
    <w:p w:rsidR="00301E3F" w:rsidRDefault="00301E3F" w:rsidP="00B561C0">
      <w:pPr>
        <w:rPr>
          <w:rFonts w:ascii="Helvetica" w:hAnsi="Helvetica" w:cs="Helvetica"/>
          <w:color w:val="000000"/>
          <w:sz w:val="20"/>
        </w:rPr>
      </w:pPr>
      <w:r>
        <w:rPr>
          <w:rFonts w:ascii="Helvetica" w:hAnsi="Helvetica" w:cs="Helvetica"/>
          <w:color w:val="000000"/>
          <w:sz w:val="20"/>
        </w:rPr>
        <w:t>Amy’s geography teacher has asked the class to prepare a short presentation about rainforest ecosystems.</w:t>
      </w:r>
      <w:r>
        <w:rPr>
          <w:rFonts w:ascii="Helvetica" w:hAnsi="Helvetica" w:cs="Helvetica"/>
          <w:color w:val="000000"/>
          <w:sz w:val="20"/>
        </w:rPr>
        <w:br/>
      </w:r>
      <w:r>
        <w:rPr>
          <w:rFonts w:ascii="Helvetica" w:hAnsi="Helvetica" w:cs="Helvetica"/>
          <w:color w:val="000000"/>
          <w:sz w:val="20"/>
        </w:rPr>
        <w:br/>
        <w:t>To plan this, Amy reflects on how she learned best on the last topic—using the school textbooks—and decides to read the relevant chapter before drafting her presentation points. However, when reading it she decides that the chapter does not really improve her understanding. She starts to panic as she was relying on this.</w:t>
      </w:r>
      <w:r>
        <w:rPr>
          <w:rFonts w:ascii="Helvetica" w:hAnsi="Helvetica" w:cs="Helvetica"/>
          <w:color w:val="000000"/>
          <w:sz w:val="20"/>
        </w:rPr>
        <w:br/>
      </w:r>
      <w:r>
        <w:rPr>
          <w:rFonts w:ascii="Helvetica" w:hAnsi="Helvetica" w:cs="Helvetica"/>
          <w:color w:val="000000"/>
          <w:sz w:val="20"/>
        </w:rPr>
        <w:br/>
        <w:t>Then Amy remembers a geography website her teacher mentioned. She adapts her strategy and searches the website. This provides a more useful overview and she uses the information to summarise some interesting facts.</w:t>
      </w:r>
      <w:r>
        <w:rPr>
          <w:rFonts w:ascii="Helvetica" w:hAnsi="Helvetica" w:cs="Helvetica"/>
          <w:color w:val="000000"/>
          <w:sz w:val="20"/>
        </w:rPr>
        <w:br/>
      </w:r>
      <w:r>
        <w:rPr>
          <w:rFonts w:ascii="Helvetica" w:hAnsi="Helvetica" w:cs="Helvetica"/>
          <w:color w:val="000000"/>
          <w:sz w:val="20"/>
        </w:rPr>
        <w:br/>
        <w:t>She reflects on the experience and decides that next time she will gather a range of resources before starting to research a topic, rather than relying on one source</w:t>
      </w:r>
    </w:p>
    <w:p w:rsidR="00301E3F" w:rsidRDefault="00301E3F" w:rsidP="00B561C0">
      <w:pPr>
        <w:rPr>
          <w:rFonts w:ascii="Helvetica" w:hAnsi="Helvetica" w:cs="Helvetica"/>
          <w:color w:val="000000"/>
          <w:sz w:val="20"/>
        </w:rPr>
      </w:pPr>
    </w:p>
    <w:tbl>
      <w:tblPr>
        <w:tblW w:w="5000" w:type="pct"/>
        <w:tblCellMar>
          <w:left w:w="0" w:type="dxa"/>
          <w:right w:w="0" w:type="dxa"/>
        </w:tblCellMar>
        <w:tblLook w:val="04A0" w:firstRow="1" w:lastRow="0" w:firstColumn="1" w:lastColumn="0" w:noHBand="0" w:noVBand="1"/>
      </w:tblPr>
      <w:tblGrid>
        <w:gridCol w:w="9026"/>
      </w:tblGrid>
      <w:tr w:rsidR="00301E3F" w:rsidTr="00301E3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01E3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01E3F">
                    <w:tc>
                      <w:tcPr>
                        <w:tcW w:w="0" w:type="auto"/>
                        <w:tcMar>
                          <w:top w:w="0" w:type="dxa"/>
                          <w:left w:w="270" w:type="dxa"/>
                          <w:bottom w:w="135" w:type="dxa"/>
                          <w:right w:w="270" w:type="dxa"/>
                        </w:tcMar>
                        <w:hideMark/>
                      </w:tcPr>
                      <w:p w:rsidR="00301E3F" w:rsidRDefault="00301E3F">
                        <w:pPr>
                          <w:spacing w:before="150" w:after="150" w:line="300" w:lineRule="auto"/>
                          <w:rPr>
                            <w:rFonts w:cs="Arial"/>
                            <w:color w:val="202020"/>
                          </w:rPr>
                        </w:pPr>
                        <w:r>
                          <w:rPr>
                            <w:rFonts w:cs="Arial"/>
                            <w:color w:val="202020"/>
                          </w:rPr>
                          <w:t>While all children like Amy develop metacognition to some extent—and this will continue to develop further as they mature—the extent to which this happens differs significantly between learners; most will not spontaneously develop all the strategies they need or would find useful and therefore require explicit instruction in key metacognitive strategies.</w:t>
                        </w:r>
                        <w:r>
                          <w:rPr>
                            <w:rFonts w:cs="Arial"/>
                            <w:color w:val="202020"/>
                          </w:rPr>
                          <w:br/>
                        </w:r>
                        <w:r>
                          <w:rPr>
                            <w:rFonts w:cs="Arial"/>
                            <w:color w:val="202020"/>
                          </w:rPr>
                          <w:br/>
                          <w:t>There is some evidence to suggest that disadvantaged pupils are less likely to use such strategies and are, therefore, most likely to benefit from the whole range of approaches to supporting metacognitive and self-regulatory skills, including explicit teaching. [1] [2]</w:t>
                        </w:r>
                        <w:r>
                          <w:rPr>
                            <w:rFonts w:cs="Arial"/>
                            <w:color w:val="202020"/>
                          </w:rPr>
                          <w:br/>
                        </w:r>
                        <w:r>
                          <w:rPr>
                            <w:rFonts w:cs="Arial"/>
                            <w:color w:val="202020"/>
                          </w:rPr>
                          <w:br/>
                          <w:t>‘Explicit instruction’ does not denote simply ‘telling’ but describes all the activities that a teacher orchestrates to effect learning in their pupils. It is not to be confused with a lecturing approach but combines explicit teacher input with interactive questioning and feedback.</w:t>
                        </w:r>
                        <w:r>
                          <w:rPr>
                            <w:rFonts w:cs="Arial"/>
                            <w:color w:val="202020"/>
                          </w:rPr>
                          <w:br/>
                        </w:r>
                        <w:r>
                          <w:rPr>
                            <w:rFonts w:cs="Arial"/>
                            <w:color w:val="202020"/>
                          </w:rPr>
                          <w:br/>
                          <w:t>It is important to provide explicit instruction in metacognitive regulation strategies, in particular: [3]</w:t>
                        </w:r>
                      </w:p>
                      <w:p w:rsidR="00301E3F" w:rsidRDefault="00301E3F" w:rsidP="00301E3F">
                        <w:pPr>
                          <w:numPr>
                            <w:ilvl w:val="0"/>
                            <w:numId w:val="7"/>
                          </w:numPr>
                          <w:spacing w:before="100" w:beforeAutospacing="1" w:after="100" w:afterAutospacing="1" w:line="300" w:lineRule="auto"/>
                          <w:rPr>
                            <w:rFonts w:cs="Arial"/>
                            <w:color w:val="202020"/>
                          </w:rPr>
                        </w:pPr>
                        <w:r>
                          <w:rPr>
                            <w:rStyle w:val="Strong"/>
                            <w:rFonts w:cs="Arial"/>
                            <w:color w:val="202020"/>
                          </w:rPr>
                          <w:t>planning</w:t>
                        </w:r>
                        <w:r>
                          <w:rPr>
                            <w:rFonts w:cs="Arial"/>
                            <w:color w:val="202020"/>
                          </w:rPr>
                          <w:t>—encouraging pupils to think about the goal of their learning (set by the teacher, or themselves) and to consider how they will approach the task; this includes ensuring they understand the goal, activate relevant prior knowledge about the task, select appropriate strategies, and consider how to allocate their effort;</w:t>
                        </w:r>
                      </w:p>
                      <w:p w:rsidR="00301E3F" w:rsidRDefault="00301E3F" w:rsidP="00301E3F">
                        <w:pPr>
                          <w:numPr>
                            <w:ilvl w:val="0"/>
                            <w:numId w:val="7"/>
                          </w:numPr>
                          <w:spacing w:before="100" w:beforeAutospacing="1" w:after="100" w:afterAutospacing="1" w:line="300" w:lineRule="auto"/>
                          <w:rPr>
                            <w:rFonts w:cs="Arial"/>
                            <w:color w:val="202020"/>
                          </w:rPr>
                        </w:pPr>
                        <w:r>
                          <w:rPr>
                            <w:rStyle w:val="Strong"/>
                            <w:rFonts w:cs="Arial"/>
                            <w:color w:val="202020"/>
                          </w:rPr>
                          <w:lastRenderedPageBreak/>
                          <w:t>monitoring</w:t>
                        </w:r>
                        <w:r>
                          <w:rPr>
                            <w:rFonts w:cs="Arial"/>
                            <w:color w:val="202020"/>
                          </w:rPr>
                          <w:t>—emphasising the need, while undertaking the learning task, for pupils to assess the progress they are making; this includes the self-testing and self-questioning activities that are necessary to control learning, and making changes to their chosen strategies; and</w:t>
                        </w:r>
                      </w:p>
                      <w:p w:rsidR="00301E3F" w:rsidRDefault="00301E3F" w:rsidP="00301E3F">
                        <w:pPr>
                          <w:numPr>
                            <w:ilvl w:val="0"/>
                            <w:numId w:val="7"/>
                          </w:numPr>
                          <w:spacing w:before="100" w:beforeAutospacing="1" w:after="100" w:afterAutospacing="1" w:line="300" w:lineRule="auto"/>
                          <w:rPr>
                            <w:rFonts w:cs="Arial"/>
                            <w:color w:val="202020"/>
                          </w:rPr>
                        </w:pPr>
                        <w:r>
                          <w:rPr>
                            <w:rStyle w:val="Strong"/>
                            <w:rFonts w:cs="Arial"/>
                            <w:color w:val="202020"/>
                          </w:rPr>
                          <w:t>evaluating</w:t>
                        </w:r>
                        <w:r>
                          <w:rPr>
                            <w:rFonts w:cs="Arial"/>
                            <w:color w:val="202020"/>
                          </w:rPr>
                          <w:t>—appraising the effectiveness of their plan and its implementation.</w:t>
                        </w:r>
                      </w:p>
                      <w:p w:rsidR="00301E3F" w:rsidRDefault="00301E3F">
                        <w:pPr>
                          <w:spacing w:before="150" w:after="150" w:line="300" w:lineRule="auto"/>
                          <w:rPr>
                            <w:rFonts w:eastAsiaTheme="minorHAnsi" w:cs="Arial"/>
                            <w:color w:val="202020"/>
                          </w:rPr>
                        </w:pPr>
                        <w:r>
                          <w:rPr>
                            <w:rFonts w:cs="Arial"/>
                            <w:color w:val="202020"/>
                          </w:rPr>
                          <w:t>This framework can seem clunky and only relevant to discrete, demanding tasks for older learners. In fact, the underlying skills are relevant to most learning choices a pupil makes.</w:t>
                        </w:r>
                        <w:r>
                          <w:rPr>
                            <w:rFonts w:cs="Arial"/>
                            <w:color w:val="202020"/>
                          </w:rPr>
                          <w:br/>
                        </w:r>
                        <w:r>
                          <w:rPr>
                            <w:rFonts w:cs="Arial"/>
                            <w:color w:val="202020"/>
                          </w:rPr>
                          <w:br/>
                          <w:t>During a lesson, a pupil must decide how much effort to put into listening to the teacher’s explanation of a new topic (</w:t>
                        </w:r>
                        <w:r>
                          <w:rPr>
                            <w:rStyle w:val="Emphasis"/>
                            <w:rFonts w:cs="Arial"/>
                            <w:color w:val="202020"/>
                          </w:rPr>
                          <w:t>planning</w:t>
                        </w:r>
                        <w:r>
                          <w:rPr>
                            <w:rFonts w:cs="Arial"/>
                            <w:color w:val="202020"/>
                          </w:rPr>
                          <w:t>); while listening, they can consider whether they are understanding the teacher (</w:t>
                        </w:r>
                        <w:r>
                          <w:rPr>
                            <w:rStyle w:val="Emphasis"/>
                            <w:rFonts w:cs="Arial"/>
                            <w:color w:val="202020"/>
                          </w:rPr>
                          <w:t>monitoring</w:t>
                        </w:r>
                        <w:r>
                          <w:rPr>
                            <w:rFonts w:cs="Arial"/>
                            <w:color w:val="202020"/>
                          </w:rPr>
                          <w:t>) and what to do if they don’t (</w:t>
                        </w:r>
                        <w:r>
                          <w:rPr>
                            <w:rStyle w:val="Emphasis"/>
                            <w:rFonts w:cs="Arial"/>
                            <w:color w:val="202020"/>
                          </w:rPr>
                          <w:t xml:space="preserve">planning </w:t>
                        </w:r>
                        <w:r>
                          <w:rPr>
                            <w:rFonts w:cs="Arial"/>
                            <w:color w:val="202020"/>
                          </w:rPr>
                          <w:t>a good question to ask and </w:t>
                        </w:r>
                        <w:r>
                          <w:rPr>
                            <w:rStyle w:val="Emphasis"/>
                            <w:rFonts w:cs="Arial"/>
                            <w:color w:val="202020"/>
                          </w:rPr>
                          <w:t xml:space="preserve">evaluating </w:t>
                        </w:r>
                        <w:r>
                          <w:rPr>
                            <w:rFonts w:cs="Arial"/>
                            <w:color w:val="202020"/>
                          </w:rPr>
                          <w:t>if they now have understood the explanation successfully and are ready to move on).</w:t>
                        </w:r>
                        <w:r>
                          <w:rPr>
                            <w:rFonts w:cs="Arial"/>
                            <w:color w:val="202020"/>
                          </w:rPr>
                          <w:br/>
                        </w:r>
                        <w:r>
                          <w:rPr>
                            <w:rFonts w:cs="Arial"/>
                            <w:color w:val="202020"/>
                          </w:rPr>
                          <w:br/>
                          <w:t>Teachers can explicitly teach these skills by prompting pupils with examples of the things they should be considering at each stage of a learning task.</w:t>
                        </w:r>
                        <w:r>
                          <w:rPr>
                            <w:rFonts w:cs="Arial"/>
                            <w:color w:val="202020"/>
                          </w:rPr>
                          <w:br/>
                        </w:r>
                        <w:r>
                          <w:rPr>
                            <w:rFonts w:cs="Arial"/>
                            <w:color w:val="202020"/>
                          </w:rPr>
                          <w:br/>
                        </w:r>
                        <w:r>
                          <w:rPr>
                            <w:rStyle w:val="Strong"/>
                            <w:rFonts w:cs="Arial"/>
                            <w:color w:val="202020"/>
                          </w:rPr>
                          <w:t>For example:</w:t>
                        </w:r>
                        <w:r>
                          <w:rPr>
                            <w:rFonts w:cs="Arial"/>
                            <w:color w:val="202020"/>
                          </w:rPr>
                          <w:t> a common activity in art is to draw or paint a self-portrait. Effective teacher questioning while modelling a self-portrait can aid the development of metacognitive reflection:</w:t>
                        </w:r>
                      </w:p>
                    </w:tc>
                  </w:tr>
                </w:tbl>
                <w:p w:rsidR="00301E3F" w:rsidRDefault="00301E3F">
                  <w:pPr>
                    <w:rPr>
                      <w:rFonts w:ascii="Times New Roman" w:hAnsi="Times New Roman"/>
                      <w:sz w:val="20"/>
                    </w:rPr>
                  </w:pPr>
                </w:p>
              </w:tc>
            </w:tr>
          </w:tbl>
          <w:p w:rsidR="00301E3F" w:rsidRDefault="00301E3F">
            <w:pPr>
              <w:rPr>
                <w:sz w:val="20"/>
              </w:rPr>
            </w:pPr>
          </w:p>
        </w:tc>
      </w:tr>
      <w:tr w:rsidR="00301E3F" w:rsidTr="00301E3F">
        <w:tblPrEx>
          <w:tblBorders>
            <w:top w:val="single" w:sz="12" w:space="0" w:color="222222"/>
            <w:left w:val="single" w:sz="12" w:space="0" w:color="222222"/>
            <w:bottom w:val="single" w:sz="12" w:space="0" w:color="222222"/>
            <w:right w:val="single" w:sz="12" w:space="0" w:color="222222"/>
          </w:tblBorders>
          <w:tblCellMar>
            <w:left w:w="108" w:type="dxa"/>
            <w:right w:w="108" w:type="dxa"/>
          </w:tblCellMar>
        </w:tblPrEx>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301E3F" w:rsidRDefault="00301E3F">
            <w:pPr>
              <w:spacing w:line="360" w:lineRule="auto"/>
              <w:rPr>
                <w:rFonts w:ascii="Helvetica" w:hAnsi="Helvetica" w:cs="Helvetica"/>
                <w:color w:val="F2F2F2"/>
                <w:sz w:val="21"/>
                <w:szCs w:val="21"/>
              </w:rPr>
            </w:pPr>
            <w:r>
              <w:rPr>
                <w:rStyle w:val="Strong"/>
                <w:rFonts w:ascii="Helvetica" w:hAnsi="Helvetica" w:cs="Helvetica"/>
                <w:color w:val="000000"/>
                <w:sz w:val="21"/>
                <w:szCs w:val="21"/>
              </w:rPr>
              <w:lastRenderedPageBreak/>
              <w:t>Planning:</w:t>
            </w:r>
            <w:r>
              <w:rPr>
                <w:rFonts w:ascii="Helvetica" w:hAnsi="Helvetica" w:cs="Helvetica"/>
                <w:color w:val="000000"/>
                <w:sz w:val="21"/>
                <w:szCs w:val="21"/>
              </w:rPr>
              <w:br/>
            </w:r>
            <w:r>
              <w:rPr>
                <w:rStyle w:val="Emphasis"/>
                <w:rFonts w:ascii="Helvetica" w:hAnsi="Helvetica" w:cs="Helvetica"/>
                <w:color w:val="000000"/>
                <w:sz w:val="21"/>
                <w:szCs w:val="21"/>
              </w:rPr>
              <w:t>‘What resources do I need to carry out a self-portrait?’</w:t>
            </w:r>
            <w:r>
              <w:rPr>
                <w:rFonts w:ascii="Helvetica" w:hAnsi="Helvetica" w:cs="Helvetica"/>
                <w:i/>
                <w:iCs/>
                <w:color w:val="000000"/>
                <w:sz w:val="21"/>
                <w:szCs w:val="21"/>
              </w:rPr>
              <w:br/>
            </w:r>
            <w:r>
              <w:rPr>
                <w:rStyle w:val="Emphasis"/>
                <w:rFonts w:ascii="Helvetica" w:hAnsi="Helvetica" w:cs="Helvetica"/>
                <w:color w:val="000000"/>
                <w:sz w:val="21"/>
                <w:szCs w:val="21"/>
              </w:rPr>
              <w:t>‘Have I done a self-portrait before and was it successful?’</w:t>
            </w:r>
            <w:r>
              <w:rPr>
                <w:rFonts w:ascii="Helvetica" w:hAnsi="Helvetica" w:cs="Helvetica"/>
                <w:i/>
                <w:iCs/>
                <w:color w:val="000000"/>
                <w:sz w:val="21"/>
                <w:szCs w:val="21"/>
              </w:rPr>
              <w:br/>
            </w:r>
            <w:r>
              <w:rPr>
                <w:rStyle w:val="Emphasis"/>
                <w:rFonts w:ascii="Helvetica" w:hAnsi="Helvetica" w:cs="Helvetica"/>
                <w:color w:val="000000"/>
                <w:sz w:val="21"/>
                <w:szCs w:val="21"/>
              </w:rPr>
              <w:t>‘What have I learned from the examples we looked at earlier?’</w:t>
            </w:r>
            <w:r>
              <w:rPr>
                <w:rFonts w:ascii="Helvetica" w:hAnsi="Helvetica" w:cs="Helvetica"/>
                <w:i/>
                <w:iCs/>
                <w:color w:val="000000"/>
                <w:sz w:val="21"/>
                <w:szCs w:val="21"/>
              </w:rPr>
              <w:br/>
            </w:r>
            <w:r>
              <w:rPr>
                <w:rStyle w:val="Emphasis"/>
                <w:rFonts w:ascii="Helvetica" w:hAnsi="Helvetica" w:cs="Helvetica"/>
                <w:color w:val="000000"/>
                <w:sz w:val="21"/>
                <w:szCs w:val="21"/>
              </w:rPr>
              <w:t>‘Where do I start and what viewpoint will I use?’</w:t>
            </w:r>
            <w:r>
              <w:rPr>
                <w:rFonts w:ascii="Helvetica" w:hAnsi="Helvetica" w:cs="Helvetica"/>
                <w:i/>
                <w:iCs/>
                <w:color w:val="000000"/>
                <w:sz w:val="21"/>
                <w:szCs w:val="21"/>
              </w:rPr>
              <w:br/>
            </w:r>
            <w:r>
              <w:rPr>
                <w:rStyle w:val="Emphasis"/>
                <w:rFonts w:ascii="Helvetica" w:hAnsi="Helvetica" w:cs="Helvetica"/>
                <w:color w:val="000000"/>
                <w:sz w:val="21"/>
                <w:szCs w:val="21"/>
              </w:rPr>
              <w:t>‘Do I need a line guide to keep my features in proportion?’</w:t>
            </w:r>
            <w:r>
              <w:rPr>
                <w:rFonts w:ascii="Helvetica" w:hAnsi="Helvetica" w:cs="Helvetica"/>
                <w:color w:val="F2F2F2"/>
                <w:sz w:val="21"/>
                <w:szCs w:val="21"/>
              </w:rPr>
              <w:t xml:space="preserve"> </w:t>
            </w:r>
          </w:p>
        </w:tc>
      </w:tr>
    </w:tbl>
    <w:p w:rsidR="00301E3F" w:rsidRDefault="00301E3F" w:rsidP="00B561C0"/>
    <w:p w:rsidR="00301E3F" w:rsidRDefault="00301E3F" w:rsidP="00B561C0"/>
    <w:p w:rsidR="00301E3F" w:rsidRDefault="00301E3F" w:rsidP="00B561C0"/>
    <w:p w:rsidR="00301E3F" w:rsidRDefault="00301E3F" w:rsidP="00B561C0"/>
    <w:p w:rsidR="00301E3F" w:rsidRDefault="00301E3F" w:rsidP="00B561C0"/>
    <w:p w:rsidR="00301E3F" w:rsidRDefault="00301E3F" w:rsidP="00B561C0"/>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996"/>
      </w:tblGrid>
      <w:tr w:rsidR="00301E3F" w:rsidTr="00301E3F">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301E3F" w:rsidRDefault="00301E3F">
            <w:pPr>
              <w:spacing w:line="360" w:lineRule="auto"/>
              <w:rPr>
                <w:rFonts w:ascii="Helvetica" w:hAnsi="Helvetica" w:cs="Helvetica"/>
                <w:color w:val="F2F2F2"/>
                <w:sz w:val="21"/>
                <w:szCs w:val="21"/>
              </w:rPr>
            </w:pPr>
            <w:r>
              <w:rPr>
                <w:rStyle w:val="Strong"/>
                <w:rFonts w:ascii="Helvetica" w:hAnsi="Helvetica" w:cs="Helvetica"/>
                <w:color w:val="000000"/>
                <w:sz w:val="21"/>
                <w:szCs w:val="21"/>
              </w:rPr>
              <w:lastRenderedPageBreak/>
              <w:t>Monitoring:</w:t>
            </w:r>
            <w:r>
              <w:rPr>
                <w:rFonts w:ascii="Helvetica" w:hAnsi="Helvetica" w:cs="Helvetica"/>
                <w:color w:val="000000"/>
                <w:sz w:val="21"/>
                <w:szCs w:val="21"/>
              </w:rPr>
              <w:br/>
            </w:r>
            <w:r>
              <w:rPr>
                <w:rStyle w:val="Emphasis"/>
                <w:rFonts w:ascii="Helvetica" w:hAnsi="Helvetica" w:cs="Helvetica"/>
                <w:color w:val="000000"/>
                <w:sz w:val="21"/>
                <w:szCs w:val="21"/>
              </w:rPr>
              <w:t>‘Am I doing well?’</w:t>
            </w:r>
            <w:r>
              <w:rPr>
                <w:rFonts w:ascii="Helvetica" w:hAnsi="Helvetica" w:cs="Helvetica"/>
                <w:i/>
                <w:iCs/>
                <w:color w:val="000000"/>
                <w:sz w:val="21"/>
                <w:szCs w:val="21"/>
              </w:rPr>
              <w:br/>
            </w:r>
            <w:r>
              <w:rPr>
                <w:rStyle w:val="Emphasis"/>
                <w:rFonts w:ascii="Helvetica" w:hAnsi="Helvetica" w:cs="Helvetica"/>
                <w:color w:val="000000"/>
                <w:sz w:val="21"/>
                <w:szCs w:val="21"/>
              </w:rPr>
              <w:t>‘Do I need any different techniques to improve my self-portrait?'</w:t>
            </w:r>
            <w:r>
              <w:rPr>
                <w:rFonts w:ascii="Helvetica" w:hAnsi="Helvetica" w:cs="Helvetica"/>
                <w:i/>
                <w:iCs/>
                <w:color w:val="000000"/>
                <w:sz w:val="21"/>
                <w:szCs w:val="21"/>
              </w:rPr>
              <w:br/>
            </w:r>
            <w:r>
              <w:rPr>
                <w:rStyle w:val="Emphasis"/>
                <w:rFonts w:ascii="Helvetica" w:hAnsi="Helvetica" w:cs="Helvetica"/>
                <w:color w:val="000000"/>
                <w:sz w:val="21"/>
                <w:szCs w:val="21"/>
              </w:rPr>
              <w:t>‘Are all of my facial features in proportion?’</w:t>
            </w:r>
            <w:r>
              <w:rPr>
                <w:rFonts w:ascii="Helvetica" w:hAnsi="Helvetica" w:cs="Helvetica"/>
                <w:i/>
                <w:iCs/>
                <w:color w:val="000000"/>
                <w:sz w:val="21"/>
                <w:szCs w:val="21"/>
              </w:rPr>
              <w:br/>
            </w:r>
            <w:r>
              <w:rPr>
                <w:rStyle w:val="Emphasis"/>
                <w:rFonts w:ascii="Helvetica" w:hAnsi="Helvetica" w:cs="Helvetica"/>
                <w:color w:val="000000"/>
                <w:sz w:val="21"/>
                <w:szCs w:val="21"/>
              </w:rPr>
              <w:t>’Am I finding this challenging?’</w:t>
            </w:r>
            <w:r>
              <w:rPr>
                <w:rFonts w:ascii="Helvetica" w:hAnsi="Helvetica" w:cs="Helvetica"/>
                <w:i/>
                <w:iCs/>
                <w:color w:val="000000"/>
                <w:sz w:val="21"/>
                <w:szCs w:val="21"/>
              </w:rPr>
              <w:br/>
            </w:r>
            <w:r>
              <w:rPr>
                <w:rStyle w:val="Emphasis"/>
                <w:rFonts w:ascii="Helvetica" w:hAnsi="Helvetica" w:cs="Helvetica"/>
                <w:color w:val="000000"/>
                <w:sz w:val="21"/>
                <w:szCs w:val="21"/>
              </w:rPr>
              <w:t>‘Is there anything I need to stop and change to improve my self-portrait?’</w:t>
            </w:r>
            <w:r>
              <w:rPr>
                <w:rFonts w:ascii="Helvetica" w:hAnsi="Helvetica" w:cs="Helvetica"/>
                <w:color w:val="F2F2F2"/>
                <w:sz w:val="21"/>
                <w:szCs w:val="21"/>
              </w:rPr>
              <w:t xml:space="preserve"> </w:t>
            </w:r>
          </w:p>
        </w:tc>
      </w:tr>
    </w:tbl>
    <w:p w:rsidR="00301E3F" w:rsidRDefault="00301E3F" w:rsidP="00B561C0"/>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996"/>
      </w:tblGrid>
      <w:tr w:rsidR="00301E3F" w:rsidTr="00301E3F">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301E3F" w:rsidRDefault="00301E3F">
            <w:pPr>
              <w:spacing w:line="360" w:lineRule="auto"/>
              <w:rPr>
                <w:rFonts w:ascii="Helvetica" w:hAnsi="Helvetica" w:cs="Helvetica"/>
                <w:color w:val="F2F2F2"/>
                <w:sz w:val="21"/>
                <w:szCs w:val="21"/>
              </w:rPr>
            </w:pPr>
            <w:r>
              <w:rPr>
                <w:rStyle w:val="Strong"/>
                <w:rFonts w:ascii="Helvetica" w:hAnsi="Helvetica" w:cs="Helvetica"/>
                <w:color w:val="000000"/>
                <w:sz w:val="21"/>
                <w:szCs w:val="21"/>
              </w:rPr>
              <w:t>Evaluation:</w:t>
            </w:r>
            <w:r>
              <w:rPr>
                <w:rFonts w:ascii="Helvetica" w:hAnsi="Helvetica" w:cs="Helvetica"/>
                <w:color w:val="000000"/>
                <w:sz w:val="21"/>
                <w:szCs w:val="21"/>
              </w:rPr>
              <w:br/>
            </w:r>
            <w:r>
              <w:rPr>
                <w:rStyle w:val="Emphasis"/>
                <w:rFonts w:ascii="Helvetica" w:hAnsi="Helvetica" w:cs="Helvetica"/>
                <w:color w:val="000000"/>
                <w:sz w:val="21"/>
                <w:szCs w:val="21"/>
              </w:rPr>
              <w:t>‘How did I do?’</w:t>
            </w:r>
            <w:r>
              <w:rPr>
                <w:rFonts w:ascii="Helvetica" w:hAnsi="Helvetica" w:cs="Helvetica"/>
                <w:i/>
                <w:iCs/>
                <w:color w:val="000000"/>
                <w:sz w:val="21"/>
                <w:szCs w:val="21"/>
              </w:rPr>
              <w:br/>
            </w:r>
            <w:r>
              <w:rPr>
                <w:rStyle w:val="Emphasis"/>
                <w:rFonts w:ascii="Helvetica" w:hAnsi="Helvetica" w:cs="Helvetica"/>
                <w:color w:val="000000"/>
                <w:sz w:val="21"/>
                <w:szCs w:val="21"/>
              </w:rPr>
              <w:t>‘Did my line guide strategy work?’</w:t>
            </w:r>
            <w:r>
              <w:rPr>
                <w:rFonts w:ascii="Helvetica" w:hAnsi="Helvetica" w:cs="Helvetica"/>
                <w:i/>
                <w:iCs/>
                <w:color w:val="000000"/>
                <w:sz w:val="21"/>
                <w:szCs w:val="21"/>
              </w:rPr>
              <w:br/>
            </w:r>
            <w:r>
              <w:rPr>
                <w:rStyle w:val="Emphasis"/>
                <w:rFonts w:ascii="Helvetica" w:hAnsi="Helvetica" w:cs="Helvetica"/>
                <w:color w:val="000000"/>
                <w:sz w:val="21"/>
                <w:szCs w:val="21"/>
              </w:rPr>
              <w:t>‘Was it the right viewpoint to choose?’</w:t>
            </w:r>
            <w:r>
              <w:rPr>
                <w:rFonts w:ascii="Helvetica" w:hAnsi="Helvetica" w:cs="Helvetica"/>
                <w:i/>
                <w:iCs/>
                <w:color w:val="000000"/>
                <w:sz w:val="21"/>
                <w:szCs w:val="21"/>
              </w:rPr>
              <w:br/>
            </w:r>
            <w:r>
              <w:rPr>
                <w:rStyle w:val="Emphasis"/>
                <w:rFonts w:ascii="Helvetica" w:hAnsi="Helvetica" w:cs="Helvetica"/>
                <w:color w:val="000000"/>
                <w:sz w:val="21"/>
                <w:szCs w:val="21"/>
              </w:rPr>
              <w:t>‘How would I do a better self-portrait next time?’</w:t>
            </w:r>
            <w:r>
              <w:rPr>
                <w:rFonts w:ascii="Helvetica" w:hAnsi="Helvetica" w:cs="Helvetica"/>
                <w:i/>
                <w:iCs/>
                <w:color w:val="000000"/>
                <w:sz w:val="21"/>
                <w:szCs w:val="21"/>
              </w:rPr>
              <w:br/>
            </w:r>
            <w:r>
              <w:rPr>
                <w:rStyle w:val="Emphasis"/>
                <w:rFonts w:ascii="Helvetica" w:hAnsi="Helvetica" w:cs="Helvetica"/>
                <w:color w:val="000000"/>
                <w:sz w:val="21"/>
                <w:szCs w:val="21"/>
              </w:rPr>
              <w:t>‘Are there other perspectives, viewpoints or techniques I would like to try?’</w:t>
            </w:r>
            <w:r>
              <w:rPr>
                <w:rFonts w:ascii="Helvetica" w:hAnsi="Helvetica" w:cs="Helvetica"/>
                <w:color w:val="F2F2F2"/>
                <w:sz w:val="21"/>
                <w:szCs w:val="21"/>
              </w:rPr>
              <w:t xml:space="preserve"> </w:t>
            </w:r>
          </w:p>
        </w:tc>
      </w:tr>
    </w:tbl>
    <w:p w:rsidR="00301E3F" w:rsidRDefault="00301E3F" w:rsidP="00B561C0"/>
    <w:tbl>
      <w:tblPr>
        <w:tblW w:w="5000" w:type="pct"/>
        <w:tblCellMar>
          <w:left w:w="0" w:type="dxa"/>
          <w:right w:w="0" w:type="dxa"/>
        </w:tblCellMar>
        <w:tblLook w:val="04A0" w:firstRow="1" w:lastRow="0" w:firstColumn="1" w:lastColumn="0" w:noHBand="0" w:noVBand="1"/>
      </w:tblPr>
      <w:tblGrid>
        <w:gridCol w:w="9026"/>
      </w:tblGrid>
      <w:tr w:rsidR="00301E3F" w:rsidTr="00301E3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01E3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01E3F">
                    <w:tc>
                      <w:tcPr>
                        <w:tcW w:w="0" w:type="auto"/>
                        <w:tcMar>
                          <w:top w:w="0" w:type="dxa"/>
                          <w:left w:w="270" w:type="dxa"/>
                          <w:bottom w:w="135" w:type="dxa"/>
                          <w:right w:w="270" w:type="dxa"/>
                        </w:tcMar>
                        <w:hideMark/>
                      </w:tcPr>
                      <w:p w:rsidR="00301E3F" w:rsidRDefault="00301E3F">
                        <w:pPr>
                          <w:spacing w:line="360" w:lineRule="auto"/>
                          <w:rPr>
                            <w:rFonts w:ascii="Helvetica" w:hAnsi="Helvetica" w:cs="Helvetica"/>
                            <w:color w:val="202020"/>
                          </w:rPr>
                        </w:pPr>
                        <w:r>
                          <w:rPr>
                            <w:rFonts w:ascii="Helvetica" w:hAnsi="Helvetica" w:cs="Helvetica"/>
                            <w:color w:val="000000"/>
                          </w:rPr>
                          <w:t xml:space="preserve">You can see—through this worked example of a teacher posing metacognitive questions—that some questions for </w:t>
                        </w:r>
                        <w:r>
                          <w:rPr>
                            <w:rStyle w:val="Strong"/>
                            <w:rFonts w:ascii="Helvetica" w:hAnsi="Helvetica" w:cs="Helvetica"/>
                            <w:i/>
                            <w:iCs/>
                            <w:color w:val="000000"/>
                          </w:rPr>
                          <w:t xml:space="preserve">planning </w:t>
                        </w:r>
                        <w:r>
                          <w:rPr>
                            <w:rFonts w:ascii="Helvetica" w:hAnsi="Helvetica" w:cs="Helvetica"/>
                            <w:color w:val="000000"/>
                          </w:rPr>
                          <w:t>aim to activate prior knowledge (resources, previous exemplars) whereas other questions model deploying the right cognitive strategies (viewpoint, line guides).</w:t>
                        </w:r>
                        <w:r>
                          <w:rPr>
                            <w:rFonts w:ascii="Helvetica" w:hAnsi="Helvetica" w:cs="Helvetica"/>
                            <w:color w:val="000000"/>
                          </w:rPr>
                          <w:br/>
                        </w:r>
                        <w:r>
                          <w:rPr>
                            <w:rFonts w:ascii="Helvetica" w:hAnsi="Helvetica" w:cs="Helvetica"/>
                            <w:color w:val="000000"/>
                          </w:rPr>
                          <w:br/>
                          <w:t xml:space="preserve">The </w:t>
                        </w:r>
                        <w:r>
                          <w:rPr>
                            <w:rStyle w:val="Strong"/>
                            <w:rFonts w:ascii="Helvetica" w:hAnsi="Helvetica" w:cs="Helvetica"/>
                            <w:i/>
                            <w:iCs/>
                            <w:color w:val="000000"/>
                          </w:rPr>
                          <w:t xml:space="preserve">monitoring </w:t>
                        </w:r>
                        <w:r>
                          <w:rPr>
                            <w:rFonts w:ascii="Helvetica" w:hAnsi="Helvetica" w:cs="Helvetica"/>
                            <w:color w:val="000000"/>
                          </w:rPr>
                          <w:t>questions emphasise both general progress (proportion, editing) alongside checking general motivation (meeting goals and dealing with challenge).</w:t>
                        </w:r>
                        <w:r>
                          <w:rPr>
                            <w:rFonts w:ascii="Helvetica" w:hAnsi="Helvetica" w:cs="Helvetica"/>
                            <w:color w:val="000000"/>
                          </w:rPr>
                          <w:br/>
                        </w:r>
                        <w:r>
                          <w:rPr>
                            <w:rFonts w:ascii="Helvetica" w:hAnsi="Helvetica" w:cs="Helvetica"/>
                            <w:color w:val="000000"/>
                          </w:rPr>
                          <w:br/>
                          <w:t xml:space="preserve">Finally, the </w:t>
                        </w:r>
                        <w:r>
                          <w:rPr>
                            <w:rStyle w:val="Strong"/>
                            <w:rFonts w:ascii="Helvetica" w:hAnsi="Helvetica" w:cs="Helvetica"/>
                            <w:i/>
                            <w:iCs/>
                            <w:color w:val="000000"/>
                          </w:rPr>
                          <w:t xml:space="preserve">evaluation </w:t>
                        </w:r>
                        <w:r>
                          <w:rPr>
                            <w:rFonts w:ascii="Helvetica" w:hAnsi="Helvetica" w:cs="Helvetica"/>
                            <w:color w:val="000000"/>
                          </w:rPr>
                          <w:t>questions concentrate upon the success of the cognitive strategies (line guide, viewpoint, comparison with other techniques) and on what can be taken forward from the learning.</w:t>
                        </w:r>
                        <w:r>
                          <w:rPr>
                            <w:rFonts w:ascii="Helvetica" w:hAnsi="Helvetica" w:cs="Helvetica"/>
                            <w:color w:val="000000"/>
                          </w:rPr>
                          <w:br/>
                        </w:r>
                        <w:r>
                          <w:rPr>
                            <w:rFonts w:ascii="Helvetica" w:hAnsi="Helvetica" w:cs="Helvetica"/>
                            <w:color w:val="000000"/>
                          </w:rPr>
                          <w:br/>
                          <w:t>As discussed, these prompts must accompany instruction in the relevant specific cognitive strategies. In this example, pupils will only be able to consider these questions and approaches if they understand the importance of perspective and the different techniques.</w:t>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t>The next email in this series will give an example of applying it with a particular strategy.</w:t>
                        </w:r>
                        <w:r>
                          <w:rPr>
                            <w:rFonts w:ascii="Helvetica" w:hAnsi="Helvetica" w:cs="Helvetica"/>
                            <w:color w:val="202020"/>
                          </w:rPr>
                          <w:t xml:space="preserve"> </w:t>
                        </w:r>
                      </w:p>
                    </w:tc>
                  </w:tr>
                </w:tbl>
                <w:p w:rsidR="00301E3F" w:rsidRDefault="00301E3F">
                  <w:pPr>
                    <w:rPr>
                      <w:rFonts w:ascii="Times New Roman" w:hAnsi="Times New Roman"/>
                      <w:sz w:val="20"/>
                    </w:rPr>
                  </w:pPr>
                </w:p>
              </w:tc>
            </w:tr>
          </w:tbl>
          <w:p w:rsidR="00301E3F" w:rsidRDefault="00301E3F">
            <w:pPr>
              <w:rPr>
                <w:sz w:val="20"/>
              </w:rPr>
            </w:pPr>
          </w:p>
        </w:tc>
      </w:tr>
      <w:tr w:rsidR="00301E3F" w:rsidTr="00301E3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301E3F">
              <w:trPr>
                <w:jc w:val="center"/>
              </w:trPr>
              <w:tc>
                <w:tcPr>
                  <w:tcW w:w="0" w:type="auto"/>
                  <w:hideMark/>
                </w:tcPr>
                <w:p w:rsidR="00301E3F" w:rsidRDefault="00301E3F">
                  <w:pPr>
                    <w:rPr>
                      <w:rFonts w:ascii="Times New Roman" w:hAnsi="Times New Roman"/>
                      <w:sz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01E3F">
                    <w:tc>
                      <w:tcPr>
                        <w:tcW w:w="0" w:type="auto"/>
                        <w:tcMar>
                          <w:top w:w="135" w:type="dxa"/>
                          <w:left w:w="270" w:type="dxa"/>
                          <w:bottom w:w="135" w:type="dxa"/>
                          <w:right w:w="270" w:type="dxa"/>
                        </w:tcMar>
                        <w:vAlign w:val="center"/>
                        <w:hideMark/>
                      </w:tcPr>
                      <w:tbl>
                        <w:tblPr>
                          <w:tblW w:w="5000" w:type="pct"/>
                          <w:shd w:val="clear" w:color="auto" w:fill="C7E4F5"/>
                          <w:tblLook w:val="04A0" w:firstRow="1" w:lastRow="0" w:firstColumn="1" w:lastColumn="0" w:noHBand="0" w:noVBand="1"/>
                        </w:tblPr>
                        <w:tblGrid>
                          <w:gridCol w:w="8480"/>
                        </w:tblGrid>
                        <w:tr w:rsidR="00301E3F">
                          <w:tc>
                            <w:tcPr>
                              <w:tcW w:w="0" w:type="auto"/>
                              <w:shd w:val="clear" w:color="auto" w:fill="C7E4F5"/>
                              <w:tcMar>
                                <w:top w:w="270" w:type="dxa"/>
                                <w:left w:w="270" w:type="dxa"/>
                                <w:bottom w:w="270" w:type="dxa"/>
                                <w:right w:w="270" w:type="dxa"/>
                              </w:tcMar>
                              <w:hideMark/>
                            </w:tcPr>
                            <w:p w:rsidR="00301E3F" w:rsidRDefault="00301E3F">
                              <w:pPr>
                                <w:spacing w:before="150" w:after="150" w:line="300" w:lineRule="auto"/>
                                <w:rPr>
                                  <w:rFonts w:ascii="Helvetica" w:eastAsiaTheme="minorHAnsi" w:hAnsi="Helvetica" w:cs="Helvetica"/>
                                  <w:color w:val="222222"/>
                                  <w:sz w:val="18"/>
                                  <w:szCs w:val="18"/>
                                </w:rPr>
                              </w:pPr>
                              <w:r>
                                <w:rPr>
                                  <w:rStyle w:val="Strong"/>
                                  <w:rFonts w:ascii="Helvetica" w:hAnsi="Helvetica" w:cs="Helvetica"/>
                                  <w:color w:val="ED5A2D"/>
                                </w:rPr>
                                <w:t>Case study</w:t>
                              </w:r>
                              <w:r>
                                <w:rPr>
                                  <w:rStyle w:val="Strong"/>
                                  <w:rFonts w:ascii="Helvetica" w:hAnsi="Helvetica" w:cs="Helvetica"/>
                                  <w:color w:val="000000"/>
                                </w:rPr>
                                <w:t>: Using self-regulation to improve writing</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20"/>
                                </w:rPr>
                                <w:t xml:space="preserve">An </w:t>
                              </w:r>
                              <w:proofErr w:type="spellStart"/>
                              <w:r>
                                <w:rPr>
                                  <w:rFonts w:ascii="Helvetica" w:hAnsi="Helvetica" w:cs="Helvetica"/>
                                  <w:color w:val="000000"/>
                                  <w:sz w:val="20"/>
                                </w:rPr>
                                <w:t>EEF</w:t>
                              </w:r>
                              <w:proofErr w:type="spellEnd"/>
                              <w:r>
                                <w:rPr>
                                  <w:rFonts w:ascii="Helvetica" w:hAnsi="Helvetica" w:cs="Helvetica"/>
                                  <w:color w:val="000000"/>
                                  <w:sz w:val="20"/>
                                </w:rPr>
                                <w:t xml:space="preserve">-funded project, </w:t>
                              </w:r>
                              <w:hyperlink r:id="rId5" w:tgtFrame="_blank" w:history="1">
                                <w:proofErr w:type="spellStart"/>
                                <w:r>
                                  <w:rPr>
                                    <w:rStyle w:val="Hyperlink"/>
                                    <w:rFonts w:ascii="Helvetica" w:hAnsi="Helvetica" w:cs="Helvetica"/>
                                    <w:color w:val="007C89"/>
                                    <w:sz w:val="20"/>
                                  </w:rPr>
                                  <w:t>IPEELL</w:t>
                                </w:r>
                                <w:proofErr w:type="spellEnd"/>
                                <w:r>
                                  <w:rPr>
                                    <w:rStyle w:val="Hyperlink"/>
                                    <w:rFonts w:ascii="Helvetica" w:hAnsi="Helvetica" w:cs="Helvetica"/>
                                    <w:color w:val="007C89"/>
                                    <w:sz w:val="20"/>
                                  </w:rPr>
                                  <w:t>: Using Self-Regulation to Improve Writing</w:t>
                                </w:r>
                              </w:hyperlink>
                              <w:r>
                                <w:rPr>
                                  <w:rFonts w:ascii="Helvetica" w:hAnsi="Helvetica" w:cs="Helvetica"/>
                                  <w:color w:val="000000"/>
                                  <w:sz w:val="20"/>
                                </w:rPr>
                                <w:t xml:space="preserve">, aimed to use memorable experiences and an approach called </w:t>
                              </w:r>
                              <w:r>
                                <w:rPr>
                                  <w:rStyle w:val="Strong"/>
                                  <w:rFonts w:ascii="Helvetica" w:hAnsi="Helvetica" w:cs="Helvetica"/>
                                  <w:color w:val="000000"/>
                                  <w:sz w:val="20"/>
                                </w:rPr>
                                <w:t>‘Self-Regulated Strategy Development’</w:t>
                              </w:r>
                              <w:r>
                                <w:rPr>
                                  <w:rFonts w:ascii="Helvetica" w:hAnsi="Helvetica" w:cs="Helvetica"/>
                                  <w:color w:val="000000"/>
                                  <w:sz w:val="20"/>
                                </w:rPr>
                                <w:t xml:space="preserve"> (</w:t>
                              </w:r>
                              <w:proofErr w:type="spellStart"/>
                              <w:r>
                                <w:rPr>
                                  <w:rFonts w:ascii="Helvetica" w:hAnsi="Helvetica" w:cs="Helvetica"/>
                                  <w:color w:val="000000"/>
                                  <w:sz w:val="20"/>
                                </w:rPr>
                                <w:t>SRSD</w:t>
                              </w:r>
                              <w:proofErr w:type="spellEnd"/>
                              <w:r>
                                <w:rPr>
                                  <w:rFonts w:ascii="Helvetica" w:hAnsi="Helvetica" w:cs="Helvetica"/>
                                  <w:color w:val="000000"/>
                                  <w:sz w:val="20"/>
                                </w:rPr>
                                <w:t>) [4] to help struggling writers in Years 6 and 7.</w:t>
                              </w:r>
                              <w:r>
                                <w:rPr>
                                  <w:rFonts w:ascii="Helvetica" w:hAnsi="Helvetica" w:cs="Helvetica"/>
                                  <w:color w:val="000000"/>
                                  <w:sz w:val="20"/>
                                </w:rPr>
                                <w:br/>
                              </w:r>
                              <w:r>
                                <w:rPr>
                                  <w:rFonts w:ascii="Helvetica" w:hAnsi="Helvetica" w:cs="Helvetica"/>
                                  <w:color w:val="000000"/>
                                  <w:sz w:val="20"/>
                                </w:rPr>
                                <w:br/>
                              </w:r>
                              <w:proofErr w:type="spellStart"/>
                              <w:r>
                                <w:rPr>
                                  <w:rFonts w:ascii="Helvetica" w:hAnsi="Helvetica" w:cs="Helvetica"/>
                                  <w:color w:val="000000"/>
                                  <w:sz w:val="20"/>
                                </w:rPr>
                                <w:t>SRSD</w:t>
                              </w:r>
                              <w:proofErr w:type="spellEnd"/>
                              <w:r>
                                <w:rPr>
                                  <w:rFonts w:ascii="Helvetica" w:hAnsi="Helvetica" w:cs="Helvetica"/>
                                  <w:color w:val="000000"/>
                                  <w:sz w:val="20"/>
                                </w:rPr>
                                <w:t xml:space="preserve"> provides a clear structure to help pupils plan, monitor and evaluate their writing. It aims to encourage pupils to take ownership of their work and can be used to teach most genres of writing, including narrative writing.</w:t>
                              </w:r>
                              <w:r>
                                <w:rPr>
                                  <w:rFonts w:ascii="Helvetica" w:hAnsi="Helvetica" w:cs="Helvetica"/>
                                  <w:color w:val="000000"/>
                                  <w:sz w:val="20"/>
                                </w:rPr>
                                <w:br/>
                              </w:r>
                              <w:r>
                                <w:rPr>
                                  <w:rFonts w:ascii="Helvetica" w:hAnsi="Helvetica" w:cs="Helvetica"/>
                                  <w:color w:val="000000"/>
                                  <w:sz w:val="20"/>
                                </w:rPr>
                                <w:br/>
                                <w:t xml:space="preserve">Led by the Calderdale Excellence Project, this project had a focus on pupils using cognitive strategies like the mnemonic </w:t>
                              </w:r>
                              <w:proofErr w:type="spellStart"/>
                              <w:r>
                                <w:rPr>
                                  <w:rFonts w:ascii="Helvetica" w:hAnsi="Helvetica" w:cs="Helvetica"/>
                                  <w:color w:val="000000"/>
                                  <w:sz w:val="20"/>
                                </w:rPr>
                                <w:t>IPEELL</w:t>
                              </w:r>
                              <w:proofErr w:type="spellEnd"/>
                              <w:r>
                                <w:rPr>
                                  <w:rFonts w:ascii="Helvetica" w:hAnsi="Helvetica" w:cs="Helvetica"/>
                                  <w:color w:val="000000"/>
                                  <w:sz w:val="20"/>
                                </w:rPr>
                                <w:t>—</w:t>
                              </w:r>
                              <w:r>
                                <w:rPr>
                                  <w:rStyle w:val="Strong"/>
                                  <w:rFonts w:ascii="Helvetica" w:hAnsi="Helvetica" w:cs="Helvetica"/>
                                  <w:color w:val="000000"/>
                                  <w:sz w:val="20"/>
                                </w:rPr>
                                <w:t>I</w:t>
                              </w:r>
                              <w:r>
                                <w:rPr>
                                  <w:rFonts w:ascii="Helvetica" w:hAnsi="Helvetica" w:cs="Helvetica"/>
                                  <w:color w:val="000000"/>
                                  <w:sz w:val="20"/>
                                </w:rPr>
                                <w:t xml:space="preserve">ntroductory paragraph, </w:t>
                              </w:r>
                              <w:r>
                                <w:rPr>
                                  <w:rStyle w:val="Strong"/>
                                  <w:rFonts w:ascii="Helvetica" w:hAnsi="Helvetica" w:cs="Helvetica"/>
                                  <w:color w:val="000000"/>
                                  <w:sz w:val="20"/>
                                </w:rPr>
                                <w:t>P</w:t>
                              </w:r>
                              <w:r>
                                <w:rPr>
                                  <w:rFonts w:ascii="Helvetica" w:hAnsi="Helvetica" w:cs="Helvetica"/>
                                  <w:color w:val="000000"/>
                                  <w:sz w:val="20"/>
                                </w:rPr>
                                <w:t xml:space="preserve">oints, </w:t>
                              </w:r>
                              <w:r>
                                <w:rPr>
                                  <w:rStyle w:val="Strong"/>
                                  <w:rFonts w:ascii="Helvetica" w:hAnsi="Helvetica" w:cs="Helvetica"/>
                                  <w:color w:val="000000"/>
                                  <w:sz w:val="20"/>
                                </w:rPr>
                                <w:t>E</w:t>
                              </w:r>
                              <w:r>
                                <w:rPr>
                                  <w:rFonts w:ascii="Helvetica" w:hAnsi="Helvetica" w:cs="Helvetica"/>
                                  <w:color w:val="000000"/>
                                  <w:sz w:val="20"/>
                                </w:rPr>
                                <w:t xml:space="preserve">xamples and elaboration, </w:t>
                              </w:r>
                              <w:r>
                                <w:rPr>
                                  <w:rStyle w:val="Strong"/>
                                  <w:rFonts w:ascii="Helvetica" w:hAnsi="Helvetica" w:cs="Helvetica"/>
                                  <w:color w:val="000000"/>
                                  <w:sz w:val="20"/>
                                </w:rPr>
                                <w:t>E</w:t>
                              </w:r>
                              <w:r>
                                <w:rPr>
                                  <w:rFonts w:ascii="Helvetica" w:hAnsi="Helvetica" w:cs="Helvetica"/>
                                  <w:color w:val="000000"/>
                                  <w:sz w:val="20"/>
                                </w:rPr>
                                <w:t xml:space="preserve">nd, </w:t>
                              </w:r>
                              <w:r>
                                <w:rPr>
                                  <w:rStyle w:val="Strong"/>
                                  <w:rFonts w:ascii="Helvetica" w:hAnsi="Helvetica" w:cs="Helvetica"/>
                                  <w:color w:val="000000"/>
                                  <w:sz w:val="20"/>
                                </w:rPr>
                                <w:t>L</w:t>
                              </w:r>
                              <w:r>
                                <w:rPr>
                                  <w:rFonts w:ascii="Helvetica" w:hAnsi="Helvetica" w:cs="Helvetica"/>
                                  <w:color w:val="000000"/>
                                  <w:sz w:val="20"/>
                                </w:rPr>
                                <w:t xml:space="preserve">inks (such as connectives and openers), and </w:t>
                              </w:r>
                              <w:r>
                                <w:rPr>
                                  <w:rStyle w:val="Strong"/>
                                  <w:rFonts w:ascii="Helvetica" w:hAnsi="Helvetica" w:cs="Helvetica"/>
                                  <w:color w:val="000000"/>
                                  <w:sz w:val="20"/>
                                </w:rPr>
                                <w:t>L</w:t>
                              </w:r>
                              <w:r>
                                <w:rPr>
                                  <w:rFonts w:ascii="Helvetica" w:hAnsi="Helvetica" w:cs="Helvetica"/>
                                  <w:color w:val="000000"/>
                                  <w:sz w:val="20"/>
                                </w:rPr>
                                <w:t>anguage (for example, ‘wow’ words, genre specific vocabulary, punctuation, and self-scoring).</w:t>
                              </w:r>
                              <w:r>
                                <w:rPr>
                                  <w:rFonts w:ascii="Helvetica" w:hAnsi="Helvetica" w:cs="Helvetica"/>
                                  <w:color w:val="000000"/>
                                  <w:sz w:val="20"/>
                                </w:rPr>
                                <w:br/>
                              </w:r>
                              <w:r>
                                <w:rPr>
                                  <w:rFonts w:ascii="Helvetica" w:hAnsi="Helvetica" w:cs="Helvetica"/>
                                  <w:color w:val="000000"/>
                                  <w:sz w:val="20"/>
                                </w:rPr>
                                <w:br/>
                                <w:t>The approach explicitly teaches the writing process while encouraging pupils to take ownership of their progress with monitoring and evaluation strategies.</w:t>
                              </w:r>
                              <w:r>
                                <w:rPr>
                                  <w:rFonts w:ascii="Helvetica" w:hAnsi="Helvetica" w:cs="Helvetica"/>
                                  <w:color w:val="000000"/>
                                  <w:sz w:val="20"/>
                                </w:rPr>
                                <w:br/>
                              </w:r>
                              <w:r>
                                <w:rPr>
                                  <w:rFonts w:ascii="Helvetica" w:hAnsi="Helvetica" w:cs="Helvetica"/>
                                  <w:color w:val="000000"/>
                                  <w:sz w:val="20"/>
                                </w:rPr>
                                <w:br/>
                                <w:t>Overall, the project appeared to have a large positive impact on writing outcomes in the independently evaluated efficacy trial. The overall effect size for writing—comparing the progress of pupils in the project to similar pupils who did not participate—was +0.74 standard deviations, or an estimated nine months’ additional progress. [5]</w:t>
                              </w:r>
                            </w:p>
                          </w:tc>
                        </w:tr>
                      </w:tbl>
                      <w:p w:rsidR="00301E3F" w:rsidRDefault="00301E3F">
                        <w:pPr>
                          <w:rPr>
                            <w:rFonts w:ascii="Times New Roman" w:hAnsi="Times New Roman"/>
                            <w:sz w:val="20"/>
                          </w:rPr>
                        </w:pPr>
                      </w:p>
                    </w:tc>
                  </w:tr>
                </w:tbl>
                <w:p w:rsidR="00301E3F" w:rsidRDefault="00301E3F">
                  <w:pPr>
                    <w:rPr>
                      <w:sz w:val="20"/>
                    </w:rPr>
                  </w:pPr>
                </w:p>
              </w:tc>
            </w:tr>
          </w:tbl>
          <w:p w:rsidR="00301E3F" w:rsidRDefault="00301E3F">
            <w:pPr>
              <w:jc w:val="center"/>
              <w:rPr>
                <w:sz w:val="20"/>
              </w:rPr>
            </w:pPr>
          </w:p>
        </w:tc>
      </w:tr>
    </w:tbl>
    <w:p w:rsidR="00301E3F" w:rsidRDefault="00301E3F" w:rsidP="00B561C0"/>
    <w:p w:rsidR="00301E3F" w:rsidRDefault="00301E3F" w:rsidP="00301E3F">
      <w:pPr>
        <w:spacing w:line="300" w:lineRule="auto"/>
        <w:rPr>
          <w:rFonts w:cs="Arial"/>
          <w:color w:val="202020"/>
        </w:rPr>
      </w:pPr>
      <w:r>
        <w:rPr>
          <w:rStyle w:val="Strong"/>
          <w:rFonts w:cs="Arial"/>
          <w:color w:val="202020"/>
        </w:rPr>
        <w:t>Further resources...</w:t>
      </w:r>
      <w:r>
        <w:rPr>
          <w:rFonts w:cs="Arial"/>
          <w:color w:val="202020"/>
        </w:rPr>
        <w:br/>
      </w:r>
      <w:r>
        <w:rPr>
          <w:rFonts w:cs="Arial"/>
          <w:color w:val="202020"/>
        </w:rPr>
        <w:br/>
        <w:t xml:space="preserve">If this email has whetted your appetite to find out more about metacognition and self-regulation, you can: </w:t>
      </w:r>
    </w:p>
    <w:p w:rsidR="00301E3F" w:rsidRDefault="00301E3F" w:rsidP="00301E3F">
      <w:pPr>
        <w:numPr>
          <w:ilvl w:val="0"/>
          <w:numId w:val="8"/>
        </w:numPr>
        <w:spacing w:before="100" w:beforeAutospacing="1" w:after="100" w:afterAutospacing="1" w:line="300" w:lineRule="auto"/>
        <w:rPr>
          <w:rFonts w:cs="Arial"/>
          <w:color w:val="202020"/>
        </w:rPr>
      </w:pPr>
      <w:r>
        <w:rPr>
          <w:rStyle w:val="Strong"/>
          <w:rFonts w:cs="Arial"/>
          <w:color w:val="202020"/>
        </w:rPr>
        <w:t xml:space="preserve">Download </w:t>
      </w:r>
      <w:r>
        <w:rPr>
          <w:rFonts w:cs="Arial"/>
          <w:color w:val="202020"/>
        </w:rPr>
        <w:t xml:space="preserve">the </w:t>
      </w:r>
      <w:proofErr w:type="spellStart"/>
      <w:r>
        <w:rPr>
          <w:rFonts w:cs="Arial"/>
          <w:color w:val="202020"/>
        </w:rPr>
        <w:t>EEF's</w:t>
      </w:r>
      <w:proofErr w:type="spellEnd"/>
      <w:r>
        <w:rPr>
          <w:rFonts w:cs="Arial"/>
          <w:color w:val="202020"/>
        </w:rPr>
        <w:t> printable metacognition '</w:t>
      </w:r>
      <w:hyperlink r:id="rId6" w:tgtFrame="_blank" w:history="1">
        <w:r>
          <w:rPr>
            <w:rStyle w:val="Hyperlink"/>
            <w:rFonts w:cs="Arial"/>
            <w:color w:val="007C89"/>
          </w:rPr>
          <w:t>School Audit Tool</w:t>
        </w:r>
      </w:hyperlink>
      <w:r>
        <w:rPr>
          <w:rFonts w:cs="Arial"/>
          <w:color w:val="202020"/>
        </w:rPr>
        <w:t>' - it describes what ‘ineffective’, ‘improving’ and ‘effective’ practice could look like in relation to the guidance. </w:t>
      </w:r>
    </w:p>
    <w:p w:rsidR="00301E3F" w:rsidRDefault="00301E3F" w:rsidP="00301E3F">
      <w:pPr>
        <w:numPr>
          <w:ilvl w:val="0"/>
          <w:numId w:val="8"/>
        </w:numPr>
        <w:spacing w:before="100" w:beforeAutospacing="1" w:after="100" w:afterAutospacing="1" w:line="300" w:lineRule="auto"/>
        <w:rPr>
          <w:rFonts w:cs="Arial"/>
          <w:color w:val="202020"/>
        </w:rPr>
      </w:pPr>
      <w:r>
        <w:rPr>
          <w:rStyle w:val="Strong"/>
          <w:rFonts w:cs="Arial"/>
          <w:color w:val="202020"/>
        </w:rPr>
        <w:t xml:space="preserve">Read </w:t>
      </w:r>
      <w:r>
        <w:rPr>
          <w:rFonts w:cs="Arial"/>
          <w:color w:val="202020"/>
        </w:rPr>
        <w:t xml:space="preserve">secondary school science teacher, Adam Boxer, helpfully exploring </w:t>
      </w:r>
      <w:hyperlink r:id="rId7" w:tooltip="https://achemicalorthodoxy.wordpress.com/2018/06/18/7-simple-ways-to-encourage-metacognition-in-the-science-classroom/" w:history="1">
        <w:r>
          <w:rPr>
            <w:rStyle w:val="Hyperlink"/>
            <w:rFonts w:cs="Arial"/>
            <w:color w:val="007C89"/>
          </w:rPr>
          <w:t>'7 simple ways to encourage metacognition in the science classroom'</w:t>
        </w:r>
      </w:hyperlink>
      <w:r>
        <w:rPr>
          <w:rFonts w:cs="Arial"/>
          <w:color w:val="202020"/>
        </w:rPr>
        <w:t>. </w:t>
      </w:r>
    </w:p>
    <w:p w:rsidR="00301E3F" w:rsidRDefault="00301E3F" w:rsidP="00301E3F">
      <w:pPr>
        <w:numPr>
          <w:ilvl w:val="0"/>
          <w:numId w:val="8"/>
        </w:numPr>
        <w:spacing w:before="100" w:beforeAutospacing="1" w:after="100" w:afterAutospacing="1" w:line="300" w:lineRule="auto"/>
        <w:rPr>
          <w:rFonts w:cs="Arial"/>
          <w:color w:val="202020"/>
        </w:rPr>
      </w:pPr>
      <w:r>
        <w:rPr>
          <w:rStyle w:val="Strong"/>
          <w:rFonts w:cs="Arial"/>
          <w:color w:val="202020"/>
        </w:rPr>
        <w:t xml:space="preserve">Watch </w:t>
      </w:r>
      <w:r>
        <w:rPr>
          <w:rFonts w:cs="Arial"/>
          <w:color w:val="202020"/>
        </w:rPr>
        <w:t xml:space="preserve">this short, 1-minute </w:t>
      </w:r>
      <w:proofErr w:type="spellStart"/>
      <w:r>
        <w:rPr>
          <w:rFonts w:cs="Arial"/>
          <w:color w:val="202020"/>
        </w:rPr>
        <w:t>Edutopia</w:t>
      </w:r>
      <w:proofErr w:type="spellEnd"/>
      <w:r>
        <w:rPr>
          <w:rFonts w:cs="Arial"/>
          <w:color w:val="202020"/>
        </w:rPr>
        <w:t xml:space="preserve"> animation explaining '</w:t>
      </w:r>
      <w:hyperlink r:id="rId8" w:tgtFrame="_blank" w:history="1">
        <w:r>
          <w:rPr>
            <w:rStyle w:val="Hyperlink"/>
            <w:rFonts w:cs="Arial"/>
            <w:color w:val="007C89"/>
          </w:rPr>
          <w:t>What's metacognition - and why does it matter?</w:t>
        </w:r>
      </w:hyperlink>
      <w:r>
        <w:rPr>
          <w:rFonts w:cs="Arial"/>
          <w:color w:val="202020"/>
        </w:rPr>
        <w:t>' </w:t>
      </w:r>
    </w:p>
    <w:p w:rsidR="00301E3F" w:rsidRPr="009B7615" w:rsidRDefault="00301E3F" w:rsidP="00B561C0">
      <w:bookmarkStart w:id="0" w:name="_GoBack"/>
      <w:bookmarkEnd w:id="0"/>
    </w:p>
    <w:sectPr w:rsidR="00301E3F"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C224F14"/>
    <w:multiLevelType w:val="multilevel"/>
    <w:tmpl w:val="D0B0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66FEC"/>
    <w:multiLevelType w:val="multilevel"/>
    <w:tmpl w:val="0E60F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3F"/>
    <w:rsid w:val="00027C27"/>
    <w:rsid w:val="000C0CF4"/>
    <w:rsid w:val="00281579"/>
    <w:rsid w:val="00301E3F"/>
    <w:rsid w:val="00306C61"/>
    <w:rsid w:val="0037582B"/>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52E1"/>
  <w15:chartTrackingRefBased/>
  <w15:docId w15:val="{5B2DADF3-3FD1-46A7-9C77-749DCEA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301E3F"/>
    <w:rPr>
      <w:b/>
      <w:bCs/>
    </w:rPr>
  </w:style>
  <w:style w:type="character" w:styleId="Emphasis">
    <w:name w:val="Emphasis"/>
    <w:basedOn w:val="DefaultParagraphFont"/>
    <w:uiPriority w:val="20"/>
    <w:qFormat/>
    <w:rsid w:val="00301E3F"/>
    <w:rPr>
      <w:i/>
      <w:iCs/>
    </w:rPr>
  </w:style>
  <w:style w:type="character" w:styleId="Hyperlink">
    <w:name w:val="Hyperlink"/>
    <w:basedOn w:val="DefaultParagraphFont"/>
    <w:uiPriority w:val="99"/>
    <w:semiHidden/>
    <w:unhideWhenUsed/>
    <w:rsid w:val="00301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70031">
      <w:bodyDiv w:val="1"/>
      <w:marLeft w:val="0"/>
      <w:marRight w:val="0"/>
      <w:marTop w:val="0"/>
      <w:marBottom w:val="0"/>
      <w:divBdr>
        <w:top w:val="none" w:sz="0" w:space="0" w:color="auto"/>
        <w:left w:val="none" w:sz="0" w:space="0" w:color="auto"/>
        <w:bottom w:val="none" w:sz="0" w:space="0" w:color="auto"/>
        <w:right w:val="none" w:sz="0" w:space="0" w:color="auto"/>
      </w:divBdr>
    </w:div>
    <w:div w:id="239870689">
      <w:bodyDiv w:val="1"/>
      <w:marLeft w:val="0"/>
      <w:marRight w:val="0"/>
      <w:marTop w:val="0"/>
      <w:marBottom w:val="0"/>
      <w:divBdr>
        <w:top w:val="none" w:sz="0" w:space="0" w:color="auto"/>
        <w:left w:val="none" w:sz="0" w:space="0" w:color="auto"/>
        <w:bottom w:val="none" w:sz="0" w:space="0" w:color="auto"/>
        <w:right w:val="none" w:sz="0" w:space="0" w:color="auto"/>
      </w:divBdr>
    </w:div>
    <w:div w:id="267812488">
      <w:bodyDiv w:val="1"/>
      <w:marLeft w:val="0"/>
      <w:marRight w:val="0"/>
      <w:marTop w:val="0"/>
      <w:marBottom w:val="0"/>
      <w:divBdr>
        <w:top w:val="none" w:sz="0" w:space="0" w:color="auto"/>
        <w:left w:val="none" w:sz="0" w:space="0" w:color="auto"/>
        <w:bottom w:val="none" w:sz="0" w:space="0" w:color="auto"/>
        <w:right w:val="none" w:sz="0" w:space="0" w:color="auto"/>
      </w:divBdr>
    </w:div>
    <w:div w:id="347144708">
      <w:bodyDiv w:val="1"/>
      <w:marLeft w:val="0"/>
      <w:marRight w:val="0"/>
      <w:marTop w:val="0"/>
      <w:marBottom w:val="0"/>
      <w:divBdr>
        <w:top w:val="none" w:sz="0" w:space="0" w:color="auto"/>
        <w:left w:val="none" w:sz="0" w:space="0" w:color="auto"/>
        <w:bottom w:val="none" w:sz="0" w:space="0" w:color="auto"/>
        <w:right w:val="none" w:sz="0" w:space="0" w:color="auto"/>
      </w:divBdr>
    </w:div>
    <w:div w:id="360085457">
      <w:bodyDiv w:val="1"/>
      <w:marLeft w:val="0"/>
      <w:marRight w:val="0"/>
      <w:marTop w:val="0"/>
      <w:marBottom w:val="0"/>
      <w:divBdr>
        <w:top w:val="none" w:sz="0" w:space="0" w:color="auto"/>
        <w:left w:val="none" w:sz="0" w:space="0" w:color="auto"/>
        <w:bottom w:val="none" w:sz="0" w:space="0" w:color="auto"/>
        <w:right w:val="none" w:sz="0" w:space="0" w:color="auto"/>
      </w:divBdr>
    </w:div>
    <w:div w:id="402028828">
      <w:bodyDiv w:val="1"/>
      <w:marLeft w:val="0"/>
      <w:marRight w:val="0"/>
      <w:marTop w:val="0"/>
      <w:marBottom w:val="0"/>
      <w:divBdr>
        <w:top w:val="none" w:sz="0" w:space="0" w:color="auto"/>
        <w:left w:val="none" w:sz="0" w:space="0" w:color="auto"/>
        <w:bottom w:val="none" w:sz="0" w:space="0" w:color="auto"/>
        <w:right w:val="none" w:sz="0" w:space="0" w:color="auto"/>
      </w:divBdr>
    </w:div>
    <w:div w:id="999038790">
      <w:bodyDiv w:val="1"/>
      <w:marLeft w:val="0"/>
      <w:marRight w:val="0"/>
      <w:marTop w:val="0"/>
      <w:marBottom w:val="0"/>
      <w:divBdr>
        <w:top w:val="none" w:sz="0" w:space="0" w:color="auto"/>
        <w:left w:val="none" w:sz="0" w:space="0" w:color="auto"/>
        <w:bottom w:val="none" w:sz="0" w:space="0" w:color="auto"/>
        <w:right w:val="none" w:sz="0" w:space="0" w:color="auto"/>
      </w:divBdr>
    </w:div>
    <w:div w:id="20875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us8.list-manage.com/track/click?u=cb569f99caaaedff117cdc74c&amp;id=29aa8b0a68&amp;e=ab6bf9c839" TargetMode="External"/><Relationship Id="rId3" Type="http://schemas.openxmlformats.org/officeDocument/2006/relationships/settings" Target="settings.xml"/><Relationship Id="rId7" Type="http://schemas.openxmlformats.org/officeDocument/2006/relationships/hyperlink" Target="https://educationendowmentfoundation.us8.list-manage.com/track/click?u=cb569f99caaaedff117cdc74c&amp;id=1f63f5f157&amp;e=ab6bf9c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us8.list-manage.com/track/click?u=cb569f99caaaedff117cdc74c&amp;id=2cd8f320f7&amp;e=ab6bf9c839" TargetMode="External"/><Relationship Id="rId5" Type="http://schemas.openxmlformats.org/officeDocument/2006/relationships/hyperlink" Target="https://educationendowmentfoundation.us8.list-manage.com/track/click?u=cb569f99caaaedff117cdc74c&amp;id=dc283dfcbb&amp;e=ab6bf9c8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1</cp:revision>
  <dcterms:created xsi:type="dcterms:W3CDTF">2020-04-20T10:19:00Z</dcterms:created>
  <dcterms:modified xsi:type="dcterms:W3CDTF">2020-04-20T10:29:00Z</dcterms:modified>
</cp:coreProperties>
</file>