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F07" w:rsidRDefault="00624584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>Are you a family caregiver for a child who has a learning disability, global developmental delay</w:t>
      </w:r>
      <w:r w:rsidR="00CF5EAB">
        <w:rPr>
          <w:b/>
          <w:bCs/>
          <w:sz w:val="32"/>
          <w:szCs w:val="32"/>
        </w:rPr>
        <w:t>, is A</w:t>
      </w:r>
      <w:r>
        <w:rPr>
          <w:b/>
          <w:bCs/>
          <w:sz w:val="32"/>
          <w:szCs w:val="32"/>
        </w:rPr>
        <w:t>utistic</w:t>
      </w:r>
      <w:r w:rsidR="00CF5EAB">
        <w:rPr>
          <w:b/>
          <w:bCs/>
          <w:sz w:val="32"/>
          <w:szCs w:val="32"/>
        </w:rPr>
        <w:t xml:space="preserve"> or on the ASD Pathway,</w:t>
      </w:r>
      <w:r>
        <w:rPr>
          <w:b/>
          <w:bCs/>
          <w:sz w:val="32"/>
          <w:szCs w:val="32"/>
        </w:rPr>
        <w:t xml:space="preserve"> aged 0-5</w:t>
      </w:r>
      <w:r w:rsidR="00EC5ED8">
        <w:rPr>
          <w:b/>
          <w:bCs/>
          <w:sz w:val="32"/>
          <w:szCs w:val="32"/>
        </w:rPr>
        <w:t xml:space="preserve"> years</w:t>
      </w:r>
      <w:r>
        <w:rPr>
          <w:b/>
          <w:bCs/>
          <w:sz w:val="32"/>
          <w:szCs w:val="32"/>
        </w:rPr>
        <w:t>?</w:t>
      </w:r>
    </w:p>
    <w:p w:rsidR="00240F07" w:rsidRDefault="00EC5ED8">
      <w:pPr>
        <w:jc w:val="center"/>
        <w:rPr>
          <w:sz w:val="28"/>
          <w:szCs w:val="28"/>
        </w:rPr>
      </w:pPr>
      <w:r>
        <w:rPr>
          <w:sz w:val="28"/>
          <w:szCs w:val="28"/>
        </w:rPr>
        <w:t>If so,</w:t>
      </w:r>
      <w:r w:rsidR="00624584">
        <w:rPr>
          <w:sz w:val="28"/>
          <w:szCs w:val="28"/>
        </w:rPr>
        <w:t xml:space="preserve"> you might be interested in attending</w:t>
      </w:r>
    </w:p>
    <w:p w:rsidR="00240F07" w:rsidRDefault="00624584">
      <w:pPr>
        <w:spacing w:after="0" w:line="240" w:lineRule="auto"/>
        <w:jc w:val="center"/>
        <w:rPr>
          <w:b/>
          <w:bCs/>
          <w:color w:val="E46C0A"/>
          <w:sz w:val="32"/>
          <w:szCs w:val="32"/>
          <w:u w:color="E46C0A"/>
        </w:rPr>
      </w:pPr>
      <w:r>
        <w:rPr>
          <w:b/>
          <w:bCs/>
          <w:color w:val="E46C0A"/>
          <w:sz w:val="32"/>
          <w:szCs w:val="32"/>
          <w:u w:val="single" w:color="E46C0A"/>
        </w:rPr>
        <w:t>Early Positive Approaches to Support (E-</w:t>
      </w:r>
      <w:proofErr w:type="spellStart"/>
      <w:r>
        <w:rPr>
          <w:b/>
          <w:bCs/>
          <w:color w:val="E46C0A"/>
          <w:sz w:val="32"/>
          <w:szCs w:val="32"/>
          <w:u w:val="single" w:color="E46C0A"/>
        </w:rPr>
        <w:t>PAtS</w:t>
      </w:r>
      <w:proofErr w:type="spellEnd"/>
      <w:r>
        <w:rPr>
          <w:b/>
          <w:bCs/>
          <w:color w:val="E46C0A"/>
          <w:sz w:val="32"/>
          <w:szCs w:val="32"/>
          <w:u w:val="single" w:color="E46C0A"/>
        </w:rPr>
        <w:t>)</w:t>
      </w:r>
    </w:p>
    <w:p w:rsidR="00240F07" w:rsidRDefault="00240F07">
      <w:pPr>
        <w:spacing w:after="0" w:line="240" w:lineRule="auto"/>
        <w:jc w:val="center"/>
        <w:rPr>
          <w:b/>
          <w:bCs/>
          <w:color w:val="E46C0A"/>
          <w:sz w:val="36"/>
          <w:szCs w:val="36"/>
          <w:u w:color="E46C0A"/>
        </w:rPr>
      </w:pPr>
    </w:p>
    <w:p w:rsidR="00240F07" w:rsidRDefault="00624584">
      <w:pPr>
        <w:jc w:val="center"/>
        <w:rPr>
          <w:sz w:val="28"/>
          <w:szCs w:val="28"/>
        </w:rPr>
      </w:pPr>
      <w:r>
        <w:rPr>
          <w:sz w:val="28"/>
          <w:szCs w:val="28"/>
        </w:rPr>
        <w:t>E-</w:t>
      </w:r>
      <w:proofErr w:type="spellStart"/>
      <w:r>
        <w:rPr>
          <w:sz w:val="28"/>
          <w:szCs w:val="28"/>
        </w:rPr>
        <w:t>PAtS</w:t>
      </w:r>
      <w:proofErr w:type="spellEnd"/>
      <w:r>
        <w:rPr>
          <w:sz w:val="28"/>
          <w:szCs w:val="28"/>
        </w:rPr>
        <w:t xml:space="preserve"> is an 8 session group that provides sensitive support and information for families in the early years. All groups are delivered by a trained family caregiver and professional and cover:</w:t>
      </w:r>
    </w:p>
    <w:p w:rsidR="00240F07" w:rsidRDefault="00624584">
      <w:pPr>
        <w:pStyle w:val="ListParagraph"/>
        <w:spacing w:after="0" w:line="240" w:lineRule="auto"/>
        <w:ind w:left="0"/>
        <w:jc w:val="center"/>
        <w:rPr>
          <w:color w:val="C45911"/>
          <w:u w:color="C45911"/>
        </w:rPr>
      </w:pPr>
      <w:r>
        <w:rPr>
          <w:b/>
          <w:bCs/>
          <w:color w:val="C45911"/>
          <w:sz w:val="28"/>
          <w:szCs w:val="28"/>
          <w:u w:color="C45911"/>
        </w:rPr>
        <w:t>Accessing services and supports</w:t>
      </w:r>
    </w:p>
    <w:p w:rsidR="00240F07" w:rsidRDefault="00624584">
      <w:pPr>
        <w:pStyle w:val="ListParagraph"/>
        <w:spacing w:after="0" w:line="240" w:lineRule="auto"/>
        <w:ind w:left="0"/>
        <w:jc w:val="center"/>
        <w:rPr>
          <w:color w:val="C45911"/>
          <w:u w:color="C45911"/>
        </w:rPr>
      </w:pPr>
      <w:r>
        <w:rPr>
          <w:b/>
          <w:bCs/>
          <w:color w:val="C45911"/>
          <w:sz w:val="28"/>
          <w:szCs w:val="28"/>
          <w:u w:color="C45911"/>
        </w:rPr>
        <w:t>Emotional wellbeing and resilience for caregivers</w:t>
      </w:r>
    </w:p>
    <w:p w:rsidR="00240F07" w:rsidRDefault="00624584">
      <w:pPr>
        <w:pStyle w:val="ListParagraph"/>
        <w:spacing w:after="0" w:line="240" w:lineRule="auto"/>
        <w:ind w:left="0"/>
        <w:jc w:val="center"/>
        <w:rPr>
          <w:color w:val="C45911"/>
          <w:u w:color="C45911"/>
        </w:rPr>
      </w:pPr>
      <w:r>
        <w:rPr>
          <w:b/>
          <w:bCs/>
          <w:color w:val="C45911"/>
          <w:sz w:val="28"/>
          <w:szCs w:val="28"/>
          <w:u w:color="C45911"/>
        </w:rPr>
        <w:t>Supporting sleep for childre</w:t>
      </w:r>
      <w:r>
        <w:rPr>
          <w:noProof/>
          <w:lang w:val="en-GB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5619179</wp:posOffset>
                </wp:positionH>
                <wp:positionV relativeFrom="page">
                  <wp:posOffset>9909778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40F07" w:rsidRDefault="00240F07">
                            <w:pPr>
                              <w:pStyle w:val="NormalWeb"/>
                              <w:spacing w:before="0" w:after="0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42.5pt;margin-top:780.3pt;width:250.0pt;height:128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 (Web)"/>
                        <w:spacing w:before="0" w:after="0"/>
                      </w:pPr>
                      <w:r/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b/>
          <w:bCs/>
          <w:color w:val="C45911"/>
          <w:sz w:val="28"/>
          <w:szCs w:val="28"/>
          <w:u w:color="C45911"/>
        </w:rPr>
        <w:t>n</w:t>
      </w:r>
    </w:p>
    <w:p w:rsidR="00240F07" w:rsidRDefault="00624584">
      <w:pPr>
        <w:pStyle w:val="ListParagraph"/>
        <w:spacing w:after="0" w:line="240" w:lineRule="auto"/>
        <w:ind w:left="0"/>
        <w:jc w:val="center"/>
        <w:rPr>
          <w:color w:val="C45911"/>
          <w:u w:color="C45911"/>
        </w:rPr>
      </w:pPr>
      <w:r>
        <w:rPr>
          <w:b/>
          <w:bCs/>
          <w:color w:val="C45911"/>
          <w:sz w:val="28"/>
          <w:szCs w:val="28"/>
          <w:u w:color="C45911"/>
        </w:rPr>
        <w:t>Supporting communication</w:t>
      </w:r>
    </w:p>
    <w:p w:rsidR="00240F07" w:rsidRDefault="00624584">
      <w:pPr>
        <w:pStyle w:val="ListParagraph"/>
        <w:spacing w:after="0" w:line="240" w:lineRule="auto"/>
        <w:ind w:left="0"/>
        <w:jc w:val="center"/>
        <w:rPr>
          <w:color w:val="C45911"/>
          <w:u w:color="C45911"/>
        </w:rPr>
      </w:pPr>
      <w:r>
        <w:rPr>
          <w:b/>
          <w:bCs/>
          <w:color w:val="C45911"/>
          <w:sz w:val="28"/>
          <w:szCs w:val="28"/>
          <w:u w:color="C45911"/>
        </w:rPr>
        <w:t>Supporting skills development</w:t>
      </w:r>
    </w:p>
    <w:p w:rsidR="00240F07" w:rsidRDefault="00624584">
      <w:pPr>
        <w:pStyle w:val="ListParagraph"/>
        <w:spacing w:line="240" w:lineRule="auto"/>
        <w:ind w:left="0"/>
        <w:jc w:val="center"/>
        <w:rPr>
          <w:color w:val="C45911"/>
          <w:u w:color="C45911"/>
        </w:rPr>
      </w:pPr>
      <w:r>
        <w:rPr>
          <w:b/>
          <w:bCs/>
          <w:color w:val="C45911"/>
          <w:sz w:val="28"/>
          <w:szCs w:val="28"/>
          <w:u w:color="C45911"/>
        </w:rPr>
        <w:t xml:space="preserve">Positive approaches to </w:t>
      </w:r>
      <w:proofErr w:type="spellStart"/>
      <w:r>
        <w:rPr>
          <w:b/>
          <w:bCs/>
          <w:color w:val="C45911"/>
          <w:sz w:val="28"/>
          <w:szCs w:val="28"/>
          <w:u w:color="C45911"/>
        </w:rPr>
        <w:t>behaviours</w:t>
      </w:r>
      <w:proofErr w:type="spellEnd"/>
      <w:r>
        <w:rPr>
          <w:b/>
          <w:bCs/>
          <w:color w:val="C45911"/>
          <w:sz w:val="28"/>
          <w:szCs w:val="28"/>
          <w:u w:color="C45911"/>
        </w:rPr>
        <w:t xml:space="preserve"> that challenge</w:t>
      </w:r>
    </w:p>
    <w:p w:rsidR="00240F07" w:rsidRDefault="00624584">
      <w:pPr>
        <w:pStyle w:val="ListParagraph"/>
        <w:ind w:left="0"/>
        <w:jc w:val="center"/>
      </w:pPr>
      <w:r>
        <w:rPr>
          <w:noProof/>
          <w:lang w:val="en-GB"/>
        </w:rPr>
        <w:drawing>
          <wp:inline distT="0" distB="0" distL="0" distR="0">
            <wp:extent cx="1448164" cy="960438"/>
            <wp:effectExtent l="0" t="0" r="0" b="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164" cy="9604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4584" w:rsidRPr="00624584" w:rsidRDefault="00624584">
      <w:pPr>
        <w:pStyle w:val="ListParagraph"/>
        <w:ind w:left="0"/>
        <w:jc w:val="center"/>
        <w:rPr>
          <w:b/>
          <w:bCs/>
          <w:color w:val="ED7D31"/>
          <w:sz w:val="28"/>
          <w:szCs w:val="28"/>
          <w:u w:color="ED7D31"/>
        </w:rPr>
      </w:pPr>
      <w:r>
        <w:rPr>
          <w:sz w:val="28"/>
          <w:szCs w:val="28"/>
        </w:rPr>
        <w:lastRenderedPageBreak/>
        <w:t>In E-</w:t>
      </w:r>
      <w:proofErr w:type="spellStart"/>
      <w:r>
        <w:rPr>
          <w:sz w:val="28"/>
          <w:szCs w:val="28"/>
        </w:rPr>
        <w:t>PAtS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color w:val="ED7D31"/>
          <w:sz w:val="28"/>
          <w:szCs w:val="28"/>
          <w:u w:color="ED7D31"/>
        </w:rPr>
        <w:t>you are always the EXPERT on your child</w:t>
      </w:r>
      <w:r>
        <w:rPr>
          <w:sz w:val="28"/>
          <w:szCs w:val="28"/>
        </w:rPr>
        <w:t>. You will have the opportunity to work alongside other families to b</w:t>
      </w:r>
      <w:r w:rsidR="00CF5EAB">
        <w:rPr>
          <w:sz w:val="28"/>
          <w:szCs w:val="28"/>
        </w:rPr>
        <w:t>uild on ways to support yourselves</w:t>
      </w:r>
      <w:r>
        <w:rPr>
          <w:sz w:val="28"/>
          <w:szCs w:val="28"/>
        </w:rPr>
        <w:t xml:space="preserve">, your child and family.  </w:t>
      </w:r>
      <w:r>
        <w:rPr>
          <w:b/>
          <w:bCs/>
          <w:color w:val="ED7D31"/>
          <w:sz w:val="28"/>
          <w:szCs w:val="28"/>
          <w:u w:color="ED7D31"/>
        </w:rPr>
        <w:t>You will never be judged or told what to do.</w:t>
      </w:r>
    </w:p>
    <w:p w:rsidR="00EC5ED8" w:rsidRPr="00EC5ED8" w:rsidRDefault="00624584" w:rsidP="00EC5ED8">
      <w:pPr>
        <w:pStyle w:val="ListParagraph"/>
        <w:ind w:left="0"/>
        <w:jc w:val="center"/>
        <w:rPr>
          <w:b/>
          <w:bCs/>
          <w:color w:val="ED7D31"/>
          <w:sz w:val="32"/>
          <w:szCs w:val="32"/>
          <w:u w:color="ED7D31"/>
        </w:rPr>
      </w:pPr>
      <w:r w:rsidRPr="00624584">
        <w:rPr>
          <w:b/>
          <w:bCs/>
          <w:color w:val="ED7D31"/>
          <w:sz w:val="32"/>
          <w:szCs w:val="32"/>
          <w:u w:color="ED7D31"/>
        </w:rPr>
        <w:t xml:space="preserve">Starting </w:t>
      </w:r>
      <w:r w:rsidR="00EC5ED8">
        <w:rPr>
          <w:b/>
          <w:bCs/>
          <w:color w:val="ED7D31"/>
          <w:sz w:val="32"/>
          <w:szCs w:val="32"/>
          <w:u w:color="ED7D31"/>
        </w:rPr>
        <w:t xml:space="preserve">Monday </w:t>
      </w:r>
      <w:r w:rsidRPr="00624584">
        <w:rPr>
          <w:b/>
          <w:bCs/>
          <w:color w:val="ED7D31"/>
          <w:sz w:val="32"/>
          <w:szCs w:val="32"/>
          <w:u w:color="ED7D31"/>
        </w:rPr>
        <w:t xml:space="preserve">25th </w:t>
      </w:r>
      <w:r w:rsidR="00EC5ED8">
        <w:rPr>
          <w:b/>
          <w:bCs/>
          <w:color w:val="ED7D31"/>
          <w:sz w:val="32"/>
          <w:szCs w:val="32"/>
          <w:u w:color="ED7D31"/>
        </w:rPr>
        <w:t>April 2022 – 10am-12.30pm</w:t>
      </w:r>
    </w:p>
    <w:p w:rsidR="00624584" w:rsidRDefault="00624584">
      <w:pPr>
        <w:pStyle w:val="ListParagraph"/>
        <w:ind w:left="0"/>
        <w:jc w:val="center"/>
        <w:rPr>
          <w:sz w:val="28"/>
          <w:szCs w:val="28"/>
        </w:rPr>
      </w:pPr>
    </w:p>
    <w:p w:rsidR="00240F07" w:rsidRDefault="00624584">
      <w:pPr>
        <w:pStyle w:val="ListParagraph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If you would like to find out more about how you can take part please contact </w:t>
      </w:r>
      <w:proofErr w:type="spellStart"/>
      <w:r w:rsidR="00EB5AE1">
        <w:rPr>
          <w:b/>
          <w:bCs/>
          <w:i/>
          <w:iCs/>
          <w:color w:val="EC700A"/>
          <w:sz w:val="28"/>
          <w:szCs w:val="28"/>
          <w:u w:color="EC700A"/>
        </w:rPr>
        <w:t>AbilityShetland</w:t>
      </w:r>
      <w:proofErr w:type="spellEnd"/>
      <w:r w:rsidR="00EC5ED8">
        <w:rPr>
          <w:b/>
          <w:bCs/>
          <w:i/>
          <w:iCs/>
          <w:color w:val="EC700A"/>
          <w:sz w:val="28"/>
          <w:szCs w:val="28"/>
          <w:u w:color="EC700A"/>
        </w:rPr>
        <w:t xml:space="preserve"> </w:t>
      </w:r>
      <w:r>
        <w:rPr>
          <w:sz w:val="28"/>
          <w:szCs w:val="28"/>
        </w:rPr>
        <w:t xml:space="preserve">to request further information: </w:t>
      </w:r>
      <w:r w:rsidR="00EB5AE1">
        <w:rPr>
          <w:sz w:val="28"/>
          <w:szCs w:val="28"/>
        </w:rPr>
        <w:t>abilityshetland</w:t>
      </w:r>
      <w:r>
        <w:rPr>
          <w:sz w:val="28"/>
          <w:szCs w:val="28"/>
        </w:rPr>
        <w:t>@shetland.org</w:t>
      </w:r>
      <w:r>
        <w:rPr>
          <w:noProof/>
          <w:sz w:val="28"/>
          <w:szCs w:val="28"/>
          <w:lang w:val="en-GB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4670847</wp:posOffset>
            </wp:positionH>
            <wp:positionV relativeFrom="line">
              <wp:posOffset>1295720</wp:posOffset>
            </wp:positionV>
            <wp:extent cx="1337641" cy="6688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641" cy="6688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240F07" w:rsidRDefault="00240F07">
      <w:pPr>
        <w:pStyle w:val="ListParagraph"/>
        <w:ind w:left="0"/>
        <w:jc w:val="center"/>
        <w:rPr>
          <w:sz w:val="28"/>
          <w:szCs w:val="28"/>
        </w:rPr>
      </w:pPr>
    </w:p>
    <w:p w:rsidR="00240F07" w:rsidRDefault="00240F07">
      <w:pPr>
        <w:pStyle w:val="ListParagraph"/>
        <w:ind w:left="0"/>
        <w:jc w:val="center"/>
        <w:rPr>
          <w:sz w:val="28"/>
          <w:szCs w:val="28"/>
        </w:rPr>
      </w:pPr>
    </w:p>
    <w:p w:rsidR="00240F07" w:rsidRDefault="00624584">
      <w:pPr>
        <w:pStyle w:val="ListParagraph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GB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802640</wp:posOffset>
            </wp:positionH>
            <wp:positionV relativeFrom="line">
              <wp:posOffset>74295</wp:posOffset>
            </wp:positionV>
            <wp:extent cx="866140" cy="8026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02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F07" w:rsidRDefault="00624584">
      <w:pPr>
        <w:pStyle w:val="ListParagraph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GB"/>
        </w:rPr>
        <w:drawing>
          <wp:inline distT="0" distB="0" distL="0" distR="0">
            <wp:extent cx="1014926" cy="518094"/>
            <wp:effectExtent l="0" t="0" r="0" b="0"/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b="32658"/>
                    <a:stretch>
                      <a:fillRect/>
                    </a:stretch>
                  </pic:blipFill>
                  <pic:spPr>
                    <a:xfrm>
                      <a:off x="0" y="0"/>
                      <a:ext cx="1014926" cy="5180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40F07" w:rsidRDefault="00624584">
      <w:pPr>
        <w:pStyle w:val="ListParagraph"/>
        <w:ind w:left="0"/>
        <w:jc w:val="center"/>
      </w:pPr>
      <w:r>
        <w:rPr>
          <w:noProof/>
          <w:sz w:val="28"/>
          <w:szCs w:val="28"/>
          <w:lang w:val="en-GB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-373711</wp:posOffset>
                </wp:positionH>
                <wp:positionV relativeFrom="line">
                  <wp:posOffset>191963</wp:posOffset>
                </wp:positionV>
                <wp:extent cx="4053205" cy="347235"/>
                <wp:effectExtent l="0" t="0" r="4445" b="0"/>
                <wp:wrapNone/>
                <wp:docPr id="1073741831" name="officeArt object" descr="Copyright ©2012 Tizard Centre, University of Kent, UK. All rights reserved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205" cy="3472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40F07" w:rsidRDefault="00624584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Calibri" w:hAnsi="Calibri"/>
                                <w:color w:val="E36C09"/>
                                <w:kern w:val="24"/>
                                <w:sz w:val="20"/>
                                <w:szCs w:val="20"/>
                                <w:u w:color="E36C09"/>
                              </w:rPr>
                              <w:t>Copyright ©2012 Tizard Centre, University of Kent, UK. All rights reserved.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Copyright ©2012 Tizard Centre, University of Kent, UK. All rights reserved." style="position:absolute;left:0;text-align:left;margin-left:-29.45pt;margin-top:15.1pt;width:319.15pt;height:27.35pt;z-index:25165926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" filled="f" stroked="f" strokeweight="1pt">
                <v:stroke miterlimit="4"/>
                <v:textbox inset="1.27mm,1.27mm,1.27mm,1.27mm">
                  <w:txbxContent>
                    <w:p w:rsidR="00240F07" w:rsidRDefault="00624584">
                      <w:pPr>
                        <w:pStyle w:val="NormalWeb"/>
                        <w:spacing w:before="0" w:after="0"/>
                      </w:pPr>
                      <w:r>
                        <w:rPr>
                          <w:rFonts w:ascii="Calibri" w:hAnsi="Calibri"/>
                          <w:color w:val="E36C09"/>
                          <w:kern w:val="24"/>
                          <w:sz w:val="20"/>
                          <w:szCs w:val="20"/>
                          <w:u w:color="E36C09"/>
                        </w:rPr>
                        <w:t xml:space="preserve">Copyright </w:t>
                      </w:r>
                      <w:r>
                        <w:rPr>
                          <w:rFonts w:ascii="Calibri" w:hAnsi="Calibri"/>
                          <w:color w:val="E36C09"/>
                          <w:kern w:val="24"/>
                          <w:sz w:val="20"/>
                          <w:szCs w:val="20"/>
                          <w:u w:color="E36C09"/>
                        </w:rPr>
                        <w:t>©</w:t>
                      </w:r>
                      <w:r>
                        <w:rPr>
                          <w:rFonts w:ascii="Calibri" w:hAnsi="Calibri"/>
                          <w:color w:val="E36C09"/>
                          <w:kern w:val="24"/>
                          <w:sz w:val="20"/>
                          <w:szCs w:val="20"/>
                          <w:u w:color="E36C09"/>
                        </w:rPr>
                        <w:t>2012 Tizard Centre, University of Kent, UK. All rights reserved.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  <w:sz w:val="28"/>
          <w:szCs w:val="28"/>
          <w:lang w:val="en-GB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5701029</wp:posOffset>
                </wp:positionH>
                <wp:positionV relativeFrom="line">
                  <wp:posOffset>2226991</wp:posOffset>
                </wp:positionV>
                <wp:extent cx="4053205" cy="228511"/>
                <wp:effectExtent l="0" t="0" r="0" b="0"/>
                <wp:wrapNone/>
                <wp:docPr id="1073741833" name="officeArt object" descr="Copyright ©2012 Tizard Centre, University of Kent, UK. All rights reserved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205" cy="2285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40F07" w:rsidRDefault="00624584">
                            <w:pPr>
                              <w:pStyle w:val="NormalWeb"/>
                              <w:spacing w:before="0" w:after="0"/>
                            </w:pPr>
                            <w:r>
                              <w:rPr>
                                <w:rFonts w:ascii="Calibri" w:hAnsi="Calibri"/>
                                <w:color w:val="E36C09"/>
                                <w:kern w:val="24"/>
                                <w:sz w:val="20"/>
                                <w:szCs w:val="20"/>
                                <w:u w:color="E36C09"/>
                              </w:rPr>
                              <w:t>Copyright ©2012 Tizard Centre, University of Kent, UK. All rights reserved.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448.9pt;margin-top:175.4pt;width:319.1pt;height:18.0pt;z-index:25166131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 (Web)"/>
                        <w:spacing w:before="0" w:after="0"/>
                      </w:pPr>
                      <w:r>
                        <w:rPr>
                          <w:rFonts w:ascii="Calibri" w:hAnsi="Calibri"/>
                          <w:outline w:val="0"/>
                          <w:color w:val="e36c09"/>
                          <w:kern w:val="24"/>
                          <w:sz w:val="20"/>
                          <w:szCs w:val="20"/>
                          <w:u w:color="e36c09"/>
                          <w:rtl w:val="0"/>
                          <w:lang w:val="en-US"/>
                          <w14:textFill>
                            <w14:solidFill>
                              <w14:srgbClr w14:val="E36C09"/>
                            </w14:solidFill>
                          </w14:textFill>
                        </w:rPr>
                        <w:t xml:space="preserve">Copyright </w:t>
                      </w:r>
                      <w:r>
                        <w:rPr>
                          <w:rFonts w:ascii="Calibri" w:hAnsi="Calibri" w:hint="default"/>
                          <w:outline w:val="0"/>
                          <w:color w:val="e36c09"/>
                          <w:kern w:val="24"/>
                          <w:sz w:val="20"/>
                          <w:szCs w:val="20"/>
                          <w:u w:color="e36c09"/>
                          <w:rtl w:val="0"/>
                          <w:lang w:val="en-US"/>
                          <w14:textFill>
                            <w14:solidFill>
                              <w14:srgbClr w14:val="E36C09"/>
                            </w14:solidFill>
                          </w14:textFill>
                        </w:rPr>
                        <w:t>©</w:t>
                      </w:r>
                      <w:r>
                        <w:rPr>
                          <w:rFonts w:ascii="Calibri" w:hAnsi="Calibri"/>
                          <w:outline w:val="0"/>
                          <w:color w:val="e36c09"/>
                          <w:kern w:val="24"/>
                          <w:sz w:val="20"/>
                          <w:szCs w:val="20"/>
                          <w:u w:color="e36c09"/>
                          <w:rtl w:val="0"/>
                          <w:lang w:val="en-US"/>
                          <w14:textFill>
                            <w14:solidFill>
                              <w14:srgbClr w14:val="E36C09"/>
                            </w14:solidFill>
                          </w14:textFill>
                        </w:rPr>
                        <w:t>2012 Tizard Centre, University of Kent, UK. All rights reserved.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noProof/>
          <w:sz w:val="28"/>
          <w:szCs w:val="28"/>
          <w:lang w:val="en-GB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339842</wp:posOffset>
                </wp:positionH>
                <wp:positionV relativeFrom="line">
                  <wp:posOffset>1752689</wp:posOffset>
                </wp:positionV>
                <wp:extent cx="4053205" cy="228511"/>
                <wp:effectExtent l="0" t="0" r="0" b="0"/>
                <wp:wrapNone/>
                <wp:docPr id="107374183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205" cy="2285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40F07" w:rsidRDefault="00240F07">
                            <w:pPr>
                              <w:pStyle w:val="NormalWeb"/>
                              <w:spacing w:before="0" w:after="0"/>
                            </w:pPr>
                          </w:p>
                          <w:p w:rsidR="00240F07" w:rsidRDefault="00240F07">
                            <w:pPr>
                              <w:pStyle w:val="NormalWeb"/>
                              <w:spacing w:before="0" w:after="0"/>
                            </w:pPr>
                          </w:p>
                          <w:p w:rsidR="00240F07" w:rsidRDefault="00240F07">
                            <w:pPr>
                              <w:pStyle w:val="NormalWeb"/>
                              <w:spacing w:before="0" w:after="0"/>
                            </w:pPr>
                          </w:p>
                          <w:p w:rsidR="00240F07" w:rsidRDefault="00240F07">
                            <w:pPr>
                              <w:pStyle w:val="NormalWeb"/>
                              <w:spacing w:before="0" w:after="0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6.8pt;margin-top:138.0pt;width:319.1pt;height:18.0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 (Web)"/>
                        <w:spacing w:before="0" w:after="0"/>
                      </w:pPr>
                      <w:r/>
                    </w:p>
                    <w:p>
                      <w:pPr>
                        <w:pStyle w:val="Normal (Web)"/>
                        <w:spacing w:before="0" w:after="0"/>
                      </w:pPr>
                      <w:r/>
                    </w:p>
                    <w:p>
                      <w:pPr>
                        <w:pStyle w:val="Normal (Web)"/>
                        <w:spacing w:before="0" w:after="0"/>
                      </w:pPr>
                      <w:r/>
                    </w:p>
                    <w:p>
                      <w:pPr>
                        <w:pStyle w:val="Normal (Web)"/>
                        <w:spacing w:before="0" w:after="0"/>
                      </w:pPr>
                      <w:r/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sectPr w:rsidR="00240F07">
      <w:headerReference w:type="default" r:id="rId10"/>
      <w:pgSz w:w="11900" w:h="16840"/>
      <w:pgMar w:top="993" w:right="1133" w:bottom="567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AEE" w:rsidRDefault="00624584">
      <w:pPr>
        <w:spacing w:after="0" w:line="240" w:lineRule="auto"/>
      </w:pPr>
      <w:r>
        <w:separator/>
      </w:r>
    </w:p>
  </w:endnote>
  <w:endnote w:type="continuationSeparator" w:id="0">
    <w:p w:rsidR="00825AEE" w:rsidRDefault="00624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AEE" w:rsidRDefault="00624584">
      <w:pPr>
        <w:spacing w:after="0" w:line="240" w:lineRule="auto"/>
      </w:pPr>
      <w:r>
        <w:separator/>
      </w:r>
    </w:p>
  </w:footnote>
  <w:footnote w:type="continuationSeparator" w:id="0">
    <w:p w:rsidR="00825AEE" w:rsidRDefault="00624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F07" w:rsidRDefault="00624584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4319270</wp:posOffset>
              </wp:positionH>
              <wp:positionV relativeFrom="page">
                <wp:posOffset>20386675</wp:posOffset>
              </wp:positionV>
              <wp:extent cx="4053205" cy="228511"/>
              <wp:effectExtent l="0" t="0" r="0" b="0"/>
              <wp:wrapNone/>
              <wp:docPr id="1073741825" name="officeArt object" descr="Copyright ©2012 Tizard Centre, University of Kent, UK. All rights reserved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3205" cy="22851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240F07" w:rsidRDefault="00624584">
                          <w:pPr>
                            <w:pStyle w:val="NormalWeb"/>
                            <w:spacing w:before="0" w:after="0"/>
                          </w:pPr>
                          <w:r>
                            <w:rPr>
                              <w:rFonts w:ascii="Calibri" w:hAnsi="Calibri"/>
                              <w:color w:val="E36C09"/>
                              <w:kern w:val="24"/>
                              <w:sz w:val="20"/>
                              <w:szCs w:val="20"/>
                              <w:u w:color="E36C09"/>
                            </w:rPr>
                            <w:t>Copyright ©2012 Tizard Centre, University of Kent, UK. All rights reserved.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0" type="#_x0000_t202" style="visibility:visible;position:absolute;margin-left:340.1pt;margin-top:1605.2pt;width:319.1pt;height:18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 (Web)"/>
                      <w:spacing w:before="0" w:after="0"/>
                    </w:pPr>
                    <w:r>
                      <w:rPr>
                        <w:rFonts w:ascii="Calibri" w:hAnsi="Calibri"/>
                        <w:outline w:val="0"/>
                        <w:color w:val="e36c09"/>
                        <w:kern w:val="24"/>
                        <w:sz w:val="20"/>
                        <w:szCs w:val="20"/>
                        <w:u w:color="e36c09"/>
                        <w:rtl w:val="0"/>
                        <w:lang w:val="en-US"/>
                        <w14:textFill>
                          <w14:solidFill>
                            <w14:srgbClr w14:val="E36C09"/>
                          </w14:solidFill>
                        </w14:textFill>
                      </w:rPr>
                      <w:t xml:space="preserve">Copyright </w:t>
                    </w:r>
                    <w:r>
                      <w:rPr>
                        <w:rFonts w:ascii="Calibri" w:hAnsi="Calibri" w:hint="default"/>
                        <w:outline w:val="0"/>
                        <w:color w:val="e36c09"/>
                        <w:kern w:val="24"/>
                        <w:sz w:val="20"/>
                        <w:szCs w:val="20"/>
                        <w:u w:color="e36c09"/>
                        <w:rtl w:val="0"/>
                        <w:lang w:val="en-US"/>
                        <w14:textFill>
                          <w14:solidFill>
                            <w14:srgbClr w14:val="E36C09"/>
                          </w14:solidFill>
                        </w14:textFill>
                      </w:rPr>
                      <w:t>©</w:t>
                    </w:r>
                    <w:r>
                      <w:rPr>
                        <w:rFonts w:ascii="Calibri" w:hAnsi="Calibri"/>
                        <w:outline w:val="0"/>
                        <w:color w:val="e36c09"/>
                        <w:kern w:val="24"/>
                        <w:sz w:val="20"/>
                        <w:szCs w:val="20"/>
                        <w:u w:color="e36c09"/>
                        <w:rtl w:val="0"/>
                        <w:lang w:val="en-US"/>
                        <w14:textFill>
                          <w14:solidFill>
                            <w14:srgbClr w14:val="E36C09"/>
                          </w14:solidFill>
                        </w14:textFill>
                      </w:rPr>
                      <w:t>2012 Tizard Centre, University of Kent, UK. All rights reserved.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4319270</wp:posOffset>
              </wp:positionH>
              <wp:positionV relativeFrom="page">
                <wp:posOffset>20386675</wp:posOffset>
              </wp:positionV>
              <wp:extent cx="4053205" cy="228511"/>
              <wp:effectExtent l="0" t="0" r="0" b="0"/>
              <wp:wrapNone/>
              <wp:docPr id="1073741826" name="officeArt object" descr="Copyright ©2012 Tizard Centre, University of Kent, UK. All rights reserved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3205" cy="22851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240F07" w:rsidRDefault="00624584">
                          <w:pPr>
                            <w:pStyle w:val="NormalWeb"/>
                            <w:spacing w:before="0" w:after="0"/>
                          </w:pPr>
                          <w:r>
                            <w:rPr>
                              <w:rFonts w:ascii="Calibri" w:hAnsi="Calibri"/>
                              <w:color w:val="E36C09"/>
                              <w:kern w:val="24"/>
                              <w:sz w:val="20"/>
                              <w:szCs w:val="20"/>
                              <w:u w:color="E36C09"/>
                            </w:rPr>
                            <w:t>Copyright ©2012 Tizard Centre, University of Kent, UK. All rights reserved.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1" type="#_x0000_t202" style="visibility:visible;position:absolute;margin-left:340.1pt;margin-top:1605.2pt;width:319.1pt;height:18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 (Web)"/>
                      <w:spacing w:before="0" w:after="0"/>
                    </w:pPr>
                    <w:r>
                      <w:rPr>
                        <w:rFonts w:ascii="Calibri" w:hAnsi="Calibri"/>
                        <w:outline w:val="0"/>
                        <w:color w:val="e36c09"/>
                        <w:kern w:val="24"/>
                        <w:sz w:val="20"/>
                        <w:szCs w:val="20"/>
                        <w:u w:color="e36c09"/>
                        <w:rtl w:val="0"/>
                        <w:lang w:val="en-US"/>
                        <w14:textFill>
                          <w14:solidFill>
                            <w14:srgbClr w14:val="E36C09"/>
                          </w14:solidFill>
                        </w14:textFill>
                      </w:rPr>
                      <w:t xml:space="preserve">Copyright </w:t>
                    </w:r>
                    <w:r>
                      <w:rPr>
                        <w:rFonts w:ascii="Calibri" w:hAnsi="Calibri" w:hint="default"/>
                        <w:outline w:val="0"/>
                        <w:color w:val="e36c09"/>
                        <w:kern w:val="24"/>
                        <w:sz w:val="20"/>
                        <w:szCs w:val="20"/>
                        <w:u w:color="e36c09"/>
                        <w:rtl w:val="0"/>
                        <w:lang w:val="en-US"/>
                        <w14:textFill>
                          <w14:solidFill>
                            <w14:srgbClr w14:val="E36C09"/>
                          </w14:solidFill>
                        </w14:textFill>
                      </w:rPr>
                      <w:t>©</w:t>
                    </w:r>
                    <w:r>
                      <w:rPr>
                        <w:rFonts w:ascii="Calibri" w:hAnsi="Calibri"/>
                        <w:outline w:val="0"/>
                        <w:color w:val="e36c09"/>
                        <w:kern w:val="24"/>
                        <w:sz w:val="20"/>
                        <w:szCs w:val="20"/>
                        <w:u w:color="e36c09"/>
                        <w:rtl w:val="0"/>
                        <w:lang w:val="en-US"/>
                        <w14:textFill>
                          <w14:solidFill>
                            <w14:srgbClr w14:val="E36C09"/>
                          </w14:solidFill>
                        </w14:textFill>
                      </w:rPr>
                      <w:t>2012 Tizard Centre, University of Kent, UK. All rights reserved.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F07"/>
    <w:rsid w:val="00240F07"/>
    <w:rsid w:val="00624584"/>
    <w:rsid w:val="00825AEE"/>
    <w:rsid w:val="009E08AD"/>
    <w:rsid w:val="00CF5EAB"/>
    <w:rsid w:val="00EB5AE1"/>
    <w:rsid w:val="00EC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40F38D-8007-4AF2-BBBA-21F2C14D5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Bain Stephanie@Ability Shetland</dc:creator>
  <cp:lastModifiedBy>Sinclair Paula@Bells Brae Primary School</cp:lastModifiedBy>
  <cp:revision>2</cp:revision>
  <dcterms:created xsi:type="dcterms:W3CDTF">2022-04-22T12:51:00Z</dcterms:created>
  <dcterms:modified xsi:type="dcterms:W3CDTF">2022-04-22T12:51:00Z</dcterms:modified>
</cp:coreProperties>
</file>