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45BB3" w:rsidRPr="006A3A5D" w:rsidTr="00245BB3">
        <w:trPr>
          <w:trHeight w:val="358"/>
        </w:trPr>
        <w:tc>
          <w:tcPr>
            <w:tcW w:w="9242" w:type="dxa"/>
          </w:tcPr>
          <w:p w:rsidR="00245BB3" w:rsidRPr="00245BB3" w:rsidRDefault="00245BB3" w:rsidP="00245BB3">
            <w:pPr>
              <w:rPr>
                <w:b/>
                <w:sz w:val="24"/>
                <w:szCs w:val="24"/>
              </w:rPr>
            </w:pPr>
            <w:r w:rsidRPr="00245BB3">
              <w:rPr>
                <w:b/>
                <w:sz w:val="24"/>
                <w:szCs w:val="24"/>
              </w:rPr>
              <w:t>Additional Support Needs</w:t>
            </w:r>
          </w:p>
        </w:tc>
      </w:tr>
      <w:tr w:rsidR="00245BB3" w:rsidRPr="006A3A5D" w:rsidTr="00245BB3">
        <w:tc>
          <w:tcPr>
            <w:tcW w:w="9242" w:type="dxa"/>
          </w:tcPr>
          <w:p w:rsidR="00245BB3" w:rsidRDefault="00245BB3" w:rsidP="00245BB3">
            <w:r>
              <w:t xml:space="preserve">If a class teacher feels that a pupil should require additional support they must complete a </w:t>
            </w:r>
            <w:r w:rsidRPr="00245BB3">
              <w:rPr>
                <w:b/>
                <w:sz w:val="28"/>
                <w:szCs w:val="28"/>
              </w:rPr>
              <w:t xml:space="preserve">meeting pupil needs summary sheet </w:t>
            </w:r>
            <w:r>
              <w:t xml:space="preserve">which will then be discussed at the next ASN/management meeting as to how best offer support for that pupil. </w:t>
            </w:r>
          </w:p>
          <w:p w:rsidR="00245BB3" w:rsidRPr="006A3A5D" w:rsidRDefault="00245BB3" w:rsidP="00245BB3">
            <w:r>
              <w:t>For those pupils requiring</w:t>
            </w:r>
            <w:r w:rsidRPr="00A70DBF">
              <w:t xml:space="preserve"> additional support with</w:t>
            </w:r>
            <w:r>
              <w:t>in</w:t>
            </w:r>
            <w:r w:rsidRPr="00A70DBF">
              <w:t xml:space="preserve"> any area of literacy the class teacher will work alongside the ASN teachers </w:t>
            </w:r>
            <w:r>
              <w:t xml:space="preserve">to follow an individual programme or at times to seek advice on alternative resources.  </w:t>
            </w:r>
          </w:p>
        </w:tc>
      </w:tr>
    </w:tbl>
    <w:p w:rsidR="00245BB3" w:rsidRPr="00B67778" w:rsidRDefault="00245BB3" w:rsidP="00245BB3">
      <w:pPr>
        <w:pStyle w:val="Title"/>
        <w:spacing w:after="0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-81280</wp:posOffset>
            </wp:positionV>
            <wp:extent cx="759460" cy="549275"/>
            <wp:effectExtent l="19050" t="0" r="2540" b="0"/>
            <wp:wrapNone/>
            <wp:docPr id="2" name="Picture 1" descr="Bells Brae Logo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s Brae Logo 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778">
        <w:rPr>
          <w:rFonts w:ascii="Calibri" w:hAnsi="Calibri"/>
        </w:rPr>
        <w:t>Bell’s Brae Primary School</w:t>
      </w:r>
    </w:p>
    <w:p w:rsidR="00245BB3" w:rsidRPr="00B67778" w:rsidRDefault="00245BB3" w:rsidP="00245BB3">
      <w:pPr>
        <w:rPr>
          <w:color w:val="0F243E"/>
        </w:rPr>
      </w:pPr>
      <w:r w:rsidRPr="00B67778">
        <w:rPr>
          <w:color w:val="0F243E"/>
          <w:sz w:val="32"/>
          <w:szCs w:val="32"/>
        </w:rPr>
        <w:t>Literacy and English Policy – June 2017</w:t>
      </w:r>
    </w:p>
    <w:p w:rsidR="00245BB3" w:rsidRDefault="00245BB3" w:rsidP="00A70DBF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45BB3" w:rsidRPr="006A3A5D" w:rsidTr="00825025">
        <w:tc>
          <w:tcPr>
            <w:tcW w:w="9242" w:type="dxa"/>
          </w:tcPr>
          <w:p w:rsidR="00245BB3" w:rsidRPr="00245BB3" w:rsidRDefault="00245BB3" w:rsidP="00245BB3">
            <w:pPr>
              <w:rPr>
                <w:b/>
                <w:sz w:val="24"/>
                <w:szCs w:val="24"/>
              </w:rPr>
            </w:pPr>
            <w:r w:rsidRPr="00245BB3">
              <w:rPr>
                <w:b/>
                <w:sz w:val="24"/>
                <w:szCs w:val="24"/>
              </w:rPr>
              <w:t>Alternative and additional support resources for learning in literacy</w:t>
            </w:r>
          </w:p>
        </w:tc>
      </w:tr>
      <w:tr w:rsidR="00245BB3" w:rsidRPr="006A3A5D" w:rsidTr="00825025">
        <w:tc>
          <w:tcPr>
            <w:tcW w:w="9242" w:type="dxa"/>
          </w:tcPr>
          <w:p w:rsidR="00245BB3" w:rsidRDefault="00245BB3" w:rsidP="00245BB3">
            <w:r>
              <w:t xml:space="preserve">Mainstream resources will be differentiated initially for example: scribing, same resources and different outcome. </w:t>
            </w:r>
          </w:p>
          <w:p w:rsidR="00245BB3" w:rsidRPr="006A3A5D" w:rsidRDefault="00245BB3" w:rsidP="00245BB3">
            <w:r>
              <w:t xml:space="preserve">The list below is alternative resources within Bell’s Brae Primary School which staff can access and which staff members would be able to </w:t>
            </w:r>
            <w:proofErr w:type="gramStart"/>
            <w:r>
              <w:t>advise</w:t>
            </w:r>
            <w:proofErr w:type="gramEnd"/>
            <w:r>
              <w:t xml:space="preserve"> on these. </w:t>
            </w:r>
          </w:p>
        </w:tc>
      </w:tr>
    </w:tbl>
    <w:p w:rsidR="00A70DBF" w:rsidRDefault="00A70DBF" w:rsidP="00A70DBF"/>
    <w:tbl>
      <w:tblPr>
        <w:tblStyle w:val="TableGrid"/>
        <w:tblW w:w="0" w:type="auto"/>
        <w:tblLook w:val="04A0"/>
      </w:tblPr>
      <w:tblGrid>
        <w:gridCol w:w="2376"/>
        <w:gridCol w:w="709"/>
        <w:gridCol w:w="6095"/>
        <w:gridCol w:w="62"/>
      </w:tblGrid>
      <w:tr w:rsidR="00A70DBF" w:rsidTr="00E47EDB">
        <w:tc>
          <w:tcPr>
            <w:tcW w:w="9242" w:type="dxa"/>
            <w:gridSpan w:val="4"/>
          </w:tcPr>
          <w:p w:rsidR="00A70DBF" w:rsidRPr="00A70DBF" w:rsidRDefault="00A70DBF" w:rsidP="00A70DBF">
            <w:pPr>
              <w:jc w:val="center"/>
              <w:rPr>
                <w:b/>
              </w:rPr>
            </w:pPr>
            <w:r w:rsidRPr="00A70DBF">
              <w:rPr>
                <w:b/>
              </w:rPr>
              <w:t>Listening &amp; Talking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Pr="00A70DBF" w:rsidRDefault="00A70DBF" w:rsidP="00A70DBF">
            <w:pPr>
              <w:jc w:val="center"/>
              <w:rPr>
                <w:b/>
              </w:rPr>
            </w:pPr>
            <w:r w:rsidRPr="00A70DBF">
              <w:rPr>
                <w:b/>
              </w:rPr>
              <w:t>Resource</w:t>
            </w:r>
          </w:p>
        </w:tc>
        <w:tc>
          <w:tcPr>
            <w:tcW w:w="6157" w:type="dxa"/>
            <w:gridSpan w:val="2"/>
          </w:tcPr>
          <w:p w:rsidR="00A70DBF" w:rsidRPr="00A70DBF" w:rsidRDefault="00A70DBF" w:rsidP="00A70DBF">
            <w:pPr>
              <w:jc w:val="center"/>
              <w:rPr>
                <w:b/>
              </w:rPr>
            </w:pPr>
            <w:r w:rsidRPr="00A70DBF">
              <w:rPr>
                <w:b/>
              </w:rPr>
              <w:t>Where to find</w:t>
            </w:r>
            <w:r>
              <w:rPr>
                <w:b/>
              </w:rPr>
              <w:t>/Who to ask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 xml:space="preserve">Pictures &amp; symbols – </w:t>
            </w:r>
            <w:proofErr w:type="spellStart"/>
            <w:r>
              <w:t>boardmaker</w:t>
            </w:r>
            <w:proofErr w:type="spellEnd"/>
          </w:p>
        </w:tc>
        <w:tc>
          <w:tcPr>
            <w:tcW w:w="6157" w:type="dxa"/>
            <w:gridSpan w:val="2"/>
          </w:tcPr>
          <w:p w:rsidR="00A70DBF" w:rsidRDefault="00A70DBF" w:rsidP="00A70DBF">
            <w:r>
              <w:t xml:space="preserve">On ASN computers and office computers – office staff and ASN department teachers. 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Colourful semantics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ASN Department teachers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Derbyshire Language scheme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Stored in ASN kitchen – ask ASN teachers in department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Intensive Interaction</w:t>
            </w:r>
          </w:p>
        </w:tc>
        <w:tc>
          <w:tcPr>
            <w:tcW w:w="6157" w:type="dxa"/>
            <w:gridSpan w:val="2"/>
          </w:tcPr>
          <w:p w:rsidR="00F87567" w:rsidRDefault="00F87567" w:rsidP="00F87567">
            <w:r>
              <w:t>Teachers pool</w:t>
            </w:r>
          </w:p>
          <w:p w:rsidR="00A70DBF" w:rsidRDefault="00F87567" w:rsidP="00F87567">
            <w:r>
              <w:t>ASN Department teachers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Black Sheep Press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ASN Department Teachers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Oxford Reading Tree Rhyming analogy</w:t>
            </w:r>
          </w:p>
        </w:tc>
        <w:tc>
          <w:tcPr>
            <w:tcW w:w="6157" w:type="dxa"/>
            <w:gridSpan w:val="2"/>
          </w:tcPr>
          <w:p w:rsidR="00F87567" w:rsidRDefault="00F87567" w:rsidP="00F87567">
            <w:pPr>
              <w:jc w:val="both"/>
            </w:pPr>
            <w:r>
              <w:t>ASN Department</w:t>
            </w:r>
          </w:p>
          <w:p w:rsidR="00A70DBF" w:rsidRDefault="00F87567" w:rsidP="00F87567">
            <w:pPr>
              <w:jc w:val="both"/>
            </w:pPr>
            <w:r>
              <w:t>Room 13 Mainstream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Easy Learn Start Listening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ASN Department Class 3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Time to talk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ASN Department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Fun ways to listen and learn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ASN Department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Nursery Narrative Pack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ASN Department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Socially Speaking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Room 13 &amp; ASN Kitchen cupboard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Listen Think &amp; Do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ASN department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Story/Sensory Sacks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ASN department – outside Julia’s office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proofErr w:type="spellStart"/>
            <w:r>
              <w:t>Tac</w:t>
            </w:r>
            <w:proofErr w:type="spellEnd"/>
            <w:r>
              <w:t xml:space="preserve"> Pack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ASN department – outside Julia’s office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r>
              <w:t>Sensory Boxes</w:t>
            </w:r>
          </w:p>
        </w:tc>
        <w:tc>
          <w:tcPr>
            <w:tcW w:w="6157" w:type="dxa"/>
            <w:gridSpan w:val="2"/>
          </w:tcPr>
          <w:p w:rsidR="00A70DBF" w:rsidRDefault="00F87567">
            <w:r>
              <w:t>ASN Class 1 – large cupboard</w:t>
            </w:r>
          </w:p>
        </w:tc>
      </w:tr>
      <w:tr w:rsidR="00A70DBF" w:rsidTr="00245BB3">
        <w:tc>
          <w:tcPr>
            <w:tcW w:w="3085" w:type="dxa"/>
            <w:gridSpan w:val="2"/>
          </w:tcPr>
          <w:p w:rsidR="00A70DBF" w:rsidRDefault="00A70DBF">
            <w:proofErr w:type="spellStart"/>
            <w:r>
              <w:t>Salley</w:t>
            </w:r>
            <w:proofErr w:type="spellEnd"/>
          </w:p>
        </w:tc>
        <w:tc>
          <w:tcPr>
            <w:tcW w:w="6157" w:type="dxa"/>
            <w:gridSpan w:val="2"/>
          </w:tcPr>
          <w:p w:rsidR="00A70DBF" w:rsidRDefault="00F87567">
            <w:r>
              <w:t>ASN Department</w:t>
            </w:r>
          </w:p>
        </w:tc>
      </w:tr>
      <w:tr w:rsidR="00F87567" w:rsidTr="00400024">
        <w:tc>
          <w:tcPr>
            <w:tcW w:w="9242" w:type="dxa"/>
            <w:gridSpan w:val="4"/>
          </w:tcPr>
          <w:p w:rsidR="00F87567" w:rsidRPr="00A70DBF" w:rsidRDefault="00F87567" w:rsidP="004000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 &amp; Spelling</w:t>
            </w:r>
          </w:p>
        </w:tc>
      </w:tr>
      <w:tr w:rsidR="00F87567" w:rsidTr="00400024">
        <w:tc>
          <w:tcPr>
            <w:tcW w:w="2376" w:type="dxa"/>
          </w:tcPr>
          <w:p w:rsidR="00F87567" w:rsidRPr="00A70DBF" w:rsidRDefault="00F87567" w:rsidP="00400024">
            <w:pPr>
              <w:jc w:val="center"/>
              <w:rPr>
                <w:b/>
              </w:rPr>
            </w:pPr>
            <w:r w:rsidRPr="00A70DBF">
              <w:rPr>
                <w:b/>
              </w:rPr>
              <w:t>Resource</w:t>
            </w:r>
          </w:p>
        </w:tc>
        <w:tc>
          <w:tcPr>
            <w:tcW w:w="6866" w:type="dxa"/>
            <w:gridSpan w:val="3"/>
          </w:tcPr>
          <w:p w:rsidR="00F87567" w:rsidRPr="00A70DBF" w:rsidRDefault="00F87567" w:rsidP="00400024">
            <w:pPr>
              <w:jc w:val="center"/>
              <w:rPr>
                <w:b/>
              </w:rPr>
            </w:pPr>
            <w:r w:rsidRPr="00A70DBF">
              <w:rPr>
                <w:b/>
              </w:rPr>
              <w:t>Where to find</w:t>
            </w:r>
            <w:r>
              <w:rPr>
                <w:b/>
              </w:rPr>
              <w:t>/Who to ask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Colourful semantics</w:t>
            </w:r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ASN Department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Clicker 6</w:t>
            </w:r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On every school computer – ASN staff will be able to answer any queries.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Clicker phonics CDROMS</w:t>
            </w:r>
          </w:p>
        </w:tc>
        <w:tc>
          <w:tcPr>
            <w:tcW w:w="6866" w:type="dxa"/>
            <w:gridSpan w:val="3"/>
          </w:tcPr>
          <w:p w:rsidR="00F87567" w:rsidRDefault="00F87567" w:rsidP="00F87567">
            <w:pPr>
              <w:pStyle w:val="ListParagraph"/>
              <w:numPr>
                <w:ilvl w:val="0"/>
                <w:numId w:val="1"/>
              </w:numPr>
            </w:pPr>
            <w:r>
              <w:t>ASN Class 1</w:t>
            </w:r>
          </w:p>
          <w:p w:rsidR="00F87567" w:rsidRDefault="00F87567" w:rsidP="00F87567">
            <w:r>
              <w:t>ASN Department teachers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Phonics Code Cracker</w:t>
            </w:r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Room 13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 xml:space="preserve">Pictures &amp; symbols – </w:t>
            </w:r>
            <w:proofErr w:type="spellStart"/>
            <w:r>
              <w:t>boardmaker</w:t>
            </w:r>
            <w:proofErr w:type="spellEnd"/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Office staff, ASN department teachers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Dry wipe letters</w:t>
            </w:r>
          </w:p>
        </w:tc>
        <w:tc>
          <w:tcPr>
            <w:tcW w:w="6866" w:type="dxa"/>
            <w:gridSpan w:val="3"/>
          </w:tcPr>
          <w:p w:rsidR="00F87567" w:rsidRDefault="00F87567" w:rsidP="00400024">
            <w:pPr>
              <w:jc w:val="both"/>
            </w:pP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Sandpaper letters</w:t>
            </w:r>
          </w:p>
        </w:tc>
        <w:tc>
          <w:tcPr>
            <w:tcW w:w="6866" w:type="dxa"/>
            <w:gridSpan w:val="3"/>
          </w:tcPr>
          <w:p w:rsidR="00F87567" w:rsidRDefault="00F87567" w:rsidP="00400024"/>
        </w:tc>
      </w:tr>
      <w:tr w:rsidR="00F87567" w:rsidTr="00400024">
        <w:tc>
          <w:tcPr>
            <w:tcW w:w="2376" w:type="dxa"/>
          </w:tcPr>
          <w:p w:rsidR="00F87567" w:rsidRDefault="00F87567" w:rsidP="00400024">
            <w:proofErr w:type="spellStart"/>
            <w:r>
              <w:t>Theoderescue</w:t>
            </w:r>
            <w:proofErr w:type="spellEnd"/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ASN department</w:t>
            </w:r>
          </w:p>
          <w:p w:rsidR="00F87567" w:rsidRDefault="00F87567" w:rsidP="00400024">
            <w:r>
              <w:t>Room 13</w:t>
            </w:r>
          </w:p>
          <w:p w:rsidR="00F87567" w:rsidRDefault="00F87567" w:rsidP="00400024">
            <w:r>
              <w:t>Room 19</w:t>
            </w:r>
          </w:p>
        </w:tc>
      </w:tr>
      <w:tr w:rsidR="00F87567" w:rsidTr="00F87567">
        <w:trPr>
          <w:gridAfter w:val="1"/>
          <w:wAfter w:w="62" w:type="dxa"/>
        </w:trPr>
        <w:tc>
          <w:tcPr>
            <w:tcW w:w="2376" w:type="dxa"/>
          </w:tcPr>
          <w:p w:rsidR="00F87567" w:rsidRDefault="00F87567" w:rsidP="00400024">
            <w:r>
              <w:t>Easy Learn Writing Resources</w:t>
            </w:r>
          </w:p>
        </w:tc>
        <w:tc>
          <w:tcPr>
            <w:tcW w:w="6804" w:type="dxa"/>
            <w:gridSpan w:val="2"/>
          </w:tcPr>
          <w:p w:rsidR="00F87567" w:rsidRDefault="00F87567" w:rsidP="00400024">
            <w:r>
              <w:t>ASN department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Stile</w:t>
            </w:r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ASN department</w:t>
            </w:r>
          </w:p>
          <w:p w:rsidR="00F87567" w:rsidRDefault="00F87567" w:rsidP="00400024">
            <w:r>
              <w:t>Room 13</w:t>
            </w:r>
          </w:p>
          <w:p w:rsidR="00F87567" w:rsidRDefault="00F87567" w:rsidP="00400024">
            <w:r>
              <w:t>Room 19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Naming, letter and number grids</w:t>
            </w:r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ASN department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Special writing paper</w:t>
            </w:r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ASN department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PODD</w:t>
            </w:r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ASN department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Adapted pencil</w:t>
            </w:r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ASN department</w:t>
            </w:r>
          </w:p>
          <w:p w:rsidR="00F87567" w:rsidRDefault="00F87567" w:rsidP="00400024">
            <w:r>
              <w:t>Room 13</w:t>
            </w:r>
          </w:p>
          <w:p w:rsidR="00F87567" w:rsidRDefault="00F87567" w:rsidP="00400024">
            <w:r>
              <w:t>Room 19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Visual perception resources</w:t>
            </w:r>
          </w:p>
        </w:tc>
        <w:tc>
          <w:tcPr>
            <w:tcW w:w="6866" w:type="dxa"/>
            <w:gridSpan w:val="3"/>
          </w:tcPr>
          <w:p w:rsidR="00F87567" w:rsidRDefault="00F87567" w:rsidP="00400024">
            <w:r>
              <w:t>ASN department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/>
        </w:tc>
        <w:tc>
          <w:tcPr>
            <w:tcW w:w="6866" w:type="dxa"/>
            <w:gridSpan w:val="3"/>
          </w:tcPr>
          <w:p w:rsidR="00F87567" w:rsidRDefault="00F87567" w:rsidP="00400024"/>
        </w:tc>
      </w:tr>
    </w:tbl>
    <w:p w:rsidR="00F87567" w:rsidRDefault="00F87567"/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F87567" w:rsidTr="00400024">
        <w:tc>
          <w:tcPr>
            <w:tcW w:w="9242" w:type="dxa"/>
            <w:gridSpan w:val="2"/>
          </w:tcPr>
          <w:p w:rsidR="00F87567" w:rsidRPr="00A70DBF" w:rsidRDefault="00F87567" w:rsidP="00400024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</w:tr>
      <w:tr w:rsidR="00F87567" w:rsidTr="00400024">
        <w:tc>
          <w:tcPr>
            <w:tcW w:w="2376" w:type="dxa"/>
          </w:tcPr>
          <w:p w:rsidR="00F87567" w:rsidRPr="00A70DBF" w:rsidRDefault="00F87567" w:rsidP="00400024">
            <w:pPr>
              <w:jc w:val="center"/>
              <w:rPr>
                <w:b/>
              </w:rPr>
            </w:pPr>
            <w:r w:rsidRPr="00A70DBF">
              <w:rPr>
                <w:b/>
              </w:rPr>
              <w:t>Resource</w:t>
            </w:r>
          </w:p>
        </w:tc>
        <w:tc>
          <w:tcPr>
            <w:tcW w:w="6866" w:type="dxa"/>
          </w:tcPr>
          <w:p w:rsidR="00F87567" w:rsidRPr="00A70DBF" w:rsidRDefault="00F87567" w:rsidP="00400024">
            <w:pPr>
              <w:jc w:val="center"/>
              <w:rPr>
                <w:b/>
              </w:rPr>
            </w:pPr>
            <w:r w:rsidRPr="00A70DBF">
              <w:rPr>
                <w:b/>
              </w:rPr>
              <w:t>Where to find</w:t>
            </w:r>
            <w:r>
              <w:rPr>
                <w:b/>
              </w:rPr>
              <w:t>/Who to ask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Clicker 6</w:t>
            </w:r>
          </w:p>
        </w:tc>
        <w:tc>
          <w:tcPr>
            <w:tcW w:w="6866" w:type="dxa"/>
          </w:tcPr>
          <w:p w:rsidR="00F87567" w:rsidRDefault="00F87567" w:rsidP="00400024"/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Clicker phonics CDROMS</w:t>
            </w:r>
          </w:p>
        </w:tc>
        <w:tc>
          <w:tcPr>
            <w:tcW w:w="6866" w:type="dxa"/>
          </w:tcPr>
          <w:p w:rsidR="00F87567" w:rsidRDefault="00F87567" w:rsidP="00400024"/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Black Sheep Press</w:t>
            </w:r>
          </w:p>
        </w:tc>
        <w:tc>
          <w:tcPr>
            <w:tcW w:w="6866" w:type="dxa"/>
          </w:tcPr>
          <w:p w:rsidR="00F87567" w:rsidRDefault="00F87567" w:rsidP="00400024"/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Oxford Reading Tree Rhyming analogy</w:t>
            </w:r>
          </w:p>
        </w:tc>
        <w:tc>
          <w:tcPr>
            <w:tcW w:w="6866" w:type="dxa"/>
          </w:tcPr>
          <w:p w:rsidR="00F87567" w:rsidRDefault="00F87567" w:rsidP="00400024"/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Oxford Reading Tree reading symbolised books</w:t>
            </w:r>
          </w:p>
        </w:tc>
        <w:tc>
          <w:tcPr>
            <w:tcW w:w="6866" w:type="dxa"/>
          </w:tcPr>
          <w:p w:rsidR="00F87567" w:rsidRDefault="00F87567" w:rsidP="00400024"/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GINN</w:t>
            </w:r>
          </w:p>
        </w:tc>
        <w:tc>
          <w:tcPr>
            <w:tcW w:w="6866" w:type="dxa"/>
          </w:tcPr>
          <w:p w:rsidR="00F87567" w:rsidRDefault="00F87567" w:rsidP="00400024">
            <w:pPr>
              <w:jc w:val="both"/>
            </w:pPr>
            <w:r>
              <w:t>Room 13 – Level 1-3</w:t>
            </w:r>
          </w:p>
        </w:tc>
      </w:tr>
      <w:tr w:rsidR="00F87567" w:rsidTr="00400024">
        <w:tc>
          <w:tcPr>
            <w:tcW w:w="2376" w:type="dxa"/>
          </w:tcPr>
          <w:p w:rsidR="00F87567" w:rsidRDefault="00F87567" w:rsidP="00400024">
            <w:r>
              <w:t>Phonics Code Cracker</w:t>
            </w:r>
          </w:p>
        </w:tc>
        <w:tc>
          <w:tcPr>
            <w:tcW w:w="6866" w:type="dxa"/>
          </w:tcPr>
          <w:p w:rsidR="00F87567" w:rsidRDefault="00F87567" w:rsidP="00400024"/>
        </w:tc>
      </w:tr>
      <w:tr w:rsidR="00F87567" w:rsidTr="00400024">
        <w:tc>
          <w:tcPr>
            <w:tcW w:w="2376" w:type="dxa"/>
          </w:tcPr>
          <w:p w:rsidR="00F87567" w:rsidRDefault="00F87567" w:rsidP="00F87567">
            <w:r>
              <w:t>Story/Sensory Sacks</w:t>
            </w:r>
          </w:p>
        </w:tc>
        <w:tc>
          <w:tcPr>
            <w:tcW w:w="6866" w:type="dxa"/>
          </w:tcPr>
          <w:p w:rsidR="00F87567" w:rsidRDefault="00F87567" w:rsidP="00F87567"/>
        </w:tc>
      </w:tr>
      <w:tr w:rsidR="00F87567" w:rsidTr="00400024">
        <w:tc>
          <w:tcPr>
            <w:tcW w:w="2376" w:type="dxa"/>
          </w:tcPr>
          <w:p w:rsidR="00F87567" w:rsidRDefault="00F87567" w:rsidP="00F87567">
            <w:proofErr w:type="spellStart"/>
            <w:r>
              <w:t>Ipad</w:t>
            </w:r>
            <w:proofErr w:type="spellEnd"/>
            <w:r>
              <w:t xml:space="preserve"> Apps e.g. book creator</w:t>
            </w:r>
          </w:p>
        </w:tc>
        <w:tc>
          <w:tcPr>
            <w:tcW w:w="6866" w:type="dxa"/>
          </w:tcPr>
          <w:p w:rsidR="00F87567" w:rsidRDefault="00F87567" w:rsidP="00F87567"/>
        </w:tc>
      </w:tr>
      <w:tr w:rsidR="00F87567" w:rsidTr="00400024">
        <w:tc>
          <w:tcPr>
            <w:tcW w:w="2376" w:type="dxa"/>
          </w:tcPr>
          <w:p w:rsidR="00F87567" w:rsidRDefault="00F87567" w:rsidP="00F87567">
            <w:r>
              <w:t>Bearing away</w:t>
            </w:r>
          </w:p>
        </w:tc>
        <w:tc>
          <w:tcPr>
            <w:tcW w:w="6866" w:type="dxa"/>
          </w:tcPr>
          <w:p w:rsidR="00F87567" w:rsidRDefault="00F87567" w:rsidP="00F87567"/>
        </w:tc>
      </w:tr>
      <w:tr w:rsidR="00F87567" w:rsidTr="00400024">
        <w:tc>
          <w:tcPr>
            <w:tcW w:w="2376" w:type="dxa"/>
          </w:tcPr>
          <w:p w:rsidR="00F87567" w:rsidRDefault="00F87567" w:rsidP="00F87567">
            <w:r>
              <w:t xml:space="preserve">Pictures &amp; symbols – </w:t>
            </w:r>
            <w:proofErr w:type="spellStart"/>
            <w:r>
              <w:t>boardmaker</w:t>
            </w:r>
            <w:proofErr w:type="spellEnd"/>
          </w:p>
        </w:tc>
        <w:tc>
          <w:tcPr>
            <w:tcW w:w="6866" w:type="dxa"/>
          </w:tcPr>
          <w:p w:rsidR="00F87567" w:rsidRDefault="00F87567" w:rsidP="00F87567"/>
        </w:tc>
      </w:tr>
      <w:tr w:rsidR="00F87567" w:rsidTr="00400024">
        <w:tc>
          <w:tcPr>
            <w:tcW w:w="2376" w:type="dxa"/>
          </w:tcPr>
          <w:p w:rsidR="00F87567" w:rsidRDefault="00F87567" w:rsidP="00F87567">
            <w:r>
              <w:lastRenderedPageBreak/>
              <w:t>Toe by Toe</w:t>
            </w:r>
          </w:p>
        </w:tc>
        <w:tc>
          <w:tcPr>
            <w:tcW w:w="6866" w:type="dxa"/>
          </w:tcPr>
          <w:p w:rsidR="00F87567" w:rsidRDefault="00F87567" w:rsidP="00F87567"/>
        </w:tc>
      </w:tr>
      <w:tr w:rsidR="00F87567" w:rsidTr="00400024">
        <w:tc>
          <w:tcPr>
            <w:tcW w:w="2376" w:type="dxa"/>
          </w:tcPr>
          <w:p w:rsidR="00F87567" w:rsidRDefault="00F87567" w:rsidP="00F87567">
            <w:r>
              <w:t>Stile</w:t>
            </w:r>
          </w:p>
        </w:tc>
        <w:tc>
          <w:tcPr>
            <w:tcW w:w="6866" w:type="dxa"/>
          </w:tcPr>
          <w:p w:rsidR="00F87567" w:rsidRDefault="00F87567" w:rsidP="00F87567"/>
        </w:tc>
      </w:tr>
      <w:tr w:rsidR="00F87567" w:rsidTr="00400024">
        <w:tc>
          <w:tcPr>
            <w:tcW w:w="2376" w:type="dxa"/>
          </w:tcPr>
          <w:p w:rsidR="00F87567" w:rsidRDefault="00F87567" w:rsidP="00F87567"/>
        </w:tc>
        <w:tc>
          <w:tcPr>
            <w:tcW w:w="6866" w:type="dxa"/>
          </w:tcPr>
          <w:p w:rsidR="00F87567" w:rsidRDefault="00F87567" w:rsidP="00F87567"/>
        </w:tc>
      </w:tr>
      <w:tr w:rsidR="00F87567" w:rsidTr="00400024">
        <w:tc>
          <w:tcPr>
            <w:tcW w:w="2376" w:type="dxa"/>
          </w:tcPr>
          <w:p w:rsidR="00F87567" w:rsidRDefault="00F87567" w:rsidP="00F87567"/>
        </w:tc>
        <w:tc>
          <w:tcPr>
            <w:tcW w:w="6866" w:type="dxa"/>
          </w:tcPr>
          <w:p w:rsidR="00F87567" w:rsidRDefault="00F87567" w:rsidP="00F87567"/>
        </w:tc>
      </w:tr>
      <w:tr w:rsidR="00F87567" w:rsidTr="00400024">
        <w:tc>
          <w:tcPr>
            <w:tcW w:w="2376" w:type="dxa"/>
          </w:tcPr>
          <w:p w:rsidR="00F87567" w:rsidRDefault="00F87567" w:rsidP="00F87567"/>
        </w:tc>
        <w:tc>
          <w:tcPr>
            <w:tcW w:w="6866" w:type="dxa"/>
          </w:tcPr>
          <w:p w:rsidR="00F87567" w:rsidRDefault="00F87567" w:rsidP="00F87567"/>
        </w:tc>
      </w:tr>
    </w:tbl>
    <w:p w:rsidR="00A70DBF" w:rsidRPr="00A70DBF" w:rsidRDefault="00A70DBF">
      <w:pPr>
        <w:rPr>
          <w:sz w:val="32"/>
          <w:szCs w:val="32"/>
        </w:rPr>
      </w:pPr>
    </w:p>
    <w:sectPr w:rsidR="00A70DBF" w:rsidRPr="00A70DBF" w:rsidSect="001E7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BF" w:rsidRDefault="00A70DBF" w:rsidP="00A70DBF">
      <w:pPr>
        <w:spacing w:after="0" w:line="240" w:lineRule="auto"/>
      </w:pPr>
      <w:r>
        <w:separator/>
      </w:r>
    </w:p>
  </w:endnote>
  <w:endnote w:type="continuationSeparator" w:id="0">
    <w:p w:rsidR="00A70DBF" w:rsidRDefault="00A70DBF" w:rsidP="00A7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BF" w:rsidRDefault="00A70DBF" w:rsidP="00A70DBF">
      <w:pPr>
        <w:spacing w:after="0" w:line="240" w:lineRule="auto"/>
      </w:pPr>
      <w:r>
        <w:separator/>
      </w:r>
    </w:p>
  </w:footnote>
  <w:footnote w:type="continuationSeparator" w:id="0">
    <w:p w:rsidR="00A70DBF" w:rsidRDefault="00A70DBF" w:rsidP="00A7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D77"/>
    <w:multiLevelType w:val="hybridMultilevel"/>
    <w:tmpl w:val="493C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3580D"/>
    <w:multiLevelType w:val="hybridMultilevel"/>
    <w:tmpl w:val="470C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2134"/>
    <w:multiLevelType w:val="hybridMultilevel"/>
    <w:tmpl w:val="AD0C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E268C"/>
    <w:multiLevelType w:val="hybridMultilevel"/>
    <w:tmpl w:val="6FD6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E095F"/>
    <w:multiLevelType w:val="hybridMultilevel"/>
    <w:tmpl w:val="66FE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D2025"/>
    <w:multiLevelType w:val="hybridMultilevel"/>
    <w:tmpl w:val="DED0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31366"/>
    <w:multiLevelType w:val="hybridMultilevel"/>
    <w:tmpl w:val="1CB6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606E"/>
    <w:multiLevelType w:val="hybridMultilevel"/>
    <w:tmpl w:val="5DB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B7131"/>
    <w:multiLevelType w:val="hybridMultilevel"/>
    <w:tmpl w:val="0B9E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0DBF"/>
    <w:rsid w:val="001207AD"/>
    <w:rsid w:val="001E7BD1"/>
    <w:rsid w:val="00245BB3"/>
    <w:rsid w:val="004A72C0"/>
    <w:rsid w:val="00940AD5"/>
    <w:rsid w:val="00A70DBF"/>
    <w:rsid w:val="00F8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DBF"/>
  </w:style>
  <w:style w:type="paragraph" w:styleId="Footer">
    <w:name w:val="footer"/>
    <w:basedOn w:val="Normal"/>
    <w:link w:val="FooterChar"/>
    <w:uiPriority w:val="99"/>
    <w:semiHidden/>
    <w:unhideWhenUsed/>
    <w:rsid w:val="00A70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DBF"/>
  </w:style>
  <w:style w:type="paragraph" w:styleId="Title">
    <w:name w:val="Title"/>
    <w:basedOn w:val="Normal"/>
    <w:next w:val="Normal"/>
    <w:link w:val="TitleChar"/>
    <w:uiPriority w:val="10"/>
    <w:qFormat/>
    <w:rsid w:val="00A70D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D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7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carlycheyney</dc:creator>
  <cp:lastModifiedBy>francestait</cp:lastModifiedBy>
  <cp:revision>3</cp:revision>
  <dcterms:created xsi:type="dcterms:W3CDTF">2017-06-22T09:21:00Z</dcterms:created>
  <dcterms:modified xsi:type="dcterms:W3CDTF">2017-06-22T11:33:00Z</dcterms:modified>
</cp:coreProperties>
</file>