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D4" w:rsidRPr="00E31DB7" w:rsidRDefault="008E219F" w:rsidP="00684F18">
      <w:pPr>
        <w:pStyle w:val="NoSpacing"/>
        <w:rPr>
          <w:b/>
          <w:sz w:val="28"/>
          <w:szCs w:val="24"/>
        </w:rPr>
      </w:pPr>
      <w:r w:rsidRPr="00E31DB7">
        <w:rPr>
          <w:b/>
          <w:sz w:val="28"/>
          <w:szCs w:val="24"/>
        </w:rPr>
        <w:t>Assessment Arrangements (AA)</w:t>
      </w:r>
    </w:p>
    <w:p w:rsidR="00684F18" w:rsidRPr="00E31DB7" w:rsidRDefault="00684F18" w:rsidP="00684F18">
      <w:pPr>
        <w:pStyle w:val="NoSpacing"/>
        <w:rPr>
          <w:b/>
          <w:sz w:val="24"/>
          <w:szCs w:val="24"/>
        </w:rPr>
      </w:pPr>
    </w:p>
    <w:p w:rsidR="008E219F" w:rsidRPr="00E31DB7" w:rsidRDefault="008E219F" w:rsidP="00684F18">
      <w:pPr>
        <w:pStyle w:val="NoSpacing"/>
        <w:rPr>
          <w:sz w:val="24"/>
          <w:szCs w:val="24"/>
        </w:rPr>
      </w:pPr>
      <w:r w:rsidRPr="00E31DB7">
        <w:rPr>
          <w:sz w:val="24"/>
          <w:szCs w:val="24"/>
        </w:rPr>
        <w:t>We have a moderation group which considers all assessment arrangements requests.</w:t>
      </w:r>
    </w:p>
    <w:p w:rsidR="009251A0" w:rsidRPr="00E31DB7" w:rsidRDefault="009251A0" w:rsidP="00E31DB7">
      <w:pPr>
        <w:pStyle w:val="NoSpacing"/>
      </w:pPr>
    </w:p>
    <w:p w:rsidR="008E219F" w:rsidRPr="00E31DB7" w:rsidRDefault="008E219F" w:rsidP="00E31DB7">
      <w:pPr>
        <w:pStyle w:val="NoSpacing"/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 xml:space="preserve">The group consists of: </w:t>
      </w:r>
    </w:p>
    <w:p w:rsidR="008E219F" w:rsidRPr="00E31DB7" w:rsidRDefault="008E219F" w:rsidP="00E31DB7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>SQA coordinator</w:t>
      </w:r>
    </w:p>
    <w:p w:rsidR="008E219F" w:rsidRPr="00E31DB7" w:rsidRDefault="008E219F" w:rsidP="00E31DB7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>Principal Teacher of Support for Learning (with remit for AA)</w:t>
      </w:r>
    </w:p>
    <w:p w:rsidR="008E219F" w:rsidRPr="00E31DB7" w:rsidRDefault="008E219F" w:rsidP="00E31DB7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 xml:space="preserve">Support for Learning teacher </w:t>
      </w:r>
    </w:p>
    <w:p w:rsidR="008E219F" w:rsidRPr="00E31DB7" w:rsidRDefault="008E219F" w:rsidP="00E31DB7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>Admin assistant with responsibility for SQA arrangements</w:t>
      </w:r>
    </w:p>
    <w:p w:rsidR="009251A0" w:rsidRPr="00E31DB7" w:rsidRDefault="009251A0" w:rsidP="009251A0">
      <w:pPr>
        <w:pStyle w:val="NoSpacing"/>
        <w:ind w:left="360"/>
        <w:rPr>
          <w:sz w:val="24"/>
          <w:szCs w:val="24"/>
        </w:rPr>
      </w:pPr>
    </w:p>
    <w:p w:rsidR="008E219F" w:rsidRPr="00E31DB7" w:rsidRDefault="008E219F" w:rsidP="00E31DB7">
      <w:pPr>
        <w:pStyle w:val="NoSpacing"/>
        <w:spacing w:line="276" w:lineRule="auto"/>
        <w:rPr>
          <w:sz w:val="24"/>
          <w:szCs w:val="24"/>
        </w:rPr>
      </w:pPr>
      <w:r w:rsidRPr="00E31DB7">
        <w:rPr>
          <w:sz w:val="24"/>
          <w:szCs w:val="24"/>
        </w:rPr>
        <w:t>The group meet at key points throughout the year to discuss all assessment arrangements requests and to ensure that there is a fair and equitable process for all learners.</w:t>
      </w:r>
    </w:p>
    <w:p w:rsidR="00E31DB7" w:rsidRDefault="00E31DB7" w:rsidP="00E31DB7">
      <w:pPr>
        <w:pStyle w:val="NoSpacing"/>
      </w:pPr>
    </w:p>
    <w:p w:rsidR="00E31DB7" w:rsidRPr="00E31DB7" w:rsidRDefault="00E31DB7" w:rsidP="00E31DB7">
      <w:pPr>
        <w:pStyle w:val="NoSpacing"/>
      </w:pPr>
      <w:bookmarkStart w:id="0" w:name="_GoBack"/>
      <w:bookmarkEnd w:id="0"/>
    </w:p>
    <w:p w:rsidR="008E219F" w:rsidRPr="00E31DB7" w:rsidRDefault="008E219F" w:rsidP="00684F18">
      <w:pPr>
        <w:pStyle w:val="NoSpacing"/>
        <w:rPr>
          <w:sz w:val="24"/>
          <w:szCs w:val="24"/>
        </w:rPr>
      </w:pPr>
      <w:r w:rsidRPr="00E31DB7">
        <w:rPr>
          <w:sz w:val="24"/>
          <w:szCs w:val="24"/>
        </w:rPr>
        <w:t>Consideration of assessment arrangements takes a 3-pronged approach:</w:t>
      </w:r>
    </w:p>
    <w:p w:rsidR="009251A0" w:rsidRPr="00E31DB7" w:rsidRDefault="009251A0" w:rsidP="00684F18">
      <w:pPr>
        <w:pStyle w:val="NoSpacing"/>
        <w:rPr>
          <w:sz w:val="24"/>
          <w:szCs w:val="24"/>
        </w:rPr>
      </w:pPr>
    </w:p>
    <w:p w:rsidR="008E219F" w:rsidRPr="00E31DB7" w:rsidRDefault="008E219F" w:rsidP="00E31DB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E31DB7">
        <w:rPr>
          <w:rFonts w:cstheme="minorHAnsi"/>
          <w:b/>
          <w:sz w:val="24"/>
          <w:szCs w:val="24"/>
        </w:rPr>
        <w:t>STAGE 1: IDENTIFYING A YOUNG PERSON’S ELIGIBILITY</w:t>
      </w:r>
    </w:p>
    <w:p w:rsidR="008E219F" w:rsidRPr="00E31DB7" w:rsidRDefault="008E219F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This stage focuses on the documentation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we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hold that records the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young person’s specific learning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difficulty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(</w:t>
      </w:r>
      <w:proofErr w:type="spellStart"/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SpLD</w:t>
      </w:r>
      <w:proofErr w:type="spellEnd"/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)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and how it affects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day-to-day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learning and teaching.</w:t>
      </w:r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The </w:t>
      </w:r>
      <w:proofErr w:type="spellStart"/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>SpLD</w:t>
      </w:r>
      <w:proofErr w:type="spellEnd"/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may have been identified </w:t>
      </w:r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>before they embark on a qualification</w:t>
      </w:r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>; but i</w:t>
      </w:r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>n some cases, may only become apparent, or be disclosed, during the course of study.</w:t>
      </w:r>
      <w:r w:rsidR="00684F18"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Support for Learning staff work collaboratively with subject teachers, parents/carers and the young person themselves.</w:t>
      </w:r>
    </w:p>
    <w:p w:rsidR="009251A0" w:rsidRPr="00E31DB7" w:rsidRDefault="009251A0" w:rsidP="00684F18">
      <w:pPr>
        <w:pStyle w:val="NoSpacing"/>
        <w:rPr>
          <w:rFonts w:cstheme="minorHAnsi"/>
          <w:sz w:val="24"/>
          <w:szCs w:val="24"/>
        </w:rPr>
      </w:pPr>
    </w:p>
    <w:p w:rsidR="008E219F" w:rsidRPr="00E31DB7" w:rsidRDefault="008E219F" w:rsidP="00E31DB7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 w:rsidRPr="00E31DB7">
        <w:rPr>
          <w:rFonts w:cstheme="minorHAnsi"/>
          <w:b/>
          <w:sz w:val="24"/>
          <w:szCs w:val="24"/>
        </w:rPr>
        <w:t>STAGE 2: DETEMINING THE APPROPRIATE ARRANGEMENTS AND EVIDENCE REQUIREMENTS</w:t>
      </w:r>
    </w:p>
    <w:p w:rsidR="00684F18" w:rsidRPr="00E31DB7" w:rsidRDefault="00684F18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In this stage we determine what assessment arrangements are required for a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young person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. Any such arrangement should adequately assist the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young person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in their everyday lessons and demonstrate their attainment without compromising the integrity of the qualification during assessment. This c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an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be quite straightforward, or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can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require more detailed discussion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between the Principal Teacher of Support for Learning and the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SQA.</w:t>
      </w:r>
    </w:p>
    <w:p w:rsidR="00684F18" w:rsidRPr="00E31DB7" w:rsidRDefault="00684F18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All learners are different — there is no one-size-fits-all solution, because this is a needs-led process. 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There is also no “automatic entitlement” to support.</w:t>
      </w:r>
    </w:p>
    <w:p w:rsidR="00684F18" w:rsidRDefault="00684F18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SQA asks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us to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keep documentary evidence that varying needs across subjects have been </w:t>
      </w:r>
      <w:proofErr w:type="gramStart"/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taken into account</w:t>
      </w:r>
      <w:proofErr w:type="gramEnd"/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. We consult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, actively involve and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negotiat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e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with subject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teachers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to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show that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we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 have considered different assessment situations between subjects and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have 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ma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>d</w:t>
      </w:r>
      <w:r w:rsidRPr="00E31DB7">
        <w:rPr>
          <w:rFonts w:cstheme="minorHAnsi"/>
          <w:color w:val="34383C"/>
          <w:sz w:val="24"/>
          <w:szCs w:val="24"/>
          <w:shd w:val="clear" w:color="auto" w:fill="FFFFFF"/>
        </w:rPr>
        <w:t xml:space="preserve">e requests accordingly. </w:t>
      </w:r>
      <w:r w:rsidR="009251A0" w:rsidRPr="00E31DB7">
        <w:rPr>
          <w:rFonts w:cstheme="minorHAnsi"/>
          <w:color w:val="34383C"/>
          <w:sz w:val="24"/>
          <w:szCs w:val="24"/>
          <w:shd w:val="clear" w:color="auto" w:fill="FFFFFF"/>
        </w:rPr>
        <w:t>All AA requests require to be done on a subject-by-subject basis.</w:t>
      </w: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E31DB7" w:rsidRPr="00E31DB7" w:rsidRDefault="00E31DB7" w:rsidP="00E31DB7">
      <w:pPr>
        <w:pStyle w:val="NoSpacing"/>
        <w:spacing w:line="276" w:lineRule="auto"/>
        <w:rPr>
          <w:rFonts w:cstheme="minorHAnsi"/>
          <w:color w:val="34383C"/>
          <w:sz w:val="24"/>
          <w:szCs w:val="24"/>
          <w:shd w:val="clear" w:color="auto" w:fill="FFFFFF"/>
        </w:rPr>
      </w:pPr>
    </w:p>
    <w:p w:rsidR="00684F18" w:rsidRDefault="00684F18" w:rsidP="00E31DB7">
      <w:pPr>
        <w:pStyle w:val="NoSpacing"/>
        <w:ind w:left="360"/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lastRenderedPageBreak/>
        <w:t>Stage 2 checklist</w:t>
      </w:r>
    </w:p>
    <w:p w:rsidR="00E31DB7" w:rsidRPr="00E31DB7" w:rsidRDefault="00E31DB7" w:rsidP="00E31DB7">
      <w:pPr>
        <w:pStyle w:val="NoSpacing"/>
      </w:pPr>
    </w:p>
    <w:p w:rsidR="00684F18" w:rsidRPr="00E31DB7" w:rsidRDefault="00684F18" w:rsidP="00E31DB7">
      <w:pPr>
        <w:pStyle w:val="NoSpacing"/>
        <w:spacing w:line="276" w:lineRule="auto"/>
        <w:ind w:left="360"/>
        <w:rPr>
          <w:rFonts w:eastAsia="Times New Roman" w:cstheme="minorHAnsi"/>
          <w:b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 xml:space="preserve">Documentary evidence of the </w:t>
      </w:r>
      <w:r w:rsidR="009251A0"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 xml:space="preserve">young person’s </w:t>
      </w: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>difficulty and how this generally affects the learning and teaching situation.</w:t>
      </w:r>
    </w:p>
    <w:p w:rsidR="00684F18" w:rsidRPr="00E31DB7" w:rsidRDefault="009251A0" w:rsidP="00E31DB7">
      <w:pPr>
        <w:pStyle w:val="NoSpacing"/>
        <w:numPr>
          <w:ilvl w:val="0"/>
          <w:numId w:val="8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vidence of how the disability/difficulty has impacted on teaching and learning in the classroom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S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ubject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teachers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 involved in relevant discussions and in recording relevant information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684F18" w:rsidRPr="00E31DB7" w:rsidRDefault="009251A0" w:rsidP="00E31DB7">
      <w:pPr>
        <w:pStyle w:val="NoSpacing"/>
        <w:numPr>
          <w:ilvl w:val="0"/>
          <w:numId w:val="8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vidence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is for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current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 school year.</w:t>
      </w:r>
    </w:p>
    <w:p w:rsidR="009251A0" w:rsidRPr="00E31DB7" w:rsidRDefault="009251A0" w:rsidP="00E31DB7">
      <w:pPr>
        <w:pStyle w:val="NoSpacing"/>
      </w:pPr>
    </w:p>
    <w:p w:rsidR="00684F18" w:rsidRPr="00E31DB7" w:rsidRDefault="00684F18" w:rsidP="00E31DB7">
      <w:pPr>
        <w:pStyle w:val="NoSpacing"/>
        <w:spacing w:line="276" w:lineRule="auto"/>
        <w:ind w:left="360"/>
        <w:rPr>
          <w:rFonts w:eastAsia="Times New Roman" w:cstheme="minorHAnsi"/>
          <w:b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 xml:space="preserve">Documentary evidence of </w:t>
      </w:r>
      <w:r w:rsidR="009251A0"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>the young person’s</w:t>
      </w: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 xml:space="preserve"> current need for support in the classroom, how this is met, and how it relates to the assessment arrangements being requested or provided.</w:t>
      </w:r>
    </w:p>
    <w:p w:rsidR="00684F18" w:rsidRPr="00E31DB7" w:rsidRDefault="00684F18" w:rsidP="00E31DB7">
      <w:pPr>
        <w:pStyle w:val="NoSpacing"/>
        <w:numPr>
          <w:ilvl w:val="0"/>
          <w:numId w:val="9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Decisions made on the actual assessment arrangement proposed and based on the current support provided in normal teaching and learning</w:t>
      </w:r>
      <w:r w:rsidR="009251A0"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684F18" w:rsidRPr="00E31DB7" w:rsidRDefault="009251A0" w:rsidP="00E31DB7">
      <w:pPr>
        <w:pStyle w:val="NoSpacing"/>
        <w:numPr>
          <w:ilvl w:val="0"/>
          <w:numId w:val="9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S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ubject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teachers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involved in relevant discussions and in recording informatio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n.</w:t>
      </w:r>
    </w:p>
    <w:p w:rsidR="00684F18" w:rsidRPr="00E31DB7" w:rsidRDefault="009251A0" w:rsidP="00E31DB7">
      <w:pPr>
        <w:pStyle w:val="NoSpacing"/>
        <w:numPr>
          <w:ilvl w:val="0"/>
          <w:numId w:val="9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vidence to show that the assessment arrangement is effective and removes the disadvantage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 – i.e.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it ha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s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 the potential to make a significant difference to the candidate’s ability to be assessed fairly against the national standards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9251A0" w:rsidRPr="00E31DB7" w:rsidRDefault="009251A0" w:rsidP="00E31DB7">
      <w:pPr>
        <w:pStyle w:val="NoSpacing"/>
        <w:numPr>
          <w:ilvl w:val="0"/>
          <w:numId w:val="9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Evidence is for current school year.</w:t>
      </w:r>
    </w:p>
    <w:p w:rsidR="00684F18" w:rsidRPr="00E31DB7" w:rsidRDefault="00684F18" w:rsidP="00E31DB7">
      <w:pPr>
        <w:pStyle w:val="NoSpacing"/>
      </w:pPr>
    </w:p>
    <w:p w:rsidR="00684F18" w:rsidRPr="00E31DB7" w:rsidRDefault="00684F18" w:rsidP="00E31DB7">
      <w:pPr>
        <w:pStyle w:val="NoSpacing"/>
        <w:spacing w:line="276" w:lineRule="auto"/>
        <w:ind w:left="360"/>
        <w:rPr>
          <w:rFonts w:eastAsia="Times New Roman" w:cstheme="minorHAnsi"/>
          <w:b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 xml:space="preserve">Documentary evidence that varying needs across subjects have been </w:t>
      </w:r>
      <w:proofErr w:type="gramStart"/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>taken into account</w:t>
      </w:r>
      <w:proofErr w:type="gramEnd"/>
    </w:p>
    <w:p w:rsidR="00684F18" w:rsidRPr="00E31DB7" w:rsidRDefault="009251A0" w:rsidP="00E31DB7">
      <w:pPr>
        <w:pStyle w:val="NoSpacing"/>
        <w:numPr>
          <w:ilvl w:val="0"/>
          <w:numId w:val="10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vidence of the need for current support available for each subject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684F18" w:rsidRPr="00E31DB7" w:rsidRDefault="009251A0" w:rsidP="00E31DB7">
      <w:pPr>
        <w:pStyle w:val="NoSpacing"/>
        <w:numPr>
          <w:ilvl w:val="0"/>
          <w:numId w:val="10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vidence that subject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teachers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have been involved in gathering evidence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684F18" w:rsidRPr="00E31DB7" w:rsidRDefault="009251A0" w:rsidP="00E31DB7">
      <w:pPr>
        <w:pStyle w:val="NoSpacing"/>
        <w:numPr>
          <w:ilvl w:val="0"/>
          <w:numId w:val="10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E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vidence that subject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teachers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support the arrangement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(s)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 proposed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9251A0" w:rsidRPr="00E31DB7" w:rsidRDefault="009251A0" w:rsidP="00E31DB7">
      <w:pPr>
        <w:pStyle w:val="NoSpacing"/>
        <w:numPr>
          <w:ilvl w:val="0"/>
          <w:numId w:val="10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Evidence that young person has agreed to the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arrangement(s) proposed.</w:t>
      </w:r>
    </w:p>
    <w:p w:rsidR="009251A0" w:rsidRPr="00E31DB7" w:rsidRDefault="009251A0" w:rsidP="00E31DB7">
      <w:pPr>
        <w:pStyle w:val="NoSpacing"/>
      </w:pPr>
    </w:p>
    <w:p w:rsidR="00684F18" w:rsidRPr="00E31DB7" w:rsidRDefault="00684F18" w:rsidP="00E31DB7">
      <w:pPr>
        <w:pStyle w:val="NoSpacing"/>
        <w:spacing w:line="276" w:lineRule="auto"/>
        <w:ind w:left="360"/>
        <w:rPr>
          <w:rFonts w:eastAsia="Times New Roman" w:cstheme="minorHAnsi"/>
          <w:b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b/>
          <w:bCs/>
          <w:color w:val="34383C"/>
          <w:sz w:val="24"/>
          <w:szCs w:val="24"/>
          <w:lang w:eastAsia="en-GB"/>
        </w:rPr>
        <w:t>Documentary evidence for particular assessment arrangements</w:t>
      </w:r>
    </w:p>
    <w:p w:rsidR="00684F18" w:rsidRPr="00E31DB7" w:rsidRDefault="009251A0" w:rsidP="00E31DB7">
      <w:pPr>
        <w:pStyle w:val="NoSpacing"/>
        <w:numPr>
          <w:ilvl w:val="0"/>
          <w:numId w:val="11"/>
        </w:numPr>
        <w:spacing w:line="276" w:lineRule="auto"/>
        <w:rPr>
          <w:rFonts w:eastAsia="Times New Roman" w:cstheme="minorHAnsi"/>
          <w:color w:val="34383C"/>
          <w:sz w:val="24"/>
          <w:szCs w:val="24"/>
          <w:lang w:eastAsia="en-GB"/>
        </w:rPr>
      </w:pP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A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ppropriate evidence of how a particular assessment arrangement has been determined. For example, for extra time, this 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 xml:space="preserve">may </w:t>
      </w:r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include (</w:t>
      </w:r>
      <w:proofErr w:type="spellStart"/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i</w:t>
      </w:r>
      <w:proofErr w:type="spellEnd"/>
      <w:r w:rsidR="00684F18" w:rsidRPr="00E31DB7">
        <w:rPr>
          <w:rFonts w:eastAsia="Times New Roman" w:cstheme="minorHAnsi"/>
          <w:color w:val="34383C"/>
          <w:sz w:val="24"/>
          <w:szCs w:val="24"/>
          <w:lang w:eastAsia="en-GB"/>
        </w:rPr>
        <w:t>) evidence indicating that extra time is appropriate and (ii) evidence that a specific amount of extra time is appropriate</w:t>
      </w:r>
      <w:r w:rsidRPr="00E31DB7">
        <w:rPr>
          <w:rFonts w:eastAsia="Times New Roman" w:cstheme="minorHAnsi"/>
          <w:color w:val="34383C"/>
          <w:sz w:val="24"/>
          <w:szCs w:val="24"/>
          <w:lang w:eastAsia="en-GB"/>
        </w:rPr>
        <w:t>.</w:t>
      </w:r>
    </w:p>
    <w:p w:rsidR="009251A0" w:rsidRPr="00E31DB7" w:rsidRDefault="009251A0" w:rsidP="00E31DB7">
      <w:pPr>
        <w:pStyle w:val="NoSpacing"/>
      </w:pPr>
    </w:p>
    <w:p w:rsidR="00684F18" w:rsidRPr="00E31DB7" w:rsidRDefault="00684F18" w:rsidP="00684F18">
      <w:pPr>
        <w:pStyle w:val="NoSpacing"/>
        <w:rPr>
          <w:rFonts w:ascii="Arial" w:hAnsi="Arial" w:cs="Arial"/>
          <w:color w:val="34383C"/>
          <w:sz w:val="24"/>
          <w:szCs w:val="24"/>
          <w:shd w:val="clear" w:color="auto" w:fill="FFFFFF"/>
        </w:rPr>
      </w:pPr>
    </w:p>
    <w:p w:rsidR="008E219F" w:rsidRPr="00E31DB7" w:rsidRDefault="008E219F" w:rsidP="00E31DB7">
      <w:pPr>
        <w:pStyle w:val="NoSpacing"/>
        <w:spacing w:line="276" w:lineRule="auto"/>
        <w:rPr>
          <w:b/>
          <w:sz w:val="24"/>
          <w:szCs w:val="24"/>
        </w:rPr>
      </w:pPr>
      <w:r w:rsidRPr="00E31DB7">
        <w:rPr>
          <w:b/>
          <w:sz w:val="24"/>
          <w:szCs w:val="24"/>
        </w:rPr>
        <w:t>STAGE 3: VERIFYING AND AGREEING THE ARRANGEMENTS</w:t>
      </w:r>
    </w:p>
    <w:p w:rsidR="00E31DB7" w:rsidRPr="00E31DB7" w:rsidRDefault="00E31DB7" w:rsidP="00E31DB7">
      <w:pPr>
        <w:pStyle w:val="NoSpacing"/>
        <w:spacing w:line="276" w:lineRule="auto"/>
        <w:rPr>
          <w:sz w:val="24"/>
          <w:szCs w:val="24"/>
          <w:lang w:eastAsia="en-GB"/>
        </w:rPr>
      </w:pPr>
      <w:r w:rsidRPr="00E31DB7">
        <w:rPr>
          <w:sz w:val="24"/>
          <w:szCs w:val="24"/>
          <w:lang w:eastAsia="en-GB"/>
        </w:rPr>
        <w:t>Formally verifying the learner’s need for an assessment arrangement is extremely important for two reasons:</w:t>
      </w:r>
    </w:p>
    <w:p w:rsidR="00E31DB7" w:rsidRPr="00E31DB7" w:rsidRDefault="00E31DB7" w:rsidP="00E31DB7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</w:t>
      </w:r>
      <w:r w:rsidRPr="00E31DB7">
        <w:rPr>
          <w:sz w:val="24"/>
          <w:szCs w:val="24"/>
          <w:lang w:eastAsia="en-GB"/>
        </w:rPr>
        <w:t>ssur</w:t>
      </w:r>
      <w:r>
        <w:rPr>
          <w:sz w:val="24"/>
          <w:szCs w:val="24"/>
          <w:lang w:eastAsia="en-GB"/>
        </w:rPr>
        <w:t>ance</w:t>
      </w:r>
      <w:r w:rsidRPr="00E31DB7">
        <w:rPr>
          <w:sz w:val="24"/>
          <w:szCs w:val="24"/>
          <w:lang w:eastAsia="en-GB"/>
        </w:rPr>
        <w:t xml:space="preserve"> that </w:t>
      </w:r>
      <w:r>
        <w:rPr>
          <w:sz w:val="24"/>
          <w:szCs w:val="24"/>
          <w:lang w:eastAsia="en-GB"/>
        </w:rPr>
        <w:t xml:space="preserve">the </w:t>
      </w:r>
      <w:r w:rsidRPr="00E31DB7">
        <w:rPr>
          <w:sz w:val="24"/>
          <w:szCs w:val="24"/>
          <w:lang w:eastAsia="en-GB"/>
        </w:rPr>
        <w:t>decision to provide, </w:t>
      </w:r>
      <w:r w:rsidRPr="00E31DB7">
        <w:rPr>
          <w:b/>
          <w:bCs/>
          <w:sz w:val="24"/>
          <w:szCs w:val="24"/>
          <w:lang w:eastAsia="en-GB"/>
        </w:rPr>
        <w:t>or not to provide</w:t>
      </w:r>
      <w:r w:rsidRPr="00E31DB7">
        <w:rPr>
          <w:sz w:val="24"/>
          <w:szCs w:val="24"/>
          <w:lang w:eastAsia="en-GB"/>
        </w:rPr>
        <w:t>, a particular assessment arrangement can be justified, and that it accords with both SQA guidance and relevant equality legislation.</w:t>
      </w:r>
    </w:p>
    <w:p w:rsidR="00E31DB7" w:rsidRPr="00E31DB7" w:rsidRDefault="00E31DB7" w:rsidP="00E31DB7">
      <w:pPr>
        <w:pStyle w:val="NoSpacing"/>
        <w:numPr>
          <w:ilvl w:val="0"/>
          <w:numId w:val="12"/>
        </w:numPr>
        <w:spacing w:line="276" w:lineRule="auto"/>
        <w:rPr>
          <w:sz w:val="24"/>
          <w:szCs w:val="24"/>
          <w:lang w:eastAsia="en-GB"/>
        </w:rPr>
      </w:pPr>
      <w:r w:rsidRPr="00E31DB7">
        <w:rPr>
          <w:sz w:val="24"/>
          <w:szCs w:val="24"/>
          <w:lang w:eastAsia="en-GB"/>
        </w:rPr>
        <w:t xml:space="preserve">SQA needs to be satisfied that </w:t>
      </w:r>
      <w:r>
        <w:rPr>
          <w:sz w:val="24"/>
          <w:szCs w:val="24"/>
          <w:lang w:eastAsia="en-GB"/>
        </w:rPr>
        <w:t xml:space="preserve">we </w:t>
      </w:r>
      <w:r w:rsidRPr="00E31DB7">
        <w:rPr>
          <w:sz w:val="24"/>
          <w:szCs w:val="24"/>
          <w:lang w:eastAsia="en-GB"/>
        </w:rPr>
        <w:t xml:space="preserve">have in place </w:t>
      </w:r>
      <w:r>
        <w:rPr>
          <w:sz w:val="24"/>
          <w:szCs w:val="24"/>
          <w:lang w:eastAsia="en-GB"/>
        </w:rPr>
        <w:t xml:space="preserve">a </w:t>
      </w:r>
      <w:r w:rsidRPr="00E31DB7">
        <w:rPr>
          <w:sz w:val="24"/>
          <w:szCs w:val="24"/>
          <w:lang w:eastAsia="en-GB"/>
        </w:rPr>
        <w:t>robust internal AA verification system, which ensures that all relevant information and evidence has been gathered and considered.</w:t>
      </w:r>
    </w:p>
    <w:p w:rsidR="008E219F" w:rsidRPr="00E31DB7" w:rsidRDefault="00E31DB7" w:rsidP="00E31DB7">
      <w:pPr>
        <w:pStyle w:val="NoSpacing"/>
        <w:spacing w:line="276" w:lineRule="auto"/>
        <w:rPr>
          <w:sz w:val="24"/>
        </w:rPr>
      </w:pPr>
      <w:r w:rsidRPr="00E31DB7">
        <w:rPr>
          <w:sz w:val="24"/>
        </w:rPr>
        <w:t>The moderation group therefore meet at several key points throughout the year</w:t>
      </w:r>
      <w:r>
        <w:rPr>
          <w:sz w:val="24"/>
        </w:rPr>
        <w:t>; and subject teachers, Principal Teachers Curriculum and Pastoral staff are asked to continually collaborate with Support for Learning staff throughout the school year.</w:t>
      </w:r>
    </w:p>
    <w:sectPr w:rsidR="008E219F" w:rsidRPr="00E31DB7" w:rsidSect="00E31DB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0392"/>
    <w:multiLevelType w:val="multilevel"/>
    <w:tmpl w:val="66F07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A1AFE"/>
    <w:multiLevelType w:val="multilevel"/>
    <w:tmpl w:val="90686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A1C5C"/>
    <w:multiLevelType w:val="hybridMultilevel"/>
    <w:tmpl w:val="4132A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57B35"/>
    <w:multiLevelType w:val="hybridMultilevel"/>
    <w:tmpl w:val="EB6631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E4BAA"/>
    <w:multiLevelType w:val="hybridMultilevel"/>
    <w:tmpl w:val="0AFA6B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403EA8"/>
    <w:multiLevelType w:val="hybridMultilevel"/>
    <w:tmpl w:val="E1F2A5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92FB7"/>
    <w:multiLevelType w:val="hybridMultilevel"/>
    <w:tmpl w:val="5FD614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0E6376"/>
    <w:multiLevelType w:val="multilevel"/>
    <w:tmpl w:val="D4426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16A16"/>
    <w:multiLevelType w:val="multilevel"/>
    <w:tmpl w:val="547EC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2386E"/>
    <w:multiLevelType w:val="hybridMultilevel"/>
    <w:tmpl w:val="C21407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45AB8"/>
    <w:multiLevelType w:val="hybridMultilevel"/>
    <w:tmpl w:val="26D4F9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4673F1"/>
    <w:multiLevelType w:val="multilevel"/>
    <w:tmpl w:val="7C3A2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9F"/>
    <w:rsid w:val="00142104"/>
    <w:rsid w:val="00187DBB"/>
    <w:rsid w:val="00206313"/>
    <w:rsid w:val="002933B8"/>
    <w:rsid w:val="00684F18"/>
    <w:rsid w:val="006B52C2"/>
    <w:rsid w:val="008023A7"/>
    <w:rsid w:val="008E219F"/>
    <w:rsid w:val="009251A0"/>
    <w:rsid w:val="00E31DB7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FEE1"/>
  <w15:chartTrackingRefBased/>
  <w15:docId w15:val="{76135935-FEBB-433C-A377-237F271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4F18"/>
    <w:rPr>
      <w:b/>
      <w:bCs/>
    </w:rPr>
  </w:style>
  <w:style w:type="paragraph" w:styleId="NoSpacing">
    <w:name w:val="No Spacing"/>
    <w:uiPriority w:val="1"/>
    <w:qFormat/>
    <w:rsid w:val="00684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Geddes</dc:creator>
  <cp:keywords/>
  <dc:description/>
  <cp:lastModifiedBy>Miss Geddes</cp:lastModifiedBy>
  <cp:revision>1</cp:revision>
  <dcterms:created xsi:type="dcterms:W3CDTF">2022-05-25T09:16:00Z</dcterms:created>
  <dcterms:modified xsi:type="dcterms:W3CDTF">2022-05-25T09:56:00Z</dcterms:modified>
</cp:coreProperties>
</file>