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F1092" w14:textId="77777777" w:rsidR="00AC4789" w:rsidRDefault="00AC4789" w:rsidP="00AC4789">
      <w:pPr>
        <w:pStyle w:val="Default"/>
        <w:jc w:val="center"/>
        <w:rPr>
          <w:rFonts w:ascii="Arial" w:hAnsi="Arial" w:cs="Arial"/>
          <w:b/>
          <w:bCs/>
          <w:color w:val="auto"/>
          <w:sz w:val="32"/>
        </w:rPr>
      </w:pPr>
      <w:r w:rsidRPr="00AC4789">
        <w:rPr>
          <w:rFonts w:ascii="Arial" w:hAnsi="Arial" w:cs="Arial"/>
          <w:b/>
          <w:bCs/>
          <w:color w:val="auto"/>
          <w:sz w:val="32"/>
        </w:rPr>
        <w:t>Duty of Candour Report for</w:t>
      </w:r>
    </w:p>
    <w:p w14:paraId="467BAFF8" w14:textId="32F37AAE" w:rsidR="00AC4789" w:rsidRPr="00AC4789" w:rsidRDefault="00AC4789" w:rsidP="00AC4789">
      <w:pPr>
        <w:pStyle w:val="Default"/>
        <w:jc w:val="center"/>
        <w:rPr>
          <w:rFonts w:ascii="Arial" w:hAnsi="Arial" w:cs="Arial"/>
          <w:b/>
          <w:bCs/>
          <w:color w:val="auto"/>
          <w:sz w:val="32"/>
        </w:rPr>
      </w:pPr>
      <w:r w:rsidRPr="00AC4789">
        <w:rPr>
          <w:rFonts w:ascii="Arial" w:hAnsi="Arial" w:cs="Arial"/>
          <w:b/>
          <w:bCs/>
          <w:color w:val="auto"/>
          <w:sz w:val="32"/>
        </w:rPr>
        <w:t>Girvan Early Years Centre 202</w:t>
      </w:r>
      <w:r w:rsidR="002C60D2">
        <w:rPr>
          <w:rFonts w:ascii="Arial" w:hAnsi="Arial" w:cs="Arial"/>
          <w:b/>
          <w:bCs/>
          <w:color w:val="auto"/>
          <w:sz w:val="32"/>
        </w:rPr>
        <w:t>6</w:t>
      </w:r>
    </w:p>
    <w:p w14:paraId="121A8B8C" w14:textId="77777777" w:rsidR="00AC4789" w:rsidRPr="00554363" w:rsidRDefault="00AC4789" w:rsidP="00AC4789">
      <w:pPr>
        <w:pStyle w:val="Default"/>
        <w:rPr>
          <w:rFonts w:ascii="Arial" w:hAnsi="Arial" w:cs="Arial"/>
          <w:color w:val="auto"/>
          <w:sz w:val="22"/>
        </w:rPr>
      </w:pPr>
    </w:p>
    <w:p w14:paraId="1F683428" w14:textId="77777777" w:rsidR="00AC4789" w:rsidRPr="00554363" w:rsidRDefault="00AC4789" w:rsidP="00AC4789">
      <w:pPr>
        <w:pStyle w:val="Default"/>
        <w:jc w:val="both"/>
        <w:rPr>
          <w:rFonts w:ascii="Arial" w:hAnsi="Arial" w:cs="Arial"/>
          <w:color w:val="auto"/>
          <w:sz w:val="22"/>
        </w:rPr>
      </w:pPr>
      <w:r w:rsidRPr="00554363">
        <w:rPr>
          <w:rFonts w:ascii="Arial" w:hAnsi="Arial" w:cs="Arial"/>
          <w:color w:val="auto"/>
          <w:sz w:val="22"/>
        </w:rPr>
        <w:t xml:space="preserve">All health and social care services in Scotland have a duty of candour. This is a legal requirement which means that when things go wrong and mistakes happen, the people affected understand what has happened, receive an apology, and that organisations learn how to improve for the future. </w:t>
      </w:r>
    </w:p>
    <w:p w14:paraId="7BA5A224" w14:textId="586BD28A" w:rsidR="00AC4789" w:rsidRPr="00554363" w:rsidRDefault="00AC4789" w:rsidP="00AC4789">
      <w:pPr>
        <w:pStyle w:val="Default"/>
        <w:jc w:val="both"/>
        <w:rPr>
          <w:rFonts w:ascii="Arial" w:hAnsi="Arial" w:cs="Arial"/>
          <w:color w:val="auto"/>
          <w:sz w:val="22"/>
        </w:rPr>
      </w:pPr>
      <w:r w:rsidRPr="00554363">
        <w:rPr>
          <w:rFonts w:ascii="Arial" w:hAnsi="Arial" w:cs="Arial"/>
          <w:color w:val="auto"/>
          <w:sz w:val="22"/>
        </w:rPr>
        <w:t>An important part of this duty is that we provide an annual report about the duty of candour in our services. This short report describes how Girvan Early Years Centre has operated the duty of candour during the time betwe</w:t>
      </w:r>
      <w:r w:rsidR="0019402C" w:rsidRPr="00554363">
        <w:rPr>
          <w:rFonts w:ascii="Arial" w:hAnsi="Arial" w:cs="Arial"/>
          <w:color w:val="auto"/>
          <w:sz w:val="22"/>
        </w:rPr>
        <w:t>en 1 April 20</w:t>
      </w:r>
      <w:r w:rsidR="004000D2" w:rsidRPr="00554363">
        <w:rPr>
          <w:rFonts w:ascii="Arial" w:hAnsi="Arial" w:cs="Arial"/>
          <w:color w:val="auto"/>
          <w:sz w:val="22"/>
        </w:rPr>
        <w:t>2</w:t>
      </w:r>
      <w:r w:rsidR="0026333A">
        <w:rPr>
          <w:rFonts w:ascii="Arial" w:hAnsi="Arial" w:cs="Arial"/>
          <w:color w:val="auto"/>
          <w:sz w:val="22"/>
        </w:rPr>
        <w:t>3</w:t>
      </w:r>
      <w:r w:rsidR="0019402C" w:rsidRPr="00554363">
        <w:rPr>
          <w:rFonts w:ascii="Arial" w:hAnsi="Arial" w:cs="Arial"/>
          <w:color w:val="auto"/>
          <w:sz w:val="22"/>
        </w:rPr>
        <w:t xml:space="preserve"> and 31 March 202</w:t>
      </w:r>
      <w:r w:rsidR="0026333A">
        <w:rPr>
          <w:rFonts w:ascii="Arial" w:hAnsi="Arial" w:cs="Arial"/>
          <w:color w:val="auto"/>
          <w:sz w:val="22"/>
        </w:rPr>
        <w:t xml:space="preserve">4.  </w:t>
      </w:r>
      <w:r w:rsidRPr="00554363">
        <w:rPr>
          <w:rFonts w:ascii="Arial" w:hAnsi="Arial" w:cs="Arial"/>
          <w:color w:val="auto"/>
          <w:sz w:val="22"/>
        </w:rPr>
        <w:t xml:space="preserve">We hope you find this report useful. </w:t>
      </w:r>
    </w:p>
    <w:p w14:paraId="1C4A4773" w14:textId="77777777" w:rsidR="00AC4789" w:rsidRPr="00554363" w:rsidRDefault="00AC4789" w:rsidP="00AC4789">
      <w:pPr>
        <w:pStyle w:val="Default"/>
        <w:rPr>
          <w:rFonts w:ascii="Arial" w:hAnsi="Arial" w:cs="Arial"/>
          <w:color w:val="auto"/>
          <w:sz w:val="22"/>
        </w:rPr>
      </w:pPr>
    </w:p>
    <w:p w14:paraId="68A3D0BB" w14:textId="77777777" w:rsidR="00AC4789" w:rsidRPr="00554363" w:rsidRDefault="00AC4789" w:rsidP="00AC4789">
      <w:pPr>
        <w:pStyle w:val="Default"/>
        <w:rPr>
          <w:rFonts w:ascii="Arial" w:hAnsi="Arial" w:cs="Arial"/>
          <w:bCs/>
          <w:color w:val="auto"/>
          <w:sz w:val="22"/>
        </w:rPr>
      </w:pPr>
      <w:r w:rsidRPr="00554363">
        <w:rPr>
          <w:rFonts w:ascii="Arial" w:hAnsi="Arial" w:cs="Arial"/>
          <w:b/>
          <w:bCs/>
          <w:color w:val="auto"/>
          <w:sz w:val="22"/>
        </w:rPr>
        <w:t xml:space="preserve">Girvan Early Years Centre </w:t>
      </w:r>
      <w:r w:rsidRPr="00554363">
        <w:rPr>
          <w:rFonts w:ascii="Arial" w:hAnsi="Arial" w:cs="Arial"/>
          <w:bCs/>
          <w:color w:val="auto"/>
          <w:sz w:val="22"/>
        </w:rPr>
        <w:t>provides an early learning and childcare provision for children aged from 2 years until they go to school</w:t>
      </w:r>
      <w:r w:rsidRPr="00554363">
        <w:rPr>
          <w:rFonts w:ascii="Arial" w:hAnsi="Arial" w:cs="Arial"/>
          <w:bCs/>
          <w:i/>
          <w:color w:val="auto"/>
          <w:sz w:val="22"/>
        </w:rPr>
        <w:t>.</w:t>
      </w:r>
    </w:p>
    <w:p w14:paraId="6F8B7A7C" w14:textId="3FE78FDF" w:rsidR="00AC4789" w:rsidRPr="00554363" w:rsidRDefault="00AC4789" w:rsidP="00AC4789">
      <w:pPr>
        <w:pStyle w:val="Default"/>
        <w:rPr>
          <w:rFonts w:ascii="Arial" w:hAnsi="Arial" w:cs="Arial"/>
          <w:color w:val="auto"/>
          <w:sz w:val="22"/>
        </w:rPr>
      </w:pPr>
      <w:r w:rsidRPr="00554363">
        <w:rPr>
          <w:rFonts w:ascii="Arial" w:hAnsi="Arial" w:cs="Arial"/>
          <w:color w:val="auto"/>
          <w:sz w:val="22"/>
        </w:rPr>
        <w:t>In the last year, there has been 0 incidents to which the duty of candour has applied. These are where the types of incident have happened which are unintended or unexpected, do not relate directly to the natural course of someone’s illness or underlying condition.</w:t>
      </w:r>
    </w:p>
    <w:p w14:paraId="31873514" w14:textId="77777777" w:rsidR="00554363" w:rsidRPr="00AC4789" w:rsidRDefault="00554363" w:rsidP="00AC4789">
      <w:pPr>
        <w:pStyle w:val="Default"/>
        <w:rPr>
          <w:rFonts w:ascii="Arial" w:hAnsi="Arial" w:cs="Arial"/>
          <w:color w:val="auto"/>
        </w:rPr>
      </w:pPr>
    </w:p>
    <w:p w14:paraId="54E6DE1B" w14:textId="77777777" w:rsidR="00AC4789" w:rsidRPr="00334620" w:rsidRDefault="00AC4789" w:rsidP="00AC4789">
      <w:pPr>
        <w:pStyle w:val="Default"/>
        <w:ind w:left="720"/>
        <w:rPr>
          <w:rFonts w:ascii="Arial" w:hAnsi="Arial" w:cs="Arial"/>
          <w:color w:val="auto"/>
        </w:rPr>
      </w:pPr>
    </w:p>
    <w:tbl>
      <w:tblPr>
        <w:tblStyle w:val="TableGrid"/>
        <w:tblW w:w="0" w:type="auto"/>
        <w:tblInd w:w="720" w:type="dxa"/>
        <w:tblLook w:val="04A0" w:firstRow="1" w:lastRow="0" w:firstColumn="1" w:lastColumn="0" w:noHBand="0" w:noVBand="1"/>
      </w:tblPr>
      <w:tblGrid>
        <w:gridCol w:w="4166"/>
        <w:gridCol w:w="4130"/>
      </w:tblGrid>
      <w:tr w:rsidR="00AC4789" w:rsidRPr="00334620" w14:paraId="5901F101" w14:textId="77777777" w:rsidTr="008E2170">
        <w:tc>
          <w:tcPr>
            <w:tcW w:w="4275" w:type="dxa"/>
          </w:tcPr>
          <w:p w14:paraId="37E3A3C6" w14:textId="77777777" w:rsidR="00AC4789" w:rsidRPr="0006722A" w:rsidRDefault="00AC4789" w:rsidP="008E2170">
            <w:pPr>
              <w:pStyle w:val="Default"/>
              <w:rPr>
                <w:rFonts w:ascii="Arial" w:hAnsi="Arial" w:cs="Arial"/>
                <w:b/>
                <w:color w:val="auto"/>
                <w:sz w:val="20"/>
                <w:szCs w:val="20"/>
              </w:rPr>
            </w:pPr>
            <w:r w:rsidRPr="0006722A">
              <w:rPr>
                <w:rFonts w:ascii="Arial" w:hAnsi="Arial" w:cs="Arial"/>
                <w:b/>
                <w:color w:val="auto"/>
                <w:sz w:val="20"/>
                <w:szCs w:val="20"/>
              </w:rPr>
              <w:t>Type of unexpected or unintended incident</w:t>
            </w:r>
          </w:p>
        </w:tc>
        <w:tc>
          <w:tcPr>
            <w:tcW w:w="4247" w:type="dxa"/>
          </w:tcPr>
          <w:p w14:paraId="330EC756" w14:textId="77777777" w:rsidR="00AC4789" w:rsidRPr="0006722A" w:rsidRDefault="00AC4789" w:rsidP="008E2170">
            <w:pPr>
              <w:pStyle w:val="Default"/>
              <w:rPr>
                <w:rFonts w:ascii="Arial" w:hAnsi="Arial" w:cs="Arial"/>
                <w:color w:val="auto"/>
                <w:sz w:val="20"/>
                <w:szCs w:val="20"/>
              </w:rPr>
            </w:pPr>
            <w:r w:rsidRPr="0006722A">
              <w:rPr>
                <w:rFonts w:ascii="Arial" w:hAnsi="Arial" w:cs="Arial"/>
                <w:color w:val="auto"/>
                <w:sz w:val="20"/>
                <w:szCs w:val="20"/>
              </w:rPr>
              <w:t>Number of times this has happened</w:t>
            </w:r>
          </w:p>
        </w:tc>
      </w:tr>
      <w:tr w:rsidR="00AC4789" w:rsidRPr="00334620" w14:paraId="57064D8F" w14:textId="77777777" w:rsidTr="008E2170">
        <w:tc>
          <w:tcPr>
            <w:tcW w:w="4275" w:type="dxa"/>
          </w:tcPr>
          <w:p w14:paraId="3A878722" w14:textId="77777777" w:rsidR="00AC4789" w:rsidRPr="0006722A" w:rsidRDefault="00AC4789" w:rsidP="008E2170">
            <w:pPr>
              <w:pStyle w:val="Default"/>
              <w:rPr>
                <w:rFonts w:ascii="Arial" w:hAnsi="Arial" w:cs="Arial"/>
                <w:color w:val="auto"/>
                <w:sz w:val="20"/>
                <w:szCs w:val="20"/>
              </w:rPr>
            </w:pPr>
            <w:r w:rsidRPr="0006722A">
              <w:rPr>
                <w:rFonts w:ascii="Arial" w:hAnsi="Arial" w:cs="Arial"/>
                <w:sz w:val="20"/>
                <w:szCs w:val="20"/>
              </w:rPr>
              <w:t>Someone has died</w:t>
            </w:r>
          </w:p>
        </w:tc>
        <w:tc>
          <w:tcPr>
            <w:tcW w:w="4247" w:type="dxa"/>
          </w:tcPr>
          <w:p w14:paraId="7C580009" w14:textId="77777777" w:rsidR="00AC4789" w:rsidRPr="0006722A" w:rsidRDefault="00AC4789" w:rsidP="008E2170">
            <w:pPr>
              <w:pStyle w:val="Default"/>
              <w:rPr>
                <w:rFonts w:ascii="Arial" w:hAnsi="Arial" w:cs="Arial"/>
                <w:color w:val="auto"/>
                <w:sz w:val="20"/>
                <w:szCs w:val="20"/>
              </w:rPr>
            </w:pPr>
            <w:r>
              <w:rPr>
                <w:rFonts w:ascii="Arial" w:hAnsi="Arial" w:cs="Arial"/>
                <w:color w:val="auto"/>
                <w:sz w:val="20"/>
                <w:szCs w:val="20"/>
              </w:rPr>
              <w:t>0</w:t>
            </w:r>
          </w:p>
        </w:tc>
      </w:tr>
      <w:tr w:rsidR="00AC4789" w:rsidRPr="00334620" w14:paraId="29AEF7C6" w14:textId="77777777" w:rsidTr="008E2170">
        <w:tc>
          <w:tcPr>
            <w:tcW w:w="4275" w:type="dxa"/>
          </w:tcPr>
          <w:p w14:paraId="27DA3D32" w14:textId="77777777" w:rsidR="00AC4789" w:rsidRPr="0006722A" w:rsidRDefault="00AC4789" w:rsidP="008E2170">
            <w:pPr>
              <w:pStyle w:val="Default"/>
              <w:rPr>
                <w:rFonts w:ascii="Arial" w:hAnsi="Arial" w:cs="Arial"/>
                <w:color w:val="auto"/>
                <w:sz w:val="20"/>
                <w:szCs w:val="20"/>
              </w:rPr>
            </w:pPr>
            <w:r w:rsidRPr="0006722A">
              <w:rPr>
                <w:rFonts w:ascii="Arial" w:hAnsi="Arial" w:cs="Arial"/>
                <w:sz w:val="20"/>
                <w:szCs w:val="20"/>
              </w:rPr>
              <w:t>Someone has permanently less bodily, sensory, motor, physiologic or intellectual functions</w:t>
            </w:r>
          </w:p>
        </w:tc>
        <w:tc>
          <w:tcPr>
            <w:tcW w:w="4247" w:type="dxa"/>
          </w:tcPr>
          <w:p w14:paraId="7A6A5D42" w14:textId="77777777" w:rsidR="00AC4789" w:rsidRPr="0006722A" w:rsidRDefault="00AC4789" w:rsidP="008E2170">
            <w:pPr>
              <w:pStyle w:val="Default"/>
              <w:rPr>
                <w:rFonts w:ascii="Arial" w:hAnsi="Arial" w:cs="Arial"/>
                <w:color w:val="auto"/>
                <w:sz w:val="20"/>
                <w:szCs w:val="20"/>
              </w:rPr>
            </w:pPr>
          </w:p>
          <w:p w14:paraId="5D88B2B9" w14:textId="77777777" w:rsidR="00AC4789" w:rsidRPr="0006722A" w:rsidRDefault="00AC4789" w:rsidP="008E2170">
            <w:pPr>
              <w:pStyle w:val="Default"/>
              <w:rPr>
                <w:rFonts w:ascii="Arial" w:hAnsi="Arial" w:cs="Arial"/>
                <w:color w:val="auto"/>
                <w:sz w:val="20"/>
                <w:szCs w:val="20"/>
              </w:rPr>
            </w:pPr>
            <w:r>
              <w:rPr>
                <w:rFonts w:ascii="Arial" w:hAnsi="Arial" w:cs="Arial"/>
                <w:color w:val="auto"/>
                <w:sz w:val="20"/>
                <w:szCs w:val="20"/>
              </w:rPr>
              <w:t>0</w:t>
            </w:r>
          </w:p>
          <w:p w14:paraId="603D45E3" w14:textId="77777777" w:rsidR="00AC4789" w:rsidRPr="0006722A" w:rsidRDefault="00AC4789" w:rsidP="008E2170">
            <w:pPr>
              <w:pStyle w:val="Default"/>
              <w:rPr>
                <w:rFonts w:ascii="Arial" w:hAnsi="Arial" w:cs="Arial"/>
                <w:color w:val="auto"/>
                <w:sz w:val="20"/>
                <w:szCs w:val="20"/>
              </w:rPr>
            </w:pPr>
          </w:p>
        </w:tc>
      </w:tr>
      <w:tr w:rsidR="00AC4789" w:rsidRPr="00334620" w14:paraId="582D2026" w14:textId="77777777" w:rsidTr="008E2170">
        <w:tc>
          <w:tcPr>
            <w:tcW w:w="4275" w:type="dxa"/>
          </w:tcPr>
          <w:p w14:paraId="38642665" w14:textId="77777777" w:rsidR="00AC4789" w:rsidRPr="0006722A" w:rsidRDefault="00AC4789" w:rsidP="008E2170">
            <w:pPr>
              <w:pStyle w:val="Default"/>
              <w:rPr>
                <w:rFonts w:ascii="Arial" w:hAnsi="Arial" w:cs="Arial"/>
                <w:color w:val="auto"/>
                <w:sz w:val="20"/>
                <w:szCs w:val="20"/>
              </w:rPr>
            </w:pPr>
            <w:r w:rsidRPr="0006722A">
              <w:rPr>
                <w:rFonts w:ascii="Arial" w:hAnsi="Arial" w:cs="Arial"/>
                <w:sz w:val="20"/>
                <w:szCs w:val="20"/>
              </w:rPr>
              <w:t>Someone’s treatment has increased because of harm</w:t>
            </w:r>
          </w:p>
        </w:tc>
        <w:tc>
          <w:tcPr>
            <w:tcW w:w="4247" w:type="dxa"/>
          </w:tcPr>
          <w:p w14:paraId="7521C4C2" w14:textId="77777777" w:rsidR="00AC4789" w:rsidRPr="0006722A" w:rsidRDefault="00AC4789" w:rsidP="008E2170">
            <w:pPr>
              <w:pStyle w:val="Default"/>
              <w:rPr>
                <w:rFonts w:ascii="Arial" w:hAnsi="Arial" w:cs="Arial"/>
                <w:color w:val="auto"/>
                <w:sz w:val="20"/>
                <w:szCs w:val="20"/>
              </w:rPr>
            </w:pPr>
            <w:r>
              <w:rPr>
                <w:rFonts w:ascii="Arial" w:hAnsi="Arial" w:cs="Arial"/>
                <w:color w:val="auto"/>
                <w:sz w:val="20"/>
                <w:szCs w:val="20"/>
              </w:rPr>
              <w:t>0</w:t>
            </w:r>
          </w:p>
          <w:p w14:paraId="2B863F0A" w14:textId="77777777" w:rsidR="00AC4789" w:rsidRPr="0006722A" w:rsidRDefault="00AC4789" w:rsidP="008E2170">
            <w:pPr>
              <w:pStyle w:val="Default"/>
              <w:rPr>
                <w:rFonts w:ascii="Arial" w:hAnsi="Arial" w:cs="Arial"/>
                <w:color w:val="auto"/>
                <w:sz w:val="20"/>
                <w:szCs w:val="20"/>
              </w:rPr>
            </w:pPr>
          </w:p>
        </w:tc>
      </w:tr>
      <w:tr w:rsidR="00AC4789" w:rsidRPr="00334620" w14:paraId="2AB95B01" w14:textId="77777777" w:rsidTr="008E2170">
        <w:tc>
          <w:tcPr>
            <w:tcW w:w="4275" w:type="dxa"/>
          </w:tcPr>
          <w:p w14:paraId="56373083" w14:textId="77777777" w:rsidR="00AC4789" w:rsidRPr="0006722A" w:rsidRDefault="00AC4789" w:rsidP="008E2170">
            <w:pPr>
              <w:pStyle w:val="Default"/>
              <w:rPr>
                <w:rFonts w:ascii="Arial" w:hAnsi="Arial" w:cs="Arial"/>
                <w:color w:val="auto"/>
                <w:sz w:val="20"/>
                <w:szCs w:val="20"/>
              </w:rPr>
            </w:pPr>
            <w:r w:rsidRPr="0006722A">
              <w:rPr>
                <w:rFonts w:ascii="Arial" w:hAnsi="Arial" w:cs="Arial"/>
                <w:sz w:val="20"/>
                <w:szCs w:val="20"/>
              </w:rPr>
              <w:t>The structure of someone’s body changes because of harm</w:t>
            </w:r>
          </w:p>
        </w:tc>
        <w:tc>
          <w:tcPr>
            <w:tcW w:w="4247" w:type="dxa"/>
          </w:tcPr>
          <w:p w14:paraId="1E4D0236" w14:textId="77777777" w:rsidR="00AC4789" w:rsidRPr="0006722A" w:rsidRDefault="00AC4789" w:rsidP="008E2170">
            <w:pPr>
              <w:pStyle w:val="Default"/>
              <w:rPr>
                <w:rFonts w:ascii="Arial" w:hAnsi="Arial" w:cs="Arial"/>
                <w:color w:val="auto"/>
                <w:sz w:val="20"/>
                <w:szCs w:val="20"/>
              </w:rPr>
            </w:pPr>
          </w:p>
          <w:p w14:paraId="0B5A8552" w14:textId="77777777" w:rsidR="00AC4789" w:rsidRPr="0006722A" w:rsidRDefault="00AC4789" w:rsidP="008E2170">
            <w:pPr>
              <w:pStyle w:val="Default"/>
              <w:rPr>
                <w:rFonts w:ascii="Arial" w:hAnsi="Arial" w:cs="Arial"/>
                <w:color w:val="auto"/>
                <w:sz w:val="20"/>
                <w:szCs w:val="20"/>
              </w:rPr>
            </w:pPr>
            <w:r>
              <w:rPr>
                <w:rFonts w:ascii="Arial" w:hAnsi="Arial" w:cs="Arial"/>
                <w:color w:val="auto"/>
                <w:sz w:val="20"/>
                <w:szCs w:val="20"/>
              </w:rPr>
              <w:t>0</w:t>
            </w:r>
          </w:p>
        </w:tc>
      </w:tr>
      <w:tr w:rsidR="00AC4789" w:rsidRPr="00334620" w14:paraId="416994F1" w14:textId="77777777" w:rsidTr="008E2170">
        <w:tc>
          <w:tcPr>
            <w:tcW w:w="4275" w:type="dxa"/>
          </w:tcPr>
          <w:p w14:paraId="23E50264" w14:textId="77777777" w:rsidR="00AC4789" w:rsidRPr="0006722A" w:rsidRDefault="00AC4789" w:rsidP="008E2170">
            <w:pPr>
              <w:pStyle w:val="Default"/>
              <w:rPr>
                <w:rFonts w:ascii="Arial" w:hAnsi="Arial" w:cs="Arial"/>
                <w:color w:val="auto"/>
                <w:sz w:val="20"/>
                <w:szCs w:val="20"/>
              </w:rPr>
            </w:pPr>
            <w:r w:rsidRPr="0006722A">
              <w:rPr>
                <w:rFonts w:ascii="Arial" w:hAnsi="Arial" w:cs="Arial"/>
                <w:sz w:val="20"/>
                <w:szCs w:val="20"/>
              </w:rPr>
              <w:t xml:space="preserve">Someone’s life expectancy becomes shorter because of harm </w:t>
            </w:r>
          </w:p>
        </w:tc>
        <w:tc>
          <w:tcPr>
            <w:tcW w:w="4247" w:type="dxa"/>
          </w:tcPr>
          <w:p w14:paraId="239985AE" w14:textId="77777777" w:rsidR="00AC4789" w:rsidRPr="0006722A" w:rsidRDefault="00AC4789" w:rsidP="008E2170">
            <w:pPr>
              <w:pStyle w:val="Default"/>
              <w:rPr>
                <w:rFonts w:ascii="Arial" w:hAnsi="Arial" w:cs="Arial"/>
                <w:color w:val="auto"/>
                <w:sz w:val="20"/>
                <w:szCs w:val="20"/>
              </w:rPr>
            </w:pPr>
          </w:p>
          <w:p w14:paraId="53AA2566" w14:textId="77777777" w:rsidR="00AC4789" w:rsidRPr="0006722A" w:rsidRDefault="00AC4789" w:rsidP="008E2170">
            <w:pPr>
              <w:pStyle w:val="Default"/>
              <w:rPr>
                <w:rFonts w:ascii="Arial" w:hAnsi="Arial" w:cs="Arial"/>
                <w:color w:val="auto"/>
                <w:sz w:val="20"/>
                <w:szCs w:val="20"/>
              </w:rPr>
            </w:pPr>
            <w:r>
              <w:rPr>
                <w:rFonts w:ascii="Arial" w:hAnsi="Arial" w:cs="Arial"/>
                <w:color w:val="auto"/>
                <w:sz w:val="20"/>
                <w:szCs w:val="20"/>
              </w:rPr>
              <w:t>0</w:t>
            </w:r>
          </w:p>
        </w:tc>
      </w:tr>
      <w:tr w:rsidR="00AC4789" w:rsidRPr="00334620" w14:paraId="14F97471" w14:textId="77777777" w:rsidTr="008E2170">
        <w:tc>
          <w:tcPr>
            <w:tcW w:w="4275" w:type="dxa"/>
          </w:tcPr>
          <w:p w14:paraId="0A83C80E" w14:textId="77777777" w:rsidR="00AC4789" w:rsidRPr="0006722A" w:rsidRDefault="00AC4789" w:rsidP="008E2170">
            <w:pPr>
              <w:pStyle w:val="Default"/>
              <w:rPr>
                <w:rFonts w:ascii="Arial" w:hAnsi="Arial" w:cs="Arial"/>
                <w:sz w:val="20"/>
                <w:szCs w:val="20"/>
              </w:rPr>
            </w:pPr>
            <w:r w:rsidRPr="0006722A">
              <w:rPr>
                <w:rFonts w:ascii="Arial" w:hAnsi="Arial" w:cs="Arial"/>
                <w:sz w:val="20"/>
                <w:szCs w:val="20"/>
              </w:rPr>
              <w:t xml:space="preserve">Someone’s sensory, motor or intellectual functions is impaired for 28 days or more </w:t>
            </w:r>
          </w:p>
        </w:tc>
        <w:tc>
          <w:tcPr>
            <w:tcW w:w="4247" w:type="dxa"/>
          </w:tcPr>
          <w:p w14:paraId="7C9E8724" w14:textId="77777777" w:rsidR="00AC4789" w:rsidRPr="0006722A" w:rsidRDefault="00AC4789" w:rsidP="008E2170">
            <w:pPr>
              <w:pStyle w:val="Default"/>
              <w:rPr>
                <w:rFonts w:ascii="Arial" w:hAnsi="Arial" w:cs="Arial"/>
                <w:color w:val="auto"/>
                <w:sz w:val="20"/>
                <w:szCs w:val="20"/>
              </w:rPr>
            </w:pPr>
          </w:p>
          <w:p w14:paraId="68B369E9" w14:textId="77777777" w:rsidR="00AC4789" w:rsidRPr="0006722A" w:rsidRDefault="00AC4789" w:rsidP="008E2170">
            <w:pPr>
              <w:pStyle w:val="Default"/>
              <w:rPr>
                <w:rFonts w:ascii="Arial" w:hAnsi="Arial" w:cs="Arial"/>
                <w:color w:val="auto"/>
                <w:sz w:val="20"/>
                <w:szCs w:val="20"/>
              </w:rPr>
            </w:pPr>
            <w:r>
              <w:rPr>
                <w:rFonts w:ascii="Arial" w:hAnsi="Arial" w:cs="Arial"/>
                <w:color w:val="auto"/>
                <w:sz w:val="20"/>
                <w:szCs w:val="20"/>
              </w:rPr>
              <w:t>0</w:t>
            </w:r>
          </w:p>
          <w:p w14:paraId="45F2F6F8" w14:textId="77777777" w:rsidR="00AC4789" w:rsidRPr="0006722A" w:rsidRDefault="00AC4789" w:rsidP="008E2170">
            <w:pPr>
              <w:pStyle w:val="Default"/>
              <w:rPr>
                <w:rFonts w:ascii="Arial" w:hAnsi="Arial" w:cs="Arial"/>
                <w:color w:val="auto"/>
                <w:sz w:val="20"/>
                <w:szCs w:val="20"/>
              </w:rPr>
            </w:pPr>
          </w:p>
        </w:tc>
      </w:tr>
    </w:tbl>
    <w:p w14:paraId="40F4DF8E" w14:textId="77777777" w:rsidR="00AC4789" w:rsidRDefault="00AC4789" w:rsidP="00AC4789">
      <w:pPr>
        <w:autoSpaceDE w:val="0"/>
        <w:autoSpaceDN w:val="0"/>
        <w:adjustRightInd w:val="0"/>
        <w:spacing w:after="0" w:line="240" w:lineRule="auto"/>
        <w:rPr>
          <w:rFonts w:ascii="Arial" w:hAnsi="Arial" w:cs="Arial"/>
          <w:color w:val="000000"/>
          <w:sz w:val="24"/>
          <w:szCs w:val="24"/>
        </w:rPr>
      </w:pPr>
    </w:p>
    <w:p w14:paraId="0D310F86" w14:textId="77777777" w:rsidR="00AC4789" w:rsidRPr="00554363" w:rsidRDefault="00AC4789" w:rsidP="00AC4789">
      <w:pPr>
        <w:autoSpaceDE w:val="0"/>
        <w:autoSpaceDN w:val="0"/>
        <w:adjustRightInd w:val="0"/>
        <w:spacing w:after="0" w:line="240" w:lineRule="auto"/>
        <w:rPr>
          <w:rFonts w:ascii="Arial" w:hAnsi="Arial" w:cs="Arial"/>
          <w:color w:val="000000"/>
          <w:szCs w:val="24"/>
        </w:rPr>
      </w:pPr>
      <w:r w:rsidRPr="00554363">
        <w:rPr>
          <w:rFonts w:ascii="Arial" w:hAnsi="Arial" w:cs="Arial"/>
          <w:color w:val="000000"/>
          <w:szCs w:val="24"/>
        </w:rPr>
        <w:t xml:space="preserve">If any of the events listed above had happened, we would have followed the correct procedure. This means we would have informed the parents/ person affected, apologised to them, and offered to meet with them. We would then review what happened and what went wrong and try and learn for the future. </w:t>
      </w:r>
    </w:p>
    <w:p w14:paraId="2E2D3F5A" w14:textId="77777777" w:rsidR="00AC4789" w:rsidRPr="00554363" w:rsidRDefault="00AC4789" w:rsidP="00AC4789">
      <w:pPr>
        <w:autoSpaceDE w:val="0"/>
        <w:autoSpaceDN w:val="0"/>
        <w:adjustRightInd w:val="0"/>
        <w:spacing w:after="0" w:line="240" w:lineRule="auto"/>
        <w:rPr>
          <w:rFonts w:ascii="Arial" w:hAnsi="Arial" w:cs="Arial"/>
          <w:color w:val="000000"/>
          <w:szCs w:val="24"/>
        </w:rPr>
      </w:pPr>
      <w:r w:rsidRPr="00554363">
        <w:rPr>
          <w:rFonts w:ascii="Arial" w:hAnsi="Arial" w:cs="Arial"/>
          <w:color w:val="000000"/>
          <w:szCs w:val="24"/>
        </w:rPr>
        <w:t xml:space="preserve">Where something has happened that triggers the duty of candour, our staff report this to the service manager who has responsibility for ensuring that the duty of candour procedure is followed. The manager records the incident and reports as necessary to the Care Inspectorate. When an incident has happened, the manager and staff set up a learning review. This allows everyone involved to review what happened and identify changes for the future. </w:t>
      </w:r>
    </w:p>
    <w:p w14:paraId="18E437F7" w14:textId="77777777" w:rsidR="00AC4789" w:rsidRPr="00554363" w:rsidRDefault="00AC4789" w:rsidP="00AC4789">
      <w:pPr>
        <w:autoSpaceDE w:val="0"/>
        <w:autoSpaceDN w:val="0"/>
        <w:adjustRightInd w:val="0"/>
        <w:spacing w:after="0" w:line="240" w:lineRule="auto"/>
        <w:rPr>
          <w:rFonts w:ascii="Arial" w:hAnsi="Arial" w:cs="Arial"/>
          <w:color w:val="000000"/>
          <w:szCs w:val="24"/>
        </w:rPr>
      </w:pPr>
      <w:r w:rsidRPr="00554363">
        <w:rPr>
          <w:rFonts w:ascii="Arial" w:hAnsi="Arial" w:cs="Arial"/>
          <w:color w:val="000000"/>
          <w:szCs w:val="24"/>
        </w:rPr>
        <w:t xml:space="preserve">All new staff learn about the duty of candour at their induction. We know that serious mistakes can be distressing for staff as well as people who use care and their families. We have occupational welfare support in place for our staff if they have been affected by a duty of candour incident. </w:t>
      </w:r>
    </w:p>
    <w:p w14:paraId="0643B129" w14:textId="77777777" w:rsidR="00AC4789" w:rsidRPr="00554363" w:rsidRDefault="00AC4789" w:rsidP="00AC4789">
      <w:pPr>
        <w:autoSpaceDE w:val="0"/>
        <w:autoSpaceDN w:val="0"/>
        <w:adjustRightInd w:val="0"/>
        <w:spacing w:after="0" w:line="240" w:lineRule="auto"/>
        <w:rPr>
          <w:rFonts w:ascii="Arial" w:hAnsi="Arial" w:cs="Arial"/>
          <w:color w:val="000000"/>
          <w:szCs w:val="24"/>
        </w:rPr>
      </w:pPr>
      <w:r w:rsidRPr="00554363">
        <w:rPr>
          <w:rFonts w:ascii="Arial" w:hAnsi="Arial" w:cs="Arial"/>
          <w:color w:val="000000"/>
          <w:szCs w:val="24"/>
        </w:rPr>
        <w:t xml:space="preserve">Where parents or children are affected by the duty of candour, we have arrangements in place to provide welfare support as necessary. </w:t>
      </w:r>
    </w:p>
    <w:p w14:paraId="75C227FD" w14:textId="3484FE7C" w:rsidR="00554363" w:rsidRDefault="00AC4789">
      <w:pPr>
        <w:rPr>
          <w:rFonts w:ascii="Arial" w:hAnsi="Arial" w:cs="Arial"/>
          <w:color w:val="000000"/>
          <w:sz w:val="24"/>
          <w:szCs w:val="24"/>
        </w:rPr>
      </w:pPr>
      <w:r w:rsidRPr="00554363">
        <w:rPr>
          <w:rFonts w:ascii="Arial" w:hAnsi="Arial" w:cs="Arial"/>
          <w:color w:val="000000"/>
          <w:szCs w:val="24"/>
        </w:rPr>
        <w:t>There has been no change to our policies and procedures as a result of the duty of candour at this time</w:t>
      </w:r>
      <w:r>
        <w:rPr>
          <w:rFonts w:ascii="Arial" w:hAnsi="Arial" w:cs="Arial"/>
          <w:color w:val="000000"/>
          <w:sz w:val="24"/>
          <w:szCs w:val="24"/>
        </w:rPr>
        <w:t>.</w:t>
      </w:r>
    </w:p>
    <w:p w14:paraId="323DCF05" w14:textId="15214756" w:rsidR="00E82C7D" w:rsidRPr="00AC4789" w:rsidRDefault="00AC4789">
      <w:pPr>
        <w:rPr>
          <w:rFonts w:ascii="Arial" w:hAnsi="Arial" w:cs="Arial"/>
          <w:color w:val="000000"/>
          <w:sz w:val="24"/>
          <w:szCs w:val="24"/>
        </w:rPr>
      </w:pPr>
      <w:r>
        <w:rPr>
          <w:rFonts w:ascii="Arial" w:hAnsi="Arial" w:cs="Arial"/>
          <w:color w:val="000000"/>
          <w:sz w:val="24"/>
          <w:szCs w:val="24"/>
        </w:rPr>
        <w:t xml:space="preserve">Signed              </w:t>
      </w:r>
      <w:r w:rsidR="00554363">
        <w:rPr>
          <w:noProof/>
        </w:rPr>
        <w:drawing>
          <wp:inline distT="0" distB="0" distL="0" distR="0" wp14:anchorId="30973742" wp14:editId="31B0C490">
            <wp:extent cx="1479550" cy="53633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6148" cy="549603"/>
                    </a:xfrm>
                    <a:prstGeom prst="rect">
                      <a:avLst/>
                    </a:prstGeom>
                    <a:noFill/>
                    <a:ln>
                      <a:noFill/>
                    </a:ln>
                  </pic:spPr>
                </pic:pic>
              </a:graphicData>
            </a:graphic>
          </wp:inline>
        </w:drawing>
      </w:r>
      <w:r>
        <w:rPr>
          <w:rFonts w:ascii="Arial" w:hAnsi="Arial" w:cs="Arial"/>
          <w:color w:val="000000"/>
          <w:sz w:val="24"/>
          <w:szCs w:val="24"/>
        </w:rPr>
        <w:t xml:space="preserve">                        Date</w:t>
      </w:r>
      <w:r w:rsidRPr="00AC4789">
        <w:rPr>
          <w:rFonts w:ascii="Arial" w:hAnsi="Arial" w:cs="Arial"/>
          <w:color w:val="000000"/>
          <w:sz w:val="24"/>
          <w:szCs w:val="24"/>
        </w:rPr>
        <w:t xml:space="preserve"> </w:t>
      </w:r>
      <w:r w:rsidR="00554363">
        <w:rPr>
          <w:rFonts w:ascii="Arial" w:hAnsi="Arial" w:cs="Arial"/>
          <w:color w:val="000000"/>
          <w:sz w:val="24"/>
          <w:szCs w:val="24"/>
        </w:rPr>
        <w:t xml:space="preserve">  0</w:t>
      </w:r>
      <w:r w:rsidR="002C60D2">
        <w:rPr>
          <w:rFonts w:ascii="Arial" w:hAnsi="Arial" w:cs="Arial"/>
          <w:color w:val="000000"/>
          <w:sz w:val="24"/>
          <w:szCs w:val="24"/>
        </w:rPr>
        <w:t>1</w:t>
      </w:r>
      <w:r w:rsidR="0026333A">
        <w:rPr>
          <w:rFonts w:ascii="Arial" w:hAnsi="Arial" w:cs="Arial"/>
          <w:color w:val="000000"/>
          <w:sz w:val="24"/>
          <w:szCs w:val="24"/>
        </w:rPr>
        <w:t>.04.2</w:t>
      </w:r>
      <w:r w:rsidR="002C60D2">
        <w:rPr>
          <w:rFonts w:ascii="Arial" w:hAnsi="Arial" w:cs="Arial"/>
          <w:color w:val="000000"/>
          <w:sz w:val="24"/>
          <w:szCs w:val="24"/>
        </w:rPr>
        <w:t>6</w:t>
      </w:r>
    </w:p>
    <w:sectPr w:rsidR="00E82C7D" w:rsidRPr="00AC4789" w:rsidSect="004000D2">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56415"/>
    <w:multiLevelType w:val="hybridMultilevel"/>
    <w:tmpl w:val="FEC42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9817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789"/>
    <w:rsid w:val="0019402C"/>
    <w:rsid w:val="0026333A"/>
    <w:rsid w:val="002C60D2"/>
    <w:rsid w:val="003329F2"/>
    <w:rsid w:val="003B76A2"/>
    <w:rsid w:val="003D5ACE"/>
    <w:rsid w:val="004000D2"/>
    <w:rsid w:val="00554363"/>
    <w:rsid w:val="005623D2"/>
    <w:rsid w:val="00AC4789"/>
    <w:rsid w:val="00E82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22A33"/>
  <w15:chartTrackingRefBased/>
  <w15:docId w15:val="{2A03A13B-D255-47D1-B5FA-8AE773CF4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78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C4789"/>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AC4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C47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7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f03244-d74a-4eef-a5a5-e601bb0c300a" xsi:nil="true"/>
    <lcf76f155ced4ddcb4097134ff3c332f xmlns="01bb3d6f-5c42-449e-8838-7f9cf053142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8B9BE03E326341AE7806AA23471880" ma:contentTypeVersion="14" ma:contentTypeDescription="Create a new document." ma:contentTypeScope="" ma:versionID="e6159f3efd7cbd19d55ad6885d1017b9">
  <xsd:schema xmlns:xsd="http://www.w3.org/2001/XMLSchema" xmlns:xs="http://www.w3.org/2001/XMLSchema" xmlns:p="http://schemas.microsoft.com/office/2006/metadata/properties" xmlns:ns2="01bb3d6f-5c42-449e-8838-7f9cf053142e" xmlns:ns3="63f03244-d74a-4eef-a5a5-e601bb0c300a" targetNamespace="http://schemas.microsoft.com/office/2006/metadata/properties" ma:root="true" ma:fieldsID="3078f14d30580981c9c920f53db4ccfd" ns2:_="" ns3:_="">
    <xsd:import namespace="01bb3d6f-5c42-449e-8838-7f9cf053142e"/>
    <xsd:import namespace="63f03244-d74a-4eef-a5a5-e601bb0c300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b3d6f-5c42-449e-8838-7f9cf0531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e673333-76d4-4305-ac4c-1be93cd646e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f03244-d74a-4eef-a5a5-e601bb0c30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328ab45-61bd-42af-8d35-25c2cf70ca0f}" ma:internalName="TaxCatchAll" ma:showField="CatchAllData" ma:web="63f03244-d74a-4eef-a5a5-e601bb0c3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E72A1A-6DF4-42DB-9657-170171A13702}">
  <ds:schemaRefs>
    <ds:schemaRef ds:uri="http://schemas.microsoft.com/office/2006/metadata/properties"/>
    <ds:schemaRef ds:uri="http://schemas.microsoft.com/office/infopath/2007/PartnerControls"/>
    <ds:schemaRef ds:uri="63f03244-d74a-4eef-a5a5-e601bb0c300a"/>
    <ds:schemaRef ds:uri="01bb3d6f-5c42-449e-8838-7f9cf053142e"/>
  </ds:schemaRefs>
</ds:datastoreItem>
</file>

<file path=customXml/itemProps2.xml><?xml version="1.0" encoding="utf-8"?>
<ds:datastoreItem xmlns:ds="http://schemas.openxmlformats.org/officeDocument/2006/customXml" ds:itemID="{0670A350-70BB-4D1E-9E81-DE65E0492EAA}">
  <ds:schemaRefs>
    <ds:schemaRef ds:uri="http://schemas.microsoft.com/sharepoint/v3/contenttype/forms"/>
  </ds:schemaRefs>
</ds:datastoreItem>
</file>

<file path=customXml/itemProps3.xml><?xml version="1.0" encoding="utf-8"?>
<ds:datastoreItem xmlns:ds="http://schemas.openxmlformats.org/officeDocument/2006/customXml" ds:itemID="{B3D6617A-A05F-41F2-89B5-08C7B8138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b3d6f-5c42-449e-8838-7f9cf053142e"/>
    <ds:schemaRef ds:uri="63f03244-d74a-4eef-a5a5-e601bb0c3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South Ayrshire Council</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Milroy, Alison</dc:creator>
  <cp:keywords/>
  <dc:description/>
  <cp:lastModifiedBy>Milroy, Alison</cp:lastModifiedBy>
  <cp:revision>2</cp:revision>
  <cp:lastPrinted>2026-10-01T12:58:00Z</cp:lastPrinted>
  <dcterms:created xsi:type="dcterms:W3CDTF">2026-10-01T12:58:00Z</dcterms:created>
  <dcterms:modified xsi:type="dcterms:W3CDTF">2026-10-01T12:58:00Z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0x010100C38B9BE03E326341AE7806AA23471880</vt:lpwstr>
  </property>
</Properties>
</file>