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483F9" w14:textId="6F44064C" w:rsidR="00AA19DB" w:rsidRDefault="00171B3B" w:rsidP="00171B3B">
      <w:pPr>
        <w:jc w:val="center"/>
      </w:pPr>
      <w:r>
        <w:t xml:space="preserve">Forehill Early Years Centre </w:t>
      </w:r>
    </w:p>
    <w:p w14:paraId="1CD09582" w14:textId="2494A781" w:rsidR="00171B3B" w:rsidRDefault="00171B3B" w:rsidP="00171B3B">
      <w:pPr>
        <w:jc w:val="center"/>
      </w:pPr>
      <w:r>
        <w:t>End of Term Information - June 2026</w:t>
      </w:r>
    </w:p>
    <w:tbl>
      <w:tblPr>
        <w:tblStyle w:val="TableGrid"/>
        <w:tblW w:w="0" w:type="auto"/>
        <w:tblLook w:val="04A0" w:firstRow="1" w:lastRow="0" w:firstColumn="1" w:lastColumn="0" w:noHBand="0" w:noVBand="1"/>
      </w:tblPr>
      <w:tblGrid>
        <w:gridCol w:w="9016"/>
      </w:tblGrid>
      <w:tr w:rsidR="00171B3B" w14:paraId="3656B1B5" w14:textId="77777777" w:rsidTr="00171B3B">
        <w:tc>
          <w:tcPr>
            <w:tcW w:w="9016" w:type="dxa"/>
          </w:tcPr>
          <w:p w14:paraId="6F586C05" w14:textId="77777777" w:rsidR="00DC459C" w:rsidRDefault="00171B3B" w:rsidP="00171B3B">
            <w:pPr>
              <w:jc w:val="center"/>
            </w:pPr>
            <w:r>
              <w:t xml:space="preserve">Hello </w:t>
            </w:r>
            <w:proofErr w:type="gramStart"/>
            <w:r>
              <w:t>Everyone</w:t>
            </w:r>
            <w:proofErr w:type="gramEnd"/>
            <w:r>
              <w:t xml:space="preserve">! </w:t>
            </w:r>
          </w:p>
          <w:p w14:paraId="2AD247DC" w14:textId="6B246C37" w:rsidR="00171B3B" w:rsidRDefault="00171B3B" w:rsidP="00171B3B">
            <w:pPr>
              <w:jc w:val="center"/>
            </w:pPr>
            <w:r>
              <w:t xml:space="preserve">The summer holidays are almost here! What a quick year this has been! </w:t>
            </w:r>
          </w:p>
          <w:p w14:paraId="2AA27B08" w14:textId="229D3FDE" w:rsidR="00171B3B" w:rsidRDefault="00171B3B" w:rsidP="00171B3B">
            <w:pPr>
              <w:jc w:val="center"/>
            </w:pPr>
            <w:r>
              <w:t xml:space="preserve">Team Forehill would like to say a big </w:t>
            </w:r>
            <w:r w:rsidRPr="00171B3B">
              <w:rPr>
                <w:b/>
                <w:bCs/>
              </w:rPr>
              <w:t>THANK YOU</w:t>
            </w:r>
            <w:r>
              <w:t>! To all our wonderful children and families for their hard work and support this year. We wish the children moving into Primary One the very best for their new journey and we will miss them loads!</w:t>
            </w:r>
            <w:r w:rsidR="00DC459C">
              <w:t xml:space="preserve"> We look forward to welcoming back our pre-school children in August!</w:t>
            </w:r>
          </w:p>
        </w:tc>
      </w:tr>
      <w:tr w:rsidR="00171B3B" w14:paraId="1E2F8B7E" w14:textId="77777777" w:rsidTr="00171B3B">
        <w:tc>
          <w:tcPr>
            <w:tcW w:w="9016" w:type="dxa"/>
          </w:tcPr>
          <w:p w14:paraId="36EC3164" w14:textId="0F7A8D45" w:rsidR="00171B3B" w:rsidRDefault="00171B3B" w:rsidP="00171B3B">
            <w:pPr>
              <w:jc w:val="center"/>
            </w:pPr>
            <w:r>
              <w:t>The last day for term time children is Tuesday 30</w:t>
            </w:r>
            <w:r w:rsidRPr="00171B3B">
              <w:rPr>
                <w:vertAlign w:val="superscript"/>
              </w:rPr>
              <w:t>th</w:t>
            </w:r>
            <w:r>
              <w:t xml:space="preserve"> June!  The doors will be open from 1pm for those who want to collect early.</w:t>
            </w:r>
          </w:p>
        </w:tc>
      </w:tr>
      <w:tr w:rsidR="00171B3B" w14:paraId="29DCB330" w14:textId="77777777" w:rsidTr="00171B3B">
        <w:tc>
          <w:tcPr>
            <w:tcW w:w="9016" w:type="dxa"/>
          </w:tcPr>
          <w:p w14:paraId="109E6DC0" w14:textId="1D128927" w:rsidR="00DC459C" w:rsidRPr="00DC459C" w:rsidRDefault="00DC459C" w:rsidP="00DC459C">
            <w:pPr>
              <w:jc w:val="center"/>
              <w:rPr>
                <w:b/>
                <w:bCs/>
                <w:u w:val="single"/>
              </w:rPr>
            </w:pPr>
            <w:r w:rsidRPr="00DC459C">
              <w:rPr>
                <w:b/>
                <w:bCs/>
                <w:u w:val="single"/>
              </w:rPr>
              <w:t>Staffing update</w:t>
            </w:r>
          </w:p>
          <w:p w14:paraId="14BF5D86" w14:textId="1730D4D5" w:rsidR="00DC459C" w:rsidRDefault="00DC459C" w:rsidP="00DC459C">
            <w:pPr>
              <w:jc w:val="center"/>
            </w:pPr>
            <w:r>
              <w:t xml:space="preserve">Our staffing will be adapted slightly due to maternity leave posts and staff moving into promoted posts in other centres which means we can recruit new practitioners for next term. </w:t>
            </w:r>
          </w:p>
          <w:p w14:paraId="2107232A" w14:textId="1BA5597A" w:rsidR="00DC459C" w:rsidRDefault="00DC459C" w:rsidP="00DC459C">
            <w:pPr>
              <w:jc w:val="center"/>
            </w:pPr>
            <w:r>
              <w:t>Gillian Maguire’s Depute post has been extended until the end of March next year. Our temporary SEYP post has been extended until next year so Vicky will be joining us in August again! Sarah Kirkwood from the Buttercup room has been appointed as a full time Equity and Excellence Lead at Prestwick North starting in August her last day will be Tuesday 30</w:t>
            </w:r>
            <w:r w:rsidRPr="00DC459C">
              <w:rPr>
                <w:vertAlign w:val="superscript"/>
              </w:rPr>
              <w:t>th</w:t>
            </w:r>
            <w:r>
              <w:t xml:space="preserve"> June. Our Principal teacher Carly Hendry is moving to Struthers </w:t>
            </w:r>
            <w:proofErr w:type="gramStart"/>
            <w:r>
              <w:t>EYC</w:t>
            </w:r>
            <w:proofErr w:type="gramEnd"/>
            <w:r>
              <w:t xml:space="preserve"> and we are delighted to have Lynsey Hood join us two days per week starting in August!</w:t>
            </w:r>
          </w:p>
        </w:tc>
      </w:tr>
      <w:tr w:rsidR="00DC459C" w14:paraId="1E079857" w14:textId="77777777" w:rsidTr="00171B3B">
        <w:tc>
          <w:tcPr>
            <w:tcW w:w="9016" w:type="dxa"/>
          </w:tcPr>
          <w:p w14:paraId="4324E9E1" w14:textId="77777777" w:rsidR="00DC459C" w:rsidRDefault="00DC459C" w:rsidP="00DC459C">
            <w:pPr>
              <w:jc w:val="center"/>
              <w:rPr>
                <w:b/>
                <w:bCs/>
                <w:u w:val="single"/>
              </w:rPr>
            </w:pPr>
            <w:r w:rsidRPr="00DC459C">
              <w:rPr>
                <w:b/>
                <w:bCs/>
                <w:u w:val="single"/>
              </w:rPr>
              <w:t>EYC Keyworker Groups and Rooms</w:t>
            </w:r>
          </w:p>
          <w:p w14:paraId="7CB208CB" w14:textId="21B0C7B8" w:rsidR="00DC459C" w:rsidRPr="00CB12A0" w:rsidRDefault="00DC459C" w:rsidP="00DC459C">
            <w:pPr>
              <w:jc w:val="center"/>
            </w:pPr>
            <w:r w:rsidRPr="00CB12A0">
              <w:t xml:space="preserve">Children who </w:t>
            </w:r>
            <w:r w:rsidR="00CB12A0" w:rsidRPr="00CB12A0">
              <w:t xml:space="preserve">are moving keyworkers have been informed by letter today. If you have not had a </w:t>
            </w:r>
            <w:r w:rsidR="007D410C" w:rsidRPr="00CB12A0">
              <w:t>letter,</w:t>
            </w:r>
            <w:r w:rsidR="00CB12A0" w:rsidRPr="00CB12A0">
              <w:t xml:space="preserve"> then your child will remain with their keyworker. Some staff have switched rooms however please be reassured that children have been free flowing between playrooms since April and will continue to do so in August. </w:t>
            </w:r>
          </w:p>
          <w:tbl>
            <w:tblPr>
              <w:tblStyle w:val="TableGrid"/>
              <w:tblW w:w="0" w:type="auto"/>
              <w:tblLook w:val="04A0" w:firstRow="1" w:lastRow="0" w:firstColumn="1" w:lastColumn="0" w:noHBand="0" w:noVBand="1"/>
            </w:tblPr>
            <w:tblGrid>
              <w:gridCol w:w="2930"/>
              <w:gridCol w:w="2930"/>
              <w:gridCol w:w="2930"/>
            </w:tblGrid>
            <w:tr w:rsidR="00DC459C" w14:paraId="157A81B4" w14:textId="77777777" w:rsidTr="00DC459C">
              <w:tc>
                <w:tcPr>
                  <w:tcW w:w="2930" w:type="dxa"/>
                </w:tcPr>
                <w:p w14:paraId="0EF4494F" w14:textId="696B4130" w:rsidR="00DC459C" w:rsidRPr="00DC459C" w:rsidRDefault="00DC459C" w:rsidP="00DC459C">
                  <w:pPr>
                    <w:jc w:val="center"/>
                    <w:rPr>
                      <w:b/>
                      <w:bCs/>
                      <w:u w:val="single"/>
                    </w:rPr>
                  </w:pPr>
                  <w:r w:rsidRPr="00DC459C">
                    <w:rPr>
                      <w:b/>
                      <w:bCs/>
                      <w:u w:val="single"/>
                    </w:rPr>
                    <w:t>Buttercup Room</w:t>
                  </w:r>
                </w:p>
              </w:tc>
              <w:tc>
                <w:tcPr>
                  <w:tcW w:w="2930" w:type="dxa"/>
                </w:tcPr>
                <w:p w14:paraId="4CAD0330" w14:textId="7AB427F2" w:rsidR="00DC459C" w:rsidRPr="00DC459C" w:rsidRDefault="00DC459C" w:rsidP="00DC459C">
                  <w:pPr>
                    <w:jc w:val="center"/>
                    <w:rPr>
                      <w:b/>
                      <w:bCs/>
                      <w:u w:val="single"/>
                    </w:rPr>
                  </w:pPr>
                  <w:r w:rsidRPr="00DC459C">
                    <w:rPr>
                      <w:b/>
                      <w:bCs/>
                      <w:u w:val="single"/>
                    </w:rPr>
                    <w:t>Daisy Room</w:t>
                  </w:r>
                </w:p>
              </w:tc>
              <w:tc>
                <w:tcPr>
                  <w:tcW w:w="2930" w:type="dxa"/>
                </w:tcPr>
                <w:p w14:paraId="246017B7" w14:textId="23387F48" w:rsidR="00DC459C" w:rsidRPr="00DC459C" w:rsidRDefault="00DC459C" w:rsidP="00DC459C">
                  <w:pPr>
                    <w:jc w:val="center"/>
                    <w:rPr>
                      <w:b/>
                      <w:bCs/>
                      <w:u w:val="single"/>
                    </w:rPr>
                  </w:pPr>
                  <w:r w:rsidRPr="00DC459C">
                    <w:rPr>
                      <w:b/>
                      <w:bCs/>
                      <w:u w:val="single"/>
                    </w:rPr>
                    <w:t>Little Nest</w:t>
                  </w:r>
                </w:p>
              </w:tc>
            </w:tr>
            <w:tr w:rsidR="00DC459C" w14:paraId="1676FAEE" w14:textId="77777777" w:rsidTr="00DC459C">
              <w:tc>
                <w:tcPr>
                  <w:tcW w:w="2930" w:type="dxa"/>
                </w:tcPr>
                <w:p w14:paraId="17CE8F0A" w14:textId="77777777" w:rsidR="00DC459C" w:rsidRDefault="00DC459C" w:rsidP="00DC459C">
                  <w:pPr>
                    <w:jc w:val="center"/>
                  </w:pPr>
                </w:p>
              </w:tc>
              <w:tc>
                <w:tcPr>
                  <w:tcW w:w="2930" w:type="dxa"/>
                </w:tcPr>
                <w:p w14:paraId="6A523265" w14:textId="77777777" w:rsidR="00DC459C" w:rsidRDefault="00DC459C" w:rsidP="00DC459C">
                  <w:pPr>
                    <w:jc w:val="center"/>
                  </w:pPr>
                </w:p>
              </w:tc>
              <w:tc>
                <w:tcPr>
                  <w:tcW w:w="2930" w:type="dxa"/>
                </w:tcPr>
                <w:p w14:paraId="6E643CA2" w14:textId="77777777" w:rsidR="00DC459C" w:rsidRDefault="00DC459C" w:rsidP="00DC459C">
                  <w:pPr>
                    <w:jc w:val="center"/>
                  </w:pPr>
                </w:p>
              </w:tc>
            </w:tr>
            <w:tr w:rsidR="00DC459C" w14:paraId="45F2EA83" w14:textId="77777777" w:rsidTr="00DC459C">
              <w:tc>
                <w:tcPr>
                  <w:tcW w:w="2930" w:type="dxa"/>
                </w:tcPr>
                <w:p w14:paraId="6D853B79" w14:textId="025A3CAB" w:rsidR="00DC459C" w:rsidRDefault="00DC459C" w:rsidP="00DC459C">
                  <w:pPr>
                    <w:jc w:val="center"/>
                  </w:pPr>
                  <w:r>
                    <w:t>SEYP – Vicky</w:t>
                  </w:r>
                </w:p>
              </w:tc>
              <w:tc>
                <w:tcPr>
                  <w:tcW w:w="2930" w:type="dxa"/>
                </w:tcPr>
                <w:p w14:paraId="2B4787F2" w14:textId="6C51FC75" w:rsidR="00DC459C" w:rsidRDefault="00CB12A0" w:rsidP="00DC459C">
                  <w:pPr>
                    <w:jc w:val="center"/>
                  </w:pPr>
                  <w:r>
                    <w:t>SEYP – Stephanie</w:t>
                  </w:r>
                </w:p>
              </w:tc>
              <w:tc>
                <w:tcPr>
                  <w:tcW w:w="2930" w:type="dxa"/>
                </w:tcPr>
                <w:p w14:paraId="72371379" w14:textId="5828B6F9" w:rsidR="00DC459C" w:rsidRDefault="005A3139" w:rsidP="00DC459C">
                  <w:pPr>
                    <w:jc w:val="center"/>
                  </w:pPr>
                  <w:r>
                    <w:t xml:space="preserve">Brooke O’Connell </w:t>
                  </w:r>
                </w:p>
              </w:tc>
            </w:tr>
            <w:tr w:rsidR="00CB12A0" w14:paraId="2071BA05" w14:textId="77777777" w:rsidTr="00DC459C">
              <w:tc>
                <w:tcPr>
                  <w:tcW w:w="2930" w:type="dxa"/>
                </w:tcPr>
                <w:p w14:paraId="7E7951DE" w14:textId="178251DD" w:rsidR="00CB12A0" w:rsidRDefault="00CB12A0" w:rsidP="00DC459C">
                  <w:pPr>
                    <w:jc w:val="center"/>
                  </w:pPr>
                  <w:r>
                    <w:t xml:space="preserve">SEYP </w:t>
                  </w:r>
                  <w:r>
                    <w:t>Toni Clark</w:t>
                  </w:r>
                  <w:r>
                    <w:t>/</w:t>
                  </w:r>
                  <w:r w:rsidR="007D410C">
                    <w:t xml:space="preserve"> EYP </w:t>
                  </w:r>
                  <w:r>
                    <w:t>Chloe Doolan</w:t>
                  </w:r>
                  <w:r>
                    <w:t xml:space="preserve"> - Lime</w:t>
                  </w:r>
                </w:p>
              </w:tc>
              <w:tc>
                <w:tcPr>
                  <w:tcW w:w="2930" w:type="dxa"/>
                </w:tcPr>
                <w:p w14:paraId="0F46BBF8" w14:textId="689D9DCA" w:rsidR="00CB12A0" w:rsidRDefault="00CB12A0" w:rsidP="00DC459C">
                  <w:pPr>
                    <w:jc w:val="center"/>
                  </w:pPr>
                  <w:r>
                    <w:t>SEYP Fiona/ EYP Vacancy – Green</w:t>
                  </w:r>
                </w:p>
              </w:tc>
              <w:tc>
                <w:tcPr>
                  <w:tcW w:w="2930" w:type="dxa"/>
                </w:tcPr>
                <w:p w14:paraId="27A5D88F" w14:textId="45AFD510" w:rsidR="00CB12A0" w:rsidRDefault="005A3139" w:rsidP="00DC459C">
                  <w:pPr>
                    <w:jc w:val="center"/>
                  </w:pPr>
                  <w:r>
                    <w:t>Avril Galloway</w:t>
                  </w:r>
                </w:p>
              </w:tc>
            </w:tr>
            <w:tr w:rsidR="00DC459C" w14:paraId="05AED2A9" w14:textId="77777777" w:rsidTr="00DC459C">
              <w:tc>
                <w:tcPr>
                  <w:tcW w:w="2930" w:type="dxa"/>
                </w:tcPr>
                <w:p w14:paraId="131B909D" w14:textId="6A6B11E2" w:rsidR="00DC459C" w:rsidRDefault="00DC459C" w:rsidP="00DC459C">
                  <w:pPr>
                    <w:jc w:val="center"/>
                  </w:pPr>
                  <w:r>
                    <w:t>Cheryl</w:t>
                  </w:r>
                  <w:r w:rsidR="00CB12A0">
                    <w:t xml:space="preserve"> Steele</w:t>
                  </w:r>
                  <w:r>
                    <w:t xml:space="preserve"> – Red</w:t>
                  </w:r>
                </w:p>
              </w:tc>
              <w:tc>
                <w:tcPr>
                  <w:tcW w:w="2930" w:type="dxa"/>
                </w:tcPr>
                <w:p w14:paraId="23879587" w14:textId="5A6A2DE2" w:rsidR="00DC459C" w:rsidRDefault="007D410C" w:rsidP="00DC459C">
                  <w:pPr>
                    <w:jc w:val="center"/>
                  </w:pPr>
                  <w:r>
                    <w:t>Caitlin Dixon – Red</w:t>
                  </w:r>
                  <w:r>
                    <w:t xml:space="preserve"> </w:t>
                  </w:r>
                </w:p>
              </w:tc>
              <w:tc>
                <w:tcPr>
                  <w:tcW w:w="2930" w:type="dxa"/>
                </w:tcPr>
                <w:p w14:paraId="23802241" w14:textId="77777777" w:rsidR="00DC459C" w:rsidRDefault="00DC459C" w:rsidP="00DC459C">
                  <w:pPr>
                    <w:jc w:val="center"/>
                  </w:pPr>
                </w:p>
              </w:tc>
            </w:tr>
            <w:tr w:rsidR="00DC459C" w14:paraId="4B9355BE" w14:textId="77777777" w:rsidTr="00DC459C">
              <w:tc>
                <w:tcPr>
                  <w:tcW w:w="2930" w:type="dxa"/>
                </w:tcPr>
                <w:p w14:paraId="1ED455F8" w14:textId="755AE22A" w:rsidR="00DC459C" w:rsidRDefault="00CB12A0" w:rsidP="00DC459C">
                  <w:pPr>
                    <w:jc w:val="center"/>
                  </w:pPr>
                  <w:r>
                    <w:t>Brooke Dunlop – Purple</w:t>
                  </w:r>
                </w:p>
              </w:tc>
              <w:tc>
                <w:tcPr>
                  <w:tcW w:w="2930" w:type="dxa"/>
                </w:tcPr>
                <w:p w14:paraId="52F2C3E3" w14:textId="3511B6B9" w:rsidR="00DC459C" w:rsidRDefault="007D410C" w:rsidP="00DC459C">
                  <w:pPr>
                    <w:jc w:val="center"/>
                  </w:pPr>
                  <w:r>
                    <w:t xml:space="preserve">Lynn </w:t>
                  </w:r>
                  <w:proofErr w:type="spellStart"/>
                  <w:r>
                    <w:t>Pirry</w:t>
                  </w:r>
                  <w:proofErr w:type="spellEnd"/>
                  <w:r>
                    <w:t xml:space="preserve"> - Purple</w:t>
                  </w:r>
                </w:p>
              </w:tc>
              <w:tc>
                <w:tcPr>
                  <w:tcW w:w="2930" w:type="dxa"/>
                </w:tcPr>
                <w:p w14:paraId="4651CF87" w14:textId="77777777" w:rsidR="00DC459C" w:rsidRDefault="00DC459C" w:rsidP="00DC459C">
                  <w:pPr>
                    <w:jc w:val="center"/>
                  </w:pPr>
                </w:p>
              </w:tc>
            </w:tr>
            <w:tr w:rsidR="00DC459C" w14:paraId="7CFF4F35" w14:textId="77777777" w:rsidTr="00DC459C">
              <w:tc>
                <w:tcPr>
                  <w:tcW w:w="2930" w:type="dxa"/>
                </w:tcPr>
                <w:p w14:paraId="6E4D42D8" w14:textId="68C465A5" w:rsidR="00DC459C" w:rsidRDefault="00CB12A0" w:rsidP="00DC459C">
                  <w:pPr>
                    <w:jc w:val="center"/>
                  </w:pPr>
                  <w:r>
                    <w:t>Sarah Braund - Orange</w:t>
                  </w:r>
                </w:p>
              </w:tc>
              <w:tc>
                <w:tcPr>
                  <w:tcW w:w="2930" w:type="dxa"/>
                </w:tcPr>
                <w:p w14:paraId="250A5D18" w14:textId="41C0E487" w:rsidR="00DC459C" w:rsidRDefault="007D410C" w:rsidP="00DC459C">
                  <w:pPr>
                    <w:jc w:val="center"/>
                  </w:pPr>
                  <w:r>
                    <w:t>Sam Fraser – Orange</w:t>
                  </w:r>
                  <w:r>
                    <w:t xml:space="preserve"> </w:t>
                  </w:r>
                </w:p>
              </w:tc>
              <w:tc>
                <w:tcPr>
                  <w:tcW w:w="2930" w:type="dxa"/>
                </w:tcPr>
                <w:p w14:paraId="19A228AE" w14:textId="77777777" w:rsidR="00DC459C" w:rsidRDefault="00DC459C" w:rsidP="00DC459C">
                  <w:pPr>
                    <w:jc w:val="center"/>
                  </w:pPr>
                </w:p>
              </w:tc>
            </w:tr>
            <w:tr w:rsidR="00CB12A0" w14:paraId="71487625" w14:textId="77777777" w:rsidTr="00DC459C">
              <w:tc>
                <w:tcPr>
                  <w:tcW w:w="2930" w:type="dxa"/>
                </w:tcPr>
                <w:p w14:paraId="1D1D1AE2" w14:textId="65A49C6D" w:rsidR="00CB12A0" w:rsidRDefault="00CB12A0" w:rsidP="00DC459C">
                  <w:pPr>
                    <w:jc w:val="center"/>
                  </w:pPr>
                  <w:r>
                    <w:t>Melanie Lang - Pink</w:t>
                  </w:r>
                </w:p>
              </w:tc>
              <w:tc>
                <w:tcPr>
                  <w:tcW w:w="2930" w:type="dxa"/>
                </w:tcPr>
                <w:p w14:paraId="009D0FDF" w14:textId="06B97095" w:rsidR="00CB12A0" w:rsidRDefault="007D410C" w:rsidP="00DC459C">
                  <w:pPr>
                    <w:jc w:val="center"/>
                  </w:pPr>
                  <w:r>
                    <w:t xml:space="preserve">Charanpreet </w:t>
                  </w:r>
                  <w:r>
                    <w:t>Sandhu</w:t>
                  </w:r>
                  <w:r>
                    <w:t>- Pink</w:t>
                  </w:r>
                </w:p>
              </w:tc>
              <w:tc>
                <w:tcPr>
                  <w:tcW w:w="2930" w:type="dxa"/>
                </w:tcPr>
                <w:p w14:paraId="2476813B" w14:textId="77777777" w:rsidR="00CB12A0" w:rsidRDefault="00CB12A0" w:rsidP="00DC459C">
                  <w:pPr>
                    <w:jc w:val="center"/>
                  </w:pPr>
                </w:p>
              </w:tc>
            </w:tr>
            <w:tr w:rsidR="00CB12A0" w14:paraId="30A2580A" w14:textId="77777777" w:rsidTr="00DC459C">
              <w:tc>
                <w:tcPr>
                  <w:tcW w:w="2930" w:type="dxa"/>
                </w:tcPr>
                <w:p w14:paraId="3B0EEAD5" w14:textId="3D2AB555" w:rsidR="00CB12A0" w:rsidRDefault="00CB12A0" w:rsidP="00DC459C">
                  <w:pPr>
                    <w:jc w:val="center"/>
                  </w:pPr>
                  <w:r>
                    <w:t>Lorna Samson – Green</w:t>
                  </w:r>
                </w:p>
              </w:tc>
              <w:tc>
                <w:tcPr>
                  <w:tcW w:w="2930" w:type="dxa"/>
                </w:tcPr>
                <w:p w14:paraId="4653B802" w14:textId="29BF2FDA" w:rsidR="00CB12A0" w:rsidRDefault="007D410C" w:rsidP="00DC459C">
                  <w:pPr>
                    <w:jc w:val="center"/>
                  </w:pPr>
                  <w:r>
                    <w:t>Rhona Sturgeon – Lime</w:t>
                  </w:r>
                </w:p>
              </w:tc>
              <w:tc>
                <w:tcPr>
                  <w:tcW w:w="2930" w:type="dxa"/>
                </w:tcPr>
                <w:p w14:paraId="14C6FB46" w14:textId="77777777" w:rsidR="00CB12A0" w:rsidRDefault="00CB12A0" w:rsidP="00DC459C">
                  <w:pPr>
                    <w:jc w:val="center"/>
                  </w:pPr>
                </w:p>
              </w:tc>
            </w:tr>
            <w:tr w:rsidR="00CB12A0" w14:paraId="7E7B86A6" w14:textId="77777777" w:rsidTr="00DC459C">
              <w:tc>
                <w:tcPr>
                  <w:tcW w:w="2930" w:type="dxa"/>
                </w:tcPr>
                <w:p w14:paraId="290770DC" w14:textId="6D905A81" w:rsidR="00CB12A0" w:rsidRDefault="00CB12A0" w:rsidP="00DC459C">
                  <w:pPr>
                    <w:jc w:val="center"/>
                  </w:pPr>
                  <w:r>
                    <w:t>Jennifer – Blue</w:t>
                  </w:r>
                </w:p>
              </w:tc>
              <w:tc>
                <w:tcPr>
                  <w:tcW w:w="2930" w:type="dxa"/>
                </w:tcPr>
                <w:p w14:paraId="1D8165E4" w14:textId="366F2732" w:rsidR="00CB12A0" w:rsidRDefault="007D410C" w:rsidP="00DC459C">
                  <w:pPr>
                    <w:jc w:val="center"/>
                  </w:pPr>
                  <w:r>
                    <w:t>Jade McGowan – Blue</w:t>
                  </w:r>
                </w:p>
              </w:tc>
              <w:tc>
                <w:tcPr>
                  <w:tcW w:w="2930" w:type="dxa"/>
                </w:tcPr>
                <w:p w14:paraId="082E97A0" w14:textId="77777777" w:rsidR="00CB12A0" w:rsidRDefault="00CB12A0" w:rsidP="00DC459C">
                  <w:pPr>
                    <w:jc w:val="center"/>
                  </w:pPr>
                </w:p>
              </w:tc>
            </w:tr>
            <w:tr w:rsidR="00CB12A0" w14:paraId="25B4CCB2" w14:textId="77777777" w:rsidTr="00DC459C">
              <w:tc>
                <w:tcPr>
                  <w:tcW w:w="2930" w:type="dxa"/>
                </w:tcPr>
                <w:p w14:paraId="768960C9" w14:textId="5BB565B0" w:rsidR="00CB12A0" w:rsidRDefault="00CB12A0" w:rsidP="00DC459C">
                  <w:pPr>
                    <w:jc w:val="center"/>
                  </w:pPr>
                  <w:r>
                    <w:t>Gillian Warlow - Yellow</w:t>
                  </w:r>
                </w:p>
              </w:tc>
              <w:tc>
                <w:tcPr>
                  <w:tcW w:w="2930" w:type="dxa"/>
                </w:tcPr>
                <w:p w14:paraId="0F52E5D3" w14:textId="200BF70C" w:rsidR="00CB12A0" w:rsidRDefault="007D410C" w:rsidP="00DC459C">
                  <w:pPr>
                    <w:jc w:val="center"/>
                  </w:pPr>
                  <w:r>
                    <w:t>Kerry Freeburn – Yellow</w:t>
                  </w:r>
                </w:p>
              </w:tc>
              <w:tc>
                <w:tcPr>
                  <w:tcW w:w="2930" w:type="dxa"/>
                </w:tcPr>
                <w:p w14:paraId="7A478B38" w14:textId="77777777" w:rsidR="00CB12A0" w:rsidRDefault="00CB12A0" w:rsidP="00DC459C">
                  <w:pPr>
                    <w:jc w:val="center"/>
                  </w:pPr>
                </w:p>
              </w:tc>
            </w:tr>
            <w:tr w:rsidR="00CB12A0" w14:paraId="1A4FC567" w14:textId="77777777" w:rsidTr="00DC459C">
              <w:tc>
                <w:tcPr>
                  <w:tcW w:w="2930" w:type="dxa"/>
                </w:tcPr>
                <w:p w14:paraId="146DD265" w14:textId="03D2333A" w:rsidR="00CB12A0" w:rsidRDefault="00CB12A0" w:rsidP="00DC459C">
                  <w:pPr>
                    <w:jc w:val="center"/>
                  </w:pPr>
                  <w:r>
                    <w:t xml:space="preserve">Vacant </w:t>
                  </w:r>
                  <w:proofErr w:type="gramStart"/>
                  <w:r>
                    <w:t>Post - TBC</w:t>
                  </w:r>
                  <w:proofErr w:type="gramEnd"/>
                </w:p>
              </w:tc>
              <w:tc>
                <w:tcPr>
                  <w:tcW w:w="2930" w:type="dxa"/>
                </w:tcPr>
                <w:p w14:paraId="542D3BBD" w14:textId="6DF04381" w:rsidR="00CB12A0" w:rsidRDefault="00CB12A0" w:rsidP="00DC459C">
                  <w:pPr>
                    <w:jc w:val="center"/>
                  </w:pPr>
                </w:p>
              </w:tc>
              <w:tc>
                <w:tcPr>
                  <w:tcW w:w="2930" w:type="dxa"/>
                </w:tcPr>
                <w:p w14:paraId="6659B3B3" w14:textId="77777777" w:rsidR="00CB12A0" w:rsidRDefault="00CB12A0" w:rsidP="00DC459C">
                  <w:pPr>
                    <w:jc w:val="center"/>
                  </w:pPr>
                </w:p>
              </w:tc>
            </w:tr>
            <w:tr w:rsidR="00CB12A0" w14:paraId="69384B12" w14:textId="77777777" w:rsidTr="00DC459C">
              <w:tc>
                <w:tcPr>
                  <w:tcW w:w="2930" w:type="dxa"/>
                </w:tcPr>
                <w:p w14:paraId="64A50719" w14:textId="77777777" w:rsidR="00CB12A0" w:rsidRDefault="00CB12A0" w:rsidP="00DC459C">
                  <w:pPr>
                    <w:jc w:val="center"/>
                  </w:pPr>
                </w:p>
              </w:tc>
              <w:tc>
                <w:tcPr>
                  <w:tcW w:w="2930" w:type="dxa"/>
                </w:tcPr>
                <w:p w14:paraId="2A0E372E" w14:textId="77777777" w:rsidR="00CB12A0" w:rsidRDefault="00CB12A0" w:rsidP="00DC459C">
                  <w:pPr>
                    <w:jc w:val="center"/>
                  </w:pPr>
                </w:p>
              </w:tc>
              <w:tc>
                <w:tcPr>
                  <w:tcW w:w="2930" w:type="dxa"/>
                </w:tcPr>
                <w:p w14:paraId="7E67A52A" w14:textId="77777777" w:rsidR="00CB12A0" w:rsidRDefault="00CB12A0" w:rsidP="00DC459C">
                  <w:pPr>
                    <w:jc w:val="center"/>
                  </w:pPr>
                </w:p>
              </w:tc>
            </w:tr>
          </w:tbl>
          <w:p w14:paraId="28B0B474" w14:textId="1A6E86B7" w:rsidR="00DC459C" w:rsidRDefault="00DC459C" w:rsidP="00DC459C">
            <w:pPr>
              <w:jc w:val="center"/>
            </w:pPr>
          </w:p>
        </w:tc>
      </w:tr>
      <w:tr w:rsidR="005A3139" w14:paraId="7CD55CBE" w14:textId="77777777" w:rsidTr="00171B3B">
        <w:tc>
          <w:tcPr>
            <w:tcW w:w="9016" w:type="dxa"/>
          </w:tcPr>
          <w:p w14:paraId="127A9774" w14:textId="77777777" w:rsidR="005A3139" w:rsidRDefault="005A3139" w:rsidP="00DC459C">
            <w:pPr>
              <w:jc w:val="center"/>
              <w:rPr>
                <w:b/>
                <w:bCs/>
                <w:u w:val="single"/>
              </w:rPr>
            </w:pPr>
            <w:r>
              <w:rPr>
                <w:b/>
                <w:bCs/>
                <w:u w:val="single"/>
              </w:rPr>
              <w:t>Children attending during the Summer</w:t>
            </w:r>
          </w:p>
          <w:p w14:paraId="530B5E71" w14:textId="77777777" w:rsidR="007F5D6E" w:rsidRDefault="007F5D6E" w:rsidP="00DC459C">
            <w:pPr>
              <w:jc w:val="center"/>
              <w:rPr>
                <w:b/>
                <w:bCs/>
                <w:u w:val="single"/>
              </w:rPr>
            </w:pPr>
          </w:p>
          <w:p w14:paraId="718CB7DB" w14:textId="57F08EAD" w:rsidR="005A3139" w:rsidRPr="007F5D6E" w:rsidRDefault="005A3139" w:rsidP="00DC459C">
            <w:pPr>
              <w:jc w:val="center"/>
            </w:pPr>
            <w:r w:rsidRPr="007F5D6E">
              <w:t xml:space="preserve">We look forward to spending time </w:t>
            </w:r>
            <w:r w:rsidR="007F5D6E" w:rsidRPr="007F5D6E">
              <w:t>this</w:t>
            </w:r>
            <w:r w:rsidRPr="007F5D6E">
              <w:t xml:space="preserve"> summer with our little people! </w:t>
            </w:r>
            <w:r w:rsidR="007F5D6E" w:rsidRPr="007F5D6E">
              <w:t>We are planning lots of fun learning in the centre and are hoping to explore our local community!</w:t>
            </w:r>
          </w:p>
          <w:p w14:paraId="252AFA69" w14:textId="5EFDFA85" w:rsidR="007F5D6E" w:rsidRPr="00DC459C" w:rsidRDefault="007F5D6E" w:rsidP="00DC459C">
            <w:pPr>
              <w:jc w:val="center"/>
              <w:rPr>
                <w:b/>
                <w:bCs/>
                <w:u w:val="single"/>
              </w:rPr>
            </w:pPr>
          </w:p>
        </w:tc>
      </w:tr>
    </w:tbl>
    <w:p w14:paraId="683CD294" w14:textId="08DD6428" w:rsidR="00171B3B" w:rsidRDefault="0095711B" w:rsidP="00171B3B">
      <w:pPr>
        <w:jc w:val="center"/>
      </w:pPr>
      <w:r>
        <w:rPr>
          <w:noProof/>
        </w:rPr>
        <mc:AlternateContent>
          <mc:Choice Requires="wps">
            <w:drawing>
              <wp:inline distT="0" distB="0" distL="0" distR="0" wp14:anchorId="53CB816A" wp14:editId="6775D282">
                <wp:extent cx="304800" cy="304800"/>
                <wp:effectExtent l="0" t="0" r="0" b="0"/>
                <wp:docPr id="1835719843" name="Rectangle 1" descr="Image result for goodby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1BCDB9" id="Rectangle 1" o:spid="_x0000_s1026" alt="Image result for goodby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w:drawing>
          <wp:inline distT="0" distB="0" distL="0" distR="0" wp14:anchorId="7DBBD47F" wp14:editId="20A14006">
            <wp:extent cx="2489200" cy="1019542"/>
            <wp:effectExtent l="0" t="0" r="6350" b="9525"/>
            <wp:docPr id="12238021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99292" cy="1023675"/>
                    </a:xfrm>
                    <a:prstGeom prst="rect">
                      <a:avLst/>
                    </a:prstGeom>
                    <a:noFill/>
                  </pic:spPr>
                </pic:pic>
              </a:graphicData>
            </a:graphic>
          </wp:inline>
        </w:drawing>
      </w:r>
    </w:p>
    <w:sectPr w:rsidR="00171B3B" w:rsidSect="00171B3B">
      <w:pgSz w:w="11906" w:h="16838"/>
      <w:pgMar w:top="1440" w:right="1440" w:bottom="1440" w:left="1440" w:header="708" w:footer="708" w:gutter="0"/>
      <w:pgBorders w:offsetFrom="page">
        <w:top w:val="apples" w:sz="31" w:space="24" w:color="auto"/>
        <w:left w:val="apples" w:sz="31" w:space="24" w:color="auto"/>
        <w:bottom w:val="apples" w:sz="31" w:space="24" w:color="auto"/>
        <w:right w:val="apples"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B3B"/>
    <w:rsid w:val="00171B3B"/>
    <w:rsid w:val="00410C26"/>
    <w:rsid w:val="005A3139"/>
    <w:rsid w:val="007D410C"/>
    <w:rsid w:val="007F5D6E"/>
    <w:rsid w:val="0095711B"/>
    <w:rsid w:val="00A23532"/>
    <w:rsid w:val="00AA19DB"/>
    <w:rsid w:val="00CB12A0"/>
    <w:rsid w:val="00DC459C"/>
    <w:rsid w:val="00F408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336AD9"/>
  <w15:chartTrackingRefBased/>
  <w15:docId w15:val="{DB0C207B-A804-472B-A74C-0BE4B07F1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1B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1B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1B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1B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1B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1B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1B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1B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1B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B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1B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1B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1B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1B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1B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1B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1B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1B3B"/>
    <w:rPr>
      <w:rFonts w:eastAsiaTheme="majorEastAsia" w:cstheme="majorBidi"/>
      <w:color w:val="272727" w:themeColor="text1" w:themeTint="D8"/>
    </w:rPr>
  </w:style>
  <w:style w:type="paragraph" w:styleId="Title">
    <w:name w:val="Title"/>
    <w:basedOn w:val="Normal"/>
    <w:next w:val="Normal"/>
    <w:link w:val="TitleChar"/>
    <w:uiPriority w:val="10"/>
    <w:qFormat/>
    <w:rsid w:val="00171B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1B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1B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1B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B3B"/>
    <w:pPr>
      <w:spacing w:before="160"/>
      <w:jc w:val="center"/>
    </w:pPr>
    <w:rPr>
      <w:i/>
      <w:iCs/>
      <w:color w:val="404040" w:themeColor="text1" w:themeTint="BF"/>
    </w:rPr>
  </w:style>
  <w:style w:type="character" w:customStyle="1" w:styleId="QuoteChar">
    <w:name w:val="Quote Char"/>
    <w:basedOn w:val="DefaultParagraphFont"/>
    <w:link w:val="Quote"/>
    <w:uiPriority w:val="29"/>
    <w:rsid w:val="00171B3B"/>
    <w:rPr>
      <w:i/>
      <w:iCs/>
      <w:color w:val="404040" w:themeColor="text1" w:themeTint="BF"/>
    </w:rPr>
  </w:style>
  <w:style w:type="paragraph" w:styleId="ListParagraph">
    <w:name w:val="List Paragraph"/>
    <w:basedOn w:val="Normal"/>
    <w:uiPriority w:val="34"/>
    <w:qFormat/>
    <w:rsid w:val="00171B3B"/>
    <w:pPr>
      <w:ind w:left="720"/>
      <w:contextualSpacing/>
    </w:pPr>
  </w:style>
  <w:style w:type="character" w:styleId="IntenseEmphasis">
    <w:name w:val="Intense Emphasis"/>
    <w:basedOn w:val="DefaultParagraphFont"/>
    <w:uiPriority w:val="21"/>
    <w:qFormat/>
    <w:rsid w:val="00171B3B"/>
    <w:rPr>
      <w:i/>
      <w:iCs/>
      <w:color w:val="0F4761" w:themeColor="accent1" w:themeShade="BF"/>
    </w:rPr>
  </w:style>
  <w:style w:type="paragraph" w:styleId="IntenseQuote">
    <w:name w:val="Intense Quote"/>
    <w:basedOn w:val="Normal"/>
    <w:next w:val="Normal"/>
    <w:link w:val="IntenseQuoteChar"/>
    <w:uiPriority w:val="30"/>
    <w:qFormat/>
    <w:rsid w:val="00171B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1B3B"/>
    <w:rPr>
      <w:i/>
      <w:iCs/>
      <w:color w:val="0F4761" w:themeColor="accent1" w:themeShade="BF"/>
    </w:rPr>
  </w:style>
  <w:style w:type="character" w:styleId="IntenseReference">
    <w:name w:val="Intense Reference"/>
    <w:basedOn w:val="DefaultParagraphFont"/>
    <w:uiPriority w:val="32"/>
    <w:qFormat/>
    <w:rsid w:val="00171B3B"/>
    <w:rPr>
      <w:b/>
      <w:bCs/>
      <w:smallCaps/>
      <w:color w:val="0F4761" w:themeColor="accent1" w:themeShade="BF"/>
      <w:spacing w:val="5"/>
    </w:rPr>
  </w:style>
  <w:style w:type="table" w:styleId="TableGrid">
    <w:name w:val="Table Grid"/>
    <w:basedOn w:val="TableNormal"/>
    <w:uiPriority w:val="39"/>
    <w:rsid w:val="00171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Lennox, Kimberly</dc:creator>
  <cp:keywords/>
  <dc:description/>
  <cp:lastModifiedBy>Lennox, Kimberly</cp:lastModifiedBy>
  <cp:revision>1</cp:revision>
  <dcterms:created xsi:type="dcterms:W3CDTF">2026-06-29T13:10:00Z</dcterms:created>
  <dcterms:modified xsi:type="dcterms:W3CDTF">2026-06-29T14:31:00Z</dcterms:modified>
</cp:coreProperties>
</file>