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74" w:type="dxa"/>
        <w:tblLook w:val="04A0" w:firstRow="1" w:lastRow="0" w:firstColumn="1" w:lastColumn="0" w:noHBand="0" w:noVBand="1"/>
      </w:tblPr>
      <w:tblGrid>
        <w:gridCol w:w="1767"/>
        <w:gridCol w:w="7159"/>
        <w:gridCol w:w="1748"/>
      </w:tblGrid>
      <w:tr w:rsidR="00F13C44" w:rsidRPr="00D111D2" w14:paraId="7632AF9F" w14:textId="77777777" w:rsidTr="00900013">
        <w:trPr>
          <w:trHeight w:val="534"/>
        </w:trPr>
        <w:tc>
          <w:tcPr>
            <w:tcW w:w="8926" w:type="dxa"/>
            <w:gridSpan w:val="2"/>
            <w:vAlign w:val="center"/>
          </w:tcPr>
          <w:p w14:paraId="7632AF97" w14:textId="77777777" w:rsidR="00F13C44" w:rsidRPr="00900013" w:rsidRDefault="00F13C44" w:rsidP="00D111D2">
            <w:pPr>
              <w:jc w:val="center"/>
              <w:rPr>
                <w:rFonts w:ascii="Twinkl" w:hAnsi="Twinkl"/>
                <w:sz w:val="32"/>
              </w:rPr>
            </w:pPr>
            <w:r w:rsidRPr="00900013">
              <w:rPr>
                <w:rFonts w:ascii="Twinkl" w:hAnsi="Twinkl"/>
                <w:sz w:val="32"/>
              </w:rPr>
              <w:t>Culzean Early Years Centre</w:t>
            </w:r>
          </w:p>
          <w:p w14:paraId="7632AF98" w14:textId="77777777" w:rsidR="00F13C44" w:rsidRPr="00900013" w:rsidRDefault="00D111D2" w:rsidP="00D111D2">
            <w:pPr>
              <w:jc w:val="center"/>
              <w:rPr>
                <w:rFonts w:ascii="Twinkl" w:hAnsi="Twinkl"/>
                <w:b/>
                <w:sz w:val="32"/>
              </w:rPr>
            </w:pPr>
            <w:r w:rsidRPr="00900013">
              <w:rPr>
                <w:rFonts w:ascii="Twinkl" w:hAnsi="Twinkl"/>
                <w:b/>
                <w:sz w:val="32"/>
              </w:rPr>
              <w:t>Child Protection</w:t>
            </w:r>
          </w:p>
          <w:p w14:paraId="7632AF99" w14:textId="77777777" w:rsidR="00F13C44" w:rsidRPr="00D111D2" w:rsidRDefault="00F13C44" w:rsidP="00D111D2">
            <w:pPr>
              <w:jc w:val="center"/>
              <w:rPr>
                <w:rFonts w:ascii="Twinkl" w:hAnsi="Twinkl"/>
              </w:rPr>
            </w:pPr>
          </w:p>
        </w:tc>
        <w:tc>
          <w:tcPr>
            <w:tcW w:w="1748" w:type="dxa"/>
          </w:tcPr>
          <w:p w14:paraId="7632AF9A" w14:textId="77777777" w:rsidR="00F13C44" w:rsidRPr="00D111D2" w:rsidRDefault="00F13C44" w:rsidP="00D111D2">
            <w:pPr>
              <w:rPr>
                <w:rFonts w:ascii="Twinkl" w:hAnsi="Twinkl"/>
              </w:rPr>
            </w:pPr>
            <w:r w:rsidRPr="00D111D2">
              <w:rPr>
                <w:rFonts w:ascii="Twinkl" w:hAnsi="Twinkl"/>
                <w:noProof/>
                <w:u w:val="single"/>
              </w:rPr>
              <w:drawing>
                <wp:anchor distT="0" distB="0" distL="114300" distR="114300" simplePos="0" relativeHeight="251659264" behindDoc="1" locked="0" layoutInCell="1" allowOverlap="1" wp14:anchorId="7632AFD7" wp14:editId="7632AFD8">
                  <wp:simplePos x="0" y="0"/>
                  <wp:positionH relativeFrom="column">
                    <wp:posOffset>299085</wp:posOffset>
                  </wp:positionH>
                  <wp:positionV relativeFrom="paragraph">
                    <wp:posOffset>88900</wp:posOffset>
                  </wp:positionV>
                  <wp:extent cx="673100" cy="6731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lzean Primary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14:sizeRelH relativeFrom="margin">
                    <wp14:pctWidth>0</wp14:pctWidth>
                  </wp14:sizeRelH>
                  <wp14:sizeRelV relativeFrom="margin">
                    <wp14:pctHeight>0</wp14:pctHeight>
                  </wp14:sizeRelV>
                </wp:anchor>
              </w:drawing>
            </w:r>
          </w:p>
          <w:p w14:paraId="7632AF9B" w14:textId="77777777" w:rsidR="00F13C44" w:rsidRPr="00D111D2" w:rsidRDefault="00F13C44" w:rsidP="00D111D2">
            <w:pPr>
              <w:rPr>
                <w:rFonts w:ascii="Twinkl" w:hAnsi="Twinkl"/>
              </w:rPr>
            </w:pPr>
          </w:p>
          <w:p w14:paraId="7632AF9C" w14:textId="77777777" w:rsidR="00F13C44" w:rsidRPr="00D111D2" w:rsidRDefault="00F13C44" w:rsidP="00D111D2">
            <w:pPr>
              <w:rPr>
                <w:rFonts w:ascii="Twinkl" w:hAnsi="Twinkl"/>
              </w:rPr>
            </w:pPr>
          </w:p>
          <w:p w14:paraId="7632AF9D" w14:textId="77777777" w:rsidR="00F13C44" w:rsidRPr="00D111D2" w:rsidRDefault="00F13C44" w:rsidP="00D111D2">
            <w:pPr>
              <w:rPr>
                <w:rFonts w:ascii="Twinkl" w:hAnsi="Twinkl"/>
              </w:rPr>
            </w:pPr>
          </w:p>
          <w:p w14:paraId="7632AF9E" w14:textId="77777777" w:rsidR="00F13C44" w:rsidRPr="00D111D2" w:rsidRDefault="00F13C44" w:rsidP="00D111D2">
            <w:pPr>
              <w:rPr>
                <w:rFonts w:ascii="Twinkl" w:hAnsi="Twinkl"/>
              </w:rPr>
            </w:pPr>
          </w:p>
        </w:tc>
      </w:tr>
      <w:tr w:rsidR="008D2DF0" w:rsidRPr="00D111D2" w14:paraId="7632AFA4" w14:textId="77777777" w:rsidTr="00900013">
        <w:trPr>
          <w:trHeight w:val="534"/>
        </w:trPr>
        <w:tc>
          <w:tcPr>
            <w:tcW w:w="1767" w:type="dxa"/>
            <w:vMerge w:val="restart"/>
          </w:tcPr>
          <w:p w14:paraId="7632AFA0" w14:textId="77777777" w:rsidR="008D2DF0" w:rsidRPr="00D111D2" w:rsidRDefault="008D2DF0" w:rsidP="00900013">
            <w:pPr>
              <w:rPr>
                <w:rFonts w:ascii="Twinkl" w:hAnsi="Twinkl"/>
              </w:rPr>
            </w:pPr>
            <w:r w:rsidRPr="00D111D2">
              <w:rPr>
                <w:rFonts w:ascii="Twinkl" w:hAnsi="Twinkl"/>
              </w:rPr>
              <w:t>Principles</w:t>
            </w:r>
          </w:p>
        </w:tc>
        <w:tc>
          <w:tcPr>
            <w:tcW w:w="7159" w:type="dxa"/>
          </w:tcPr>
          <w:p w14:paraId="7632AFA1" w14:textId="77777777" w:rsidR="008D2DF0" w:rsidRPr="00507A7D" w:rsidRDefault="008D2DF0" w:rsidP="00900013">
            <w:pPr>
              <w:rPr>
                <w:rFonts w:ascii="Twinkl" w:hAnsi="Twinkl" w:cs="Arial"/>
                <w:sz w:val="20"/>
                <w:szCs w:val="20"/>
              </w:rPr>
            </w:pPr>
            <w:r w:rsidRPr="00507A7D">
              <w:rPr>
                <w:rFonts w:ascii="Twinkl" w:hAnsi="Twinkl" w:cs="Arial"/>
                <w:sz w:val="20"/>
                <w:szCs w:val="20"/>
              </w:rPr>
              <w:t xml:space="preserve">“We have a responsibility towards keeping children safe from </w:t>
            </w:r>
            <w:proofErr w:type="gramStart"/>
            <w:r w:rsidRPr="00507A7D">
              <w:rPr>
                <w:rFonts w:ascii="Twinkl" w:hAnsi="Twinkl" w:cs="Arial"/>
                <w:sz w:val="20"/>
                <w:szCs w:val="20"/>
              </w:rPr>
              <w:t>harm”</w:t>
            </w:r>
            <w:proofErr w:type="gramEnd"/>
            <w:r w:rsidRPr="00507A7D">
              <w:rPr>
                <w:rFonts w:ascii="Twinkl" w:hAnsi="Twinkl" w:cs="Arial"/>
                <w:sz w:val="20"/>
                <w:szCs w:val="20"/>
              </w:rPr>
              <w:tab/>
            </w:r>
            <w:r w:rsidRPr="00507A7D">
              <w:rPr>
                <w:rFonts w:ascii="Twinkl" w:hAnsi="Twinkl" w:cs="Arial"/>
                <w:sz w:val="20"/>
                <w:szCs w:val="20"/>
              </w:rPr>
              <w:tab/>
            </w:r>
            <w:r w:rsidRPr="00507A7D">
              <w:rPr>
                <w:rFonts w:ascii="Twinkl" w:hAnsi="Twinkl" w:cs="Arial"/>
                <w:sz w:val="20"/>
                <w:szCs w:val="20"/>
              </w:rPr>
              <w:tab/>
            </w:r>
          </w:p>
          <w:p w14:paraId="7632AFA2" w14:textId="77777777" w:rsidR="008D2DF0" w:rsidRPr="00507A7D" w:rsidRDefault="008D2DF0" w:rsidP="00900013">
            <w:pPr>
              <w:rPr>
                <w:rFonts w:ascii="Twinkl" w:hAnsi="Twinkl"/>
                <w:color w:val="000000"/>
                <w:sz w:val="20"/>
                <w:szCs w:val="20"/>
              </w:rPr>
            </w:pPr>
          </w:p>
        </w:tc>
        <w:tc>
          <w:tcPr>
            <w:tcW w:w="1748" w:type="dxa"/>
          </w:tcPr>
          <w:p w14:paraId="7632AFA3" w14:textId="77777777" w:rsidR="008D2DF0" w:rsidRPr="00507A7D" w:rsidRDefault="008D2DF0" w:rsidP="00900013">
            <w:pPr>
              <w:rPr>
                <w:rFonts w:ascii="Twinkl" w:hAnsi="Twinkl"/>
                <w:sz w:val="20"/>
                <w:szCs w:val="20"/>
              </w:rPr>
            </w:pPr>
            <w:r w:rsidRPr="00507A7D">
              <w:rPr>
                <w:rFonts w:ascii="Twinkl" w:hAnsi="Twinkl"/>
                <w:sz w:val="20"/>
                <w:szCs w:val="20"/>
              </w:rPr>
              <w:t>Realising the Ambition: Being Me, 2020</w:t>
            </w:r>
          </w:p>
        </w:tc>
      </w:tr>
      <w:tr w:rsidR="008D2DF0" w:rsidRPr="00D111D2" w14:paraId="7632AFA9" w14:textId="77777777" w:rsidTr="00900013">
        <w:trPr>
          <w:trHeight w:val="667"/>
        </w:trPr>
        <w:tc>
          <w:tcPr>
            <w:tcW w:w="1767" w:type="dxa"/>
            <w:vMerge/>
          </w:tcPr>
          <w:p w14:paraId="7632AFA5" w14:textId="77777777" w:rsidR="008D2DF0" w:rsidRPr="00D111D2" w:rsidRDefault="008D2DF0" w:rsidP="00900013">
            <w:pPr>
              <w:rPr>
                <w:rFonts w:ascii="Twinkl" w:hAnsi="Twinkl"/>
              </w:rPr>
            </w:pPr>
          </w:p>
        </w:tc>
        <w:tc>
          <w:tcPr>
            <w:tcW w:w="7159" w:type="dxa"/>
          </w:tcPr>
          <w:p w14:paraId="7632AFA6" w14:textId="77777777" w:rsidR="008D2DF0" w:rsidRPr="00507A7D" w:rsidRDefault="008D2DF0" w:rsidP="00900013">
            <w:pPr>
              <w:shd w:val="clear" w:color="auto" w:fill="FFFFFF"/>
              <w:spacing w:after="240"/>
              <w:rPr>
                <w:rFonts w:ascii="Twinkl" w:eastAsia="Times New Roman" w:hAnsi="Twinkl" w:cs="Times New Roman"/>
                <w:color w:val="000000"/>
                <w:sz w:val="20"/>
                <w:szCs w:val="20"/>
                <w:lang w:eastAsia="en-GB"/>
              </w:rPr>
            </w:pPr>
            <w:r w:rsidRPr="00507A7D">
              <w:rPr>
                <w:rFonts w:ascii="Twinkl" w:eastAsia="Times New Roman" w:hAnsi="Twinkl" w:cs="Times New Roman"/>
                <w:color w:val="000000"/>
                <w:sz w:val="20"/>
                <w:szCs w:val="20"/>
                <w:lang w:eastAsia="en-GB"/>
              </w:rPr>
              <w:t xml:space="preserve">I am safe and protected from harm, </w:t>
            </w:r>
            <w:proofErr w:type="gramStart"/>
            <w:r w:rsidRPr="00507A7D">
              <w:rPr>
                <w:rFonts w:ascii="Twinkl" w:eastAsia="Times New Roman" w:hAnsi="Twinkl" w:cs="Times New Roman"/>
                <w:color w:val="000000"/>
                <w:sz w:val="20"/>
                <w:szCs w:val="20"/>
                <w:lang w:eastAsia="en-GB"/>
              </w:rPr>
              <w:t>abuse</w:t>
            </w:r>
            <w:proofErr w:type="gramEnd"/>
            <w:r w:rsidRPr="00507A7D">
              <w:rPr>
                <w:rFonts w:ascii="Twinkl" w:eastAsia="Times New Roman" w:hAnsi="Twinkl" w:cs="Times New Roman"/>
                <w:color w:val="000000"/>
                <w:sz w:val="20"/>
                <w:szCs w:val="20"/>
                <w:lang w:eastAsia="en-GB"/>
              </w:rPr>
              <w:t xml:space="preserve"> and neglect. Practitioners caring for me understand their roles and responsibilities in keeping me safe. </w:t>
            </w:r>
          </w:p>
        </w:tc>
        <w:tc>
          <w:tcPr>
            <w:tcW w:w="1748" w:type="dxa"/>
          </w:tcPr>
          <w:p w14:paraId="7632AFA7" w14:textId="77777777" w:rsidR="008D2DF0" w:rsidRPr="00507A7D" w:rsidRDefault="008D2DF0" w:rsidP="00900013">
            <w:pPr>
              <w:rPr>
                <w:rFonts w:ascii="Twinkl" w:hAnsi="Twinkl"/>
                <w:sz w:val="20"/>
                <w:szCs w:val="20"/>
              </w:rPr>
            </w:pPr>
            <w:r w:rsidRPr="00507A7D">
              <w:rPr>
                <w:rFonts w:ascii="Twinkl" w:hAnsi="Twinkl"/>
                <w:sz w:val="20"/>
                <w:szCs w:val="20"/>
              </w:rPr>
              <w:t xml:space="preserve">SHANARRI – </w:t>
            </w:r>
          </w:p>
          <w:p w14:paraId="7632AFA8" w14:textId="77777777" w:rsidR="008D2DF0" w:rsidRPr="00507A7D" w:rsidRDefault="008D2DF0" w:rsidP="00900013">
            <w:pPr>
              <w:rPr>
                <w:rFonts w:ascii="Twinkl" w:hAnsi="Twinkl"/>
                <w:sz w:val="20"/>
                <w:szCs w:val="20"/>
              </w:rPr>
            </w:pPr>
            <w:r w:rsidRPr="00507A7D">
              <w:rPr>
                <w:rFonts w:ascii="Twinkl" w:hAnsi="Twinkl"/>
                <w:sz w:val="20"/>
                <w:szCs w:val="20"/>
              </w:rPr>
              <w:t>Safe</w:t>
            </w:r>
          </w:p>
        </w:tc>
      </w:tr>
      <w:tr w:rsidR="008D2DF0" w:rsidRPr="00D111D2" w14:paraId="7632AFAE" w14:textId="77777777" w:rsidTr="0079403B">
        <w:trPr>
          <w:trHeight w:val="647"/>
        </w:trPr>
        <w:tc>
          <w:tcPr>
            <w:tcW w:w="1767" w:type="dxa"/>
            <w:vMerge/>
          </w:tcPr>
          <w:p w14:paraId="7632AFAA" w14:textId="77777777" w:rsidR="008D2DF0" w:rsidRPr="00D111D2" w:rsidRDefault="008D2DF0" w:rsidP="00900013">
            <w:pPr>
              <w:rPr>
                <w:rFonts w:ascii="Twinkl" w:hAnsi="Twinkl"/>
              </w:rPr>
            </w:pPr>
          </w:p>
        </w:tc>
        <w:tc>
          <w:tcPr>
            <w:tcW w:w="7159" w:type="dxa"/>
          </w:tcPr>
          <w:p w14:paraId="7632AFAC" w14:textId="1EA90E67" w:rsidR="008D2DF0" w:rsidRPr="00507A7D" w:rsidRDefault="008D2DF0" w:rsidP="0079403B">
            <w:pPr>
              <w:rPr>
                <w:rFonts w:ascii="Twinkl" w:eastAsia="Times New Roman" w:hAnsi="Twinkl" w:cs="Times New Roman"/>
                <w:color w:val="000000"/>
                <w:sz w:val="20"/>
                <w:szCs w:val="20"/>
                <w:lang w:eastAsia="en-GB"/>
              </w:rPr>
            </w:pPr>
            <w:r w:rsidRPr="00507A7D">
              <w:rPr>
                <w:rFonts w:ascii="Twinkl" w:hAnsi="Twinkl" w:cs="Arial"/>
                <w:sz w:val="20"/>
                <w:szCs w:val="20"/>
              </w:rPr>
              <w:t>“I am protected from harm, neglect, abuse, bullying and exploitation by people who have a clear understanding of their responsibilities”.</w:t>
            </w:r>
          </w:p>
        </w:tc>
        <w:tc>
          <w:tcPr>
            <w:tcW w:w="1748" w:type="dxa"/>
          </w:tcPr>
          <w:p w14:paraId="7632AFAD" w14:textId="77777777" w:rsidR="008D2DF0" w:rsidRPr="00507A7D" w:rsidRDefault="008D2DF0" w:rsidP="00900013">
            <w:pPr>
              <w:rPr>
                <w:rFonts w:ascii="Twinkl" w:hAnsi="Twinkl"/>
                <w:sz w:val="20"/>
                <w:szCs w:val="20"/>
              </w:rPr>
            </w:pPr>
            <w:r w:rsidRPr="00507A7D">
              <w:rPr>
                <w:rFonts w:ascii="Twinkl" w:hAnsi="Twinkl" w:cs="Arial"/>
                <w:sz w:val="20"/>
                <w:szCs w:val="20"/>
              </w:rPr>
              <w:t>Health and Social Care Standards, 2018</w:t>
            </w:r>
          </w:p>
        </w:tc>
      </w:tr>
      <w:tr w:rsidR="008D2DF0" w:rsidRPr="00D111D2" w14:paraId="7632AFB2" w14:textId="77777777" w:rsidTr="00900013">
        <w:trPr>
          <w:trHeight w:val="534"/>
        </w:trPr>
        <w:tc>
          <w:tcPr>
            <w:tcW w:w="1767" w:type="dxa"/>
            <w:vMerge/>
          </w:tcPr>
          <w:p w14:paraId="7632AFAF" w14:textId="77777777" w:rsidR="008D2DF0" w:rsidRPr="00D111D2" w:rsidRDefault="008D2DF0" w:rsidP="00900013">
            <w:pPr>
              <w:rPr>
                <w:rFonts w:ascii="Twinkl" w:hAnsi="Twinkl"/>
              </w:rPr>
            </w:pPr>
          </w:p>
        </w:tc>
        <w:tc>
          <w:tcPr>
            <w:tcW w:w="7159" w:type="dxa"/>
          </w:tcPr>
          <w:p w14:paraId="7632AFB0" w14:textId="77777777" w:rsidR="008D2DF0" w:rsidRPr="00507A7D" w:rsidRDefault="008D2DF0" w:rsidP="00900013">
            <w:pPr>
              <w:rPr>
                <w:rFonts w:ascii="Twinkl" w:hAnsi="Twinkl"/>
                <w:sz w:val="20"/>
                <w:szCs w:val="20"/>
              </w:rPr>
            </w:pPr>
            <w:r w:rsidRPr="00507A7D">
              <w:rPr>
                <w:rFonts w:ascii="Twinkl" w:hAnsi="Twinkl"/>
                <w:sz w:val="20"/>
                <w:szCs w:val="20"/>
              </w:rPr>
              <w:t>“Use established processes and procedures to report allegations of harm and challenge and report exploitation and any dangerous, abusive or discriminatory behaviour or practice.”</w:t>
            </w:r>
          </w:p>
        </w:tc>
        <w:tc>
          <w:tcPr>
            <w:tcW w:w="1748" w:type="dxa"/>
          </w:tcPr>
          <w:p w14:paraId="7632AFB1" w14:textId="77777777" w:rsidR="008D2DF0" w:rsidRPr="00507A7D" w:rsidRDefault="008D2DF0" w:rsidP="00900013">
            <w:pPr>
              <w:rPr>
                <w:rFonts w:ascii="Twinkl" w:hAnsi="Twinkl"/>
                <w:sz w:val="20"/>
                <w:szCs w:val="20"/>
              </w:rPr>
            </w:pPr>
            <w:r w:rsidRPr="00507A7D">
              <w:rPr>
                <w:rFonts w:ascii="Twinkl" w:hAnsi="Twinkl"/>
                <w:sz w:val="20"/>
                <w:szCs w:val="20"/>
              </w:rPr>
              <w:t xml:space="preserve">SSSC Codes of Practice </w:t>
            </w:r>
          </w:p>
        </w:tc>
      </w:tr>
      <w:tr w:rsidR="008D2DF0" w:rsidRPr="00D111D2" w14:paraId="7632AFB7" w14:textId="77777777" w:rsidTr="00900013">
        <w:trPr>
          <w:trHeight w:val="534"/>
        </w:trPr>
        <w:tc>
          <w:tcPr>
            <w:tcW w:w="1767" w:type="dxa"/>
            <w:vMerge/>
          </w:tcPr>
          <w:p w14:paraId="7632AFB3" w14:textId="77777777" w:rsidR="008D2DF0" w:rsidRPr="00D111D2" w:rsidRDefault="008D2DF0" w:rsidP="00900013">
            <w:pPr>
              <w:rPr>
                <w:rFonts w:ascii="Twinkl" w:hAnsi="Twinkl"/>
              </w:rPr>
            </w:pPr>
          </w:p>
        </w:tc>
        <w:tc>
          <w:tcPr>
            <w:tcW w:w="7159" w:type="dxa"/>
          </w:tcPr>
          <w:p w14:paraId="7632AFB4" w14:textId="77777777" w:rsidR="008D2DF0" w:rsidRPr="00507A7D" w:rsidRDefault="008D2DF0" w:rsidP="00900013">
            <w:pPr>
              <w:rPr>
                <w:rFonts w:ascii="Twinkl" w:hAnsi="Twinkl"/>
                <w:sz w:val="20"/>
                <w:szCs w:val="20"/>
              </w:rPr>
            </w:pPr>
            <w:r w:rsidRPr="00507A7D">
              <w:rPr>
                <w:rFonts w:ascii="Twinkl" w:hAnsi="Twinkl" w:cs="Arial"/>
                <w:color w:val="333333"/>
                <w:sz w:val="20"/>
                <w:szCs w:val="20"/>
                <w:shd w:val="clear" w:color="auto" w:fill="FFFFFF"/>
              </w:rPr>
              <w:t>Children should not be separated from their parents unless they are not being properly looked after – for example, if a parent hurts or does not take care of a child. Children whose parents don’t live together should stay in contact with both parents unless this might harm the child. </w:t>
            </w:r>
          </w:p>
        </w:tc>
        <w:tc>
          <w:tcPr>
            <w:tcW w:w="1748" w:type="dxa"/>
          </w:tcPr>
          <w:p w14:paraId="7632AFB5" w14:textId="77777777" w:rsidR="008D2DF0" w:rsidRPr="00507A7D" w:rsidRDefault="008D2DF0" w:rsidP="00900013">
            <w:pPr>
              <w:rPr>
                <w:rFonts w:ascii="Twinkl" w:hAnsi="Twinkl"/>
                <w:sz w:val="20"/>
                <w:szCs w:val="20"/>
              </w:rPr>
            </w:pPr>
            <w:r w:rsidRPr="00507A7D">
              <w:rPr>
                <w:rFonts w:ascii="Twinkl" w:hAnsi="Twinkl"/>
                <w:sz w:val="20"/>
                <w:szCs w:val="20"/>
              </w:rPr>
              <w:t xml:space="preserve">UNCRC, </w:t>
            </w:r>
          </w:p>
          <w:p w14:paraId="7632AFB6" w14:textId="77777777" w:rsidR="008D2DF0" w:rsidRPr="00507A7D" w:rsidRDefault="008D2DF0" w:rsidP="00900013">
            <w:pPr>
              <w:rPr>
                <w:rFonts w:ascii="Twinkl" w:hAnsi="Twinkl"/>
                <w:sz w:val="20"/>
                <w:szCs w:val="20"/>
              </w:rPr>
            </w:pPr>
            <w:r w:rsidRPr="00507A7D">
              <w:rPr>
                <w:rFonts w:ascii="Twinkl" w:hAnsi="Twinkl"/>
                <w:sz w:val="20"/>
                <w:szCs w:val="20"/>
              </w:rPr>
              <w:t>Article 9</w:t>
            </w:r>
          </w:p>
        </w:tc>
      </w:tr>
      <w:tr w:rsidR="00D111D2" w:rsidRPr="00D111D2" w14:paraId="7632AFC2" w14:textId="77777777" w:rsidTr="00D111D2">
        <w:trPr>
          <w:trHeight w:val="534"/>
        </w:trPr>
        <w:tc>
          <w:tcPr>
            <w:tcW w:w="1767" w:type="dxa"/>
          </w:tcPr>
          <w:p w14:paraId="7632AFB8" w14:textId="77777777" w:rsidR="00D111D2" w:rsidRPr="00D111D2" w:rsidRDefault="00D111D2" w:rsidP="00D111D2">
            <w:pPr>
              <w:rPr>
                <w:rFonts w:ascii="Twinkl" w:hAnsi="Twinkl"/>
              </w:rPr>
            </w:pPr>
            <w:r w:rsidRPr="00D111D2">
              <w:rPr>
                <w:rFonts w:ascii="Twinkl" w:hAnsi="Twinkl"/>
              </w:rPr>
              <w:t>Aims</w:t>
            </w:r>
          </w:p>
        </w:tc>
        <w:tc>
          <w:tcPr>
            <w:tcW w:w="8907" w:type="dxa"/>
            <w:gridSpan w:val="2"/>
          </w:tcPr>
          <w:p w14:paraId="71A0FDCC" w14:textId="61494B60" w:rsidR="00F36730" w:rsidRPr="00507A7D" w:rsidRDefault="00F36730" w:rsidP="0079403B">
            <w:pPr>
              <w:spacing w:line="276" w:lineRule="auto"/>
              <w:rPr>
                <w:rFonts w:ascii="Twinkl" w:hAnsi="Twinkl" w:cs="Arial"/>
                <w:b/>
                <w:bCs/>
              </w:rPr>
            </w:pPr>
            <w:r w:rsidRPr="00507A7D">
              <w:rPr>
                <w:rFonts w:ascii="Twinkl" w:hAnsi="Twinkl" w:cs="Arial"/>
                <w:b/>
                <w:bCs/>
              </w:rPr>
              <w:t>To ensure that all children at Culzean EYC are:</w:t>
            </w:r>
          </w:p>
          <w:p w14:paraId="32491C74" w14:textId="6DA86E6B" w:rsidR="00520B01" w:rsidRPr="00520B01" w:rsidRDefault="00520B01" w:rsidP="0079403B">
            <w:pPr>
              <w:pStyle w:val="ListParagraph"/>
              <w:numPr>
                <w:ilvl w:val="0"/>
                <w:numId w:val="3"/>
              </w:numPr>
              <w:spacing w:line="276" w:lineRule="auto"/>
              <w:rPr>
                <w:rFonts w:ascii="Twinkl" w:hAnsi="Twinkl" w:cs="Arial"/>
              </w:rPr>
            </w:pPr>
            <w:r w:rsidRPr="00520B01">
              <w:rPr>
                <w:rFonts w:ascii="Twinkl" w:hAnsi="Twinkl" w:cs="Arial"/>
              </w:rPr>
              <w:t>Protected from harm and abuse.</w:t>
            </w:r>
          </w:p>
          <w:p w14:paraId="39D56908" w14:textId="77777777" w:rsidR="00520B01" w:rsidRPr="00520B01" w:rsidRDefault="00520B01" w:rsidP="0079403B">
            <w:pPr>
              <w:pStyle w:val="ListParagraph"/>
              <w:numPr>
                <w:ilvl w:val="0"/>
                <w:numId w:val="3"/>
              </w:numPr>
              <w:spacing w:line="276" w:lineRule="auto"/>
              <w:rPr>
                <w:rFonts w:ascii="Twinkl" w:hAnsi="Twinkl" w:cs="Arial"/>
              </w:rPr>
            </w:pPr>
            <w:r w:rsidRPr="00520B01">
              <w:rPr>
                <w:rFonts w:ascii="Twinkl" w:hAnsi="Twinkl" w:cs="Arial"/>
              </w:rPr>
              <w:t xml:space="preserve">Supported to be successful learners, confident individuals, effective </w:t>
            </w:r>
            <w:proofErr w:type="gramStart"/>
            <w:r w:rsidRPr="00520B01">
              <w:rPr>
                <w:rFonts w:ascii="Twinkl" w:hAnsi="Twinkl" w:cs="Arial"/>
              </w:rPr>
              <w:t>contributors</w:t>
            </w:r>
            <w:proofErr w:type="gramEnd"/>
            <w:r w:rsidRPr="00520B01">
              <w:rPr>
                <w:rFonts w:ascii="Twinkl" w:hAnsi="Twinkl" w:cs="Arial"/>
              </w:rPr>
              <w:t xml:space="preserve"> and responsible citizens. </w:t>
            </w:r>
          </w:p>
          <w:p w14:paraId="7632AFC1" w14:textId="392EC5C5" w:rsidR="00D111D2" w:rsidRPr="00520B01" w:rsidRDefault="00520B01" w:rsidP="0079403B">
            <w:pPr>
              <w:pStyle w:val="ListParagraph"/>
              <w:numPr>
                <w:ilvl w:val="0"/>
                <w:numId w:val="3"/>
              </w:numPr>
              <w:spacing w:line="276" w:lineRule="auto"/>
              <w:rPr>
                <w:rFonts w:ascii="Twinkl" w:hAnsi="Twinkl" w:cs="Arial"/>
              </w:rPr>
            </w:pPr>
            <w:r w:rsidRPr="00520B01">
              <w:rPr>
                <w:rFonts w:ascii="Twinkl" w:hAnsi="Twinkl" w:cs="Arial"/>
              </w:rPr>
              <w:t xml:space="preserve">Enabled to be safe, healthy, achieving, nurtured, active, respected, </w:t>
            </w:r>
            <w:proofErr w:type="gramStart"/>
            <w:r w:rsidRPr="00520B01">
              <w:rPr>
                <w:rFonts w:ascii="Twinkl" w:hAnsi="Twinkl" w:cs="Arial"/>
              </w:rPr>
              <w:t>responsible</w:t>
            </w:r>
            <w:proofErr w:type="gramEnd"/>
            <w:r w:rsidRPr="00520B01">
              <w:rPr>
                <w:rFonts w:ascii="Twinkl" w:hAnsi="Twinkl" w:cs="Arial"/>
              </w:rPr>
              <w:t xml:space="preserve"> and included.</w:t>
            </w:r>
          </w:p>
        </w:tc>
      </w:tr>
      <w:tr w:rsidR="00D111D2" w:rsidRPr="00D111D2" w14:paraId="7632AFCC" w14:textId="77777777" w:rsidTr="00D111D2">
        <w:trPr>
          <w:trHeight w:val="534"/>
        </w:trPr>
        <w:tc>
          <w:tcPr>
            <w:tcW w:w="1767" w:type="dxa"/>
          </w:tcPr>
          <w:p w14:paraId="7632AFC3" w14:textId="77777777" w:rsidR="00D111D2" w:rsidRPr="00D111D2" w:rsidRDefault="00D111D2" w:rsidP="00D111D2">
            <w:pPr>
              <w:rPr>
                <w:rFonts w:ascii="Twinkl" w:hAnsi="Twinkl"/>
              </w:rPr>
            </w:pPr>
            <w:r w:rsidRPr="00D111D2">
              <w:rPr>
                <w:rFonts w:ascii="Twinkl" w:hAnsi="Twinkl"/>
              </w:rPr>
              <w:t>Implementation</w:t>
            </w:r>
          </w:p>
        </w:tc>
        <w:tc>
          <w:tcPr>
            <w:tcW w:w="8907" w:type="dxa"/>
            <w:gridSpan w:val="2"/>
          </w:tcPr>
          <w:p w14:paraId="2C51A108" w14:textId="77777777" w:rsidR="00913455" w:rsidRPr="00986DAA" w:rsidRDefault="00913455" w:rsidP="00913455">
            <w:pPr>
              <w:shd w:val="clear" w:color="auto" w:fill="FFFFFF" w:themeFill="background1"/>
              <w:rPr>
                <w:rFonts w:ascii="Twinkl" w:hAnsi="Twinkl"/>
                <w:b/>
                <w:bCs/>
              </w:rPr>
            </w:pPr>
            <w:r w:rsidRPr="00986DAA">
              <w:rPr>
                <w:rFonts w:ascii="Twinkl" w:hAnsi="Twinkl"/>
                <w:b/>
                <w:bCs/>
              </w:rPr>
              <w:t xml:space="preserve">Child protection is everyone’s concern. </w:t>
            </w:r>
          </w:p>
          <w:p w14:paraId="529B6C4C" w14:textId="033226CB" w:rsidR="00913455" w:rsidRPr="00986DAA" w:rsidRDefault="00913455" w:rsidP="00913455">
            <w:pPr>
              <w:shd w:val="clear" w:color="auto" w:fill="FFFFFF" w:themeFill="background1"/>
              <w:rPr>
                <w:rFonts w:ascii="Twinkl" w:hAnsi="Twinkl"/>
                <w:b/>
                <w:bCs/>
              </w:rPr>
            </w:pPr>
            <w:r w:rsidRPr="00986DAA">
              <w:rPr>
                <w:rFonts w:ascii="Twinkl" w:hAnsi="Twinkl"/>
                <w:b/>
                <w:bCs/>
              </w:rPr>
              <w:t>All staff working and supporting education in Culzean EYC must:</w:t>
            </w:r>
          </w:p>
          <w:p w14:paraId="2F9688E3" w14:textId="77777777" w:rsidR="00913455" w:rsidRPr="00004F45" w:rsidRDefault="00913455" w:rsidP="00913455">
            <w:pPr>
              <w:pStyle w:val="ListParagraph"/>
              <w:numPr>
                <w:ilvl w:val="0"/>
                <w:numId w:val="8"/>
              </w:numPr>
              <w:shd w:val="clear" w:color="auto" w:fill="FFFFFF" w:themeFill="background1"/>
              <w:rPr>
                <w:rFonts w:ascii="Twinkl" w:hAnsi="Twinkl"/>
              </w:rPr>
            </w:pPr>
            <w:r w:rsidRPr="00004F45">
              <w:rPr>
                <w:rFonts w:ascii="Twinkl" w:hAnsi="Twinkl"/>
              </w:rPr>
              <w:t xml:space="preserve">Be aware of arrangements protecting children and </w:t>
            </w:r>
            <w:proofErr w:type="gramStart"/>
            <w:r w:rsidRPr="00004F45">
              <w:rPr>
                <w:rFonts w:ascii="Twinkl" w:hAnsi="Twinkl"/>
              </w:rPr>
              <w:t>adults</w:t>
            </w:r>
            <w:r>
              <w:rPr>
                <w:rFonts w:ascii="Twinkl" w:hAnsi="Twinkl"/>
              </w:rPr>
              <w:t>;</w:t>
            </w:r>
            <w:proofErr w:type="gramEnd"/>
          </w:p>
          <w:p w14:paraId="3D0E27CF" w14:textId="77777777" w:rsidR="00913455" w:rsidRPr="00004F45" w:rsidRDefault="00913455" w:rsidP="00913455">
            <w:pPr>
              <w:pStyle w:val="ListParagraph"/>
              <w:numPr>
                <w:ilvl w:val="0"/>
                <w:numId w:val="8"/>
              </w:numPr>
              <w:shd w:val="clear" w:color="auto" w:fill="FFFFFF" w:themeFill="background1"/>
              <w:rPr>
                <w:rFonts w:ascii="Twinkl" w:hAnsi="Twinkl"/>
              </w:rPr>
            </w:pPr>
            <w:r w:rsidRPr="00004F45">
              <w:rPr>
                <w:rFonts w:ascii="Twinkl" w:hAnsi="Twinkl"/>
              </w:rPr>
              <w:t xml:space="preserve">Be alert to children’s </w:t>
            </w:r>
            <w:proofErr w:type="gramStart"/>
            <w:r w:rsidRPr="00004F45">
              <w:rPr>
                <w:rFonts w:ascii="Twinkl" w:hAnsi="Twinkl"/>
              </w:rPr>
              <w:t>needs</w:t>
            </w:r>
            <w:r>
              <w:rPr>
                <w:rFonts w:ascii="Twinkl" w:hAnsi="Twinkl"/>
              </w:rPr>
              <w:t>;</w:t>
            </w:r>
            <w:proofErr w:type="gramEnd"/>
          </w:p>
          <w:p w14:paraId="631A04A4" w14:textId="77777777" w:rsidR="00913455" w:rsidRPr="00004F45" w:rsidRDefault="00913455" w:rsidP="00913455">
            <w:pPr>
              <w:pStyle w:val="ListParagraph"/>
              <w:numPr>
                <w:ilvl w:val="0"/>
                <w:numId w:val="8"/>
              </w:numPr>
              <w:shd w:val="clear" w:color="auto" w:fill="FFFFFF" w:themeFill="background1"/>
              <w:rPr>
                <w:rFonts w:ascii="Twinkl" w:hAnsi="Twinkl"/>
              </w:rPr>
            </w:pPr>
            <w:r w:rsidRPr="00004F45">
              <w:rPr>
                <w:rFonts w:ascii="Twinkl" w:hAnsi="Twinkl"/>
              </w:rPr>
              <w:t>Be clear about their own role in ensuring the safety of all.</w:t>
            </w:r>
          </w:p>
          <w:p w14:paraId="7830FC9D" w14:textId="77777777" w:rsidR="00913455" w:rsidRPr="00986DAA" w:rsidRDefault="00913455" w:rsidP="00913455">
            <w:pPr>
              <w:shd w:val="clear" w:color="auto" w:fill="FFFFFF" w:themeFill="background1"/>
              <w:rPr>
                <w:rFonts w:ascii="Twinkl" w:hAnsi="Twinkl"/>
                <w:b/>
                <w:bCs/>
              </w:rPr>
            </w:pPr>
            <w:r w:rsidRPr="00986DAA">
              <w:rPr>
                <w:rFonts w:ascii="Twinkl" w:hAnsi="Twinkl"/>
                <w:b/>
                <w:bCs/>
              </w:rPr>
              <w:t>All staff will:</w:t>
            </w:r>
          </w:p>
          <w:p w14:paraId="0A58089A" w14:textId="31C62EDD" w:rsidR="00913455" w:rsidRPr="00004F45" w:rsidRDefault="00913455" w:rsidP="005846F7">
            <w:pPr>
              <w:pStyle w:val="Default"/>
              <w:numPr>
                <w:ilvl w:val="0"/>
                <w:numId w:val="10"/>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Have access to appropriate, relevant and up-to-date guidance, which tells them what action to take if they are concerned about a child or young person’s wellbeing, welfare and </w:t>
            </w:r>
            <w:proofErr w:type="gramStart"/>
            <w:r w:rsidRPr="00004F45">
              <w:rPr>
                <w:rFonts w:ascii="Twinkl" w:hAnsi="Twinkl" w:cstheme="minorHAnsi"/>
                <w:sz w:val="22"/>
                <w:szCs w:val="22"/>
              </w:rPr>
              <w:t>safety</w:t>
            </w:r>
            <w:r>
              <w:rPr>
                <w:rFonts w:ascii="Twinkl" w:hAnsi="Twinkl" w:cstheme="minorHAnsi"/>
                <w:sz w:val="22"/>
                <w:szCs w:val="22"/>
              </w:rPr>
              <w:t>;</w:t>
            </w:r>
            <w:proofErr w:type="gramEnd"/>
          </w:p>
          <w:p w14:paraId="6E4EAF45" w14:textId="77777777" w:rsidR="00913455" w:rsidRPr="00004F45" w:rsidRDefault="00913455" w:rsidP="005846F7">
            <w:pPr>
              <w:pStyle w:val="Default"/>
              <w:numPr>
                <w:ilvl w:val="0"/>
                <w:numId w:val="9"/>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Be trained to help them understand what, how and when to report and share information to keep children </w:t>
            </w:r>
            <w:proofErr w:type="gramStart"/>
            <w:r w:rsidRPr="00004F45">
              <w:rPr>
                <w:rFonts w:ascii="Twinkl" w:hAnsi="Twinkl" w:cstheme="minorHAnsi"/>
                <w:sz w:val="22"/>
                <w:szCs w:val="22"/>
              </w:rPr>
              <w:t>safe</w:t>
            </w:r>
            <w:r>
              <w:rPr>
                <w:rFonts w:ascii="Twinkl" w:hAnsi="Twinkl" w:cstheme="minorHAnsi"/>
                <w:sz w:val="22"/>
                <w:szCs w:val="22"/>
              </w:rPr>
              <w:t>;</w:t>
            </w:r>
            <w:proofErr w:type="gramEnd"/>
          </w:p>
          <w:p w14:paraId="5BA6D42A" w14:textId="77777777" w:rsidR="00913455" w:rsidRPr="00004F45" w:rsidRDefault="00913455" w:rsidP="005846F7">
            <w:pPr>
              <w:pStyle w:val="Default"/>
              <w:numPr>
                <w:ilvl w:val="0"/>
                <w:numId w:val="9"/>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Be clear that a guarantee of absolute confidentiality cannot ever be given to a child or young </w:t>
            </w:r>
            <w:proofErr w:type="gramStart"/>
            <w:r w:rsidRPr="00004F45">
              <w:rPr>
                <w:rFonts w:ascii="Twinkl" w:hAnsi="Twinkl" w:cstheme="minorHAnsi"/>
                <w:sz w:val="22"/>
                <w:szCs w:val="22"/>
              </w:rPr>
              <w:t>person</w:t>
            </w:r>
            <w:r>
              <w:rPr>
                <w:rFonts w:ascii="Twinkl" w:hAnsi="Twinkl" w:cstheme="minorHAnsi"/>
                <w:sz w:val="22"/>
                <w:szCs w:val="22"/>
              </w:rPr>
              <w:t>;</w:t>
            </w:r>
            <w:proofErr w:type="gramEnd"/>
          </w:p>
          <w:p w14:paraId="2A2630E4" w14:textId="77777777" w:rsidR="00913455" w:rsidRPr="00004F45" w:rsidRDefault="00913455" w:rsidP="005846F7">
            <w:pPr>
              <w:pStyle w:val="Default"/>
              <w:numPr>
                <w:ilvl w:val="0"/>
                <w:numId w:val="9"/>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Co-operate fully with other partner </w:t>
            </w:r>
            <w:proofErr w:type="gramStart"/>
            <w:r w:rsidRPr="00004F45">
              <w:rPr>
                <w:rFonts w:ascii="Twinkl" w:hAnsi="Twinkl" w:cstheme="minorHAnsi"/>
                <w:sz w:val="22"/>
                <w:szCs w:val="22"/>
              </w:rPr>
              <w:t>agencies</w:t>
            </w:r>
            <w:r>
              <w:rPr>
                <w:rFonts w:ascii="Twinkl" w:hAnsi="Twinkl" w:cstheme="minorHAnsi"/>
                <w:sz w:val="22"/>
                <w:szCs w:val="22"/>
              </w:rPr>
              <w:t>;</w:t>
            </w:r>
            <w:proofErr w:type="gramEnd"/>
          </w:p>
          <w:p w14:paraId="162E684F" w14:textId="77777777" w:rsidR="00913455" w:rsidRPr="00004F45" w:rsidRDefault="00913455" w:rsidP="005846F7">
            <w:pPr>
              <w:pStyle w:val="Default"/>
              <w:numPr>
                <w:ilvl w:val="0"/>
                <w:numId w:val="9"/>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Have appropriate support from Child Protection Co-ordinators, Named Persons, Lead Professionals and Line Managers, when they are concerned about a child or young </w:t>
            </w:r>
            <w:proofErr w:type="gramStart"/>
            <w:r w:rsidRPr="00004F45">
              <w:rPr>
                <w:rFonts w:ascii="Twinkl" w:hAnsi="Twinkl" w:cstheme="minorHAnsi"/>
                <w:sz w:val="22"/>
                <w:szCs w:val="22"/>
              </w:rPr>
              <w:t>person</w:t>
            </w:r>
            <w:r>
              <w:rPr>
                <w:rFonts w:ascii="Twinkl" w:hAnsi="Twinkl" w:cstheme="minorHAnsi"/>
                <w:sz w:val="22"/>
                <w:szCs w:val="22"/>
              </w:rPr>
              <w:t>;</w:t>
            </w:r>
            <w:proofErr w:type="gramEnd"/>
          </w:p>
          <w:p w14:paraId="0D644B23" w14:textId="77777777" w:rsidR="00913455" w:rsidRDefault="00913455" w:rsidP="005846F7">
            <w:pPr>
              <w:pStyle w:val="Default"/>
              <w:numPr>
                <w:ilvl w:val="0"/>
                <w:numId w:val="9"/>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Where appropriate attend or provide information to support an inter-agency referral discussion (IRD). </w:t>
            </w:r>
          </w:p>
          <w:p w14:paraId="5BA3262D" w14:textId="77777777" w:rsidR="00913455" w:rsidRDefault="00913455" w:rsidP="00913455">
            <w:pPr>
              <w:pStyle w:val="Default"/>
              <w:shd w:val="clear" w:color="auto" w:fill="FFFFFF" w:themeFill="background1"/>
              <w:rPr>
                <w:rFonts w:ascii="Twinkl" w:hAnsi="Twinkl" w:cstheme="minorHAnsi"/>
                <w:sz w:val="22"/>
                <w:szCs w:val="22"/>
              </w:rPr>
            </w:pPr>
          </w:p>
          <w:p w14:paraId="1CFC697C" w14:textId="77777777" w:rsidR="00913455" w:rsidRPr="00986DAA" w:rsidRDefault="00913455" w:rsidP="00913455">
            <w:pPr>
              <w:shd w:val="clear" w:color="auto" w:fill="FFFFFF" w:themeFill="background1"/>
              <w:rPr>
                <w:rFonts w:ascii="Twinkl" w:hAnsi="Twinkl"/>
                <w:b/>
                <w:bCs/>
              </w:rPr>
            </w:pPr>
            <w:r w:rsidRPr="00986DAA">
              <w:rPr>
                <w:rFonts w:ascii="Twinkl" w:hAnsi="Twinkl"/>
                <w:b/>
                <w:bCs/>
              </w:rPr>
              <w:t>Responding to a concern</w:t>
            </w:r>
          </w:p>
          <w:p w14:paraId="1A678B6C" w14:textId="77777777" w:rsidR="00913455" w:rsidRPr="00004F45" w:rsidRDefault="00913455" w:rsidP="00913455">
            <w:pPr>
              <w:pStyle w:val="NormalWeb"/>
              <w:shd w:val="clear" w:color="auto" w:fill="FFFFFF" w:themeFill="background1"/>
              <w:spacing w:before="0" w:beforeAutospacing="0" w:after="0" w:afterAutospacing="0"/>
              <w:rPr>
                <w:rFonts w:ascii="Twinkl" w:eastAsiaTheme="minorEastAsia" w:hAnsi="Twinkl" w:cs="Calibri"/>
                <w:kern w:val="24"/>
                <w:sz w:val="22"/>
                <w:szCs w:val="22"/>
              </w:rPr>
            </w:pPr>
            <w:r w:rsidRPr="00004F45">
              <w:rPr>
                <w:rFonts w:ascii="Twinkl" w:eastAsiaTheme="minorEastAsia" w:hAnsi="Twinkl" w:cs="Calibri"/>
                <w:b/>
                <w:bCs/>
                <w:kern w:val="24"/>
                <w:sz w:val="22"/>
                <w:szCs w:val="22"/>
              </w:rPr>
              <w:t>Whoever</w:t>
            </w:r>
            <w:r w:rsidRPr="00004F45">
              <w:rPr>
                <w:rFonts w:ascii="Twinkl" w:eastAsiaTheme="minorEastAsia" w:hAnsi="Twinkl" w:cs="Calibri"/>
                <w:kern w:val="24"/>
                <w:sz w:val="22"/>
                <w:szCs w:val="22"/>
              </w:rPr>
              <w:t xml:space="preserve"> receives the information from the child or other person should:</w:t>
            </w:r>
          </w:p>
          <w:p w14:paraId="115C6BC1" w14:textId="77777777" w:rsidR="00913455" w:rsidRPr="00004F45" w:rsidRDefault="00913455" w:rsidP="00913455">
            <w:pPr>
              <w:pStyle w:val="NormalWeb"/>
              <w:shd w:val="clear" w:color="auto" w:fill="FFFFFF" w:themeFill="background1"/>
              <w:spacing w:before="0" w:beforeAutospacing="0" w:after="0" w:afterAutospacing="0"/>
              <w:rPr>
                <w:rFonts w:ascii="Twinkl" w:hAnsi="Twinkl"/>
                <w:sz w:val="22"/>
                <w:szCs w:val="22"/>
              </w:rPr>
            </w:pPr>
          </w:p>
          <w:p w14:paraId="219E8376" w14:textId="7679DFE6"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 xml:space="preserve">Listen carefully, let the child speak. </w:t>
            </w:r>
          </w:p>
          <w:p w14:paraId="5926101F" w14:textId="77777777"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Not show disbelief or panic</w:t>
            </w:r>
          </w:p>
          <w:p w14:paraId="24454F54" w14:textId="3F7B0992"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Take the allegation seriously, reassure the child and ask how they feel.</w:t>
            </w:r>
          </w:p>
          <w:p w14:paraId="120109BB" w14:textId="7C8584AB"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Avoid expressing views on the matter.</w:t>
            </w:r>
          </w:p>
          <w:p w14:paraId="4CDF17F6" w14:textId="768F03BB"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 xml:space="preserve">Record facts immediately using the exact words spoken. </w:t>
            </w:r>
          </w:p>
          <w:p w14:paraId="25A707B8" w14:textId="7EC29943"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lastRenderedPageBreak/>
              <w:t>Not guarantee confidentiality, whilst explaining the reasons for this.</w:t>
            </w:r>
          </w:p>
          <w:p w14:paraId="13DFDF09" w14:textId="1B165C7F"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kern w:val="24"/>
                <w:sz w:val="22"/>
                <w:szCs w:val="22"/>
              </w:rPr>
              <w:t>Explain that she/he will have to share this information with the Child Protection Co-ordinator and keep the child or young person informed.</w:t>
            </w:r>
          </w:p>
          <w:p w14:paraId="0E7C10CC" w14:textId="7722DC3F" w:rsidR="00913455" w:rsidRPr="00004F45" w:rsidRDefault="00913455" w:rsidP="005846F7">
            <w:pPr>
              <w:pStyle w:val="NormalWeb"/>
              <w:numPr>
                <w:ilvl w:val="0"/>
                <w:numId w:val="12"/>
              </w:numPr>
              <w:shd w:val="clear" w:color="auto" w:fill="FFFFFF" w:themeFill="background1"/>
              <w:spacing w:before="0" w:beforeAutospacing="0" w:after="0" w:afterAutospacing="0"/>
              <w:rPr>
                <w:rFonts w:ascii="Twinkl" w:hAnsi="Twinkl"/>
                <w:sz w:val="22"/>
                <w:szCs w:val="22"/>
              </w:rPr>
            </w:pPr>
            <w:r w:rsidRPr="00004F45">
              <w:rPr>
                <w:rFonts w:ascii="Twinkl" w:eastAsiaTheme="minorEastAsia" w:hAnsi="Twinkl" w:cs="Calibri"/>
                <w:b/>
                <w:bCs/>
                <w:kern w:val="24"/>
                <w:sz w:val="22"/>
                <w:szCs w:val="22"/>
                <w:u w:val="single"/>
              </w:rPr>
              <w:t>Not</w:t>
            </w:r>
            <w:r w:rsidRPr="00004F45">
              <w:rPr>
                <w:rFonts w:ascii="Twinkl" w:eastAsiaTheme="minorEastAsia" w:hAnsi="Twinkl" w:cs="Calibri"/>
                <w:b/>
                <w:bCs/>
                <w:kern w:val="24"/>
                <w:sz w:val="22"/>
                <w:szCs w:val="22"/>
              </w:rPr>
              <w:t xml:space="preserve"> </w:t>
            </w:r>
            <w:r w:rsidRPr="00004F45">
              <w:rPr>
                <w:rFonts w:ascii="Twinkl" w:eastAsiaTheme="minorEastAsia" w:hAnsi="Twinkl" w:cs="Calibri"/>
                <w:kern w:val="24"/>
                <w:sz w:val="22"/>
                <w:szCs w:val="22"/>
              </w:rPr>
              <w:t xml:space="preserve">question the child – </w:t>
            </w:r>
            <w:r w:rsidRPr="00004F45">
              <w:rPr>
                <w:rFonts w:ascii="Twinkl" w:eastAsiaTheme="minorEastAsia" w:hAnsi="Twinkl" w:cs="Calibri"/>
                <w:b/>
                <w:bCs/>
                <w:kern w:val="24"/>
                <w:sz w:val="22"/>
                <w:szCs w:val="22"/>
              </w:rPr>
              <w:t>this is the responsibility of agencies trained to carry out investigative interviews of children.</w:t>
            </w:r>
            <w:r w:rsidRPr="00004F45">
              <w:rPr>
                <w:rFonts w:ascii="Twinkl" w:eastAsiaTheme="minorEastAsia" w:hAnsi="Twinkl" w:cs="Calibri"/>
                <w:kern w:val="24"/>
                <w:sz w:val="22"/>
                <w:szCs w:val="22"/>
              </w:rPr>
              <w:t xml:space="preserve">  Questions inappropriately phrased could be thought to be suggestive and then lead to evidence being held as inadmissible in possible future court proceedings.</w:t>
            </w:r>
          </w:p>
          <w:p w14:paraId="489D223F" w14:textId="438110B6" w:rsidR="00913455" w:rsidRPr="00004F45" w:rsidRDefault="00913455" w:rsidP="00913455">
            <w:pPr>
              <w:shd w:val="clear" w:color="auto" w:fill="FFFFFF" w:themeFill="background1"/>
              <w:rPr>
                <w:rFonts w:ascii="Twinkl" w:hAnsi="Twinkl"/>
              </w:rPr>
            </w:pPr>
          </w:p>
          <w:p w14:paraId="4F37B74F" w14:textId="7E9F33EF" w:rsidR="00913455" w:rsidRPr="00004F45" w:rsidRDefault="00913455" w:rsidP="00913455">
            <w:pPr>
              <w:shd w:val="clear" w:color="auto" w:fill="FFFFFF" w:themeFill="background1"/>
              <w:rPr>
                <w:rFonts w:ascii="Twinkl" w:hAnsi="Twinkl"/>
              </w:rPr>
            </w:pPr>
            <w:r w:rsidRPr="00004F45">
              <w:rPr>
                <w:rFonts w:ascii="Twinkl" w:hAnsi="Twinkl"/>
              </w:rPr>
              <w:t xml:space="preserve">All instances of disclosure should be reported immediately to the Child Protection Coordinator. </w:t>
            </w:r>
          </w:p>
          <w:p w14:paraId="5FF4A0E7" w14:textId="60CBDEB1" w:rsidR="00D111D2" w:rsidRDefault="00913455" w:rsidP="00971B30">
            <w:pPr>
              <w:shd w:val="clear" w:color="auto" w:fill="FFFFFF" w:themeFill="background1"/>
              <w:rPr>
                <w:rFonts w:ascii="Twinkl" w:hAnsi="Twinkl"/>
              </w:rPr>
            </w:pPr>
            <w:r w:rsidRPr="00004F45">
              <w:rPr>
                <w:rFonts w:ascii="Twinkl" w:hAnsi="Twinkl"/>
              </w:rPr>
              <w:t xml:space="preserve">If the Child Protection Coordinator is not available, seek advice from the Head Teacher or the Depute Child Protection Coordinator. </w:t>
            </w:r>
          </w:p>
          <w:p w14:paraId="30F6DA7C" w14:textId="77777777" w:rsidR="00D927FD" w:rsidRDefault="00D927FD" w:rsidP="00971B30">
            <w:pPr>
              <w:shd w:val="clear" w:color="auto" w:fill="FFFFFF" w:themeFill="background1"/>
              <w:rPr>
                <w:rFonts w:ascii="Twinkl" w:hAnsi="Twinkl"/>
              </w:rPr>
            </w:pPr>
          </w:p>
          <w:p w14:paraId="799B2BAC" w14:textId="4E903DFF" w:rsidR="00DA0A9A" w:rsidRDefault="00A60655" w:rsidP="00A60655">
            <w:pPr>
              <w:shd w:val="clear" w:color="auto" w:fill="FFFFFF" w:themeFill="background1"/>
              <w:rPr>
                <w:rFonts w:ascii="Twinkl" w:hAnsi="Twinkl"/>
                <w:b/>
                <w:bCs/>
              </w:rPr>
            </w:pPr>
            <w:r w:rsidRPr="00986DAA">
              <w:rPr>
                <w:rFonts w:ascii="Twinkl" w:hAnsi="Twinkl"/>
                <w:b/>
                <w:bCs/>
              </w:rPr>
              <w:t>Child Protection Coordinators</w:t>
            </w:r>
          </w:p>
          <w:p w14:paraId="13C88927" w14:textId="3E05BDE4" w:rsidR="00ED39C4" w:rsidRDefault="00DA0A9A" w:rsidP="00A60655">
            <w:pPr>
              <w:shd w:val="clear" w:color="auto" w:fill="FFFFFF" w:themeFill="background1"/>
              <w:rPr>
                <w:rFonts w:ascii="Twinkl" w:hAnsi="Twinkl"/>
                <w:b/>
                <w:bCs/>
              </w:rPr>
            </w:pPr>
            <w:r>
              <w:rPr>
                <w:noProof/>
              </w:rPr>
              <mc:AlternateContent>
                <mc:Choice Requires="wps">
                  <w:drawing>
                    <wp:inline distT="0" distB="0" distL="0" distR="0" wp14:anchorId="4A6F51E1" wp14:editId="5BD8587B">
                      <wp:extent cx="304800" cy="304800"/>
                      <wp:effectExtent l="0" t="0" r="0" b="0"/>
                      <wp:docPr id="776415402" name="Rectangl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4C8060" id="Rectangl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1F4D45" w14:textId="56D3F3D7" w:rsidR="001B5B66" w:rsidRDefault="00196CB5" w:rsidP="00A60655">
            <w:pPr>
              <w:shd w:val="clear" w:color="auto" w:fill="FFFFFF" w:themeFill="background1"/>
              <w:rPr>
                <w:rFonts w:ascii="Twinkl" w:hAnsi="Twinkl"/>
                <w:b/>
                <w:bCs/>
              </w:rPr>
            </w:pPr>
            <w:r>
              <w:rPr>
                <w:noProof/>
              </w:rPr>
              <w:drawing>
                <wp:anchor distT="0" distB="0" distL="114300" distR="114300" simplePos="0" relativeHeight="251662336" behindDoc="0" locked="0" layoutInCell="1" allowOverlap="1" wp14:anchorId="2007DC3E" wp14:editId="425BA233">
                  <wp:simplePos x="0" y="0"/>
                  <wp:positionH relativeFrom="column">
                    <wp:posOffset>3206750</wp:posOffset>
                  </wp:positionH>
                  <wp:positionV relativeFrom="paragraph">
                    <wp:posOffset>163195</wp:posOffset>
                  </wp:positionV>
                  <wp:extent cx="1623265" cy="2284095"/>
                  <wp:effectExtent l="0" t="0" r="0" b="1905"/>
                  <wp:wrapNone/>
                  <wp:docPr id="22981396" name="Picture 3" descr="A person smiling at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81396" name="Picture 3" descr="A person smiling at the camera&#10;&#10;AI-generated content may be incorrect."/>
                          <pic:cNvPicPr/>
                        </pic:nvPicPr>
                        <pic:blipFill rotWithShape="1">
                          <a:blip r:embed="rId9" cstate="print">
                            <a:extLst>
                              <a:ext uri="{28A0092B-C50C-407E-A947-70E740481C1C}">
                                <a14:useLocalDpi xmlns:a14="http://schemas.microsoft.com/office/drawing/2010/main" val="0"/>
                              </a:ext>
                            </a:extLst>
                          </a:blip>
                          <a:srcRect t="6203" b="14638"/>
                          <a:stretch/>
                        </pic:blipFill>
                        <pic:spPr bwMode="auto">
                          <a:xfrm>
                            <a:off x="0" y="0"/>
                            <a:ext cx="1623265" cy="2284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5B66" w:rsidRPr="00004F45">
              <w:rPr>
                <w:rFonts w:ascii="Twinkl" w:hAnsi="Twinkl"/>
                <w:noProof/>
                <w:color w:val="000000"/>
                <w:sz w:val="24"/>
                <w:szCs w:val="24"/>
              </w:rPr>
              <w:drawing>
                <wp:anchor distT="0" distB="0" distL="114300" distR="114300" simplePos="0" relativeHeight="251664384" behindDoc="0" locked="0" layoutInCell="1" allowOverlap="1" wp14:anchorId="3E2D8246" wp14:editId="612AB742">
                  <wp:simplePos x="0" y="0"/>
                  <wp:positionH relativeFrom="column">
                    <wp:posOffset>313055</wp:posOffset>
                  </wp:positionH>
                  <wp:positionV relativeFrom="paragraph">
                    <wp:posOffset>48895</wp:posOffset>
                  </wp:positionV>
                  <wp:extent cx="1828800" cy="2290445"/>
                  <wp:effectExtent l="0" t="0" r="0" b="0"/>
                  <wp:wrapSquare wrapText="bothSides"/>
                  <wp:docPr id="13547212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828800" cy="2290445"/>
                          </a:xfrm>
                          <a:prstGeom prst="rect">
                            <a:avLst/>
                          </a:prstGeom>
                          <a:noFill/>
                          <a:ln>
                            <a:noFill/>
                          </a:ln>
                        </pic:spPr>
                      </pic:pic>
                    </a:graphicData>
                  </a:graphic>
                </wp:anchor>
              </w:drawing>
            </w:r>
          </w:p>
          <w:p w14:paraId="21B8347D" w14:textId="4D8DDFEA" w:rsidR="001B5B66" w:rsidRDefault="001B5B66" w:rsidP="00A60655">
            <w:pPr>
              <w:shd w:val="clear" w:color="auto" w:fill="FFFFFF" w:themeFill="background1"/>
              <w:rPr>
                <w:rFonts w:ascii="Twinkl" w:hAnsi="Twinkl"/>
                <w:b/>
                <w:bCs/>
              </w:rPr>
            </w:pPr>
          </w:p>
          <w:p w14:paraId="4354A450" w14:textId="4C10C5EF" w:rsidR="009F6359" w:rsidRDefault="009F6359" w:rsidP="00A60655">
            <w:pPr>
              <w:shd w:val="clear" w:color="auto" w:fill="FFFFFF" w:themeFill="background1"/>
              <w:rPr>
                <w:rFonts w:ascii="Twinkl" w:hAnsi="Twinkl"/>
                <w:b/>
                <w:bCs/>
              </w:rPr>
            </w:pPr>
          </w:p>
          <w:p w14:paraId="15B7585D" w14:textId="38B7447C" w:rsidR="009F6359" w:rsidRDefault="009F6359" w:rsidP="00A60655">
            <w:pPr>
              <w:shd w:val="clear" w:color="auto" w:fill="FFFFFF" w:themeFill="background1"/>
              <w:rPr>
                <w:rFonts w:ascii="Twinkl" w:hAnsi="Twinkl"/>
                <w:b/>
                <w:bCs/>
              </w:rPr>
            </w:pPr>
          </w:p>
          <w:p w14:paraId="1D9DB12A" w14:textId="77777777" w:rsidR="009F6359" w:rsidRDefault="009F6359" w:rsidP="00A60655">
            <w:pPr>
              <w:shd w:val="clear" w:color="auto" w:fill="FFFFFF" w:themeFill="background1"/>
              <w:rPr>
                <w:rFonts w:ascii="Twinkl" w:hAnsi="Twinkl"/>
                <w:b/>
                <w:bCs/>
              </w:rPr>
            </w:pPr>
          </w:p>
          <w:p w14:paraId="024B0E6A" w14:textId="77777777" w:rsidR="009F6359" w:rsidRDefault="009F6359" w:rsidP="00A60655">
            <w:pPr>
              <w:shd w:val="clear" w:color="auto" w:fill="FFFFFF" w:themeFill="background1"/>
              <w:rPr>
                <w:rFonts w:ascii="Twinkl" w:hAnsi="Twinkl"/>
                <w:b/>
                <w:bCs/>
              </w:rPr>
            </w:pPr>
          </w:p>
          <w:p w14:paraId="0B6727D4" w14:textId="2A88C8EE" w:rsidR="009F6359" w:rsidRDefault="009F6359" w:rsidP="00A60655">
            <w:pPr>
              <w:shd w:val="clear" w:color="auto" w:fill="FFFFFF" w:themeFill="background1"/>
              <w:rPr>
                <w:rFonts w:ascii="Twinkl" w:hAnsi="Twinkl"/>
                <w:b/>
                <w:bCs/>
              </w:rPr>
            </w:pPr>
          </w:p>
          <w:p w14:paraId="49AEE122" w14:textId="77777777" w:rsidR="009F6359" w:rsidRDefault="009F6359" w:rsidP="00A60655">
            <w:pPr>
              <w:shd w:val="clear" w:color="auto" w:fill="FFFFFF" w:themeFill="background1"/>
              <w:rPr>
                <w:rFonts w:ascii="Twinkl" w:hAnsi="Twinkl"/>
                <w:b/>
                <w:bCs/>
              </w:rPr>
            </w:pPr>
          </w:p>
          <w:p w14:paraId="71666BA8" w14:textId="77777777" w:rsidR="009F6359" w:rsidRDefault="009F6359" w:rsidP="00A60655">
            <w:pPr>
              <w:shd w:val="clear" w:color="auto" w:fill="FFFFFF" w:themeFill="background1"/>
              <w:rPr>
                <w:rFonts w:ascii="Twinkl" w:hAnsi="Twinkl"/>
                <w:b/>
                <w:bCs/>
              </w:rPr>
            </w:pPr>
          </w:p>
          <w:p w14:paraId="1E2DA9FE" w14:textId="77777777" w:rsidR="009F6359" w:rsidRDefault="009F6359" w:rsidP="00A60655">
            <w:pPr>
              <w:shd w:val="clear" w:color="auto" w:fill="FFFFFF" w:themeFill="background1"/>
              <w:rPr>
                <w:rFonts w:ascii="Twinkl" w:hAnsi="Twinkl"/>
                <w:b/>
                <w:bCs/>
              </w:rPr>
            </w:pPr>
          </w:p>
          <w:p w14:paraId="093B909A" w14:textId="77777777" w:rsidR="009F6359" w:rsidRDefault="009F6359" w:rsidP="00A60655">
            <w:pPr>
              <w:shd w:val="clear" w:color="auto" w:fill="FFFFFF" w:themeFill="background1"/>
              <w:rPr>
                <w:rFonts w:ascii="Twinkl" w:hAnsi="Twinkl"/>
                <w:b/>
                <w:bCs/>
              </w:rPr>
            </w:pPr>
          </w:p>
          <w:p w14:paraId="6F4A40F3" w14:textId="77777777" w:rsidR="009F6359" w:rsidRDefault="009F6359" w:rsidP="00A60655">
            <w:pPr>
              <w:shd w:val="clear" w:color="auto" w:fill="FFFFFF" w:themeFill="background1"/>
              <w:rPr>
                <w:rFonts w:ascii="Twinkl" w:hAnsi="Twinkl"/>
                <w:b/>
                <w:bCs/>
              </w:rPr>
            </w:pPr>
          </w:p>
          <w:p w14:paraId="3FA0D8F4" w14:textId="77777777" w:rsidR="009F6359" w:rsidRDefault="009F6359" w:rsidP="00A60655">
            <w:pPr>
              <w:shd w:val="clear" w:color="auto" w:fill="FFFFFF" w:themeFill="background1"/>
              <w:rPr>
                <w:rFonts w:ascii="Twinkl" w:hAnsi="Twinkl"/>
                <w:b/>
                <w:bCs/>
              </w:rPr>
            </w:pPr>
          </w:p>
          <w:p w14:paraId="2C20966C" w14:textId="77777777" w:rsidR="009F6359" w:rsidRDefault="009F6359" w:rsidP="00A60655">
            <w:pPr>
              <w:shd w:val="clear" w:color="auto" w:fill="FFFFFF" w:themeFill="background1"/>
              <w:rPr>
                <w:rFonts w:ascii="Twinkl" w:hAnsi="Twinkl"/>
                <w:b/>
                <w:bCs/>
              </w:rPr>
            </w:pPr>
          </w:p>
          <w:p w14:paraId="23D6EAA7" w14:textId="77777777" w:rsidR="00A32D38" w:rsidRDefault="00A32D38" w:rsidP="00A60655">
            <w:pPr>
              <w:shd w:val="clear" w:color="auto" w:fill="FFFFFF" w:themeFill="background1"/>
              <w:rPr>
                <w:rFonts w:ascii="Twinkl" w:hAnsi="Twinkl"/>
                <w:b/>
                <w:bCs/>
              </w:rPr>
            </w:pPr>
          </w:p>
          <w:p w14:paraId="2761049A" w14:textId="79F459A9" w:rsidR="00196CB5" w:rsidRPr="00004F45" w:rsidRDefault="00196CB5" w:rsidP="00196CB5">
            <w:pPr>
              <w:shd w:val="clear" w:color="auto" w:fill="FFFFFF" w:themeFill="background1"/>
              <w:rPr>
                <w:rFonts w:ascii="Twinkl" w:hAnsi="Twinkl"/>
                <w:b/>
                <w:bCs/>
                <w:noProof/>
              </w:rPr>
            </w:pPr>
            <w:r>
              <w:rPr>
                <w:rFonts w:ascii="Twinkl" w:hAnsi="Twinkl"/>
                <w:b/>
                <w:bCs/>
                <w:noProof/>
              </w:rPr>
              <w:t xml:space="preserve">         </w:t>
            </w:r>
            <w:r w:rsidRPr="00004F45">
              <w:rPr>
                <w:rFonts w:ascii="Twinkl" w:hAnsi="Twinkl"/>
                <w:b/>
                <w:bCs/>
                <w:noProof/>
              </w:rPr>
              <w:t xml:space="preserve">Fiona McDougall  </w:t>
            </w:r>
            <w:r w:rsidRPr="00004F45">
              <w:rPr>
                <w:rFonts w:ascii="Twinkl" w:hAnsi="Twinkl"/>
                <w:b/>
                <w:bCs/>
                <w:noProof/>
              </w:rPr>
              <w:tab/>
            </w:r>
            <w:r w:rsidRPr="00004F45">
              <w:rPr>
                <w:rFonts w:ascii="Twinkl" w:hAnsi="Twinkl"/>
                <w:b/>
                <w:bCs/>
                <w:noProof/>
              </w:rPr>
              <w:tab/>
            </w:r>
            <w:r w:rsidRPr="00004F45">
              <w:rPr>
                <w:rFonts w:ascii="Twinkl" w:hAnsi="Twinkl"/>
                <w:b/>
                <w:bCs/>
                <w:noProof/>
              </w:rPr>
              <w:tab/>
            </w:r>
            <w:r w:rsidR="00507A7D">
              <w:rPr>
                <w:rFonts w:ascii="Twinkl" w:hAnsi="Twinkl"/>
                <w:b/>
                <w:bCs/>
                <w:noProof/>
              </w:rPr>
              <w:t xml:space="preserve">                 </w:t>
            </w:r>
            <w:r>
              <w:rPr>
                <w:rFonts w:ascii="Twinkl" w:hAnsi="Twinkl"/>
                <w:b/>
                <w:bCs/>
                <w:noProof/>
              </w:rPr>
              <w:t xml:space="preserve">Natalie Monteith </w:t>
            </w:r>
          </w:p>
          <w:p w14:paraId="4FFA5499" w14:textId="27C58153" w:rsidR="00196CB5" w:rsidRPr="00004F45" w:rsidRDefault="00507A7D" w:rsidP="00196CB5">
            <w:pPr>
              <w:shd w:val="clear" w:color="auto" w:fill="FFFFFF" w:themeFill="background1"/>
              <w:rPr>
                <w:rFonts w:ascii="Twinkl" w:hAnsi="Twinkl"/>
                <w:b/>
                <w:bCs/>
                <w:noProof/>
              </w:rPr>
            </w:pPr>
            <w:r>
              <w:rPr>
                <w:rFonts w:ascii="Twinkl" w:hAnsi="Twinkl"/>
                <w:b/>
                <w:bCs/>
                <w:noProof/>
              </w:rPr>
              <w:t xml:space="preserve">     </w:t>
            </w:r>
            <w:r w:rsidR="00196CB5" w:rsidRPr="00004F45">
              <w:rPr>
                <w:rFonts w:ascii="Twinkl" w:hAnsi="Twinkl"/>
                <w:b/>
                <w:bCs/>
                <w:noProof/>
              </w:rPr>
              <w:t>Child Protection Coordinator                      Depute Child Protection Coordinator</w:t>
            </w:r>
          </w:p>
          <w:p w14:paraId="6ADD3DF2" w14:textId="0AF29F10" w:rsidR="00A32D38" w:rsidRDefault="00A32D38" w:rsidP="00A60655">
            <w:pPr>
              <w:shd w:val="clear" w:color="auto" w:fill="FFFFFF" w:themeFill="background1"/>
              <w:rPr>
                <w:rFonts w:ascii="Twinkl" w:hAnsi="Twinkl"/>
                <w:b/>
                <w:bCs/>
              </w:rPr>
            </w:pPr>
          </w:p>
          <w:p w14:paraId="7B83B25A" w14:textId="31AC536C" w:rsidR="000E3301" w:rsidRPr="00004F45" w:rsidRDefault="000E3301" w:rsidP="000E3301">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The Child Protection Co-ordinator (CPC) at Culzean</w:t>
            </w:r>
            <w:r>
              <w:rPr>
                <w:rFonts w:ascii="Twinkl" w:hAnsi="Twinkl" w:cstheme="minorHAnsi"/>
                <w:sz w:val="22"/>
                <w:szCs w:val="22"/>
              </w:rPr>
              <w:t xml:space="preserve"> EYC,</w:t>
            </w:r>
            <w:r w:rsidRPr="00004F45">
              <w:rPr>
                <w:rFonts w:ascii="Twinkl" w:hAnsi="Twinkl" w:cstheme="minorHAnsi"/>
                <w:sz w:val="22"/>
                <w:szCs w:val="22"/>
              </w:rPr>
              <w:t xml:space="preserve"> has both general and </w:t>
            </w:r>
            <w:proofErr w:type="gramStart"/>
            <w:r w:rsidR="001B5B66">
              <w:rPr>
                <w:rFonts w:ascii="Twinkl" w:hAnsi="Twinkl" w:cstheme="minorHAnsi"/>
                <w:sz w:val="22"/>
                <w:szCs w:val="22"/>
              </w:rPr>
              <w:t>particula</w:t>
            </w:r>
            <w:r w:rsidRPr="00004F45">
              <w:rPr>
                <w:rFonts w:ascii="Twinkl" w:hAnsi="Twinkl" w:cstheme="minorHAnsi"/>
                <w:sz w:val="22"/>
                <w:szCs w:val="22"/>
              </w:rPr>
              <w:t>r responsibilities</w:t>
            </w:r>
            <w:proofErr w:type="gramEnd"/>
            <w:r w:rsidRPr="00004F45">
              <w:rPr>
                <w:rFonts w:ascii="Twinkl" w:hAnsi="Twinkl" w:cstheme="minorHAnsi"/>
                <w:sz w:val="22"/>
                <w:szCs w:val="22"/>
              </w:rPr>
              <w:t xml:space="preserve"> with regard to child protection, including to: </w:t>
            </w:r>
          </w:p>
          <w:p w14:paraId="065E2720" w14:textId="77777777" w:rsidR="000E3301" w:rsidRPr="00004F45" w:rsidRDefault="000E3301" w:rsidP="000E3301">
            <w:pPr>
              <w:pStyle w:val="Default"/>
              <w:shd w:val="clear" w:color="auto" w:fill="FFFFFF" w:themeFill="background1"/>
              <w:rPr>
                <w:rFonts w:ascii="Twinkl" w:hAnsi="Twinkl" w:cstheme="minorHAnsi"/>
                <w:sz w:val="22"/>
                <w:szCs w:val="22"/>
              </w:rPr>
            </w:pPr>
          </w:p>
          <w:p w14:paraId="650FB6FD" w14:textId="77AFE837" w:rsidR="000E3301" w:rsidRPr="00004F45" w:rsidRDefault="000E3301" w:rsidP="000E3301">
            <w:pPr>
              <w:pStyle w:val="Default"/>
              <w:numPr>
                <w:ilvl w:val="0"/>
                <w:numId w:val="13"/>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 xml:space="preserve">Co-ordinate action within the </w:t>
            </w:r>
            <w:r>
              <w:rPr>
                <w:rFonts w:ascii="Twinkl" w:hAnsi="Twinkl" w:cstheme="minorHAnsi"/>
                <w:sz w:val="22"/>
                <w:szCs w:val="22"/>
              </w:rPr>
              <w:t>EYC</w:t>
            </w:r>
            <w:r w:rsidRPr="00004F45">
              <w:rPr>
                <w:rFonts w:ascii="Twinkl" w:hAnsi="Twinkl" w:cstheme="minorHAnsi"/>
                <w:sz w:val="22"/>
                <w:szCs w:val="22"/>
              </w:rPr>
              <w:t xml:space="preserve"> in relation to specific children, about whom concerns have been raised.</w:t>
            </w:r>
          </w:p>
          <w:p w14:paraId="26EBE2E0" w14:textId="77777777" w:rsidR="000E3301" w:rsidRPr="00004F45" w:rsidRDefault="000E3301" w:rsidP="000E3301">
            <w:pPr>
              <w:pStyle w:val="Default"/>
              <w:numPr>
                <w:ilvl w:val="0"/>
                <w:numId w:val="13"/>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Liaise with other agencies, (e.g. Police, Social Work, Children’s Reporter, Health staff) on general issues relating to child protection.</w:t>
            </w:r>
          </w:p>
          <w:p w14:paraId="426B727B" w14:textId="77777777" w:rsidR="000E3301" w:rsidRPr="00004F45" w:rsidRDefault="000E3301" w:rsidP="000E3301">
            <w:pPr>
              <w:pStyle w:val="Default"/>
              <w:numPr>
                <w:ilvl w:val="0"/>
                <w:numId w:val="13"/>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Support investigations, Court proceedings, Children’s Hearings and case referrals or Significant Case Reviews.</w:t>
            </w:r>
          </w:p>
          <w:p w14:paraId="2F13C0FC" w14:textId="77777777" w:rsidR="000E3301" w:rsidRPr="00004F45" w:rsidRDefault="000E3301" w:rsidP="000E3301">
            <w:pPr>
              <w:pStyle w:val="Default"/>
              <w:numPr>
                <w:ilvl w:val="0"/>
                <w:numId w:val="13"/>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Listen and respond to general concerns raised by staff, children, young people and parents or carers in relation to child protection.</w:t>
            </w:r>
          </w:p>
          <w:p w14:paraId="23DF5765" w14:textId="77777777" w:rsidR="000E3301" w:rsidRPr="00004F45" w:rsidRDefault="000E3301" w:rsidP="000E3301">
            <w:pPr>
              <w:pStyle w:val="Default"/>
              <w:numPr>
                <w:ilvl w:val="0"/>
                <w:numId w:val="13"/>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Record in detail what the staff member has seen and heard.</w:t>
            </w:r>
          </w:p>
          <w:p w14:paraId="4A287AFC" w14:textId="77777777" w:rsidR="000E3301" w:rsidRPr="00004F45" w:rsidRDefault="000E3301" w:rsidP="000E3301">
            <w:pPr>
              <w:pStyle w:val="Default"/>
              <w:numPr>
                <w:ilvl w:val="0"/>
                <w:numId w:val="13"/>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Organise staff briefings and training on child protection and wellbeing, for the 'Specific Contact Workforce’ in accordance with the </w:t>
            </w:r>
            <w:hyperlink r:id="rId12" w:history="1">
              <w:r w:rsidRPr="00004F45">
                <w:rPr>
                  <w:rStyle w:val="Hyperlink"/>
                  <w:rFonts w:ascii="Twinkl" w:hAnsi="Twinkl" w:cstheme="minorHAnsi"/>
                  <w:sz w:val="22"/>
                  <w:szCs w:val="22"/>
                </w:rPr>
                <w:t>National Framework For Child Protection Learning And Development In Scotland Analysis Of Consultation Findings</w:t>
              </w:r>
            </w:hyperlink>
          </w:p>
          <w:p w14:paraId="0E02DF5B" w14:textId="2D200F0B" w:rsidR="000E3301" w:rsidRPr="00004F45" w:rsidRDefault="000E3301" w:rsidP="000E3301">
            <w:pPr>
              <w:pStyle w:val="Default"/>
              <w:numPr>
                <w:ilvl w:val="0"/>
                <w:numId w:val="13"/>
              </w:numPr>
              <w:shd w:val="clear" w:color="auto" w:fill="FFFFFF" w:themeFill="background1"/>
              <w:spacing w:after="31"/>
              <w:jc w:val="both"/>
              <w:rPr>
                <w:rFonts w:ascii="Twinkl" w:hAnsi="Twinkl" w:cstheme="minorHAnsi"/>
                <w:sz w:val="22"/>
                <w:szCs w:val="22"/>
              </w:rPr>
            </w:pPr>
            <w:r w:rsidRPr="00004F45">
              <w:rPr>
                <w:rFonts w:ascii="Twinkl" w:hAnsi="Twinkl" w:cstheme="minorHAnsi"/>
                <w:sz w:val="22"/>
                <w:szCs w:val="22"/>
              </w:rPr>
              <w:t xml:space="preserve">Oversee the planning of any curricular provision designed to give children the knowledge and skills to keep themselves safe from all forms of </w:t>
            </w:r>
            <w:proofErr w:type="gramStart"/>
            <w:r w:rsidRPr="00004F45">
              <w:rPr>
                <w:rFonts w:ascii="Twinkl" w:hAnsi="Twinkl" w:cstheme="minorHAnsi"/>
                <w:sz w:val="22"/>
                <w:szCs w:val="22"/>
              </w:rPr>
              <w:t>abuse;</w:t>
            </w:r>
            <w:proofErr w:type="gramEnd"/>
            <w:r w:rsidRPr="00004F45">
              <w:rPr>
                <w:rFonts w:ascii="Twinkl" w:hAnsi="Twinkl" w:cstheme="minorHAnsi"/>
                <w:sz w:val="22"/>
                <w:szCs w:val="22"/>
              </w:rPr>
              <w:t xml:space="preserve"> </w:t>
            </w:r>
          </w:p>
          <w:p w14:paraId="1F3F5651" w14:textId="77777777" w:rsidR="000E3301" w:rsidRPr="00004F45" w:rsidRDefault="000E3301" w:rsidP="000E3301">
            <w:pPr>
              <w:pStyle w:val="Default"/>
              <w:numPr>
                <w:ilvl w:val="0"/>
                <w:numId w:val="13"/>
              </w:numPr>
              <w:shd w:val="clear" w:color="auto" w:fill="FFFFFF" w:themeFill="background1"/>
              <w:spacing w:after="31"/>
              <w:jc w:val="both"/>
              <w:rPr>
                <w:rFonts w:ascii="Twinkl" w:hAnsi="Twinkl" w:cstheme="minorHAnsi"/>
                <w:sz w:val="22"/>
                <w:szCs w:val="22"/>
              </w:rPr>
            </w:pPr>
            <w:r w:rsidRPr="00004F45">
              <w:rPr>
                <w:rFonts w:ascii="Twinkl" w:hAnsi="Twinkl" w:cstheme="minorHAnsi"/>
                <w:sz w:val="22"/>
                <w:szCs w:val="22"/>
              </w:rPr>
              <w:t>Ensure accurate record keeping of all information, related to a child or young person’s wellbeing and protection is carefully recorded using a chronology of significant events, together with relevant documentation.</w:t>
            </w:r>
          </w:p>
          <w:p w14:paraId="5BDF1400" w14:textId="77777777" w:rsidR="000E3301" w:rsidRPr="00004F45" w:rsidRDefault="000E3301" w:rsidP="000E3301">
            <w:pPr>
              <w:pStyle w:val="Default"/>
              <w:numPr>
                <w:ilvl w:val="0"/>
                <w:numId w:val="13"/>
              </w:numPr>
              <w:shd w:val="clear" w:color="auto" w:fill="FFFFFF" w:themeFill="background1"/>
              <w:jc w:val="both"/>
              <w:rPr>
                <w:rFonts w:ascii="Twinkl" w:hAnsi="Twinkl" w:cstheme="minorHAnsi"/>
                <w:sz w:val="22"/>
                <w:szCs w:val="22"/>
              </w:rPr>
            </w:pPr>
            <w:r w:rsidRPr="00004F45">
              <w:rPr>
                <w:rFonts w:ascii="Twinkl" w:hAnsi="Twinkl" w:cstheme="minorHAnsi"/>
                <w:sz w:val="22"/>
                <w:szCs w:val="22"/>
              </w:rPr>
              <w:lastRenderedPageBreak/>
              <w:t xml:space="preserve">Ensure child protection files and all confidential sensitive and personal information are securely stored in accordance with up-to-date File Management Guidance and the </w:t>
            </w:r>
            <w:hyperlink r:id="rId13" w:history="1">
              <w:r w:rsidRPr="00004F45">
                <w:rPr>
                  <w:rStyle w:val="Hyperlink"/>
                  <w:rFonts w:ascii="Twinkl" w:hAnsi="Twinkl" w:cstheme="minorHAnsi"/>
                  <w:sz w:val="22"/>
                  <w:szCs w:val="22"/>
                </w:rPr>
                <w:t>Data Protection Act 2018</w:t>
              </w:r>
            </w:hyperlink>
            <w:r w:rsidRPr="00004F45">
              <w:rPr>
                <w:rFonts w:ascii="Twinkl" w:hAnsi="Twinkl" w:cstheme="minorHAnsi"/>
                <w:sz w:val="22"/>
                <w:szCs w:val="22"/>
              </w:rPr>
              <w:t xml:space="preserve"> and the </w:t>
            </w:r>
            <w:hyperlink r:id="rId14" w:history="1">
              <w:r w:rsidRPr="00004F45">
                <w:rPr>
                  <w:rStyle w:val="Hyperlink"/>
                  <w:rFonts w:ascii="Twinkl" w:hAnsi="Twinkl" w:cstheme="minorHAnsi"/>
                  <w:sz w:val="22"/>
                  <w:szCs w:val="22"/>
                </w:rPr>
                <w:t>UK GDPR guidance and resources | ICO</w:t>
              </w:r>
            </w:hyperlink>
          </w:p>
          <w:p w14:paraId="180F3525" w14:textId="77777777" w:rsidR="000E3301" w:rsidRPr="00004F45" w:rsidRDefault="000E3301" w:rsidP="000E3301">
            <w:pPr>
              <w:pStyle w:val="Default"/>
              <w:numPr>
                <w:ilvl w:val="0"/>
                <w:numId w:val="13"/>
              </w:numPr>
              <w:shd w:val="clear" w:color="auto" w:fill="FFFFFF" w:themeFill="background1"/>
              <w:spacing w:after="31"/>
              <w:rPr>
                <w:rFonts w:ascii="Twinkl" w:hAnsi="Twinkl" w:cstheme="minorHAnsi"/>
                <w:sz w:val="22"/>
                <w:szCs w:val="22"/>
              </w:rPr>
            </w:pPr>
            <w:r w:rsidRPr="00004F45">
              <w:rPr>
                <w:rFonts w:ascii="Twinkl" w:hAnsi="Twinkl" w:cstheme="minorHAnsi"/>
                <w:sz w:val="22"/>
                <w:szCs w:val="22"/>
              </w:rPr>
              <w:t>Ensure that all child protection chronologies are reviewed at least once every term.</w:t>
            </w:r>
          </w:p>
          <w:p w14:paraId="1A768A8F" w14:textId="77777777" w:rsidR="000E3301" w:rsidRPr="00004F45" w:rsidRDefault="000E3301" w:rsidP="000E3301">
            <w:pPr>
              <w:pStyle w:val="Default"/>
              <w:numPr>
                <w:ilvl w:val="0"/>
                <w:numId w:val="13"/>
              </w:numPr>
              <w:shd w:val="clear" w:color="auto" w:fill="FFFFFF" w:themeFill="background1"/>
              <w:rPr>
                <w:rFonts w:ascii="Twinkl" w:hAnsi="Twinkl" w:cstheme="minorHAnsi"/>
                <w:sz w:val="22"/>
                <w:szCs w:val="22"/>
              </w:rPr>
            </w:pPr>
            <w:r w:rsidRPr="00004F45">
              <w:rPr>
                <w:rFonts w:ascii="Twinkl" w:hAnsi="Twinkl" w:cstheme="minorHAnsi"/>
                <w:sz w:val="22"/>
                <w:szCs w:val="22"/>
              </w:rPr>
              <w:t xml:space="preserve">Whenever practicable, attend all Child Protection, multi-agency meetings and Children’s Hearings or delegate the Named Person to do so. </w:t>
            </w:r>
          </w:p>
          <w:p w14:paraId="3655162B" w14:textId="77777777" w:rsidR="00A60655" w:rsidRDefault="00A60655" w:rsidP="00A60655">
            <w:pPr>
              <w:shd w:val="clear" w:color="auto" w:fill="FFFFFF" w:themeFill="background1"/>
              <w:rPr>
                <w:rFonts w:ascii="Twinkl" w:hAnsi="Twinkl"/>
                <w:b/>
                <w:bCs/>
                <w:sz w:val="32"/>
                <w:szCs w:val="32"/>
              </w:rPr>
            </w:pPr>
          </w:p>
          <w:p w14:paraId="5BE19545" w14:textId="3EF58A01" w:rsidR="00C534DF" w:rsidRPr="007D5D31" w:rsidRDefault="00C534DF" w:rsidP="00C534DF">
            <w:pPr>
              <w:pStyle w:val="Default"/>
              <w:shd w:val="clear" w:color="auto" w:fill="FFFFFF" w:themeFill="background1"/>
              <w:rPr>
                <w:rFonts w:ascii="Twinkl" w:hAnsi="Twinkl" w:cstheme="minorHAnsi"/>
                <w:b/>
                <w:bCs/>
                <w:sz w:val="22"/>
                <w:szCs w:val="22"/>
              </w:rPr>
            </w:pPr>
            <w:r w:rsidRPr="007D5D31">
              <w:rPr>
                <w:rFonts w:ascii="Twinkl" w:hAnsi="Twinkl" w:cstheme="minorHAnsi"/>
                <w:b/>
                <w:bCs/>
                <w:sz w:val="22"/>
                <w:szCs w:val="22"/>
              </w:rPr>
              <w:t>Records and Chronologies</w:t>
            </w:r>
          </w:p>
          <w:p w14:paraId="78286B61" w14:textId="6AB877F4" w:rsidR="00C534DF" w:rsidRPr="00004F45" w:rsidRDefault="007D5D31" w:rsidP="00C534DF">
            <w:pPr>
              <w:pStyle w:val="Default"/>
              <w:shd w:val="clear" w:color="auto" w:fill="FFFFFF" w:themeFill="background1"/>
              <w:rPr>
                <w:rFonts w:ascii="Twinkl" w:hAnsi="Twinkl" w:cstheme="minorHAnsi"/>
                <w:sz w:val="22"/>
                <w:szCs w:val="22"/>
              </w:rPr>
            </w:pPr>
            <w:r>
              <w:rPr>
                <w:rFonts w:ascii="Twinkl" w:hAnsi="Twinkl" w:cstheme="minorHAnsi"/>
                <w:sz w:val="22"/>
                <w:szCs w:val="22"/>
              </w:rPr>
              <w:t>In</w:t>
            </w:r>
            <w:r w:rsidR="00C534DF" w:rsidRPr="00004F45">
              <w:rPr>
                <w:rFonts w:ascii="Twinkl" w:hAnsi="Twinkl" w:cstheme="minorHAnsi"/>
                <w:sz w:val="22"/>
                <w:szCs w:val="22"/>
              </w:rPr>
              <w:t xml:space="preserve"> Culzean </w:t>
            </w:r>
            <w:r w:rsidR="00C534DF">
              <w:rPr>
                <w:rFonts w:ascii="Twinkl" w:hAnsi="Twinkl" w:cstheme="minorHAnsi"/>
                <w:sz w:val="22"/>
                <w:szCs w:val="22"/>
              </w:rPr>
              <w:t>EYC</w:t>
            </w:r>
            <w:r w:rsidR="00C534DF" w:rsidRPr="00004F45">
              <w:rPr>
                <w:rFonts w:ascii="Twinkl" w:hAnsi="Twinkl" w:cstheme="minorHAnsi"/>
                <w:sz w:val="22"/>
                <w:szCs w:val="22"/>
              </w:rPr>
              <w:t xml:space="preserve">, Child Protection (CP), Pupils who are care experienced (LAC) or Additional Support Needs (ASN) files must be securely stored separately from a </w:t>
            </w:r>
            <w:proofErr w:type="gramStart"/>
            <w:r w:rsidR="00C534DF" w:rsidRPr="00004F45">
              <w:rPr>
                <w:rFonts w:ascii="Twinkl" w:hAnsi="Twinkl" w:cstheme="minorHAnsi"/>
                <w:sz w:val="22"/>
                <w:szCs w:val="22"/>
              </w:rPr>
              <w:t>pupils</w:t>
            </w:r>
            <w:proofErr w:type="gramEnd"/>
            <w:r w:rsidR="00C534DF" w:rsidRPr="00004F45">
              <w:rPr>
                <w:rFonts w:ascii="Twinkl" w:hAnsi="Twinkl" w:cstheme="minorHAnsi"/>
                <w:sz w:val="22"/>
                <w:szCs w:val="22"/>
              </w:rPr>
              <w:t xml:space="preserve"> Educational record (PPR) and clearly labelled on the front as “Confidential” with the child’s full name and date of birth. </w:t>
            </w:r>
          </w:p>
          <w:p w14:paraId="41AC56FC" w14:textId="77777777" w:rsidR="00C534DF" w:rsidRPr="00004F45" w:rsidRDefault="00C534DF" w:rsidP="00C534DF">
            <w:pPr>
              <w:pStyle w:val="Default"/>
              <w:shd w:val="clear" w:color="auto" w:fill="FFFFFF" w:themeFill="background1"/>
              <w:rPr>
                <w:rFonts w:ascii="Twinkl" w:hAnsi="Twinkl" w:cstheme="minorHAnsi"/>
                <w:sz w:val="22"/>
                <w:szCs w:val="22"/>
              </w:rPr>
            </w:pPr>
          </w:p>
          <w:p w14:paraId="0B91C702" w14:textId="4E4CF8B1" w:rsidR="00C534DF" w:rsidRPr="00004F45" w:rsidRDefault="00C534DF" w:rsidP="00C534DF">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A chronology should be at the front of the file and separate sections should be kept making for easy access to relevant reports. The Senior Leadership Team and Guidance staff must ensure a</w:t>
            </w:r>
            <w:r w:rsidR="0042749D">
              <w:rPr>
                <w:rFonts w:ascii="Twinkl" w:hAnsi="Twinkl" w:cstheme="minorHAnsi"/>
                <w:sz w:val="22"/>
                <w:szCs w:val="22"/>
              </w:rPr>
              <w:t xml:space="preserve"> secure, </w:t>
            </w:r>
            <w:r w:rsidRPr="00004F45">
              <w:rPr>
                <w:rFonts w:ascii="Twinkl" w:hAnsi="Twinkl" w:cstheme="minorHAnsi"/>
                <w:sz w:val="22"/>
                <w:szCs w:val="22"/>
              </w:rPr>
              <w:t xml:space="preserve">up to date and accurate chronology is kept for all </w:t>
            </w:r>
            <w:r w:rsidR="0042749D">
              <w:rPr>
                <w:rFonts w:ascii="Twinkl" w:hAnsi="Twinkl" w:cstheme="minorHAnsi"/>
                <w:sz w:val="22"/>
                <w:szCs w:val="22"/>
              </w:rPr>
              <w:t>children.</w:t>
            </w:r>
            <w:r w:rsidRPr="00004F45">
              <w:rPr>
                <w:rFonts w:ascii="Twinkl" w:hAnsi="Twinkl" w:cstheme="minorHAnsi"/>
                <w:sz w:val="22"/>
                <w:szCs w:val="22"/>
              </w:rPr>
              <w:t xml:space="preserve"> </w:t>
            </w:r>
          </w:p>
          <w:p w14:paraId="728C59D0" w14:textId="77777777" w:rsidR="00C534DF" w:rsidRDefault="00C534DF" w:rsidP="00C534DF">
            <w:pPr>
              <w:pStyle w:val="Default"/>
              <w:shd w:val="clear" w:color="auto" w:fill="FFFFFF" w:themeFill="background1"/>
              <w:rPr>
                <w:rFonts w:ascii="Twinkl" w:hAnsi="Twinkl" w:cstheme="minorHAnsi"/>
                <w:sz w:val="22"/>
                <w:szCs w:val="22"/>
              </w:rPr>
            </w:pPr>
          </w:p>
          <w:p w14:paraId="77C8A432" w14:textId="77777777" w:rsidR="00F05B04" w:rsidRPr="00F40389" w:rsidRDefault="00F05B04" w:rsidP="00F05B04">
            <w:pPr>
              <w:pStyle w:val="Default"/>
              <w:shd w:val="clear" w:color="auto" w:fill="FFFFFF" w:themeFill="background1"/>
              <w:rPr>
                <w:rFonts w:ascii="Twinkl" w:hAnsi="Twinkl" w:cstheme="minorHAnsi"/>
                <w:b/>
                <w:bCs/>
                <w:sz w:val="22"/>
                <w:szCs w:val="22"/>
              </w:rPr>
            </w:pPr>
            <w:r w:rsidRPr="00F40389">
              <w:rPr>
                <w:rFonts w:ascii="Twinkl" w:hAnsi="Twinkl" w:cstheme="minorHAnsi"/>
                <w:b/>
                <w:bCs/>
                <w:sz w:val="22"/>
                <w:szCs w:val="22"/>
              </w:rPr>
              <w:t>Safeguarding Protocols</w:t>
            </w:r>
          </w:p>
          <w:p w14:paraId="67500F84" w14:textId="77777777" w:rsidR="00F05B04" w:rsidRPr="00004F45" w:rsidRDefault="00F05B04" w:rsidP="00F05B04">
            <w:pPr>
              <w:pStyle w:val="Default"/>
              <w:shd w:val="clear" w:color="auto" w:fill="FFFFFF" w:themeFill="background1"/>
              <w:rPr>
                <w:rFonts w:ascii="Twinkl" w:hAnsi="Twinkl" w:cstheme="minorHAnsi"/>
                <w:sz w:val="22"/>
                <w:szCs w:val="22"/>
              </w:rPr>
            </w:pPr>
          </w:p>
          <w:p w14:paraId="057036D0" w14:textId="52416316" w:rsidR="00F05B04" w:rsidRPr="00004F45" w:rsidRDefault="00F05B04" w:rsidP="00F05B04">
            <w:pPr>
              <w:pStyle w:val="Default"/>
              <w:shd w:val="clear" w:color="auto" w:fill="FFFFFF" w:themeFill="background1"/>
              <w:rPr>
                <w:rFonts w:ascii="Twinkl" w:hAnsi="Twinkl" w:cstheme="minorHAnsi"/>
                <w:sz w:val="22"/>
                <w:szCs w:val="22"/>
                <w:u w:val="single"/>
              </w:rPr>
            </w:pPr>
            <w:r w:rsidRPr="00004F45">
              <w:rPr>
                <w:rFonts w:ascii="Twinkl" w:hAnsi="Twinkl" w:cstheme="minorHAnsi"/>
                <w:sz w:val="22"/>
                <w:szCs w:val="22"/>
                <w:u w:val="single"/>
              </w:rPr>
              <w:t xml:space="preserve">The </w:t>
            </w:r>
            <w:r>
              <w:rPr>
                <w:rFonts w:ascii="Twinkl" w:hAnsi="Twinkl" w:cstheme="minorHAnsi"/>
                <w:sz w:val="22"/>
                <w:szCs w:val="22"/>
                <w:u w:val="single"/>
              </w:rPr>
              <w:t>EYC</w:t>
            </w:r>
            <w:r w:rsidRPr="00004F45">
              <w:rPr>
                <w:rFonts w:ascii="Twinkl" w:hAnsi="Twinkl" w:cstheme="minorHAnsi"/>
                <w:sz w:val="22"/>
                <w:szCs w:val="22"/>
                <w:u w:val="single"/>
              </w:rPr>
              <w:t xml:space="preserve"> Building</w:t>
            </w:r>
          </w:p>
          <w:p w14:paraId="3CF386B4" w14:textId="77777777" w:rsidR="00F05B04" w:rsidRPr="00004F45" w:rsidRDefault="00F05B04" w:rsidP="00F05B04">
            <w:pPr>
              <w:pStyle w:val="Default"/>
              <w:shd w:val="clear" w:color="auto" w:fill="FFFFFF" w:themeFill="background1"/>
              <w:rPr>
                <w:rFonts w:ascii="Twinkl" w:hAnsi="Twinkl" w:cstheme="minorHAnsi"/>
                <w:sz w:val="22"/>
                <w:szCs w:val="22"/>
              </w:rPr>
            </w:pPr>
          </w:p>
          <w:p w14:paraId="6583899F" w14:textId="23BAEDC6" w:rsidR="00F05B04" w:rsidRPr="00004F45" w:rsidRDefault="00F05B04" w:rsidP="00F05B04">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Culzean </w:t>
            </w:r>
            <w:r>
              <w:rPr>
                <w:rFonts w:ascii="Twinkl" w:hAnsi="Twinkl" w:cstheme="minorHAnsi"/>
                <w:sz w:val="22"/>
                <w:szCs w:val="22"/>
              </w:rPr>
              <w:t>EYC</w:t>
            </w:r>
            <w:r w:rsidRPr="00004F45">
              <w:rPr>
                <w:rFonts w:ascii="Twinkl" w:hAnsi="Twinkl" w:cstheme="minorHAnsi"/>
                <w:sz w:val="22"/>
                <w:szCs w:val="22"/>
              </w:rPr>
              <w:t xml:space="preserve"> is a secure building. </w:t>
            </w:r>
            <w:r w:rsidR="00F40389">
              <w:rPr>
                <w:rFonts w:ascii="Twinkl" w:hAnsi="Twinkl" w:cstheme="minorHAnsi"/>
                <w:sz w:val="22"/>
                <w:szCs w:val="22"/>
              </w:rPr>
              <w:t xml:space="preserve">The </w:t>
            </w:r>
            <w:r w:rsidRPr="00004F45">
              <w:rPr>
                <w:rFonts w:ascii="Twinkl" w:hAnsi="Twinkl" w:cstheme="minorHAnsi"/>
                <w:sz w:val="22"/>
                <w:szCs w:val="22"/>
              </w:rPr>
              <w:t>main entrance</w:t>
            </w:r>
            <w:r>
              <w:rPr>
                <w:rFonts w:ascii="Twinkl" w:hAnsi="Twinkl" w:cstheme="minorHAnsi"/>
                <w:sz w:val="22"/>
                <w:szCs w:val="22"/>
              </w:rPr>
              <w:t xml:space="preserve"> is </w:t>
            </w:r>
            <w:r w:rsidRPr="00004F45">
              <w:rPr>
                <w:rFonts w:ascii="Twinkl" w:hAnsi="Twinkl" w:cstheme="minorHAnsi"/>
                <w:sz w:val="22"/>
                <w:szCs w:val="22"/>
              </w:rPr>
              <w:t xml:space="preserve">electronically </w:t>
            </w:r>
            <w:proofErr w:type="gramStart"/>
            <w:r w:rsidRPr="00004F45">
              <w:rPr>
                <w:rFonts w:ascii="Twinkl" w:hAnsi="Twinkl" w:cstheme="minorHAnsi"/>
                <w:sz w:val="22"/>
                <w:szCs w:val="22"/>
              </w:rPr>
              <w:t>locked</w:t>
            </w:r>
            <w:proofErr w:type="gramEnd"/>
            <w:r w:rsidRPr="00004F45">
              <w:rPr>
                <w:rFonts w:ascii="Twinkl" w:hAnsi="Twinkl" w:cstheme="minorHAnsi"/>
                <w:sz w:val="22"/>
                <w:szCs w:val="22"/>
              </w:rPr>
              <w:t xml:space="preserve"> and visitors have to buzz in using the door entry system. Visitors are required to sign in and out at reception. They are also issued with a visitor ID badge that must be </w:t>
            </w:r>
            <w:proofErr w:type="gramStart"/>
            <w:r w:rsidRPr="00004F45">
              <w:rPr>
                <w:rFonts w:ascii="Twinkl" w:hAnsi="Twinkl" w:cstheme="minorHAnsi"/>
                <w:sz w:val="22"/>
                <w:szCs w:val="22"/>
              </w:rPr>
              <w:t>worn at all times</w:t>
            </w:r>
            <w:proofErr w:type="gramEnd"/>
            <w:r w:rsidRPr="00004F45">
              <w:rPr>
                <w:rFonts w:ascii="Twinkl" w:hAnsi="Twinkl" w:cstheme="minorHAnsi"/>
                <w:sz w:val="22"/>
                <w:szCs w:val="22"/>
              </w:rPr>
              <w:t xml:space="preserve"> when they are in the building. </w:t>
            </w:r>
          </w:p>
          <w:p w14:paraId="47B8F077" w14:textId="77777777" w:rsidR="00F05B04" w:rsidRDefault="00F05B04" w:rsidP="00F05B04">
            <w:pPr>
              <w:pStyle w:val="Default"/>
              <w:shd w:val="clear" w:color="auto" w:fill="FFFFFF" w:themeFill="background1"/>
              <w:rPr>
                <w:rFonts w:ascii="Twinkl" w:hAnsi="Twinkl" w:cstheme="minorHAnsi"/>
                <w:sz w:val="22"/>
                <w:szCs w:val="22"/>
              </w:rPr>
            </w:pPr>
          </w:p>
          <w:p w14:paraId="1CEDDD46" w14:textId="581A44E8" w:rsidR="00F05B04" w:rsidRPr="00004F45" w:rsidRDefault="00F05B04" w:rsidP="00F05B04">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Our Campus Police Officer, PC McGinlay, will regularly patrol the area outside the </w:t>
            </w:r>
            <w:r w:rsidR="002848B3">
              <w:rPr>
                <w:rFonts w:ascii="Twinkl" w:hAnsi="Twinkl" w:cstheme="minorHAnsi"/>
                <w:sz w:val="22"/>
                <w:szCs w:val="22"/>
              </w:rPr>
              <w:t>EYC</w:t>
            </w:r>
            <w:r w:rsidRPr="00004F45">
              <w:rPr>
                <w:rFonts w:ascii="Twinkl" w:hAnsi="Twinkl" w:cstheme="minorHAnsi"/>
                <w:sz w:val="22"/>
                <w:szCs w:val="22"/>
              </w:rPr>
              <w:t xml:space="preserve">. She will monitor the interactions of the young people and liaise with </w:t>
            </w:r>
            <w:proofErr w:type="gramStart"/>
            <w:r w:rsidRPr="00004F45">
              <w:rPr>
                <w:rFonts w:ascii="Twinkl" w:hAnsi="Twinkl" w:cstheme="minorHAnsi"/>
                <w:sz w:val="22"/>
                <w:szCs w:val="22"/>
              </w:rPr>
              <w:t>local residents</w:t>
            </w:r>
            <w:proofErr w:type="gramEnd"/>
            <w:r w:rsidRPr="00004F45">
              <w:rPr>
                <w:rFonts w:ascii="Twinkl" w:hAnsi="Twinkl" w:cstheme="minorHAnsi"/>
                <w:sz w:val="22"/>
                <w:szCs w:val="22"/>
              </w:rPr>
              <w:t xml:space="preserve"> and businesses. </w:t>
            </w:r>
          </w:p>
          <w:p w14:paraId="6C4E8A50" w14:textId="77777777" w:rsidR="00F05B04" w:rsidRPr="00004F45" w:rsidRDefault="00F05B04" w:rsidP="00F05B04">
            <w:pPr>
              <w:pStyle w:val="Default"/>
              <w:shd w:val="clear" w:color="auto" w:fill="FFFFFF" w:themeFill="background1"/>
              <w:rPr>
                <w:rFonts w:ascii="Twinkl" w:hAnsi="Twinkl" w:cstheme="minorHAnsi"/>
                <w:sz w:val="22"/>
                <w:szCs w:val="22"/>
              </w:rPr>
            </w:pPr>
          </w:p>
          <w:p w14:paraId="1C1D0EA2" w14:textId="597B99CC" w:rsidR="00F05B04" w:rsidRPr="00004F45" w:rsidRDefault="00F05B04" w:rsidP="00F05B04">
            <w:pPr>
              <w:pStyle w:val="Default"/>
              <w:shd w:val="clear" w:color="auto" w:fill="FFFFFF" w:themeFill="background1"/>
              <w:rPr>
                <w:rFonts w:ascii="Twinkl" w:hAnsi="Twinkl" w:cstheme="minorHAnsi"/>
                <w:sz w:val="22"/>
                <w:szCs w:val="22"/>
                <w:u w:val="single"/>
              </w:rPr>
            </w:pPr>
            <w:r w:rsidRPr="00004F45">
              <w:rPr>
                <w:rFonts w:ascii="Twinkl" w:hAnsi="Twinkl" w:cstheme="minorHAnsi"/>
                <w:sz w:val="22"/>
                <w:szCs w:val="22"/>
                <w:u w:val="single"/>
              </w:rPr>
              <w:t xml:space="preserve">Non-Culzean </w:t>
            </w:r>
            <w:r w:rsidR="00F40389">
              <w:rPr>
                <w:rFonts w:ascii="Twinkl" w:hAnsi="Twinkl" w:cstheme="minorHAnsi"/>
                <w:sz w:val="22"/>
                <w:szCs w:val="22"/>
                <w:u w:val="single"/>
              </w:rPr>
              <w:t>EYC</w:t>
            </w:r>
            <w:r w:rsidRPr="00004F45">
              <w:rPr>
                <w:rFonts w:ascii="Twinkl" w:hAnsi="Twinkl" w:cstheme="minorHAnsi"/>
                <w:sz w:val="22"/>
                <w:szCs w:val="22"/>
                <w:u w:val="single"/>
              </w:rPr>
              <w:t xml:space="preserve"> Staff and Volunteers</w:t>
            </w:r>
          </w:p>
          <w:p w14:paraId="21C7222A" w14:textId="77777777" w:rsidR="00F05B04" w:rsidRPr="00004F45" w:rsidRDefault="00F05B04" w:rsidP="00F05B04">
            <w:pPr>
              <w:pStyle w:val="Default"/>
              <w:shd w:val="clear" w:color="auto" w:fill="FFFFFF" w:themeFill="background1"/>
              <w:rPr>
                <w:rFonts w:ascii="Twinkl" w:hAnsi="Twinkl" w:cstheme="minorHAnsi"/>
                <w:sz w:val="22"/>
                <w:szCs w:val="22"/>
              </w:rPr>
            </w:pPr>
          </w:p>
          <w:p w14:paraId="6F765968" w14:textId="6770CF1B" w:rsidR="00F05B04" w:rsidRPr="00004F45" w:rsidRDefault="00F05B04" w:rsidP="00F05B04">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Any person working with our </w:t>
            </w:r>
            <w:r w:rsidR="00182198">
              <w:rPr>
                <w:rFonts w:ascii="Twinkl" w:hAnsi="Twinkl" w:cstheme="minorHAnsi"/>
                <w:sz w:val="22"/>
                <w:szCs w:val="22"/>
              </w:rPr>
              <w:t>children</w:t>
            </w:r>
            <w:r w:rsidRPr="00004F45">
              <w:rPr>
                <w:rFonts w:ascii="Twinkl" w:hAnsi="Twinkl" w:cstheme="minorHAnsi"/>
                <w:sz w:val="22"/>
                <w:szCs w:val="22"/>
              </w:rPr>
              <w:t xml:space="preserve"> will be subject to vetting procedures and a disclosure undertaken. </w:t>
            </w:r>
          </w:p>
          <w:p w14:paraId="2A50D4CE" w14:textId="77777777" w:rsidR="00F05B04" w:rsidRPr="00004F45" w:rsidRDefault="00F05B04" w:rsidP="00F05B04">
            <w:pPr>
              <w:pStyle w:val="Default"/>
              <w:shd w:val="clear" w:color="auto" w:fill="FFFFFF" w:themeFill="background1"/>
              <w:rPr>
                <w:rFonts w:ascii="Twinkl" w:hAnsi="Twinkl" w:cstheme="minorHAnsi"/>
                <w:sz w:val="22"/>
                <w:szCs w:val="22"/>
              </w:rPr>
            </w:pPr>
          </w:p>
          <w:p w14:paraId="7A00BD92" w14:textId="77777777" w:rsidR="00F05B04" w:rsidRPr="00004F45" w:rsidRDefault="00F05B04" w:rsidP="00F05B04">
            <w:pPr>
              <w:pStyle w:val="Default"/>
              <w:shd w:val="clear" w:color="auto" w:fill="FFFFFF" w:themeFill="background1"/>
              <w:rPr>
                <w:rFonts w:ascii="Twinkl" w:hAnsi="Twinkl" w:cstheme="minorHAnsi"/>
                <w:sz w:val="22"/>
                <w:szCs w:val="22"/>
                <w:u w:val="single"/>
              </w:rPr>
            </w:pPr>
            <w:r w:rsidRPr="00004F45">
              <w:rPr>
                <w:rFonts w:ascii="Twinkl" w:hAnsi="Twinkl" w:cstheme="minorHAnsi"/>
                <w:sz w:val="22"/>
                <w:szCs w:val="22"/>
                <w:u w:val="single"/>
              </w:rPr>
              <w:t>Technology and Online Safety</w:t>
            </w:r>
          </w:p>
          <w:p w14:paraId="097588F9" w14:textId="77777777" w:rsidR="00F05B04" w:rsidRPr="00004F45" w:rsidRDefault="00F05B04" w:rsidP="00F05B04">
            <w:pPr>
              <w:pStyle w:val="Default"/>
              <w:shd w:val="clear" w:color="auto" w:fill="FFFFFF" w:themeFill="background1"/>
              <w:rPr>
                <w:rFonts w:ascii="Twinkl" w:hAnsi="Twinkl" w:cstheme="minorHAnsi"/>
                <w:sz w:val="22"/>
                <w:szCs w:val="22"/>
              </w:rPr>
            </w:pPr>
          </w:p>
          <w:p w14:paraId="7D14608A" w14:textId="66C7C8F7" w:rsidR="00F05B04" w:rsidRDefault="00F05B04" w:rsidP="00F05B04">
            <w:pPr>
              <w:pStyle w:val="Default"/>
              <w:shd w:val="clear" w:color="auto" w:fill="FFFFFF" w:themeFill="background1"/>
              <w:rPr>
                <w:rFonts w:ascii="Twinkl" w:hAnsi="Twinkl" w:cstheme="minorHAnsi"/>
                <w:sz w:val="22"/>
                <w:szCs w:val="22"/>
              </w:rPr>
            </w:pPr>
            <w:r w:rsidRPr="00004F45">
              <w:rPr>
                <w:rFonts w:ascii="Twinkl" w:hAnsi="Twinkl" w:cstheme="minorHAnsi"/>
                <w:sz w:val="22"/>
                <w:szCs w:val="22"/>
              </w:rPr>
              <w:t xml:space="preserve">Parents and carers must complete a consent form that allows them to consent or to withhold consent for their child to be photographed or videoed. Staff should not use images or videos unless express permission has been sought and obtained. All photographs and videos should be stored securely and deleted when no longer needed. </w:t>
            </w:r>
          </w:p>
          <w:p w14:paraId="371F7E36" w14:textId="7D43469F" w:rsidR="006C063D" w:rsidRDefault="006C063D" w:rsidP="00F05B04">
            <w:pPr>
              <w:pStyle w:val="Default"/>
              <w:shd w:val="clear" w:color="auto" w:fill="FFFFFF" w:themeFill="background1"/>
              <w:rPr>
                <w:rFonts w:ascii="Twinkl" w:hAnsi="Twinkl" w:cstheme="minorHAnsi"/>
                <w:sz w:val="22"/>
                <w:szCs w:val="22"/>
              </w:rPr>
            </w:pPr>
          </w:p>
          <w:p w14:paraId="1D801EAD" w14:textId="6366ADD3" w:rsidR="006C063D" w:rsidRDefault="00F40389" w:rsidP="00F40389">
            <w:pPr>
              <w:shd w:val="clear" w:color="auto" w:fill="FFFFFF" w:themeFill="background1"/>
              <w:rPr>
                <w:rFonts w:ascii="Twinkl" w:hAnsi="Twinkl" w:cstheme="minorHAnsi"/>
              </w:rPr>
            </w:pPr>
            <w:r w:rsidRPr="00F40389">
              <w:rPr>
                <w:rFonts w:ascii="Twinkl" w:hAnsi="Twinkl"/>
                <w:b/>
                <w:bCs/>
              </w:rPr>
              <w:t xml:space="preserve">Child Concern </w:t>
            </w:r>
          </w:p>
          <w:p w14:paraId="11C89528" w14:textId="610C7431" w:rsidR="00F05B04" w:rsidRPr="00004F45" w:rsidRDefault="00F40389" w:rsidP="00F05B04">
            <w:pPr>
              <w:pStyle w:val="Default"/>
              <w:shd w:val="clear" w:color="auto" w:fill="FFFFFF" w:themeFill="background1"/>
              <w:rPr>
                <w:rFonts w:ascii="Twinkl" w:hAnsi="Twinkl" w:cstheme="minorHAnsi"/>
                <w:sz w:val="22"/>
                <w:szCs w:val="22"/>
              </w:rPr>
            </w:pPr>
            <w:r w:rsidRPr="00004F45">
              <w:rPr>
                <w:rFonts w:ascii="Twinkl" w:hAnsi="Twinkl"/>
                <w:noProof/>
              </w:rPr>
              <w:drawing>
                <wp:anchor distT="0" distB="0" distL="114300" distR="114300" simplePos="0" relativeHeight="251661312" behindDoc="0" locked="0" layoutInCell="1" allowOverlap="1" wp14:anchorId="0ED1F9D5" wp14:editId="0987A20E">
                  <wp:simplePos x="0" y="0"/>
                  <wp:positionH relativeFrom="margin">
                    <wp:posOffset>615950</wp:posOffset>
                  </wp:positionH>
                  <wp:positionV relativeFrom="paragraph">
                    <wp:posOffset>43180</wp:posOffset>
                  </wp:positionV>
                  <wp:extent cx="3854450" cy="1489083"/>
                  <wp:effectExtent l="0" t="0" r="0" b="0"/>
                  <wp:wrapNone/>
                  <wp:docPr id="96572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20605"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54450" cy="1489083"/>
                          </a:xfrm>
                          <a:prstGeom prst="rect">
                            <a:avLst/>
                          </a:prstGeom>
                        </pic:spPr>
                      </pic:pic>
                    </a:graphicData>
                  </a:graphic>
                  <wp14:sizeRelH relativeFrom="page">
                    <wp14:pctWidth>0</wp14:pctWidth>
                  </wp14:sizeRelH>
                  <wp14:sizeRelV relativeFrom="page">
                    <wp14:pctHeight>0</wp14:pctHeight>
                  </wp14:sizeRelV>
                </wp:anchor>
              </w:drawing>
            </w:r>
          </w:p>
          <w:p w14:paraId="5F01D6B1" w14:textId="362C6E97" w:rsidR="00EF5D3B" w:rsidRPr="00004F45" w:rsidRDefault="00EF5D3B" w:rsidP="00A60655">
            <w:pPr>
              <w:shd w:val="clear" w:color="auto" w:fill="FFFFFF" w:themeFill="background1"/>
              <w:rPr>
                <w:rFonts w:ascii="Twinkl" w:hAnsi="Twinkl"/>
                <w:b/>
                <w:bCs/>
                <w:sz w:val="32"/>
                <w:szCs w:val="32"/>
              </w:rPr>
            </w:pPr>
          </w:p>
          <w:p w14:paraId="752A07B9" w14:textId="77777777" w:rsidR="00D927FD" w:rsidRDefault="00D927FD" w:rsidP="00971B30">
            <w:pPr>
              <w:shd w:val="clear" w:color="auto" w:fill="FFFFFF" w:themeFill="background1"/>
              <w:rPr>
                <w:rFonts w:ascii="Twinkl" w:hAnsi="Twinkl"/>
              </w:rPr>
            </w:pPr>
          </w:p>
          <w:p w14:paraId="3BF4E659" w14:textId="77777777" w:rsidR="00681900" w:rsidRDefault="00681900" w:rsidP="00971B30">
            <w:pPr>
              <w:shd w:val="clear" w:color="auto" w:fill="FFFFFF" w:themeFill="background1"/>
              <w:rPr>
                <w:rFonts w:ascii="Twinkl" w:hAnsi="Twinkl"/>
              </w:rPr>
            </w:pPr>
          </w:p>
          <w:p w14:paraId="513DB61F" w14:textId="77777777" w:rsidR="00681900" w:rsidRDefault="00681900" w:rsidP="00971B30">
            <w:pPr>
              <w:shd w:val="clear" w:color="auto" w:fill="FFFFFF" w:themeFill="background1"/>
              <w:rPr>
                <w:rFonts w:ascii="Twinkl" w:hAnsi="Twinkl"/>
              </w:rPr>
            </w:pPr>
          </w:p>
          <w:p w14:paraId="2E28A853" w14:textId="77777777" w:rsidR="00681900" w:rsidRDefault="00681900" w:rsidP="00971B30">
            <w:pPr>
              <w:shd w:val="clear" w:color="auto" w:fill="FFFFFF" w:themeFill="background1"/>
              <w:rPr>
                <w:rFonts w:ascii="Twinkl" w:hAnsi="Twinkl"/>
              </w:rPr>
            </w:pPr>
          </w:p>
          <w:p w14:paraId="49B4426B" w14:textId="77777777" w:rsidR="00681900" w:rsidRDefault="00681900" w:rsidP="00971B30">
            <w:pPr>
              <w:shd w:val="clear" w:color="auto" w:fill="FFFFFF" w:themeFill="background1"/>
              <w:rPr>
                <w:rFonts w:ascii="Twinkl" w:hAnsi="Twinkl"/>
              </w:rPr>
            </w:pPr>
          </w:p>
          <w:p w14:paraId="6DF894DC" w14:textId="77777777" w:rsidR="00681900" w:rsidRDefault="00681900" w:rsidP="00971B30">
            <w:pPr>
              <w:shd w:val="clear" w:color="auto" w:fill="FFFFFF" w:themeFill="background1"/>
              <w:rPr>
                <w:rFonts w:ascii="Twinkl" w:hAnsi="Twinkl"/>
              </w:rPr>
            </w:pPr>
          </w:p>
          <w:p w14:paraId="123C6078" w14:textId="77777777" w:rsidR="00681900" w:rsidRDefault="00681900" w:rsidP="00971B30">
            <w:pPr>
              <w:shd w:val="clear" w:color="auto" w:fill="FFFFFF" w:themeFill="background1"/>
              <w:rPr>
                <w:rFonts w:ascii="Twinkl" w:hAnsi="Twinkl"/>
              </w:rPr>
            </w:pPr>
          </w:p>
          <w:p w14:paraId="0714BB9D" w14:textId="77777777" w:rsidR="00681900" w:rsidRDefault="00681900" w:rsidP="00971B30">
            <w:pPr>
              <w:shd w:val="clear" w:color="auto" w:fill="FFFFFF" w:themeFill="background1"/>
              <w:rPr>
                <w:rFonts w:ascii="Twinkl" w:hAnsi="Twinkl"/>
              </w:rPr>
            </w:pPr>
          </w:p>
          <w:p w14:paraId="01D7744D" w14:textId="43917D24" w:rsidR="00681900" w:rsidRPr="00F40389" w:rsidRDefault="00681900" w:rsidP="00971B30">
            <w:pPr>
              <w:shd w:val="clear" w:color="auto" w:fill="FFFFFF" w:themeFill="background1"/>
              <w:rPr>
                <w:rFonts w:ascii="Twinkl" w:hAnsi="Twinkl"/>
                <w:b/>
                <w:bCs/>
              </w:rPr>
            </w:pPr>
            <w:r w:rsidRPr="00F40389">
              <w:rPr>
                <w:rFonts w:ascii="Twinkl" w:hAnsi="Twinkl"/>
                <w:b/>
                <w:bCs/>
              </w:rPr>
              <w:lastRenderedPageBreak/>
              <w:t xml:space="preserve">Child Concern Flowchart </w:t>
            </w:r>
          </w:p>
          <w:p w14:paraId="302CA76E" w14:textId="4F19BFD9" w:rsidR="00971B30" w:rsidRDefault="00681900" w:rsidP="00681900">
            <w:pPr>
              <w:shd w:val="clear" w:color="auto" w:fill="FFFFFF" w:themeFill="background1"/>
              <w:tabs>
                <w:tab w:val="left" w:pos="2342"/>
              </w:tabs>
              <w:rPr>
                <w:rFonts w:ascii="Twinkl" w:hAnsi="Twinkl"/>
              </w:rPr>
            </w:pPr>
            <w:r>
              <w:rPr>
                <w:rFonts w:ascii="Twinkl" w:hAnsi="Twinkl"/>
              </w:rPr>
              <w:tab/>
            </w:r>
          </w:p>
          <w:p w14:paraId="3DE4DBB0" w14:textId="248818C3" w:rsidR="00681900" w:rsidRDefault="009A6582" w:rsidP="009A6582">
            <w:pPr>
              <w:shd w:val="clear" w:color="auto" w:fill="FFFFFF" w:themeFill="background1"/>
              <w:tabs>
                <w:tab w:val="left" w:pos="2342"/>
              </w:tabs>
              <w:rPr>
                <w:rFonts w:ascii="Twinkl" w:hAnsi="Twinkl"/>
              </w:rPr>
            </w:pPr>
            <w:r>
              <w:rPr>
                <w:noProof/>
              </w:rPr>
              <w:drawing>
                <wp:inline distT="0" distB="0" distL="0" distR="0" wp14:anchorId="5C1DBE55" wp14:editId="4483AD3C">
                  <wp:extent cx="5088890" cy="7204075"/>
                  <wp:effectExtent l="0" t="0" r="0" b="0"/>
                  <wp:docPr id="430215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8890" cy="7204075"/>
                          </a:xfrm>
                          <a:prstGeom prst="rect">
                            <a:avLst/>
                          </a:prstGeom>
                          <a:noFill/>
                          <a:ln>
                            <a:noFill/>
                          </a:ln>
                        </pic:spPr>
                      </pic:pic>
                    </a:graphicData>
                  </a:graphic>
                </wp:inline>
              </w:drawing>
            </w:r>
          </w:p>
          <w:p w14:paraId="36316788" w14:textId="77777777" w:rsidR="00DA29EF" w:rsidRDefault="00DA29EF" w:rsidP="00971B30">
            <w:pPr>
              <w:shd w:val="clear" w:color="auto" w:fill="FFFFFF" w:themeFill="background1"/>
              <w:rPr>
                <w:rFonts w:ascii="Twinkl" w:hAnsi="Twinkl"/>
              </w:rPr>
            </w:pPr>
          </w:p>
          <w:p w14:paraId="7632AFCB" w14:textId="2078D5FA" w:rsidR="00DA29EF" w:rsidRPr="00971B30" w:rsidRDefault="00DA29EF" w:rsidP="00971B30">
            <w:pPr>
              <w:shd w:val="clear" w:color="auto" w:fill="FFFFFF" w:themeFill="background1"/>
              <w:rPr>
                <w:rFonts w:ascii="Twinkl" w:hAnsi="Twinkl"/>
              </w:rPr>
            </w:pPr>
          </w:p>
        </w:tc>
      </w:tr>
      <w:tr w:rsidR="00010B29" w:rsidRPr="00D111D2" w14:paraId="7632AFD1" w14:textId="77777777" w:rsidTr="00900013">
        <w:trPr>
          <w:trHeight w:val="534"/>
        </w:trPr>
        <w:tc>
          <w:tcPr>
            <w:tcW w:w="1767" w:type="dxa"/>
            <w:vMerge w:val="restart"/>
          </w:tcPr>
          <w:p w14:paraId="7632AFCD" w14:textId="77777777" w:rsidR="00010B29" w:rsidRPr="00D111D2" w:rsidRDefault="00010B29" w:rsidP="00D111D2">
            <w:pPr>
              <w:rPr>
                <w:rFonts w:ascii="Twinkl" w:hAnsi="Twinkl"/>
              </w:rPr>
            </w:pPr>
            <w:r w:rsidRPr="00D111D2">
              <w:rPr>
                <w:rFonts w:ascii="Twinkl" w:hAnsi="Twinkl"/>
              </w:rPr>
              <w:lastRenderedPageBreak/>
              <w:t>Review</w:t>
            </w:r>
          </w:p>
        </w:tc>
        <w:tc>
          <w:tcPr>
            <w:tcW w:w="7159" w:type="dxa"/>
            <w:vMerge w:val="restart"/>
          </w:tcPr>
          <w:p w14:paraId="7632AFCE" w14:textId="20E6EC16" w:rsidR="00010B29" w:rsidRPr="00D111D2" w:rsidRDefault="00010B29" w:rsidP="00D111D2">
            <w:pPr>
              <w:rPr>
                <w:rFonts w:ascii="Twinkl" w:hAnsi="Twinkl" w:cs="Arial"/>
              </w:rPr>
            </w:pPr>
            <w:r w:rsidRPr="00D111D2">
              <w:rPr>
                <w:rFonts w:ascii="Twinkl" w:hAnsi="Twinkl" w:cs="Arial"/>
              </w:rPr>
              <w:t xml:space="preserve">This policy will be reviewed annually or as required </w:t>
            </w:r>
            <w:proofErr w:type="gramStart"/>
            <w:r w:rsidRPr="00D111D2">
              <w:rPr>
                <w:rFonts w:ascii="Twinkl" w:hAnsi="Twinkl" w:cs="Arial"/>
              </w:rPr>
              <w:t>in light of</w:t>
            </w:r>
            <w:proofErr w:type="gramEnd"/>
            <w:r w:rsidRPr="00D111D2">
              <w:rPr>
                <w:rFonts w:ascii="Twinkl" w:hAnsi="Twinkl" w:cs="Arial"/>
              </w:rPr>
              <w:t xml:space="preserve"> experience or any new national/local </w:t>
            </w:r>
            <w:r w:rsidR="0079165C" w:rsidRPr="00D111D2">
              <w:rPr>
                <w:rFonts w:ascii="Twinkl" w:hAnsi="Twinkl" w:cs="Arial"/>
              </w:rPr>
              <w:t>initiatives.</w:t>
            </w:r>
          </w:p>
          <w:p w14:paraId="7632AFCF" w14:textId="77777777" w:rsidR="00010B29" w:rsidRPr="00D111D2" w:rsidRDefault="00010B29" w:rsidP="00D111D2">
            <w:pPr>
              <w:rPr>
                <w:rFonts w:ascii="Twinkl" w:hAnsi="Twinkl"/>
                <w:color w:val="000000"/>
              </w:rPr>
            </w:pPr>
            <w:r w:rsidRPr="00D111D2">
              <w:rPr>
                <w:rFonts w:ascii="Twinkl" w:hAnsi="Twinkl" w:cs="Arial"/>
              </w:rPr>
              <w:t xml:space="preserve">                 </w:t>
            </w:r>
          </w:p>
        </w:tc>
        <w:tc>
          <w:tcPr>
            <w:tcW w:w="1748" w:type="dxa"/>
          </w:tcPr>
          <w:p w14:paraId="7632AFD0" w14:textId="77777777" w:rsidR="00010B29" w:rsidRPr="00D111D2" w:rsidRDefault="00010B29" w:rsidP="00D111D2">
            <w:pPr>
              <w:rPr>
                <w:rFonts w:ascii="Twinkl" w:hAnsi="Twinkl"/>
                <w:color w:val="000000"/>
              </w:rPr>
            </w:pPr>
            <w:r>
              <w:rPr>
                <w:rFonts w:ascii="Twinkl" w:hAnsi="Twinkl"/>
                <w:color w:val="000000"/>
              </w:rPr>
              <w:t xml:space="preserve">Date - </w:t>
            </w:r>
            <w:r w:rsidRPr="00D111D2">
              <w:rPr>
                <w:rFonts w:ascii="Twinkl" w:hAnsi="Twinkl"/>
                <w:color w:val="000000"/>
              </w:rPr>
              <w:t>August 2023</w:t>
            </w:r>
          </w:p>
        </w:tc>
      </w:tr>
      <w:tr w:rsidR="00526D72" w:rsidRPr="00D111D2" w14:paraId="14195AC2" w14:textId="77777777" w:rsidTr="00900013">
        <w:trPr>
          <w:trHeight w:val="534"/>
        </w:trPr>
        <w:tc>
          <w:tcPr>
            <w:tcW w:w="1767" w:type="dxa"/>
            <w:vMerge/>
          </w:tcPr>
          <w:p w14:paraId="4A4763FF" w14:textId="77777777" w:rsidR="00526D72" w:rsidRPr="00D111D2" w:rsidRDefault="00526D72" w:rsidP="00D111D2">
            <w:pPr>
              <w:rPr>
                <w:rFonts w:ascii="Twinkl" w:hAnsi="Twinkl"/>
              </w:rPr>
            </w:pPr>
          </w:p>
        </w:tc>
        <w:tc>
          <w:tcPr>
            <w:tcW w:w="7159" w:type="dxa"/>
            <w:vMerge/>
          </w:tcPr>
          <w:p w14:paraId="2FD406BA" w14:textId="77777777" w:rsidR="00526D72" w:rsidRPr="00D111D2" w:rsidRDefault="00526D72" w:rsidP="00D111D2">
            <w:pPr>
              <w:rPr>
                <w:rFonts w:ascii="Twinkl" w:hAnsi="Twinkl" w:cs="Arial"/>
              </w:rPr>
            </w:pPr>
          </w:p>
        </w:tc>
        <w:tc>
          <w:tcPr>
            <w:tcW w:w="1748" w:type="dxa"/>
          </w:tcPr>
          <w:p w14:paraId="7412E648" w14:textId="593F65B7" w:rsidR="00526D72" w:rsidRDefault="00526D72" w:rsidP="00D111D2">
            <w:pPr>
              <w:rPr>
                <w:rFonts w:ascii="Twinkl" w:hAnsi="Twinkl"/>
                <w:color w:val="000000"/>
              </w:rPr>
            </w:pPr>
            <w:r>
              <w:rPr>
                <w:rFonts w:ascii="Twinkl" w:hAnsi="Twinkl"/>
                <w:color w:val="000000"/>
              </w:rPr>
              <w:t xml:space="preserve">Updated – May 2024 </w:t>
            </w:r>
          </w:p>
        </w:tc>
      </w:tr>
      <w:tr w:rsidR="004B61CA" w:rsidRPr="00D111D2" w14:paraId="77642D50" w14:textId="77777777" w:rsidTr="00900013">
        <w:trPr>
          <w:trHeight w:val="534"/>
        </w:trPr>
        <w:tc>
          <w:tcPr>
            <w:tcW w:w="1767" w:type="dxa"/>
            <w:vMerge/>
          </w:tcPr>
          <w:p w14:paraId="3EB58891" w14:textId="77777777" w:rsidR="004B61CA" w:rsidRPr="00D111D2" w:rsidRDefault="004B61CA" w:rsidP="00D111D2">
            <w:pPr>
              <w:rPr>
                <w:rFonts w:ascii="Twinkl" w:hAnsi="Twinkl"/>
              </w:rPr>
            </w:pPr>
          </w:p>
        </w:tc>
        <w:tc>
          <w:tcPr>
            <w:tcW w:w="7159" w:type="dxa"/>
            <w:vMerge/>
          </w:tcPr>
          <w:p w14:paraId="5544E609" w14:textId="77777777" w:rsidR="004B61CA" w:rsidRPr="00D111D2" w:rsidRDefault="004B61CA" w:rsidP="00D111D2">
            <w:pPr>
              <w:rPr>
                <w:rFonts w:ascii="Twinkl" w:hAnsi="Twinkl" w:cs="Arial"/>
              </w:rPr>
            </w:pPr>
          </w:p>
        </w:tc>
        <w:tc>
          <w:tcPr>
            <w:tcW w:w="1748" w:type="dxa"/>
          </w:tcPr>
          <w:p w14:paraId="4F39CC6C" w14:textId="4BB38B57" w:rsidR="004B61CA" w:rsidRDefault="004B61CA" w:rsidP="00D111D2">
            <w:pPr>
              <w:rPr>
                <w:rFonts w:ascii="Twinkl" w:hAnsi="Twinkl"/>
                <w:color w:val="000000"/>
              </w:rPr>
            </w:pPr>
            <w:r>
              <w:rPr>
                <w:rFonts w:ascii="Twinkl" w:hAnsi="Twinkl"/>
                <w:color w:val="000000"/>
              </w:rPr>
              <w:t xml:space="preserve">Updated -October 2025  </w:t>
            </w:r>
          </w:p>
        </w:tc>
      </w:tr>
      <w:tr w:rsidR="00010B29" w:rsidRPr="00D111D2" w14:paraId="7632AFD5" w14:textId="77777777" w:rsidTr="00900013">
        <w:trPr>
          <w:trHeight w:val="534"/>
        </w:trPr>
        <w:tc>
          <w:tcPr>
            <w:tcW w:w="1767" w:type="dxa"/>
            <w:vMerge/>
          </w:tcPr>
          <w:p w14:paraId="7632AFD2" w14:textId="77777777" w:rsidR="00010B29" w:rsidRPr="00D111D2" w:rsidRDefault="00010B29" w:rsidP="00D111D2">
            <w:pPr>
              <w:rPr>
                <w:rFonts w:ascii="Twinkl" w:hAnsi="Twinkl"/>
              </w:rPr>
            </w:pPr>
          </w:p>
        </w:tc>
        <w:tc>
          <w:tcPr>
            <w:tcW w:w="7159" w:type="dxa"/>
            <w:vMerge/>
          </w:tcPr>
          <w:p w14:paraId="7632AFD3" w14:textId="77777777" w:rsidR="00010B29" w:rsidRPr="00D111D2" w:rsidRDefault="00010B29" w:rsidP="00D111D2">
            <w:pPr>
              <w:rPr>
                <w:rFonts w:ascii="Twinkl" w:hAnsi="Twinkl"/>
                <w:color w:val="000000"/>
              </w:rPr>
            </w:pPr>
          </w:p>
        </w:tc>
        <w:tc>
          <w:tcPr>
            <w:tcW w:w="1748" w:type="dxa"/>
          </w:tcPr>
          <w:p w14:paraId="7632AFD4" w14:textId="77777777" w:rsidR="00010B29" w:rsidRPr="00D111D2" w:rsidRDefault="00010B29" w:rsidP="00D111D2">
            <w:pPr>
              <w:rPr>
                <w:rFonts w:ascii="Twinkl" w:hAnsi="Twinkl"/>
                <w:color w:val="000000"/>
              </w:rPr>
            </w:pPr>
            <w:r>
              <w:rPr>
                <w:rFonts w:ascii="Twinkl" w:hAnsi="Twinkl"/>
                <w:color w:val="000000"/>
              </w:rPr>
              <w:t>Signed -</w:t>
            </w:r>
            <w:r w:rsidRPr="00D111D2">
              <w:rPr>
                <w:rFonts w:ascii="Twinkl" w:hAnsi="Twinkl"/>
                <w:color w:val="000000"/>
              </w:rPr>
              <w:t xml:space="preserve">Natalie Monteith </w:t>
            </w:r>
          </w:p>
        </w:tc>
      </w:tr>
    </w:tbl>
    <w:p w14:paraId="7632AFD6" w14:textId="77777777" w:rsidR="00D111D2" w:rsidRDefault="00D111D2" w:rsidP="00D111D2"/>
    <w:sectPr w:rsidR="00D111D2" w:rsidSect="00F13C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w:altName w:val="Calibri"/>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D5B"/>
    <w:multiLevelType w:val="hybridMultilevel"/>
    <w:tmpl w:val="88C0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0289F"/>
    <w:multiLevelType w:val="hybridMultilevel"/>
    <w:tmpl w:val="25A6BBAC"/>
    <w:lvl w:ilvl="0" w:tplc="08090001">
      <w:start w:val="1"/>
      <w:numFmt w:val="bullet"/>
      <w:lvlText w:val=""/>
      <w:lvlJc w:val="left"/>
      <w:pPr>
        <w:ind w:left="720" w:hanging="360"/>
      </w:pPr>
      <w:rPr>
        <w:rFonts w:ascii="Symbol" w:hAnsi="Symbol" w:hint="default"/>
      </w:rPr>
    </w:lvl>
    <w:lvl w:ilvl="1" w:tplc="976A2846">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51E5F"/>
    <w:multiLevelType w:val="hybridMultilevel"/>
    <w:tmpl w:val="91528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409C3"/>
    <w:multiLevelType w:val="hybridMultilevel"/>
    <w:tmpl w:val="6D3284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3D6D65"/>
    <w:multiLevelType w:val="hybridMultilevel"/>
    <w:tmpl w:val="2340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90FF1"/>
    <w:multiLevelType w:val="hybridMultilevel"/>
    <w:tmpl w:val="9DB0D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D074D"/>
    <w:multiLevelType w:val="hybridMultilevel"/>
    <w:tmpl w:val="74600C4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4AF4B9F"/>
    <w:multiLevelType w:val="hybridMultilevel"/>
    <w:tmpl w:val="8E54B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90B58"/>
    <w:multiLevelType w:val="hybridMultilevel"/>
    <w:tmpl w:val="C55A8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AA27FA"/>
    <w:multiLevelType w:val="hybridMultilevel"/>
    <w:tmpl w:val="BDA0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4559B1"/>
    <w:multiLevelType w:val="hybridMultilevel"/>
    <w:tmpl w:val="3EBE9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DF62A2"/>
    <w:multiLevelType w:val="hybridMultilevel"/>
    <w:tmpl w:val="45288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9412029">
    <w:abstractNumId w:val="5"/>
  </w:num>
  <w:num w:numId="2" w16cid:durableId="394356691">
    <w:abstractNumId w:val="0"/>
  </w:num>
  <w:num w:numId="3" w16cid:durableId="1632134380">
    <w:abstractNumId w:val="11"/>
  </w:num>
  <w:num w:numId="4" w16cid:durableId="35261316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892229">
    <w:abstractNumId w:val="6"/>
  </w:num>
  <w:num w:numId="6" w16cid:durableId="482163971">
    <w:abstractNumId w:val="3"/>
  </w:num>
  <w:num w:numId="7" w16cid:durableId="6491025">
    <w:abstractNumId w:val="10"/>
  </w:num>
  <w:num w:numId="8" w16cid:durableId="476453172">
    <w:abstractNumId w:val="4"/>
  </w:num>
  <w:num w:numId="9" w16cid:durableId="420226625">
    <w:abstractNumId w:val="7"/>
  </w:num>
  <w:num w:numId="10" w16cid:durableId="1817448780">
    <w:abstractNumId w:val="9"/>
  </w:num>
  <w:num w:numId="11" w16cid:durableId="1447888350">
    <w:abstractNumId w:val="8"/>
  </w:num>
  <w:num w:numId="12" w16cid:durableId="839001650">
    <w:abstractNumId w:val="2"/>
  </w:num>
  <w:num w:numId="13" w16cid:durableId="143898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44"/>
    <w:rsid w:val="00010B29"/>
    <w:rsid w:val="000D3735"/>
    <w:rsid w:val="000E3301"/>
    <w:rsid w:val="00182198"/>
    <w:rsid w:val="00196CB5"/>
    <w:rsid w:val="001B5B66"/>
    <w:rsid w:val="0024157E"/>
    <w:rsid w:val="002848B3"/>
    <w:rsid w:val="0036046F"/>
    <w:rsid w:val="0042749D"/>
    <w:rsid w:val="004B61CA"/>
    <w:rsid w:val="00507A7D"/>
    <w:rsid w:val="00520B01"/>
    <w:rsid w:val="00526D72"/>
    <w:rsid w:val="00553341"/>
    <w:rsid w:val="00580B72"/>
    <w:rsid w:val="005846F7"/>
    <w:rsid w:val="00681900"/>
    <w:rsid w:val="006C063D"/>
    <w:rsid w:val="0079165C"/>
    <w:rsid w:val="0079403B"/>
    <w:rsid w:val="007A33F6"/>
    <w:rsid w:val="007D5D31"/>
    <w:rsid w:val="008D2DF0"/>
    <w:rsid w:val="00900013"/>
    <w:rsid w:val="00913455"/>
    <w:rsid w:val="00971B30"/>
    <w:rsid w:val="00986DAA"/>
    <w:rsid w:val="009A6582"/>
    <w:rsid w:val="009D0F53"/>
    <w:rsid w:val="009F6359"/>
    <w:rsid w:val="00A32D38"/>
    <w:rsid w:val="00A60655"/>
    <w:rsid w:val="00AB4F63"/>
    <w:rsid w:val="00C1793C"/>
    <w:rsid w:val="00C2792F"/>
    <w:rsid w:val="00C534DF"/>
    <w:rsid w:val="00D111D2"/>
    <w:rsid w:val="00D17F00"/>
    <w:rsid w:val="00D927FD"/>
    <w:rsid w:val="00DA0A9A"/>
    <w:rsid w:val="00DA29EF"/>
    <w:rsid w:val="00ED39C4"/>
    <w:rsid w:val="00EF5D3B"/>
    <w:rsid w:val="00F05B04"/>
    <w:rsid w:val="00F13C44"/>
    <w:rsid w:val="00F36730"/>
    <w:rsid w:val="00F40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AF97"/>
  <w15:chartTrackingRefBased/>
  <w15:docId w15:val="{6C5EA415-6466-4CE4-8BEE-ACDD1683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3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C44"/>
    <w:pPr>
      <w:ind w:left="720"/>
      <w:contextualSpacing/>
    </w:pPr>
  </w:style>
  <w:style w:type="paragraph" w:customStyle="1" w:styleId="Default">
    <w:name w:val="Default"/>
    <w:rsid w:val="0091345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134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E33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381035">
      <w:bodyDiv w:val="1"/>
      <w:marLeft w:val="0"/>
      <w:marRight w:val="0"/>
      <w:marTop w:val="0"/>
      <w:marBottom w:val="0"/>
      <w:divBdr>
        <w:top w:val="none" w:sz="0" w:space="0" w:color="auto"/>
        <w:left w:val="none" w:sz="0" w:space="0" w:color="auto"/>
        <w:bottom w:val="none" w:sz="0" w:space="0" w:color="auto"/>
        <w:right w:val="none" w:sz="0" w:space="0" w:color="auto"/>
      </w:divBdr>
    </w:div>
    <w:div w:id="1514805678">
      <w:bodyDiv w:val="1"/>
      <w:marLeft w:val="0"/>
      <w:marRight w:val="0"/>
      <w:marTop w:val="0"/>
      <w:marBottom w:val="0"/>
      <w:divBdr>
        <w:top w:val="none" w:sz="0" w:space="0" w:color="auto"/>
        <w:left w:val="none" w:sz="0" w:space="0" w:color="auto"/>
        <w:bottom w:val="none" w:sz="0" w:space="0" w:color="auto"/>
        <w:right w:val="none" w:sz="0" w:space="0" w:color="auto"/>
      </w:divBdr>
    </w:div>
    <w:div w:id="1608925321">
      <w:bodyDiv w:val="1"/>
      <w:marLeft w:val="0"/>
      <w:marRight w:val="0"/>
      <w:marTop w:val="0"/>
      <w:marBottom w:val="0"/>
      <w:divBdr>
        <w:top w:val="none" w:sz="0" w:space="0" w:color="auto"/>
        <w:left w:val="none" w:sz="0" w:space="0" w:color="auto"/>
        <w:bottom w:val="none" w:sz="0" w:space="0" w:color="auto"/>
        <w:right w:val="none" w:sz="0" w:space="0" w:color="auto"/>
      </w:divBdr>
    </w:div>
    <w:div w:id="17809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pga/2018/12/contents/enact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era.ioe.ac.uk/id/eprint/15769/1/004049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B928E.0ADE3E30"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ico.org.uk/for-organisations/uk-gdpr-guidanc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C8C829EB37D4E889AE5F280502C03" ma:contentTypeVersion="16" ma:contentTypeDescription="Create a new document." ma:contentTypeScope="" ma:versionID="c1ae2ff7981e265aca4209697bbcb8dc">
  <xsd:schema xmlns:xsd="http://www.w3.org/2001/XMLSchema" xmlns:xs="http://www.w3.org/2001/XMLSchema" xmlns:p="http://schemas.microsoft.com/office/2006/metadata/properties" xmlns:ns2="289f0eda-b35d-4a09-8af8-3ccfd9f242a4" xmlns:ns3="e196dca3-63a8-410a-9705-a1218f8861c7" targetNamespace="http://schemas.microsoft.com/office/2006/metadata/properties" ma:root="true" ma:fieldsID="33504ce44b16f4b7b579da50ccf6df8f" ns2:_="" ns3:_="">
    <xsd:import namespace="289f0eda-b35d-4a09-8af8-3ccfd9f242a4"/>
    <xsd:import namespace="e196dca3-63a8-410a-9705-a1218f8861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f0eda-b35d-4a09-8af8-3ccfd9f24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6dca3-63a8-410a-9705-a1218f8861c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0ba0a0b-e039-4a32-ae27-91d77c03bda4}" ma:internalName="TaxCatchAll" ma:showField="CatchAllData" ma:web="e196dca3-63a8-410a-9705-a1218f8861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96dca3-63a8-410a-9705-a1218f8861c7" xsi:nil="true"/>
    <lcf76f155ced4ddcb4097134ff3c332f xmlns="289f0eda-b35d-4a09-8af8-3ccfd9f242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BD7ED1-E1F5-42CF-A9BA-9F4742559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f0eda-b35d-4a09-8af8-3ccfd9f242a4"/>
    <ds:schemaRef ds:uri="e196dca3-63a8-410a-9705-a1218f886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20E1E-2EB1-4724-877B-BE529B1CF014}">
  <ds:schemaRefs>
    <ds:schemaRef ds:uri="http://schemas.microsoft.com/sharepoint/v3/contenttype/forms"/>
  </ds:schemaRefs>
</ds:datastoreItem>
</file>

<file path=customXml/itemProps3.xml><?xml version="1.0" encoding="utf-8"?>
<ds:datastoreItem xmlns:ds="http://schemas.openxmlformats.org/officeDocument/2006/customXml" ds:itemID="{3A65BBAE-F7D9-44E5-B2EB-904C1690146B}">
  <ds:schemaRefs>
    <ds:schemaRef ds:uri="http://schemas.microsoft.com/office/2006/metadata/properties"/>
    <ds:schemaRef ds:uri="http://schemas.microsoft.com/office/infopath/2007/PartnerControls"/>
    <ds:schemaRef ds:uri="e196dca3-63a8-410a-9705-a1218f8861c7"/>
    <ds:schemaRef ds:uri="289f0eda-b35d-4a09-8af8-3ccfd9f242a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Monteith, Natalie</dc:creator>
  <cp:keywords/>
  <dc:description/>
  <cp:lastModifiedBy>Monteith, Natalie</cp:lastModifiedBy>
  <cp:revision>44</cp:revision>
  <cp:lastPrinted>2023-07-18T08:59:00Z</cp:lastPrinted>
  <dcterms:created xsi:type="dcterms:W3CDTF">2023-07-07T12:38:00Z</dcterms:created>
  <dcterms:modified xsi:type="dcterms:W3CDTF">2025-11-10T16:55:00Z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0x010100AA4C8C829EB37D4E889AE5F280502C03</vt:lpwstr>
  </property>
  <property fmtid="{D5CDD505-2E9C-101B-9397-08002B2CF9AE}" pid="3" name="MediaServiceImageTags">
    <vt:lpwstr/>
  </property>
</Properties>
</file>