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4077"/>
        <w:gridCol w:w="4988"/>
      </w:tblGrid>
      <w:tr w:rsidR="006115BC" w:rsidRPr="0017029A" w:rsidTr="0017029A">
        <w:trPr>
          <w:trHeight w:val="600"/>
        </w:trPr>
        <w:tc>
          <w:tcPr>
            <w:tcW w:w="4077" w:type="dxa"/>
            <w:shd w:val="clear" w:color="auto" w:fill="DBE5F1" w:themeFill="accent1" w:themeFillTint="33"/>
          </w:tcPr>
          <w:p w:rsidR="006115BC" w:rsidRPr="0017029A" w:rsidRDefault="006115BC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noProof/>
                <w:color w:val="244061" w:themeColor="accent1" w:themeShade="80"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1587C0" wp14:editId="48057EF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-692151</wp:posOffset>
                      </wp:positionV>
                      <wp:extent cx="4781550" cy="511175"/>
                      <wp:effectExtent l="0" t="0" r="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155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BC" w:rsidRPr="00436FE3" w:rsidRDefault="006115BC" w:rsidP="0047049A">
                                  <w:pPr>
                                    <w:jc w:val="center"/>
                                    <w:rPr>
                                      <w:rFonts w:ascii="Franklin Gothic Medium" w:hAnsi="Franklin Gothic Medium" w:cs="Arial"/>
                                      <w:b/>
                                      <w:color w:val="FFFFFF" w:themeColor="background1"/>
                                      <w:sz w:val="40"/>
                                      <w:szCs w:val="32"/>
                                    </w:rPr>
                                  </w:pPr>
                                  <w:r w:rsidRPr="00436FE3">
                                    <w:rPr>
                                      <w:rFonts w:ascii="Franklin Gothic Medium" w:hAnsi="Franklin Gothic Medium" w:cs="Arial"/>
                                      <w:b/>
                                      <w:color w:val="FFFFFF" w:themeColor="background1"/>
                                      <w:sz w:val="40"/>
                                      <w:szCs w:val="32"/>
                                    </w:rPr>
                                    <w:t>Teaching notes and ideas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75pt;margin-top:-54.5pt;width:376.5pt;height: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" filled="f" stroked="f">
                      <v:textbox>
                        <w:txbxContent>
                          <w:p w:rsidR="006115BC" w:rsidRPr="00436FE3" w:rsidRDefault="006115BC" w:rsidP="0047049A">
                            <w:pPr>
                              <w:jc w:val="center"/>
                              <w:rPr>
                                <w:rFonts w:ascii="Franklin Gothic Medium" w:hAnsi="Franklin Gothic Medium" w:cs="Arial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  <w:r w:rsidRPr="00436FE3">
                              <w:rPr>
                                <w:rFonts w:ascii="Franklin Gothic Medium" w:hAnsi="Franklin Gothic Medium" w:cs="Arial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  <w:t>Teaching notes and ideas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Name of resource:</w:t>
            </w:r>
          </w:p>
        </w:tc>
        <w:tc>
          <w:tcPr>
            <w:tcW w:w="4988" w:type="dxa"/>
          </w:tcPr>
          <w:p w:rsidR="006115BC" w:rsidRPr="0017029A" w:rsidRDefault="00BB7D23" w:rsidP="001F0F2B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 xml:space="preserve">Macbeth 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n-GB"/>
              </w:rPr>
              <w:t>Act 1</w:t>
            </w:r>
          </w:p>
        </w:tc>
      </w:tr>
    </w:tbl>
    <w:p w:rsidR="00F81D88" w:rsidRPr="0017029A" w:rsidRDefault="00F81D88">
      <w:pPr>
        <w:rPr>
          <w:rFonts w:ascii="Arial" w:hAnsi="Arial" w:cs="Arial"/>
        </w:rPr>
      </w:pP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3021"/>
        <w:gridCol w:w="1056"/>
        <w:gridCol w:w="4988"/>
      </w:tblGrid>
      <w:tr w:rsidR="00F81D88" w:rsidRPr="0017029A" w:rsidTr="009A32AB">
        <w:tc>
          <w:tcPr>
            <w:tcW w:w="4077" w:type="dxa"/>
            <w:gridSpan w:val="2"/>
            <w:shd w:val="clear" w:color="auto" w:fill="DBE5F1" w:themeFill="accent1" w:themeFillTint="33"/>
          </w:tcPr>
          <w:p w:rsidR="00F81D88" w:rsidRPr="0017029A" w:rsidRDefault="00F81D88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Age group(s)</w:t>
            </w:r>
          </w:p>
        </w:tc>
        <w:tc>
          <w:tcPr>
            <w:tcW w:w="4988" w:type="dxa"/>
            <w:shd w:val="clear" w:color="auto" w:fill="DBE5F1" w:themeFill="accent1" w:themeFillTint="33"/>
          </w:tcPr>
          <w:p w:rsidR="00F81D88" w:rsidRPr="0017029A" w:rsidRDefault="00F81D88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Subject(s)</w:t>
            </w:r>
          </w:p>
        </w:tc>
      </w:tr>
      <w:tr w:rsidR="00F81D88" w:rsidRPr="0017029A" w:rsidTr="009A32AB">
        <w:tc>
          <w:tcPr>
            <w:tcW w:w="4077" w:type="dxa"/>
            <w:gridSpan w:val="2"/>
          </w:tcPr>
          <w:p w:rsidR="00F81D88" w:rsidRPr="0017029A" w:rsidRDefault="00F81D88" w:rsidP="00F81D88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12</w:t>
            </w:r>
            <w:r w:rsidR="00DD7656"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to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14,</w:t>
            </w:r>
            <w:r w:rsidR="00DD7656"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15 to</w:t>
            </w:r>
            <w:r w:rsidR="00EA68DF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16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</w:p>
        </w:tc>
        <w:tc>
          <w:tcPr>
            <w:tcW w:w="4988" w:type="dxa"/>
          </w:tcPr>
          <w:p w:rsidR="00F81D88" w:rsidRPr="0017029A" w:rsidRDefault="00F322AA" w:rsidP="00F322AA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595959" w:themeColor="text1" w:themeTint="A6"/>
                <w:sz w:val="22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English</w:t>
            </w:r>
          </w:p>
        </w:tc>
      </w:tr>
      <w:tr w:rsidR="00436FE3" w:rsidRPr="0017029A" w:rsidTr="009A32AB">
        <w:tc>
          <w:tcPr>
            <w:tcW w:w="4077" w:type="dxa"/>
            <w:gridSpan w:val="2"/>
            <w:shd w:val="clear" w:color="auto" w:fill="DBE5F1" w:themeFill="accent1" w:themeFillTint="33"/>
          </w:tcPr>
          <w:p w:rsidR="00436FE3" w:rsidRPr="0017029A" w:rsidRDefault="00436FE3" w:rsidP="00F81D88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Topic</w:t>
            </w:r>
          </w:p>
        </w:tc>
        <w:tc>
          <w:tcPr>
            <w:tcW w:w="4988" w:type="dxa"/>
            <w:shd w:val="clear" w:color="auto" w:fill="DBE5F1" w:themeFill="accent1" w:themeFillTint="33"/>
          </w:tcPr>
          <w:p w:rsidR="00436FE3" w:rsidRPr="0017029A" w:rsidRDefault="00436FE3" w:rsidP="00EC6DE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4"/>
              </w:rPr>
              <w:t>Language Level</w:t>
            </w:r>
          </w:p>
        </w:tc>
      </w:tr>
      <w:tr w:rsidR="00436FE3" w:rsidRPr="0017029A" w:rsidTr="009A32AB">
        <w:tc>
          <w:tcPr>
            <w:tcW w:w="4077" w:type="dxa"/>
            <w:gridSpan w:val="2"/>
          </w:tcPr>
          <w:p w:rsidR="00436FE3" w:rsidRPr="0017029A" w:rsidRDefault="00F322AA" w:rsidP="00EA68DF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Macbeth </w:t>
            </w:r>
          </w:p>
        </w:tc>
        <w:tc>
          <w:tcPr>
            <w:tcW w:w="4988" w:type="dxa"/>
          </w:tcPr>
          <w:p w:rsidR="00436FE3" w:rsidRPr="0017029A" w:rsidRDefault="00436FE3" w:rsidP="008B12CE">
            <w:pPr>
              <w:pStyle w:val="Body"/>
              <w:spacing w:before="120" w:after="12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Beg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inner </w:t>
            </w:r>
          </w:p>
        </w:tc>
      </w:tr>
      <w:tr w:rsidR="00DD7656" w:rsidRPr="0017029A" w:rsidTr="00370460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Description of resource</w:t>
            </w:r>
          </w:p>
        </w:tc>
      </w:tr>
      <w:tr w:rsidR="00DD7656" w:rsidRPr="0017029A" w:rsidTr="00EF04AD">
        <w:tc>
          <w:tcPr>
            <w:tcW w:w="9065" w:type="dxa"/>
            <w:gridSpan w:val="3"/>
          </w:tcPr>
          <w:p w:rsidR="00DD7656" w:rsidRPr="0017029A" w:rsidRDefault="00F322AA" w:rsidP="00CF108E">
            <w:p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Resource pack comprising: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Scene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</w:rPr>
              <w:t>-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by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</w:rPr>
              <w:t>-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scene summaries of Macbeth Act 1 in accessible English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Two lists of key words or phrases to accompany each </w:t>
            </w:r>
            <w:r w:rsidR="00160403" w:rsidRPr="0017029A">
              <w:rPr>
                <w:rFonts w:ascii="Arial" w:hAnsi="Arial" w:cs="Arial"/>
                <w:color w:val="595959" w:themeColor="text1" w:themeTint="A6"/>
                <w:sz w:val="24"/>
              </w:rPr>
              <w:t>scene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summary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Set of pictures to accompany first list for each </w:t>
            </w:r>
            <w:r w:rsidR="00160403"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>scene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 (second list is words or phrases for translation)</w:t>
            </w:r>
          </w:p>
          <w:p w:rsidR="0020307A" w:rsidRDefault="001A75EF" w:rsidP="0020307A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hyperlink r:id="rId8" w:history="1">
              <w:r w:rsidR="00F322AA" w:rsidRPr="005C656F">
                <w:rPr>
                  <w:rStyle w:val="Hyperlink"/>
                  <w:rFonts w:ascii="Arial" w:hAnsi="Arial" w:cs="Arial"/>
                  <w:sz w:val="24"/>
                  <w:szCs w:val="28"/>
                </w:rPr>
                <w:t>DARTs</w:t>
              </w:r>
            </w:hyperlink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 activities to go with each scene summary</w:t>
            </w:r>
            <w:r w:rsidR="0020307A"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 </w:t>
            </w:r>
          </w:p>
          <w:p w:rsidR="00F322AA" w:rsidRPr="008C47FC" w:rsidRDefault="0020307A" w:rsidP="008C47FC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  <w:t xml:space="preserve">Answers to the DARTs activities </w:t>
            </w:r>
          </w:p>
          <w:p w:rsidR="00F322AA" w:rsidRPr="0017029A" w:rsidRDefault="00F322AA" w:rsidP="00F322AA">
            <w:pPr>
              <w:pStyle w:val="ListParagraph"/>
              <w:ind w:left="360"/>
              <w:rPr>
                <w:rFonts w:ascii="Arial" w:hAnsi="Arial" w:cs="Arial"/>
                <w:color w:val="595959" w:themeColor="text1" w:themeTint="A6"/>
                <w:sz w:val="24"/>
                <w:szCs w:val="28"/>
              </w:rPr>
            </w:pPr>
          </w:p>
        </w:tc>
      </w:tr>
      <w:tr w:rsidR="00DD7656" w:rsidRPr="0017029A" w:rsidTr="00B40495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Preparation needed</w:t>
            </w:r>
          </w:p>
        </w:tc>
      </w:tr>
      <w:tr w:rsidR="00DD7656" w:rsidRPr="0017029A" w:rsidTr="007F47EE">
        <w:tc>
          <w:tcPr>
            <w:tcW w:w="9065" w:type="dxa"/>
            <w:gridSpan w:val="3"/>
          </w:tcPr>
          <w:p w:rsidR="00CF108E" w:rsidRPr="0017029A" w:rsidRDefault="00CF108E" w:rsidP="008C47FC">
            <w:pPr>
              <w:spacing w:after="60"/>
              <w:rPr>
                <w:rFonts w:ascii="Arial" w:hAnsi="Arial" w:cs="Arial"/>
                <w:b/>
                <w:color w:val="244061" w:themeColor="accent1" w:themeShade="80"/>
                <w:sz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4"/>
              </w:rPr>
              <w:t xml:space="preserve">You will need: </w:t>
            </w:r>
          </w:p>
          <w:p w:rsidR="00B73A3D" w:rsidRPr="0017029A" w:rsidRDefault="009151DD" w:rsidP="00B73A3D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Arial" w:hAnsi="Arial" w:cs="Arial"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</w:rPr>
              <w:t>a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copy of the set of flashcards for the EAL beginner(s)</w:t>
            </w:r>
          </w:p>
          <w:p w:rsidR="00F322AA" w:rsidRPr="0017029A" w:rsidRDefault="009151DD" w:rsidP="008C47FC">
            <w:pPr>
              <w:pStyle w:val="ListParagraph"/>
              <w:numPr>
                <w:ilvl w:val="0"/>
                <w:numId w:val="10"/>
              </w:numPr>
              <w:spacing w:after="240"/>
              <w:ind w:left="357" w:hanging="357"/>
              <w:contextualSpacing w:val="0"/>
              <w:rPr>
                <w:rFonts w:ascii="Arial" w:hAnsi="Arial" w:cs="Arial"/>
                <w:color w:val="595959" w:themeColor="text1" w:themeTint="A6"/>
                <w:sz w:val="24"/>
              </w:rPr>
            </w:pPr>
            <w:proofErr w:type="gramStart"/>
            <w:r>
              <w:rPr>
                <w:rFonts w:ascii="Arial" w:hAnsi="Arial" w:cs="Arial"/>
                <w:color w:val="595959" w:themeColor="text1" w:themeTint="A6"/>
                <w:sz w:val="24"/>
              </w:rPr>
              <w:t>c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>opies</w:t>
            </w:r>
            <w:proofErr w:type="gramEnd"/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of all worksheets for each EAL beginner in the class</w:t>
            </w:r>
            <w:r>
              <w:rPr>
                <w:rFonts w:ascii="Arial" w:hAnsi="Arial" w:cs="Arial"/>
                <w:color w:val="595959" w:themeColor="text1" w:themeTint="A6"/>
                <w:sz w:val="24"/>
              </w:rPr>
              <w:t>.</w:t>
            </w:r>
          </w:p>
          <w:p w:rsidR="00CF108E" w:rsidRPr="0017029A" w:rsidRDefault="00CF108E" w:rsidP="008C47FC">
            <w:pPr>
              <w:spacing w:after="60"/>
              <w:rPr>
                <w:rFonts w:ascii="Arial" w:hAnsi="Arial" w:cs="Arial"/>
                <w:b/>
                <w:color w:val="244061" w:themeColor="accent1" w:themeShade="80"/>
                <w:sz w:val="24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4"/>
              </w:rPr>
              <w:t xml:space="preserve">You will need to: </w:t>
            </w:r>
          </w:p>
          <w:p w:rsidR="00B73A3D" w:rsidRPr="0017029A" w:rsidRDefault="009151DD" w:rsidP="001A75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595959" w:themeColor="text1" w:themeTint="A6"/>
                <w:sz w:val="24"/>
              </w:rPr>
            </w:pPr>
            <w:proofErr w:type="gramStart"/>
            <w:r>
              <w:rPr>
                <w:rFonts w:ascii="Arial" w:hAnsi="Arial" w:cs="Arial"/>
                <w:color w:val="595959" w:themeColor="text1" w:themeTint="A6"/>
                <w:sz w:val="24"/>
              </w:rPr>
              <w:t>m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>ake</w:t>
            </w:r>
            <w:proofErr w:type="gramEnd"/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flashcards by printing out the PowerPoint file as two-to-a-page handouts (recommended) or </w:t>
            </w:r>
            <w:r w:rsidR="00660E52">
              <w:rPr>
                <w:rFonts w:ascii="Arial" w:hAnsi="Arial" w:cs="Arial"/>
                <w:color w:val="595959" w:themeColor="text1" w:themeTint="A6"/>
                <w:sz w:val="24"/>
              </w:rPr>
              <w:t>six-to-a-page for smaller</w:t>
            </w:r>
            <w:r w:rsidR="00EA68DF">
              <w:rPr>
                <w:rFonts w:ascii="Arial" w:hAnsi="Arial" w:cs="Arial"/>
                <w:color w:val="595959" w:themeColor="text1" w:themeTint="A6"/>
                <w:sz w:val="24"/>
              </w:rPr>
              <w:t xml:space="preserve"> cards and then cutting them up</w:t>
            </w:r>
            <w:r w:rsidR="00660E52">
              <w:rPr>
                <w:rFonts w:ascii="Arial" w:hAnsi="Arial" w:cs="Arial"/>
                <w:color w:val="595959" w:themeColor="text1" w:themeTint="A6"/>
                <w:sz w:val="24"/>
              </w:rPr>
              <w:t>.</w:t>
            </w:r>
            <w:r w:rsidR="00F322AA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</w:t>
            </w:r>
          </w:p>
        </w:tc>
      </w:tr>
      <w:tr w:rsidR="00DD7656" w:rsidRPr="0017029A" w:rsidTr="00DD7656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A26EC8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Curriculum objectives</w:t>
            </w:r>
          </w:p>
        </w:tc>
      </w:tr>
      <w:tr w:rsidR="00DD7656" w:rsidRPr="0017029A" w:rsidTr="00DD7656">
        <w:tc>
          <w:tcPr>
            <w:tcW w:w="9065" w:type="dxa"/>
            <w:gridSpan w:val="3"/>
          </w:tcPr>
          <w:p w:rsidR="00F322AA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595959" w:themeColor="text1" w:themeTint="A6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understand the plot of ‘Macbeth’</w:t>
            </w:r>
          </w:p>
          <w:p w:rsidR="00F322AA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595959" w:themeColor="text1" w:themeTint="A6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become familiar with the main characters and the motivation for their actions</w:t>
            </w:r>
          </w:p>
          <w:p w:rsidR="00DD7656" w:rsidRPr="0017029A" w:rsidRDefault="00F322AA" w:rsidP="00F322AA">
            <w:pPr>
              <w:pStyle w:val="ListParagraph"/>
              <w:numPr>
                <w:ilvl w:val="0"/>
                <w:numId w:val="6"/>
              </w:numPr>
              <w:tabs>
                <w:tab w:val="center" w:pos="4513"/>
                <w:tab w:val="right" w:pos="9026"/>
              </w:tabs>
              <w:rPr>
                <w:rFonts w:ascii="Arial" w:hAnsi="Arial" w:cs="Arial"/>
                <w:color w:val="17365D" w:themeColor="text2" w:themeShade="BF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To reflect on the main themes of the play</w:t>
            </w:r>
          </w:p>
        </w:tc>
      </w:tr>
      <w:tr w:rsidR="00DD7656" w:rsidRPr="0017029A" w:rsidTr="00DD7656">
        <w:tc>
          <w:tcPr>
            <w:tcW w:w="9065" w:type="dxa"/>
            <w:gridSpan w:val="3"/>
            <w:shd w:val="clear" w:color="auto" w:fill="DBE5F1" w:themeFill="accent1" w:themeFillTint="33"/>
          </w:tcPr>
          <w:p w:rsidR="00DD7656" w:rsidRPr="0017029A" w:rsidRDefault="00DD7656" w:rsidP="009151DD">
            <w:pPr>
              <w:pStyle w:val="Body"/>
              <w:spacing w:before="120" w:after="120" w:line="276" w:lineRule="auto"/>
              <w:ind w:right="227"/>
              <w:jc w:val="center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Language</w:t>
            </w:r>
            <w:r w:rsidR="00436FE3"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/</w:t>
            </w:r>
            <w:r w:rsidR="009151DD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L</w:t>
            </w:r>
            <w:r w:rsidR="00436FE3"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iteracy</w:t>
            </w: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 xml:space="preserve"> objectives</w:t>
            </w:r>
          </w:p>
        </w:tc>
      </w:tr>
      <w:tr w:rsidR="00E55094" w:rsidRPr="0017029A" w:rsidTr="008E30BB">
        <w:tc>
          <w:tcPr>
            <w:tcW w:w="3021" w:type="dxa"/>
            <w:shd w:val="clear" w:color="auto" w:fill="DBE5F1" w:themeFill="accent1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Functions</w:t>
            </w:r>
          </w:p>
        </w:tc>
        <w:tc>
          <w:tcPr>
            <w:tcW w:w="6044" w:type="dxa"/>
            <w:gridSpan w:val="2"/>
            <w:shd w:val="clear" w:color="auto" w:fill="DBE5F1" w:themeFill="accent1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Structures</w:t>
            </w:r>
          </w:p>
        </w:tc>
      </w:tr>
      <w:tr w:rsidR="00E55094" w:rsidRPr="0017029A" w:rsidTr="00AB7D9D">
        <w:tc>
          <w:tcPr>
            <w:tcW w:w="3021" w:type="dxa"/>
            <w:shd w:val="clear" w:color="auto" w:fill="FFFFFF" w:themeFill="background1"/>
          </w:tcPr>
          <w:p w:rsidR="00E55094" w:rsidRPr="0017029A" w:rsidRDefault="00160403" w:rsidP="008C47FC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Describing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E55094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Simple past tense</w:t>
            </w:r>
          </w:p>
          <w:p w:rsidR="0016040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Time connectives: before, during, after</w:t>
            </w:r>
          </w:p>
        </w:tc>
      </w:tr>
      <w:tr w:rsidR="002B0383" w:rsidRPr="0017029A" w:rsidTr="00AB7D9D">
        <w:tc>
          <w:tcPr>
            <w:tcW w:w="3021" w:type="dxa"/>
            <w:shd w:val="clear" w:color="auto" w:fill="FFFFFF" w:themeFill="background1"/>
          </w:tcPr>
          <w:p w:rsidR="002B0383" w:rsidRPr="0017029A" w:rsidRDefault="00160403" w:rsidP="008C47FC">
            <w:pPr>
              <w:pStyle w:val="Body"/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Predicting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2B038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Future tense</w:t>
            </w:r>
          </w:p>
          <w:p w:rsidR="0016040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One day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 will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  <w:p w:rsidR="0016040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 will become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  <w:p w:rsidR="0016040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40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 will never become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…</w:t>
            </w:r>
          </w:p>
        </w:tc>
      </w:tr>
      <w:tr w:rsidR="002B0383" w:rsidRPr="0017029A" w:rsidTr="00AB7D9D">
        <w:tc>
          <w:tcPr>
            <w:tcW w:w="3021" w:type="dxa"/>
            <w:shd w:val="clear" w:color="auto" w:fill="FFFFFF" w:themeFill="background1"/>
          </w:tcPr>
          <w:p w:rsidR="002B0383" w:rsidRPr="0017029A" w:rsidRDefault="00160403" w:rsidP="008C47FC">
            <w:pPr>
              <w:pStyle w:val="Body"/>
              <w:spacing w:after="0" w:line="276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lastRenderedPageBreak/>
              <w:t>Comparing</w:t>
            </w:r>
          </w:p>
        </w:tc>
        <w:tc>
          <w:tcPr>
            <w:tcW w:w="6044" w:type="dxa"/>
            <w:gridSpan w:val="2"/>
            <w:shd w:val="clear" w:color="auto" w:fill="FFFFFF" w:themeFill="background1"/>
          </w:tcPr>
          <w:p w:rsidR="002B0383" w:rsidRPr="0017029A" w:rsidRDefault="00160403" w:rsidP="00160403">
            <w:pPr>
              <w:pStyle w:val="Body"/>
              <w:numPr>
                <w:ilvl w:val="0"/>
                <w:numId w:val="9"/>
              </w:numPr>
              <w:spacing w:after="0" w:line="276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More than / less than</w:t>
            </w:r>
          </w:p>
          <w:p w:rsidR="00160403" w:rsidRPr="0017029A" w:rsidRDefault="00160403" w:rsidP="009151DD">
            <w:pPr>
              <w:pStyle w:val="Body"/>
              <w:numPr>
                <w:ilvl w:val="0"/>
                <w:numId w:val="9"/>
              </w:numPr>
              <w:spacing w:after="0" w:line="276" w:lineRule="auto"/>
              <w:ind w:right="227"/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____</w:t>
            </w:r>
            <w:proofErr w:type="spellStart"/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>er</w:t>
            </w:r>
            <w:proofErr w:type="spellEnd"/>
            <w:r w:rsidRPr="0017029A">
              <w:rPr>
                <w:rFonts w:ascii="Arial" w:hAnsi="Arial" w:cs="Arial"/>
                <w:color w:val="595959" w:themeColor="text1" w:themeTint="A6"/>
                <w:sz w:val="24"/>
                <w:szCs w:val="22"/>
                <w:lang w:val="en-GB"/>
              </w:rPr>
              <w:t xml:space="preserve"> than / not as … as</w:t>
            </w:r>
          </w:p>
        </w:tc>
      </w:tr>
      <w:tr w:rsidR="00E55094" w:rsidRPr="0017029A" w:rsidTr="00A72AFE">
        <w:tc>
          <w:tcPr>
            <w:tcW w:w="9065" w:type="dxa"/>
            <w:gridSpan w:val="3"/>
            <w:shd w:val="clear" w:color="auto" w:fill="C6D9F1" w:themeFill="text2" w:themeFillTint="33"/>
          </w:tcPr>
          <w:p w:rsidR="00E55094" w:rsidRPr="0017029A" w:rsidRDefault="00E55094" w:rsidP="00E55094">
            <w:pPr>
              <w:pStyle w:val="Body"/>
              <w:spacing w:before="120" w:after="120" w:line="276" w:lineRule="auto"/>
              <w:ind w:right="227"/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</w:pPr>
            <w:r w:rsidRPr="0017029A">
              <w:rPr>
                <w:rFonts w:ascii="Arial" w:hAnsi="Arial" w:cs="Arial"/>
                <w:b/>
                <w:color w:val="244061" w:themeColor="accent1" w:themeShade="80"/>
                <w:sz w:val="28"/>
                <w:szCs w:val="22"/>
                <w:lang w:val="en-GB"/>
              </w:rPr>
              <w:t>Vocabulary</w:t>
            </w:r>
          </w:p>
        </w:tc>
      </w:tr>
      <w:tr w:rsidR="00E55094" w:rsidRPr="0017029A" w:rsidTr="005B6E3E">
        <w:tc>
          <w:tcPr>
            <w:tcW w:w="9065" w:type="dxa"/>
            <w:gridSpan w:val="3"/>
            <w:shd w:val="clear" w:color="auto" w:fill="FFFFFF" w:themeFill="background1"/>
          </w:tcPr>
          <w:p w:rsidR="0026782E" w:rsidRPr="0017029A" w:rsidRDefault="00F322AA" w:rsidP="00F322AA">
            <w:pPr>
              <w:pStyle w:val="ListParagraph"/>
              <w:ind w:left="0"/>
              <w:rPr>
                <w:rFonts w:ascii="Arial" w:hAnsi="Arial" w:cs="Arial"/>
                <w:color w:val="595959" w:themeColor="text1" w:themeTint="A6"/>
                <w:sz w:val="24"/>
              </w:rPr>
            </w:pP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Language used in the scene summaries and accompanying key words/phrases is as simple as possible in terms of structure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</w:rPr>
              <w:t>,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but includes vocabulary</w:t>
            </w:r>
            <w:r w:rsidR="00797E29"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that is fairly unusual but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likely to be frequently used in class in relation to this text</w:t>
            </w:r>
            <w:r w:rsidR="009151DD">
              <w:rPr>
                <w:rFonts w:ascii="Arial" w:hAnsi="Arial" w:cs="Arial"/>
                <w:color w:val="595959" w:themeColor="text1" w:themeTint="A6"/>
                <w:sz w:val="24"/>
              </w:rPr>
              <w:t>,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 xml:space="preserve"> e.g. prophecy, thane</w:t>
            </w:r>
            <w:r w:rsidR="00797E29" w:rsidRPr="0017029A">
              <w:rPr>
                <w:rFonts w:ascii="Arial" w:hAnsi="Arial" w:cs="Arial"/>
                <w:color w:val="595959" w:themeColor="text1" w:themeTint="A6"/>
                <w:sz w:val="24"/>
              </w:rPr>
              <w:t>, dagger</w:t>
            </w:r>
            <w:r w:rsidRPr="0017029A">
              <w:rPr>
                <w:rFonts w:ascii="Arial" w:hAnsi="Arial" w:cs="Arial"/>
                <w:color w:val="595959" w:themeColor="text1" w:themeTint="A6"/>
                <w:sz w:val="24"/>
              </w:rPr>
              <w:t>.</w:t>
            </w:r>
          </w:p>
          <w:p w:rsidR="00797E29" w:rsidRPr="0017029A" w:rsidRDefault="00797E29" w:rsidP="00F322AA">
            <w:pPr>
              <w:pStyle w:val="ListParagraph"/>
              <w:ind w:left="0"/>
              <w:rPr>
                <w:rFonts w:ascii="Arial" w:hAnsi="Arial" w:cs="Arial"/>
                <w:color w:val="17365D" w:themeColor="text2" w:themeShade="BF"/>
                <w:sz w:val="24"/>
              </w:rPr>
            </w:pPr>
          </w:p>
        </w:tc>
      </w:tr>
    </w:tbl>
    <w:p w:rsidR="006948F1" w:rsidRPr="0017029A" w:rsidRDefault="006948F1" w:rsidP="002F3B0E">
      <w:pPr>
        <w:spacing w:after="0"/>
        <w:rPr>
          <w:rFonts w:ascii="Arial" w:hAnsi="Arial" w:cs="Arial"/>
          <w:color w:val="FF0000"/>
          <w:sz w:val="28"/>
          <w:szCs w:val="24"/>
        </w:rPr>
      </w:pPr>
    </w:p>
    <w:p w:rsidR="002F3B0E" w:rsidRPr="0017029A" w:rsidRDefault="001529CA" w:rsidP="002F3B0E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This resource could be used</w:t>
      </w:r>
      <w:r w:rsidR="005A50E7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:</w:t>
      </w:r>
      <w:r w:rsidR="002F3B0E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 </w:t>
      </w:r>
    </w:p>
    <w:p w:rsidR="002F3B0E" w:rsidRPr="0017029A" w:rsidRDefault="00FE276F" w:rsidP="002F3B0E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as differentiation </w:t>
      </w:r>
      <w:r w:rsidR="002F3B0E" w:rsidRPr="0017029A">
        <w:rPr>
          <w:rFonts w:ascii="Arial" w:hAnsi="Arial" w:cs="Arial"/>
          <w:color w:val="595959" w:themeColor="text1" w:themeTint="A6"/>
          <w:sz w:val="24"/>
          <w:szCs w:val="24"/>
        </w:rPr>
        <w:t>within class</w:t>
      </w:r>
      <w:r w:rsidR="00797E29"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for a learner or group of learners who are new or recent arrivals and whose level of English is not yet sufficient to access the actual text of Macbeth.</w:t>
      </w:r>
    </w:p>
    <w:p w:rsidR="002F3B0E" w:rsidRPr="0017029A" w:rsidRDefault="002F3B0E" w:rsidP="002F3B0E">
      <w:pPr>
        <w:pStyle w:val="ListParagraph"/>
        <w:spacing w:after="0"/>
        <w:ind w:left="360"/>
        <w:rPr>
          <w:rFonts w:ascii="Arial" w:hAnsi="Arial" w:cs="Arial"/>
          <w:color w:val="595959" w:themeColor="text1" w:themeTint="A6"/>
          <w:sz w:val="24"/>
          <w:szCs w:val="24"/>
        </w:rPr>
      </w:pPr>
    </w:p>
    <w:p w:rsidR="00082900" w:rsidRPr="0017029A" w:rsidRDefault="00082900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Ideas for using the resource </w:t>
      </w:r>
    </w:p>
    <w:p w:rsidR="00EC6DE4" w:rsidRPr="0017029A" w:rsidRDefault="00082900" w:rsidP="00EC6DE4">
      <w:pPr>
        <w:pStyle w:val="Body"/>
        <w:spacing w:before="120" w:after="120" w:line="276" w:lineRule="auto"/>
        <w:ind w:right="227"/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</w:pPr>
      <w:r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>What to do</w:t>
      </w:r>
    </w:p>
    <w:p w:rsidR="001A75EF" w:rsidRPr="001A75EF" w:rsidRDefault="00797E29" w:rsidP="001A75EF">
      <w:pPr>
        <w:pStyle w:val="ListParagraph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Scene summaries are provided for the learner to read instead of the text. </w:t>
      </w:r>
    </w:p>
    <w:p w:rsidR="00797E29" w:rsidRPr="0017029A" w:rsidRDefault="001A75EF" w:rsidP="001A75EF">
      <w:pPr>
        <w:pStyle w:val="ListParagraph"/>
        <w:numPr>
          <w:ilvl w:val="0"/>
          <w:numId w:val="15"/>
        </w:numPr>
        <w:rPr>
          <w:rFonts w:ascii="Arial" w:hAnsi="Arial" w:cs="Arial"/>
          <w:color w:val="595959" w:themeColor="text1" w:themeTint="A6"/>
          <w:sz w:val="24"/>
        </w:rPr>
      </w:pPr>
      <w:hyperlink r:id="rId9" w:history="1">
        <w:r w:rsidR="00797E29" w:rsidRPr="005C656F">
          <w:rPr>
            <w:rStyle w:val="Hyperlink"/>
            <w:rFonts w:ascii="Arial" w:hAnsi="Arial" w:cs="Arial"/>
            <w:sz w:val="24"/>
          </w:rPr>
          <w:t>DARTs</w:t>
        </w:r>
      </w:hyperlink>
      <w:r w:rsidR="00797E29" w:rsidRPr="0017029A">
        <w:rPr>
          <w:rFonts w:ascii="Arial" w:hAnsi="Arial" w:cs="Arial"/>
          <w:color w:val="595959" w:themeColor="text1" w:themeTint="A6"/>
          <w:sz w:val="24"/>
        </w:rPr>
        <w:t xml:space="preserve"> activities are provided on the scene summaries to make sure the EAL learner understands the plot. </w:t>
      </w:r>
    </w:p>
    <w:p w:rsidR="00797E29" w:rsidRPr="0017029A" w:rsidRDefault="00797E29" w:rsidP="00797E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</w:rPr>
        <w:t xml:space="preserve">Speaking and writing activities are included that highlight specific features of English explicitly. </w:t>
      </w:r>
    </w:p>
    <w:p w:rsidR="00797E29" w:rsidRPr="0017029A" w:rsidRDefault="00797E29" w:rsidP="00797E2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The </w:t>
      </w:r>
      <w:hyperlink r:id="rId10" w:history="1">
        <w:r w:rsidR="0017029A" w:rsidRPr="005C656F">
          <w:rPr>
            <w:rStyle w:val="Hyperlink"/>
            <w:rFonts w:ascii="Arial" w:hAnsi="Arial" w:cs="Arial"/>
            <w:sz w:val="24"/>
            <w:szCs w:val="24"/>
          </w:rPr>
          <w:t>visuals</w:t>
        </w:r>
      </w:hyperlink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in this resource pack are useful to provide a context and to reduce the need for key words and phrases to be translated. </w:t>
      </w:r>
    </w:p>
    <w:p w:rsidR="004B260A" w:rsidRPr="0017029A" w:rsidRDefault="004B260A" w:rsidP="004B260A">
      <w:pPr>
        <w:pStyle w:val="ListParagraph"/>
        <w:numPr>
          <w:ilvl w:val="0"/>
          <w:numId w:val="14"/>
        </w:numPr>
        <w:rPr>
          <w:rFonts w:ascii="Arial" w:hAnsi="Arial" w:cs="Arial"/>
          <w:i/>
          <w:color w:val="595959" w:themeColor="text1" w:themeTint="A6"/>
          <w:sz w:val="24"/>
        </w:rPr>
      </w:pPr>
      <w:r w:rsidRPr="0017029A">
        <w:rPr>
          <w:rFonts w:ascii="Arial" w:hAnsi="Arial" w:cs="Arial"/>
          <w:color w:val="595959" w:themeColor="text1" w:themeTint="A6"/>
          <w:sz w:val="24"/>
        </w:rPr>
        <w:t xml:space="preserve">The EAL learner can be given a highlighter pen to highlight unfamiliar words in the scene summaries as they read them. </w:t>
      </w:r>
    </w:p>
    <w:p w:rsidR="00797E29" w:rsidRPr="001A75EF" w:rsidRDefault="004B260A" w:rsidP="00797E29">
      <w:pPr>
        <w:pStyle w:val="ListParagraph"/>
        <w:numPr>
          <w:ilvl w:val="0"/>
          <w:numId w:val="14"/>
        </w:numPr>
        <w:rPr>
          <w:rFonts w:ascii="Arial" w:hAnsi="Arial" w:cs="Arial"/>
          <w:color w:val="595959" w:themeColor="text1" w:themeTint="A6"/>
          <w:sz w:val="24"/>
        </w:rPr>
      </w:pPr>
      <w:r w:rsidRPr="001A75EF">
        <w:rPr>
          <w:rFonts w:ascii="Arial" w:hAnsi="Arial" w:cs="Arial"/>
          <w:color w:val="595959" w:themeColor="text1" w:themeTint="A6"/>
          <w:sz w:val="24"/>
          <w:szCs w:val="24"/>
        </w:rPr>
        <w:t xml:space="preserve">Each scene summary has a list of key words or phrases to translate. </w:t>
      </w:r>
    </w:p>
    <w:p w:rsidR="001A75EF" w:rsidRPr="001A75EF" w:rsidRDefault="001A75EF" w:rsidP="001A75EF">
      <w:pPr>
        <w:pStyle w:val="ListParagraph"/>
        <w:ind w:left="360"/>
        <w:rPr>
          <w:rFonts w:ascii="Arial" w:hAnsi="Arial" w:cs="Arial"/>
          <w:color w:val="595959" w:themeColor="text1" w:themeTint="A6"/>
          <w:sz w:val="24"/>
        </w:rPr>
      </w:pPr>
    </w:p>
    <w:p w:rsidR="00082900" w:rsidRPr="0017029A" w:rsidRDefault="00974853" w:rsidP="00082900">
      <w:pPr>
        <w:pStyle w:val="Body"/>
        <w:spacing w:before="120" w:after="120" w:line="276" w:lineRule="auto"/>
        <w:ind w:right="227"/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</w:pPr>
      <w:r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 xml:space="preserve">Other </w:t>
      </w:r>
      <w:r w:rsidR="001529CA" w:rsidRPr="0017029A">
        <w:rPr>
          <w:rFonts w:ascii="Arial" w:hAnsi="Arial" w:cs="Arial"/>
          <w:b/>
          <w:color w:val="595959" w:themeColor="text1" w:themeTint="A6"/>
          <w:sz w:val="24"/>
          <w:szCs w:val="22"/>
          <w:lang w:val="en-GB"/>
        </w:rPr>
        <w:t>ideas for making the best use of this resource</w:t>
      </w:r>
    </w:p>
    <w:p w:rsidR="00797E29" w:rsidRPr="0017029A" w:rsidRDefault="00797E29" w:rsidP="00797E29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Some of the activities in the pack, for example </w:t>
      </w:r>
      <w:r w:rsidR="00D75DB2" w:rsidRPr="0017029A">
        <w:rPr>
          <w:rFonts w:ascii="Arial" w:hAnsi="Arial" w:cs="Arial"/>
          <w:color w:val="595959" w:themeColor="text1" w:themeTint="A6"/>
          <w:sz w:val="24"/>
          <w:szCs w:val="24"/>
        </w:rPr>
        <w:t>predicting what will happen</w:t>
      </w:r>
      <w:r w:rsidR="00F34F19"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 later in the play or creating sentences based on the </w:t>
      </w:r>
      <w:hyperlink r:id="rId11" w:history="1">
        <w:r w:rsidR="00F34F19" w:rsidRPr="005C656F">
          <w:rPr>
            <w:rStyle w:val="Hyperlink"/>
            <w:rFonts w:ascii="Arial" w:hAnsi="Arial" w:cs="Arial"/>
            <w:sz w:val="24"/>
            <w:szCs w:val="24"/>
          </w:rPr>
          <w:t>substitution table</w:t>
        </w:r>
      </w:hyperlink>
      <w:r w:rsidR="00F34F19" w:rsidRPr="0017029A">
        <w:rPr>
          <w:rFonts w:ascii="Arial" w:hAnsi="Arial" w:cs="Arial"/>
          <w:color w:val="FF0000"/>
          <w:sz w:val="24"/>
          <w:szCs w:val="24"/>
        </w:rPr>
        <w:t xml:space="preserve"> </w:t>
      </w:r>
      <w:r w:rsidR="00F34F19"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for Scenes 5 and 6, </w:t>
      </w: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can be carried out as </w:t>
      </w:r>
      <w:hyperlink r:id="rId12" w:history="1">
        <w:r w:rsidRPr="005C656F">
          <w:rPr>
            <w:rStyle w:val="Hyperlink"/>
            <w:rFonts w:ascii="Arial" w:hAnsi="Arial" w:cs="Arial"/>
            <w:sz w:val="24"/>
            <w:szCs w:val="24"/>
          </w:rPr>
          <w:t>collaborative</w:t>
        </w:r>
      </w:hyperlink>
      <w:r w:rsidRPr="001702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group or pair work. </w:t>
      </w:r>
    </w:p>
    <w:p w:rsidR="004B260A" w:rsidRPr="0017029A" w:rsidRDefault="004B260A" w:rsidP="004B260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Learners who share a language may find it helpful to discuss themes of the play in their first language before trying to talk about them in English. </w:t>
      </w:r>
    </w:p>
    <w:p w:rsidR="004B260A" w:rsidRPr="0017029A" w:rsidRDefault="004B260A" w:rsidP="004B260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  <w:szCs w:val="24"/>
        </w:rPr>
        <w:t xml:space="preserve">If a piece of extended writing is required, learners with good L1 literacy skills may find it helpful to write in their first language first and then translate it </w:t>
      </w:r>
    </w:p>
    <w:p w:rsidR="008B12CE" w:rsidRPr="0017029A" w:rsidRDefault="008B12CE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</w:p>
    <w:p w:rsidR="00082900" w:rsidRPr="0017029A" w:rsidRDefault="00974853" w:rsidP="00082900">
      <w:pPr>
        <w:spacing w:after="0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>Possible extension activities</w:t>
      </w:r>
      <w:r w:rsidR="00082900" w:rsidRPr="0017029A">
        <w:rPr>
          <w:rFonts w:ascii="Arial" w:hAnsi="Arial" w:cs="Arial"/>
          <w:b/>
          <w:color w:val="244061" w:themeColor="accent1" w:themeShade="80"/>
          <w:sz w:val="28"/>
          <w:szCs w:val="24"/>
        </w:rPr>
        <w:t xml:space="preserve"> </w:t>
      </w:r>
    </w:p>
    <w:p w:rsidR="008B12CE" w:rsidRPr="00CA4F52" w:rsidRDefault="00797E29" w:rsidP="00CF6ABA">
      <w:pPr>
        <w:pStyle w:val="ListParagraph"/>
        <w:numPr>
          <w:ilvl w:val="0"/>
          <w:numId w:val="16"/>
        </w:num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17029A">
        <w:rPr>
          <w:rFonts w:ascii="Arial" w:hAnsi="Arial" w:cs="Arial"/>
          <w:color w:val="595959" w:themeColor="text1" w:themeTint="A6"/>
          <w:sz w:val="24"/>
        </w:rPr>
        <w:t xml:space="preserve">Some of the DARTs activities generate sentences that can be used to scaffold a more extended piece of writing. </w:t>
      </w:r>
      <w:bookmarkStart w:id="0" w:name="_GoBack"/>
      <w:bookmarkEnd w:id="0"/>
    </w:p>
    <w:sectPr w:rsidR="008B12CE" w:rsidRPr="00CA4F52" w:rsidSect="00A20D5E">
      <w:headerReference w:type="default" r:id="rId13"/>
      <w:footerReference w:type="default" r:id="rId14"/>
      <w:pgSz w:w="11906" w:h="16838"/>
      <w:pgMar w:top="1440" w:right="1440" w:bottom="1440" w:left="1440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EE" w:rsidRDefault="00857FEE" w:rsidP="00671F30">
      <w:pPr>
        <w:spacing w:after="0" w:line="240" w:lineRule="auto"/>
      </w:pPr>
      <w:r>
        <w:separator/>
      </w:r>
    </w:p>
  </w:endnote>
  <w:endnote w:type="continuationSeparator" w:id="0">
    <w:p w:rsidR="00857FEE" w:rsidRDefault="00857FEE" w:rsidP="0067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British Council Sans">
    <w:panose1 w:val="020B05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30" w:rsidRDefault="00A4228C" w:rsidP="0047049A">
    <w:pPr>
      <w:pStyle w:val="Footer"/>
      <w:tabs>
        <w:tab w:val="clear" w:pos="4513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3323887" wp14:editId="48AF6E75">
              <wp:simplePos x="0" y="0"/>
              <wp:positionH relativeFrom="column">
                <wp:posOffset>3900805</wp:posOffset>
              </wp:positionH>
              <wp:positionV relativeFrom="paragraph">
                <wp:posOffset>266700</wp:posOffset>
              </wp:positionV>
              <wp:extent cx="2374265" cy="14039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049A" w:rsidRPr="00B65ED5" w:rsidRDefault="0047049A" w:rsidP="0047049A">
                          <w:pPr>
                            <w:jc w:val="right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B65ED5">
                            <w:rPr>
                              <w:rFonts w:cstheme="minorHAnsi"/>
                              <w:sz w:val="16"/>
                              <w:szCs w:val="16"/>
                            </w:rPr>
                            <w:t>© British Council 201</w:t>
                          </w:r>
                          <w:r w:rsidR="009151DD">
                            <w:rPr>
                              <w:rFonts w:cstheme="minorHAnsi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15pt;margin-top:21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" filled="f" stroked="f">
              <v:textbox style="mso-fit-shape-to-text:t">
                <w:txbxContent>
                  <w:p w:rsidR="0047049A" w:rsidRPr="00B65ED5" w:rsidRDefault="0047049A" w:rsidP="0047049A">
                    <w:pPr>
                      <w:jc w:val="right"/>
                      <w:rPr>
                        <w:rFonts w:cstheme="minorHAnsi"/>
                        <w:sz w:val="16"/>
                        <w:szCs w:val="16"/>
                      </w:rPr>
                    </w:pPr>
                    <w:r w:rsidRPr="00B65ED5">
                      <w:rPr>
                        <w:rFonts w:cstheme="minorHAnsi"/>
                        <w:sz w:val="16"/>
                        <w:szCs w:val="16"/>
                      </w:rPr>
                      <w:t>© British Council 201</w:t>
                    </w:r>
                    <w:r w:rsidR="009151DD">
                      <w:rPr>
                        <w:rFonts w:cstheme="minorHAnsi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0288" behindDoc="1" locked="0" layoutInCell="1" allowOverlap="1" wp14:anchorId="0D2D4910" wp14:editId="1D589407">
          <wp:simplePos x="0" y="0"/>
          <wp:positionH relativeFrom="column">
            <wp:posOffset>-466725</wp:posOffset>
          </wp:positionH>
          <wp:positionV relativeFrom="paragraph">
            <wp:posOffset>103505</wp:posOffset>
          </wp:positionV>
          <wp:extent cx="323850" cy="220980"/>
          <wp:effectExtent l="0" t="0" r="0" b="7620"/>
          <wp:wrapTight wrapText="bothSides">
            <wp:wrapPolygon edited="0">
              <wp:start x="0" y="0"/>
              <wp:lineTo x="0" y="20483"/>
              <wp:lineTo x="20329" y="20483"/>
              <wp:lineTo x="20329" y="0"/>
              <wp:lineTo x="0" y="0"/>
            </wp:wrapPolygon>
          </wp:wrapTight>
          <wp:docPr id="12" name="Picture 12" descr="E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U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-1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" t="2349" r="5879" b="2349"/>
                  <a:stretch/>
                </pic:blipFill>
                <pic:spPr bwMode="auto">
                  <a:xfrm>
                    <a:off x="0" y="0"/>
                    <a:ext cx="32385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F30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338045" wp14:editId="54CCCBF4">
              <wp:simplePos x="0" y="0"/>
              <wp:positionH relativeFrom="column">
                <wp:posOffset>-552450</wp:posOffset>
              </wp:positionH>
              <wp:positionV relativeFrom="paragraph">
                <wp:posOffset>271780</wp:posOffset>
              </wp:positionV>
              <wp:extent cx="5867400" cy="24765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0D5E" w:rsidRPr="00EA12F8" w:rsidRDefault="00A20D5E" w:rsidP="00EA12F8">
                          <w:pPr>
                            <w:spacing w:after="0" w:line="240" w:lineRule="auto"/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>This project and its actions were made possible due to</w:t>
                          </w:r>
                          <w:r w:rsidR="00EA12F8"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EA12F8">
                            <w:rPr>
                              <w:color w:val="595959" w:themeColor="text1" w:themeTint="A6"/>
                              <w:sz w:val="15"/>
                              <w:szCs w:val="15"/>
                            </w:rPr>
                            <w:t>co-financing by the European Fund for the Integration of Third-Country Nationals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43.5pt;margin-top:21.4pt;width:462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" filled="f" stroked="f">
              <v:textbox>
                <w:txbxContent>
                  <w:p w:rsidR="00A20D5E" w:rsidRPr="00EA12F8" w:rsidRDefault="00A20D5E" w:rsidP="00EA12F8">
                    <w:pPr>
                      <w:spacing w:after="0" w:line="240" w:lineRule="auto"/>
                      <w:rPr>
                        <w:color w:val="595959" w:themeColor="text1" w:themeTint="A6"/>
                        <w:sz w:val="15"/>
                        <w:szCs w:val="15"/>
                      </w:rPr>
                    </w:pPr>
                    <w:r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>This project and its actions were made possible due to</w:t>
                    </w:r>
                    <w:r w:rsidR="00EA12F8"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 xml:space="preserve"> </w:t>
                    </w:r>
                    <w:r w:rsidRPr="00EA12F8">
                      <w:rPr>
                        <w:color w:val="595959" w:themeColor="text1" w:themeTint="A6"/>
                        <w:sz w:val="15"/>
                        <w:szCs w:val="15"/>
                      </w:rPr>
                      <w:t>co-financing by the European Fund for the Integration of Third-Country Nationals</w:t>
                    </w:r>
                  </w:p>
                </w:txbxContent>
              </v:textbox>
            </v:shape>
          </w:pict>
        </mc:Fallback>
      </mc:AlternateContent>
    </w:r>
    <w:r w:rsidR="0047049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EE" w:rsidRDefault="00857FEE" w:rsidP="00671F30">
      <w:pPr>
        <w:spacing w:after="0" w:line="240" w:lineRule="auto"/>
      </w:pPr>
      <w:r>
        <w:separator/>
      </w:r>
    </w:p>
  </w:footnote>
  <w:footnote w:type="continuationSeparator" w:id="0">
    <w:p w:rsidR="00857FEE" w:rsidRDefault="00857FEE" w:rsidP="0067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F30" w:rsidRDefault="0047049A" w:rsidP="00EA12F8">
    <w:pPr>
      <w:pStyle w:val="Header"/>
      <w:tabs>
        <w:tab w:val="clear" w:pos="4513"/>
        <w:tab w:val="clear" w:pos="9026"/>
        <w:tab w:val="left" w:pos="855"/>
      </w:tabs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6432" behindDoc="1" locked="0" layoutInCell="1" allowOverlap="1" wp14:anchorId="62EA2CB7" wp14:editId="4CC2483D">
          <wp:simplePos x="0" y="0"/>
          <wp:positionH relativeFrom="column">
            <wp:posOffset>-647700</wp:posOffset>
          </wp:positionH>
          <wp:positionV relativeFrom="paragraph">
            <wp:posOffset>-225425</wp:posOffset>
          </wp:positionV>
          <wp:extent cx="1190625" cy="394335"/>
          <wp:effectExtent l="0" t="0" r="9525" b="571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7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F30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5A2B3E" wp14:editId="2239D69F">
              <wp:simplePos x="0" y="0"/>
              <wp:positionH relativeFrom="column">
                <wp:posOffset>4123055</wp:posOffset>
              </wp:positionH>
              <wp:positionV relativeFrom="paragraph">
                <wp:posOffset>-182880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066" w:rsidRPr="0047049A" w:rsidRDefault="00A34066" w:rsidP="00A34066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4704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EAL </w:t>
                          </w:r>
                          <w:r w:rsidRPr="0047049A">
                            <w:rPr>
                              <w:rFonts w:ascii="Arial" w:hAnsi="Arial" w:cs="Arial"/>
                              <w:color w:val="FFFFFF" w:themeColor="background1"/>
                              <w:sz w:val="28"/>
                              <w:szCs w:val="28"/>
                            </w:rPr>
                            <w:t>Nexus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4.65pt;margin-top:-14.4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" filled="f" stroked="f">
              <v:textbox style="mso-fit-shape-to-text:t">
                <w:txbxContent>
                  <w:p w:rsidR="00A34066" w:rsidRPr="0047049A" w:rsidRDefault="00A34066" w:rsidP="00A34066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</w:pPr>
                    <w:r w:rsidRPr="0047049A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EAL </w:t>
                    </w:r>
                    <w:r w:rsidRPr="0047049A">
                      <w:rPr>
                        <w:rFonts w:ascii="Arial" w:hAnsi="Arial" w:cs="Arial"/>
                        <w:color w:val="FFFFFF" w:themeColor="background1"/>
                        <w:sz w:val="28"/>
                        <w:szCs w:val="28"/>
                      </w:rPr>
                      <w:t>Nexus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64384" behindDoc="1" locked="0" layoutInCell="1" allowOverlap="1" wp14:anchorId="1FEB5739" wp14:editId="227DE7CC">
          <wp:simplePos x="0" y="0"/>
          <wp:positionH relativeFrom="column">
            <wp:posOffset>-914400</wp:posOffset>
          </wp:positionH>
          <wp:positionV relativeFrom="paragraph">
            <wp:posOffset>-269240</wp:posOffset>
          </wp:positionV>
          <wp:extent cx="7618730" cy="457835"/>
          <wp:effectExtent l="0" t="0" r="1270" b="0"/>
          <wp:wrapTight wrapText="bothSides">
            <wp:wrapPolygon edited="0">
              <wp:start x="0" y="0"/>
              <wp:lineTo x="0" y="20671"/>
              <wp:lineTo x="21550" y="20671"/>
              <wp:lineTo x="215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35" b="51251"/>
                  <a:stretch/>
                </pic:blipFill>
                <pic:spPr bwMode="auto">
                  <a:xfrm>
                    <a:off x="0" y="0"/>
                    <a:ext cx="761873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2F8">
      <w:tab/>
    </w:r>
  </w:p>
  <w:p w:rsidR="00671F30" w:rsidRDefault="00EA12F8" w:rsidP="0047049A">
    <w:pPr>
      <w:pStyle w:val="Header"/>
      <w:tabs>
        <w:tab w:val="clear" w:pos="4513"/>
        <w:tab w:val="left" w:pos="1020"/>
      </w:tabs>
    </w:pPr>
    <w:r>
      <w:tab/>
    </w:r>
    <w:r w:rsidR="004704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4CC"/>
      </v:shape>
    </w:pict>
  </w:numPicBullet>
  <w:abstractNum w:abstractNumId="0">
    <w:nsid w:val="11121A2B"/>
    <w:multiLevelType w:val="multilevel"/>
    <w:tmpl w:val="8D9AD75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80"/>
        </w:tabs>
        <w:ind w:left="18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180"/>
        </w:tabs>
        <w:ind w:left="180" w:firstLine="1080"/>
      </w:pPr>
      <w:rPr>
        <w:rFonts w:hint="default"/>
        <w:color w:val="595959"/>
        <w:position w:val="0"/>
        <w:sz w:val="28"/>
      </w:rPr>
    </w:lvl>
    <w:lvl w:ilvl="4">
      <w:start w:val="1"/>
      <w:numFmt w:val="lowerLetter"/>
      <w:lvlText w:val="%5."/>
      <w:lvlJc w:val="left"/>
      <w:pPr>
        <w:tabs>
          <w:tab w:val="num" w:pos="180"/>
        </w:tabs>
        <w:ind w:left="18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80"/>
        </w:tabs>
        <w:ind w:left="18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180"/>
        </w:tabs>
        <w:ind w:left="18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80"/>
        </w:tabs>
        <w:ind w:left="18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80"/>
        </w:tabs>
        <w:ind w:left="180" w:firstLine="2880"/>
      </w:pPr>
      <w:rPr>
        <w:rFonts w:hint="default"/>
        <w:position w:val="0"/>
      </w:rPr>
    </w:lvl>
  </w:abstractNum>
  <w:abstractNum w:abstractNumId="1">
    <w:nsid w:val="157E2E18"/>
    <w:multiLevelType w:val="hybridMultilevel"/>
    <w:tmpl w:val="101663C2"/>
    <w:lvl w:ilvl="0" w:tplc="7D0233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Zapf Dingbat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Zapf Dingbat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Zapf Dingbat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7EFC"/>
    <w:multiLevelType w:val="hybridMultilevel"/>
    <w:tmpl w:val="B89CEC0C"/>
    <w:lvl w:ilvl="0" w:tplc="D56040E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70B2D"/>
    <w:multiLevelType w:val="hybridMultilevel"/>
    <w:tmpl w:val="C2E41BD8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CD64FA"/>
    <w:multiLevelType w:val="hybridMultilevel"/>
    <w:tmpl w:val="00B0B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5A7376"/>
    <w:multiLevelType w:val="hybridMultilevel"/>
    <w:tmpl w:val="6D62A83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155F59"/>
    <w:multiLevelType w:val="hybridMultilevel"/>
    <w:tmpl w:val="644C332E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E45D2F"/>
    <w:multiLevelType w:val="hybridMultilevel"/>
    <w:tmpl w:val="E480ADCE"/>
    <w:lvl w:ilvl="0" w:tplc="6BAC2A6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9A6196"/>
    <w:multiLevelType w:val="hybridMultilevel"/>
    <w:tmpl w:val="0366C61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B5FEB"/>
    <w:multiLevelType w:val="hybridMultilevel"/>
    <w:tmpl w:val="2056D7F2"/>
    <w:lvl w:ilvl="0" w:tplc="D56040E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u w:color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052D67"/>
    <w:multiLevelType w:val="hybridMultilevel"/>
    <w:tmpl w:val="B4BE6850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052AD38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F57B6"/>
    <w:multiLevelType w:val="hybridMultilevel"/>
    <w:tmpl w:val="308CD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B07FB1"/>
    <w:multiLevelType w:val="hybridMultilevel"/>
    <w:tmpl w:val="E2429868"/>
    <w:lvl w:ilvl="0" w:tplc="7D0233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Zapf Dingbat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Zapf Dingbat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Zapf Dingbat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81600F"/>
    <w:multiLevelType w:val="hybridMultilevel"/>
    <w:tmpl w:val="699C1EF4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040EC1"/>
    <w:multiLevelType w:val="hybridMultilevel"/>
    <w:tmpl w:val="4A423C38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214C15"/>
    <w:multiLevelType w:val="hybridMultilevel"/>
    <w:tmpl w:val="105C1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375FE"/>
    <w:multiLevelType w:val="hybridMultilevel"/>
    <w:tmpl w:val="8B0848B0"/>
    <w:lvl w:ilvl="0" w:tplc="0052AD38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</w:num>
  <w:num w:numId="5">
    <w:abstractNumId w:val="4"/>
  </w:num>
  <w:num w:numId="6">
    <w:abstractNumId w:val="7"/>
  </w:num>
  <w:num w:numId="7">
    <w:abstractNumId w:val="10"/>
  </w:num>
  <w:num w:numId="8">
    <w:abstractNumId w:val="16"/>
  </w:num>
  <w:num w:numId="9">
    <w:abstractNumId w:val="6"/>
  </w:num>
  <w:num w:numId="10">
    <w:abstractNumId w:val="3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30"/>
    <w:rsid w:val="00012A41"/>
    <w:rsid w:val="00072491"/>
    <w:rsid w:val="00076B13"/>
    <w:rsid w:val="00082900"/>
    <w:rsid w:val="000924A3"/>
    <w:rsid w:val="001014A6"/>
    <w:rsid w:val="00102C5F"/>
    <w:rsid w:val="0013398A"/>
    <w:rsid w:val="00134CCD"/>
    <w:rsid w:val="00136D1B"/>
    <w:rsid w:val="00140076"/>
    <w:rsid w:val="001529CA"/>
    <w:rsid w:val="00160403"/>
    <w:rsid w:val="0017029A"/>
    <w:rsid w:val="001749B8"/>
    <w:rsid w:val="0019045F"/>
    <w:rsid w:val="001A75EF"/>
    <w:rsid w:val="001B608D"/>
    <w:rsid w:val="001C5A54"/>
    <w:rsid w:val="001E1607"/>
    <w:rsid w:val="001F0F2B"/>
    <w:rsid w:val="0020307A"/>
    <w:rsid w:val="00217708"/>
    <w:rsid w:val="00217CF2"/>
    <w:rsid w:val="00227701"/>
    <w:rsid w:val="0024290F"/>
    <w:rsid w:val="0026782E"/>
    <w:rsid w:val="002B0383"/>
    <w:rsid w:val="002B6D3C"/>
    <w:rsid w:val="002F3B0E"/>
    <w:rsid w:val="0030375E"/>
    <w:rsid w:val="003513BB"/>
    <w:rsid w:val="00376824"/>
    <w:rsid w:val="003A3BBE"/>
    <w:rsid w:val="003B7642"/>
    <w:rsid w:val="003C0F31"/>
    <w:rsid w:val="003F4853"/>
    <w:rsid w:val="004247B4"/>
    <w:rsid w:val="00436FE3"/>
    <w:rsid w:val="004429E4"/>
    <w:rsid w:val="0047049A"/>
    <w:rsid w:val="00471B15"/>
    <w:rsid w:val="0048259E"/>
    <w:rsid w:val="004A09C2"/>
    <w:rsid w:val="004A1B53"/>
    <w:rsid w:val="004B0C62"/>
    <w:rsid w:val="004B260A"/>
    <w:rsid w:val="004B3A5C"/>
    <w:rsid w:val="004E7E5A"/>
    <w:rsid w:val="004F7D01"/>
    <w:rsid w:val="005003D3"/>
    <w:rsid w:val="005067D6"/>
    <w:rsid w:val="00511007"/>
    <w:rsid w:val="005149B0"/>
    <w:rsid w:val="00516D69"/>
    <w:rsid w:val="00530F5D"/>
    <w:rsid w:val="005824A0"/>
    <w:rsid w:val="005878FE"/>
    <w:rsid w:val="005A50E7"/>
    <w:rsid w:val="005C656F"/>
    <w:rsid w:val="005E2D83"/>
    <w:rsid w:val="00603BEE"/>
    <w:rsid w:val="006115BC"/>
    <w:rsid w:val="00617E89"/>
    <w:rsid w:val="00641E93"/>
    <w:rsid w:val="00643B54"/>
    <w:rsid w:val="00660E52"/>
    <w:rsid w:val="00671F30"/>
    <w:rsid w:val="006948F1"/>
    <w:rsid w:val="006A2C2C"/>
    <w:rsid w:val="00702316"/>
    <w:rsid w:val="007979CD"/>
    <w:rsid w:val="00797E29"/>
    <w:rsid w:val="007A7E83"/>
    <w:rsid w:val="007B1379"/>
    <w:rsid w:val="007C1B06"/>
    <w:rsid w:val="007C535B"/>
    <w:rsid w:val="007C6543"/>
    <w:rsid w:val="007C65A1"/>
    <w:rsid w:val="007D5F32"/>
    <w:rsid w:val="007F3C05"/>
    <w:rsid w:val="00807F82"/>
    <w:rsid w:val="00857FEE"/>
    <w:rsid w:val="00862142"/>
    <w:rsid w:val="008B12CE"/>
    <w:rsid w:val="008B4304"/>
    <w:rsid w:val="008C47FC"/>
    <w:rsid w:val="008D3E8A"/>
    <w:rsid w:val="009151DD"/>
    <w:rsid w:val="00966528"/>
    <w:rsid w:val="00970B98"/>
    <w:rsid w:val="00971771"/>
    <w:rsid w:val="00974853"/>
    <w:rsid w:val="00974D16"/>
    <w:rsid w:val="00983BCF"/>
    <w:rsid w:val="009850A7"/>
    <w:rsid w:val="00987E59"/>
    <w:rsid w:val="009A32AB"/>
    <w:rsid w:val="009E1EDF"/>
    <w:rsid w:val="009F229C"/>
    <w:rsid w:val="00A20D5E"/>
    <w:rsid w:val="00A34066"/>
    <w:rsid w:val="00A4228C"/>
    <w:rsid w:val="00A65FE1"/>
    <w:rsid w:val="00A86BBB"/>
    <w:rsid w:val="00A86DD3"/>
    <w:rsid w:val="00AB1DFF"/>
    <w:rsid w:val="00AC6765"/>
    <w:rsid w:val="00B035DB"/>
    <w:rsid w:val="00B065A9"/>
    <w:rsid w:val="00B16816"/>
    <w:rsid w:val="00B3159E"/>
    <w:rsid w:val="00B4522D"/>
    <w:rsid w:val="00B518D5"/>
    <w:rsid w:val="00B65ED5"/>
    <w:rsid w:val="00B73A3D"/>
    <w:rsid w:val="00BB0AB3"/>
    <w:rsid w:val="00BB7D23"/>
    <w:rsid w:val="00BC058B"/>
    <w:rsid w:val="00BE5C5E"/>
    <w:rsid w:val="00C8554B"/>
    <w:rsid w:val="00CA00A9"/>
    <w:rsid w:val="00CA4F52"/>
    <w:rsid w:val="00CB0F09"/>
    <w:rsid w:val="00CC4425"/>
    <w:rsid w:val="00CF108E"/>
    <w:rsid w:val="00CF6A74"/>
    <w:rsid w:val="00D043A5"/>
    <w:rsid w:val="00D10442"/>
    <w:rsid w:val="00D46951"/>
    <w:rsid w:val="00D57239"/>
    <w:rsid w:val="00D72461"/>
    <w:rsid w:val="00D75DB2"/>
    <w:rsid w:val="00D97154"/>
    <w:rsid w:val="00DD7656"/>
    <w:rsid w:val="00E07956"/>
    <w:rsid w:val="00E31BF4"/>
    <w:rsid w:val="00E35474"/>
    <w:rsid w:val="00E43E3A"/>
    <w:rsid w:val="00E55094"/>
    <w:rsid w:val="00EA12F8"/>
    <w:rsid w:val="00EA1FFA"/>
    <w:rsid w:val="00EA68DF"/>
    <w:rsid w:val="00EC64C4"/>
    <w:rsid w:val="00EC6DE4"/>
    <w:rsid w:val="00EE34BF"/>
    <w:rsid w:val="00F042C9"/>
    <w:rsid w:val="00F322AA"/>
    <w:rsid w:val="00F34F19"/>
    <w:rsid w:val="00F60160"/>
    <w:rsid w:val="00F8135B"/>
    <w:rsid w:val="00F81D88"/>
    <w:rsid w:val="00FA1445"/>
    <w:rsid w:val="00FA4FA7"/>
    <w:rsid w:val="00FC3A50"/>
    <w:rsid w:val="00FD6480"/>
    <w:rsid w:val="00F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30"/>
  </w:style>
  <w:style w:type="paragraph" w:styleId="Footer">
    <w:name w:val="footer"/>
    <w:basedOn w:val="Normal"/>
    <w:link w:val="Foot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30"/>
  </w:style>
  <w:style w:type="paragraph" w:customStyle="1" w:styleId="Body">
    <w:name w:val="Body"/>
    <w:rsid w:val="00A34066"/>
    <w:pPr>
      <w:spacing w:after="180" w:line="312" w:lineRule="auto"/>
    </w:pPr>
    <w:rPr>
      <w:rFonts w:ascii="Palatino" w:eastAsia="ヒラギノ角ゴ Pro W3" w:hAnsi="Palatino" w:cs="Times New Roman"/>
      <w:color w:val="000000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30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5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108E"/>
    <w:pPr>
      <w:widowControl w:val="0"/>
      <w:spacing w:after="0" w:line="360" w:lineRule="auto"/>
      <w:ind w:right="-46"/>
    </w:pPr>
    <w:rPr>
      <w:rFonts w:ascii="British Council Sans" w:eastAsia="Arial" w:hAnsi="British Council Sans"/>
      <w:spacing w:val="-1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108E"/>
    <w:rPr>
      <w:rFonts w:ascii="British Council Sans" w:eastAsia="Arial" w:hAnsi="British Council Sans"/>
      <w:spacing w:val="-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30"/>
  </w:style>
  <w:style w:type="paragraph" w:styleId="Footer">
    <w:name w:val="footer"/>
    <w:basedOn w:val="Normal"/>
    <w:link w:val="FooterChar"/>
    <w:uiPriority w:val="99"/>
    <w:unhideWhenUsed/>
    <w:rsid w:val="00671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30"/>
  </w:style>
  <w:style w:type="paragraph" w:customStyle="1" w:styleId="Body">
    <w:name w:val="Body"/>
    <w:rsid w:val="00A34066"/>
    <w:pPr>
      <w:spacing w:after="180" w:line="312" w:lineRule="auto"/>
    </w:pPr>
    <w:rPr>
      <w:rFonts w:ascii="Palatino" w:eastAsia="ヒラギノ角ゴ Pro W3" w:hAnsi="Palatino" w:cs="Times New Roman"/>
      <w:color w:val="000000"/>
      <w:sz w:val="18"/>
      <w:szCs w:val="20"/>
      <w:lang w:val="en-US"/>
    </w:rPr>
  </w:style>
  <w:style w:type="table" w:styleId="TableGrid">
    <w:name w:val="Table Grid"/>
    <w:basedOn w:val="TableNormal"/>
    <w:uiPriority w:val="59"/>
    <w:rsid w:val="00303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5BC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F108E"/>
    <w:pPr>
      <w:widowControl w:val="0"/>
      <w:spacing w:after="0" w:line="360" w:lineRule="auto"/>
      <w:ind w:right="-46"/>
    </w:pPr>
    <w:rPr>
      <w:rFonts w:ascii="British Council Sans" w:eastAsia="Arial" w:hAnsi="British Council Sans"/>
      <w:spacing w:val="-1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108E"/>
    <w:rPr>
      <w:rFonts w:ascii="British Council Sans" w:eastAsia="Arial" w:hAnsi="British Council Sans"/>
      <w:spacing w:val="-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l.britishcouncil.org/teachers/great-ideas-darts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al.britishcouncil.org/teachers/great-ideas-collaborative-activit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al.britishcouncil.org/teachers/great-ideas-substitution-tabl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al.britishcouncil.org/teachers/great-ideas-visu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l.britishcouncil.org/teachers/great-ideas-dar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Finch, Bethany (E&amp;E)</dc:creator>
  <cp:lastModifiedBy>RuthWilson</cp:lastModifiedBy>
  <cp:revision>3</cp:revision>
  <dcterms:created xsi:type="dcterms:W3CDTF">2015-06-02T14:25:00Z</dcterms:created>
  <dcterms:modified xsi:type="dcterms:W3CDTF">2015-06-02T14:27:00Z</dcterms:modified>
</cp:coreProperties>
</file>