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1D7FE" w14:textId="77777777" w:rsidR="00E15505" w:rsidRPr="00170BE6" w:rsidRDefault="00E15505" w:rsidP="00E15505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2"/>
          <w:szCs w:val="32"/>
          <w:lang w:eastAsia="en-GB"/>
          <w14:ligatures w14:val="none"/>
        </w:rPr>
      </w:pPr>
      <w:r w:rsidRPr="00170BE6">
        <w:rPr>
          <w:rFonts w:ascii="Segoe UI" w:eastAsia="Times New Roman" w:hAnsi="Segoe UI" w:cs="Segoe UI"/>
          <w:b/>
          <w:bCs/>
          <w:kern w:val="0"/>
          <w:sz w:val="32"/>
          <w:szCs w:val="32"/>
          <w:lang w:eastAsia="en-GB"/>
          <w14:ligatures w14:val="none"/>
        </w:rPr>
        <w:t>1. Context of the school or setting</w:t>
      </w:r>
    </w:p>
    <w:p w14:paraId="3848B07D" w14:textId="73A3A65C" w:rsidR="00E15505" w:rsidRPr="00EF19AC" w:rsidRDefault="005F32E5" w:rsidP="00E1550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lang w:eastAsia="en-GB"/>
          <w14:ligatures w14:val="none"/>
        </w:rPr>
      </w:pPr>
      <w:r w:rsidRPr="00EF19AC">
        <w:rPr>
          <w:rFonts w:ascii="Segoe UI" w:eastAsia="Times New Roman" w:hAnsi="Segoe UI" w:cs="Segoe UI"/>
          <w:kern w:val="0"/>
          <w:lang w:eastAsia="en-GB"/>
          <w14:ligatures w14:val="none"/>
        </w:rPr>
        <w:t>Collace</w:t>
      </w:r>
      <w:r w:rsidR="00E15505" w:rsidRPr="00EF19AC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 Primary School </w:t>
      </w:r>
      <w:proofErr w:type="gramStart"/>
      <w:r w:rsidR="00E15505" w:rsidRPr="00EF19AC">
        <w:rPr>
          <w:rFonts w:ascii="Segoe UI" w:eastAsia="Times New Roman" w:hAnsi="Segoe UI" w:cs="Segoe UI"/>
          <w:kern w:val="0"/>
          <w:lang w:eastAsia="en-GB"/>
          <w14:ligatures w14:val="none"/>
        </w:rPr>
        <w:t>is located in</w:t>
      </w:r>
      <w:proofErr w:type="gramEnd"/>
      <w:r w:rsidR="00E15505" w:rsidRPr="00EF19AC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 rural Perthshire, </w:t>
      </w:r>
      <w:r w:rsidRPr="00EF19AC">
        <w:rPr>
          <w:rFonts w:ascii="Segoe UI" w:eastAsia="Times New Roman" w:hAnsi="Segoe UI" w:cs="Segoe UI"/>
          <w:kern w:val="0"/>
          <w:lang w:eastAsia="en-GB"/>
          <w14:ligatures w14:val="none"/>
        </w:rPr>
        <w:t>9</w:t>
      </w:r>
      <w:r w:rsidR="00E15505" w:rsidRPr="00EF19AC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 miles north-east of Perth. The school serves </w:t>
      </w:r>
      <w:r w:rsidRPr="00EF19AC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the villages of Collace and </w:t>
      </w:r>
      <w:proofErr w:type="spellStart"/>
      <w:r w:rsidR="007F04C8" w:rsidRPr="00EF19AC">
        <w:rPr>
          <w:rFonts w:ascii="Segoe UI" w:eastAsia="Times New Roman" w:hAnsi="Segoe UI" w:cs="Segoe UI"/>
          <w:kern w:val="0"/>
          <w:lang w:eastAsia="en-GB"/>
          <w14:ligatures w14:val="none"/>
        </w:rPr>
        <w:t>Kinrossie</w:t>
      </w:r>
      <w:proofErr w:type="spellEnd"/>
      <w:r w:rsidR="007F04C8" w:rsidRPr="00EF19AC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 and</w:t>
      </w:r>
      <w:r w:rsidRPr="00EF19AC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 has a </w:t>
      </w:r>
      <w:r w:rsidR="00E15505" w:rsidRPr="00EF19AC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community </w:t>
      </w:r>
      <w:r w:rsidR="00C00671" w:rsidRPr="00EF19AC">
        <w:rPr>
          <w:rFonts w:ascii="Segoe UI" w:eastAsia="Times New Roman" w:hAnsi="Segoe UI" w:cs="Segoe UI"/>
          <w:kern w:val="0"/>
          <w:lang w:eastAsia="en-GB"/>
          <w14:ligatures w14:val="none"/>
        </w:rPr>
        <w:t>of farming and working families</w:t>
      </w:r>
      <w:r w:rsidRPr="00EF19AC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. </w:t>
      </w:r>
      <w:r w:rsidR="00E15505" w:rsidRPr="00EF19AC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The school roll is </w:t>
      </w:r>
      <w:r w:rsidRPr="00EF19AC">
        <w:rPr>
          <w:rFonts w:ascii="Segoe UI" w:eastAsia="Times New Roman" w:hAnsi="Segoe UI" w:cs="Segoe UI"/>
          <w:kern w:val="0"/>
          <w:lang w:eastAsia="en-GB"/>
          <w14:ligatures w14:val="none"/>
        </w:rPr>
        <w:t>1</w:t>
      </w:r>
      <w:r w:rsidR="00C00671" w:rsidRPr="00EF19AC">
        <w:rPr>
          <w:rFonts w:ascii="Segoe UI" w:eastAsia="Times New Roman" w:hAnsi="Segoe UI" w:cs="Segoe UI"/>
          <w:kern w:val="0"/>
          <w:lang w:eastAsia="en-GB"/>
          <w14:ligatures w14:val="none"/>
        </w:rPr>
        <w:t>8</w:t>
      </w:r>
      <w:r w:rsidRPr="00EF19AC">
        <w:rPr>
          <w:rFonts w:ascii="Segoe UI" w:eastAsia="Times New Roman" w:hAnsi="Segoe UI" w:cs="Segoe UI"/>
          <w:kern w:val="0"/>
          <w:lang w:eastAsia="en-GB"/>
          <w14:ligatures w14:val="none"/>
        </w:rPr>
        <w:t>.</w:t>
      </w:r>
      <w:r w:rsidR="00E15505" w:rsidRPr="00EF19AC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 There are two classes (P1–</w:t>
      </w:r>
      <w:r w:rsidRPr="00EF19AC">
        <w:rPr>
          <w:rFonts w:ascii="Segoe UI" w:eastAsia="Times New Roman" w:hAnsi="Segoe UI" w:cs="Segoe UI"/>
          <w:kern w:val="0"/>
          <w:lang w:eastAsia="en-GB"/>
          <w14:ligatures w14:val="none"/>
        </w:rPr>
        <w:t>4</w:t>
      </w:r>
      <w:r w:rsidR="00E15505" w:rsidRPr="00EF19AC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 and P</w:t>
      </w:r>
      <w:r w:rsidRPr="00EF19AC">
        <w:rPr>
          <w:rFonts w:ascii="Segoe UI" w:eastAsia="Times New Roman" w:hAnsi="Segoe UI" w:cs="Segoe UI"/>
          <w:kern w:val="0"/>
          <w:lang w:eastAsia="en-GB"/>
          <w14:ligatures w14:val="none"/>
        </w:rPr>
        <w:t>5</w:t>
      </w:r>
      <w:r w:rsidR="00E15505" w:rsidRPr="00EF19AC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–7), </w:t>
      </w:r>
      <w:r w:rsidRPr="00EF19AC">
        <w:rPr>
          <w:rFonts w:ascii="Segoe UI" w:eastAsia="Times New Roman" w:hAnsi="Segoe UI" w:cs="Segoe UI"/>
          <w:kern w:val="0"/>
          <w:lang w:eastAsia="en-GB"/>
          <w14:ligatures w14:val="none"/>
        </w:rPr>
        <w:t>two</w:t>
      </w:r>
      <w:r w:rsidR="00E15505" w:rsidRPr="00EF19AC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 teachers, and a Senior Leadership Team comprising the Head Teacher and Principal Teacher</w:t>
      </w:r>
      <w:r w:rsidRPr="00EF19AC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 – who are both shared with Balbeggie Primary School.</w:t>
      </w:r>
    </w:p>
    <w:p w14:paraId="5219E9A0" w14:textId="77777777" w:rsidR="00E15505" w:rsidRPr="00170BE6" w:rsidRDefault="00E15505" w:rsidP="00E15505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2"/>
          <w:szCs w:val="32"/>
          <w:lang w:eastAsia="en-GB"/>
          <w14:ligatures w14:val="none"/>
        </w:rPr>
      </w:pPr>
      <w:r w:rsidRPr="00170BE6">
        <w:rPr>
          <w:rFonts w:ascii="Segoe UI" w:eastAsia="Times New Roman" w:hAnsi="Segoe UI" w:cs="Segoe UI"/>
          <w:b/>
          <w:bCs/>
          <w:kern w:val="0"/>
          <w:sz w:val="32"/>
          <w:szCs w:val="32"/>
          <w:lang w:eastAsia="en-GB"/>
          <w14:ligatures w14:val="none"/>
        </w:rPr>
        <w:t>2. Vision, values and aims</w:t>
      </w:r>
    </w:p>
    <w:p w14:paraId="47248A59" w14:textId="77777777" w:rsidR="00E15505" w:rsidRPr="00EF19AC" w:rsidRDefault="00E15505" w:rsidP="00E1550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lang w:eastAsia="en-GB"/>
          <w14:ligatures w14:val="none"/>
        </w:rPr>
      </w:pPr>
      <w:r w:rsidRPr="00EF19AC">
        <w:rPr>
          <w:rFonts w:ascii="Segoe UI" w:eastAsia="Times New Roman" w:hAnsi="Segoe UI" w:cs="Segoe UI"/>
          <w:kern w:val="0"/>
          <w:lang w:eastAsia="en-GB"/>
          <w14:ligatures w14:val="none"/>
        </w:rPr>
        <w:t>The Vision, Values and Aims were reviewed this session in consultation with staff, pupils and parents. They are embedded through recognition of achievements linked to school values at assemblies.</w:t>
      </w:r>
    </w:p>
    <w:p w14:paraId="283C0418" w14:textId="6F6F4FA0" w:rsidR="00E15505" w:rsidRPr="00C00671" w:rsidRDefault="00E15505" w:rsidP="00E15505">
      <w:pPr>
        <w:pStyle w:val="NoSpacing"/>
        <w:rPr>
          <w:i/>
          <w:iCs/>
          <w:lang w:eastAsia="en-GB"/>
        </w:rPr>
      </w:pPr>
      <w:r w:rsidRPr="00E15505">
        <w:rPr>
          <w:b/>
          <w:bCs/>
          <w:lang w:eastAsia="en-GB"/>
        </w:rPr>
        <w:t>Vision:</w:t>
      </w:r>
      <w:r w:rsidRPr="00E15505">
        <w:rPr>
          <w:lang w:eastAsia="en-GB"/>
        </w:rPr>
        <w:br/>
      </w:r>
      <w:r w:rsidRPr="00C00671">
        <w:rPr>
          <w:i/>
          <w:iCs/>
          <w:lang w:eastAsia="en-GB"/>
        </w:rPr>
        <w:t xml:space="preserve">An inclusive, nurturing school with a </w:t>
      </w:r>
      <w:r w:rsidR="009326BD" w:rsidRPr="00C00671">
        <w:rPr>
          <w:i/>
          <w:iCs/>
          <w:lang w:eastAsia="en-GB"/>
        </w:rPr>
        <w:t>nurturing culture based on kindness, respect and high expectations.</w:t>
      </w:r>
    </w:p>
    <w:p w14:paraId="21DED872" w14:textId="13F40C3B" w:rsidR="00E15505" w:rsidRPr="005C6285" w:rsidRDefault="00E15505" w:rsidP="00E15505">
      <w:pPr>
        <w:pStyle w:val="NoSpacing"/>
        <w:rPr>
          <w:i/>
          <w:iCs/>
          <w:lang w:eastAsia="en-GB"/>
        </w:rPr>
      </w:pPr>
      <w:r w:rsidRPr="00E15505">
        <w:rPr>
          <w:b/>
          <w:bCs/>
          <w:lang w:eastAsia="en-GB"/>
        </w:rPr>
        <w:t>Values:</w:t>
      </w:r>
      <w:r w:rsidRPr="00E15505">
        <w:rPr>
          <w:lang w:eastAsia="en-GB"/>
        </w:rPr>
        <w:br/>
      </w:r>
      <w:r w:rsidR="009326BD" w:rsidRPr="005C6285">
        <w:rPr>
          <w:i/>
          <w:iCs/>
          <w:lang w:eastAsia="en-GB"/>
        </w:rPr>
        <w:t>Respectful, Nurturing, Resilient and Ambitious.</w:t>
      </w:r>
    </w:p>
    <w:p w14:paraId="7D223F76" w14:textId="77777777" w:rsidR="00E15505" w:rsidRPr="00C00671" w:rsidRDefault="00E15505" w:rsidP="00E15505">
      <w:pPr>
        <w:pStyle w:val="NoSpacing"/>
        <w:rPr>
          <w:b/>
          <w:bCs/>
          <w:lang w:eastAsia="en-GB"/>
        </w:rPr>
      </w:pPr>
      <w:r w:rsidRPr="00C00671">
        <w:rPr>
          <w:b/>
          <w:bCs/>
          <w:lang w:eastAsia="en-GB"/>
        </w:rPr>
        <w:t>Aims:</w:t>
      </w:r>
    </w:p>
    <w:p w14:paraId="2B48EC4B" w14:textId="6AC90609" w:rsidR="00C00671" w:rsidRPr="005C6285" w:rsidRDefault="00C00671" w:rsidP="00C00671">
      <w:pPr>
        <w:pStyle w:val="NoSpacing"/>
        <w:rPr>
          <w:i/>
          <w:iCs/>
          <w:lang w:eastAsia="en-GB"/>
        </w:rPr>
      </w:pPr>
      <w:r w:rsidRPr="005C6285">
        <w:rPr>
          <w:i/>
          <w:iCs/>
          <w:lang w:eastAsia="en-GB"/>
        </w:rPr>
        <w:t>To build a kind and respectful community where everyone feels included, valued and heard</w:t>
      </w:r>
      <w:r w:rsidR="005C6285">
        <w:rPr>
          <w:i/>
          <w:iCs/>
          <w:lang w:eastAsia="en-GB"/>
        </w:rPr>
        <w:t>.</w:t>
      </w:r>
    </w:p>
    <w:p w14:paraId="279DB737" w14:textId="3B1D36B8" w:rsidR="00C00671" w:rsidRPr="005C6285" w:rsidRDefault="00C00671" w:rsidP="00C00671">
      <w:pPr>
        <w:pStyle w:val="NoSpacing"/>
        <w:rPr>
          <w:i/>
          <w:iCs/>
          <w:lang w:eastAsia="en-GB"/>
        </w:rPr>
      </w:pPr>
      <w:r w:rsidRPr="005C6285">
        <w:rPr>
          <w:i/>
          <w:iCs/>
          <w:lang w:eastAsia="en-GB"/>
        </w:rPr>
        <w:t>To help every child feel safe, supported and confident to be themselves and care for others</w:t>
      </w:r>
      <w:r w:rsidR="005C6285">
        <w:rPr>
          <w:i/>
          <w:iCs/>
          <w:lang w:eastAsia="en-GB"/>
        </w:rPr>
        <w:t>.</w:t>
      </w:r>
    </w:p>
    <w:p w14:paraId="77CF8C11" w14:textId="16413E75" w:rsidR="00E15505" w:rsidRPr="005C6285" w:rsidRDefault="00C00671" w:rsidP="00C00671">
      <w:pPr>
        <w:pStyle w:val="NoSpacing"/>
        <w:rPr>
          <w:i/>
          <w:iCs/>
          <w:lang w:eastAsia="en-GB"/>
        </w:rPr>
      </w:pPr>
      <w:r w:rsidRPr="005C6285">
        <w:rPr>
          <w:i/>
          <w:iCs/>
          <w:lang w:eastAsia="en-GB"/>
        </w:rPr>
        <w:t>To inspire a love of learning where children are encouraged to try their best, keep going and aim high</w:t>
      </w:r>
      <w:r w:rsidR="005C6285">
        <w:rPr>
          <w:i/>
          <w:iCs/>
          <w:lang w:eastAsia="en-GB"/>
        </w:rPr>
        <w:t>.</w:t>
      </w:r>
    </w:p>
    <w:p w14:paraId="0066D124" w14:textId="77777777" w:rsidR="00E15505" w:rsidRPr="00170BE6" w:rsidRDefault="00E15505" w:rsidP="00E15505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2"/>
          <w:szCs w:val="32"/>
          <w:lang w:eastAsia="en-GB"/>
          <w14:ligatures w14:val="none"/>
        </w:rPr>
      </w:pPr>
      <w:r w:rsidRPr="00170BE6">
        <w:rPr>
          <w:rFonts w:ascii="Segoe UI" w:eastAsia="Times New Roman" w:hAnsi="Segoe UI" w:cs="Segoe UI"/>
          <w:b/>
          <w:bCs/>
          <w:kern w:val="0"/>
          <w:sz w:val="32"/>
          <w:szCs w:val="32"/>
          <w:lang w:eastAsia="en-GB"/>
          <w14:ligatures w14:val="none"/>
        </w:rPr>
        <w:t>3. Attendance, attainment and achievement</w:t>
      </w:r>
    </w:p>
    <w:p w14:paraId="51668A62" w14:textId="77777777" w:rsidR="009326BD" w:rsidRPr="00EF19AC" w:rsidRDefault="00E15505" w:rsidP="00E1550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lang w:eastAsia="en-GB"/>
          <w14:ligatures w14:val="none"/>
        </w:rPr>
      </w:pPr>
      <w:r w:rsidRPr="00EF19AC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Attendance remains a key area for improvement. The school is strengthening monitoring, following Perth &amp; Kinross procedures, and sharing clear messages with parents about the impact of attendance on attainment. </w:t>
      </w:r>
    </w:p>
    <w:p w14:paraId="10AB49F7" w14:textId="77777777" w:rsidR="005C6285" w:rsidRPr="005C6285" w:rsidRDefault="00E15505" w:rsidP="00C00671">
      <w:pPr>
        <w:pStyle w:val="NoSpacing"/>
        <w:rPr>
          <w:i/>
          <w:iCs/>
          <w:lang w:eastAsia="en-GB"/>
        </w:rPr>
      </w:pPr>
      <w:r w:rsidRPr="005C6285">
        <w:rPr>
          <w:i/>
          <w:iCs/>
          <w:lang w:eastAsia="en-GB"/>
        </w:rPr>
        <w:t xml:space="preserve">In </w:t>
      </w:r>
      <w:r w:rsidR="009326BD" w:rsidRPr="005C6285">
        <w:rPr>
          <w:i/>
          <w:iCs/>
          <w:lang w:eastAsia="en-GB"/>
        </w:rPr>
        <w:t>L</w:t>
      </w:r>
      <w:r w:rsidRPr="005C6285">
        <w:rPr>
          <w:i/>
          <w:iCs/>
          <w:lang w:eastAsia="en-GB"/>
        </w:rPr>
        <w:t>iteracy</w:t>
      </w:r>
      <w:r w:rsidR="00C00671" w:rsidRPr="005C6285">
        <w:rPr>
          <w:i/>
          <w:iCs/>
          <w:lang w:eastAsia="en-GB"/>
        </w:rPr>
        <w:t xml:space="preserve"> a</w:t>
      </w:r>
      <w:r w:rsidR="009326BD" w:rsidRPr="005C6285">
        <w:rPr>
          <w:i/>
          <w:iCs/>
          <w:lang w:eastAsia="en-GB"/>
        </w:rPr>
        <w:t>ll</w:t>
      </w:r>
      <w:r w:rsidRPr="005C6285">
        <w:rPr>
          <w:i/>
          <w:iCs/>
          <w:lang w:eastAsia="en-GB"/>
        </w:rPr>
        <w:t xml:space="preserve"> P4 pupils achieved First Level</w:t>
      </w:r>
      <w:r w:rsidR="00C00671" w:rsidRPr="005C6285">
        <w:rPr>
          <w:i/>
          <w:iCs/>
          <w:lang w:eastAsia="en-GB"/>
        </w:rPr>
        <w:t xml:space="preserve"> and a</w:t>
      </w:r>
      <w:r w:rsidR="009326BD" w:rsidRPr="005C6285">
        <w:rPr>
          <w:i/>
          <w:iCs/>
          <w:lang w:eastAsia="en-GB"/>
        </w:rPr>
        <w:t xml:space="preserve">ll </w:t>
      </w:r>
      <w:r w:rsidRPr="005C6285">
        <w:rPr>
          <w:i/>
          <w:iCs/>
          <w:lang w:eastAsia="en-GB"/>
        </w:rPr>
        <w:t>P7 pupils achieved Second Level</w:t>
      </w:r>
      <w:r w:rsidR="00C00671" w:rsidRPr="005C6285">
        <w:rPr>
          <w:i/>
          <w:iCs/>
          <w:lang w:eastAsia="en-GB"/>
        </w:rPr>
        <w:t xml:space="preserve">. </w:t>
      </w:r>
    </w:p>
    <w:p w14:paraId="57E28992" w14:textId="0770E26E" w:rsidR="00C00671" w:rsidRPr="005C6285" w:rsidRDefault="00C00671" w:rsidP="00C00671">
      <w:pPr>
        <w:pStyle w:val="NoSpacing"/>
        <w:rPr>
          <w:i/>
          <w:iCs/>
          <w:lang w:eastAsia="en-GB"/>
        </w:rPr>
      </w:pPr>
      <w:r w:rsidRPr="005C6285">
        <w:rPr>
          <w:i/>
          <w:iCs/>
          <w:lang w:eastAsia="en-GB"/>
        </w:rPr>
        <w:t>In Numeracy all P1 pupils achieved Early Level, all P4 pupils achieved First Level and all P7 pupils achieved Second Level.</w:t>
      </w:r>
    </w:p>
    <w:p w14:paraId="0681502A" w14:textId="7D1ED072" w:rsidR="00E15505" w:rsidRPr="00EF19AC" w:rsidRDefault="00E15505" w:rsidP="00E1550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lang w:eastAsia="en-GB"/>
          <w14:ligatures w14:val="none"/>
        </w:rPr>
      </w:pPr>
      <w:r w:rsidRPr="00EF19AC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Most pupils are on track. Strengths are evident in reading and listening &amp; talking, with writing identified as an area for development. Numeracy attainment is good overall, with emerging </w:t>
      </w:r>
      <w:r w:rsidR="009326BD" w:rsidRPr="00EF19AC">
        <w:rPr>
          <w:rFonts w:ascii="Segoe UI" w:eastAsia="Times New Roman" w:hAnsi="Segoe UI" w:cs="Segoe UI"/>
          <w:kern w:val="0"/>
          <w:lang w:eastAsia="en-GB"/>
          <w14:ligatures w14:val="none"/>
        </w:rPr>
        <w:t>gaps in learning</w:t>
      </w:r>
      <w:r w:rsidRPr="00EF19AC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 being addressed through targeted support</w:t>
      </w:r>
      <w:r w:rsidR="009326BD" w:rsidRPr="00EF19AC">
        <w:rPr>
          <w:rFonts w:ascii="Segoe UI" w:eastAsia="Times New Roman" w:hAnsi="Segoe UI" w:cs="Segoe UI"/>
          <w:kern w:val="0"/>
          <w:lang w:eastAsia="en-GB"/>
          <w14:ligatures w14:val="none"/>
        </w:rPr>
        <w:t>.</w:t>
      </w:r>
      <w:r w:rsidR="00C00671" w:rsidRPr="00EF19AC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 </w:t>
      </w:r>
      <w:r w:rsidRPr="00EF19AC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Pupils participate in a range of wider achievement opportunities including </w:t>
      </w:r>
      <w:r w:rsidR="009326BD" w:rsidRPr="00EF19AC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leadership groups, peer mediators, school run coffee morning, </w:t>
      </w:r>
      <w:r w:rsidRPr="00EF19AC">
        <w:rPr>
          <w:rFonts w:ascii="Segoe UI" w:eastAsia="Times New Roman" w:hAnsi="Segoe UI" w:cs="Segoe UI"/>
          <w:kern w:val="0"/>
          <w:lang w:eastAsia="en-GB"/>
          <w14:ligatures w14:val="none"/>
        </w:rPr>
        <w:t>inter-school sports, and community-based activities. Achievements are recognised regularly through assemblies and displays</w:t>
      </w:r>
      <w:r w:rsidR="0062082C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 and shared with families on Learning Journals</w:t>
      </w:r>
      <w:r w:rsidRPr="00EF19AC">
        <w:rPr>
          <w:rFonts w:ascii="Segoe UI" w:eastAsia="Times New Roman" w:hAnsi="Segoe UI" w:cs="Segoe UI"/>
          <w:kern w:val="0"/>
          <w:lang w:eastAsia="en-GB"/>
          <w14:ligatures w14:val="none"/>
        </w:rPr>
        <w:t>.</w:t>
      </w:r>
    </w:p>
    <w:p w14:paraId="113F596A" w14:textId="77777777" w:rsidR="00E15505" w:rsidRDefault="00E15505" w:rsidP="00E1550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</w:p>
    <w:p w14:paraId="13B99299" w14:textId="77777777" w:rsidR="00E15505" w:rsidRPr="00E15505" w:rsidRDefault="00E15505" w:rsidP="00E1550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</w:p>
    <w:p w14:paraId="068ED1A5" w14:textId="77777777" w:rsidR="00E15505" w:rsidRPr="00170BE6" w:rsidRDefault="00E15505" w:rsidP="00E15505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2"/>
          <w:szCs w:val="32"/>
          <w:lang w:eastAsia="en-GB"/>
          <w14:ligatures w14:val="none"/>
        </w:rPr>
      </w:pPr>
      <w:r w:rsidRPr="00170BE6">
        <w:rPr>
          <w:rFonts w:ascii="Segoe UI" w:eastAsia="Times New Roman" w:hAnsi="Segoe UI" w:cs="Segoe UI"/>
          <w:b/>
          <w:bCs/>
          <w:kern w:val="0"/>
          <w:sz w:val="32"/>
          <w:szCs w:val="32"/>
          <w:lang w:eastAsia="en-GB"/>
          <w14:ligatures w14:val="none"/>
        </w:rPr>
        <w:lastRenderedPageBreak/>
        <w:t>4. Learning</w:t>
      </w:r>
    </w:p>
    <w:p w14:paraId="0BA308ED" w14:textId="6653CE5E" w:rsidR="00E15505" w:rsidRPr="00E15505" w:rsidRDefault="00E15505" w:rsidP="00E15505">
      <w:pPr>
        <w:pStyle w:val="NoSpacing"/>
        <w:rPr>
          <w:rFonts w:ascii="Segoe UI" w:hAnsi="Segoe UI" w:cs="Segoe UI"/>
          <w:lang w:eastAsia="en-GB"/>
        </w:rPr>
      </w:pPr>
      <w:r w:rsidRPr="00E15505">
        <w:rPr>
          <w:rFonts w:ascii="Segoe UI" w:hAnsi="Segoe UI" w:cs="Segoe UI"/>
          <w:lang w:eastAsia="en-GB"/>
        </w:rPr>
        <w:t xml:space="preserve">Quality assurance evidence shows consistent approaches </w:t>
      </w:r>
      <w:r w:rsidR="0062082C">
        <w:rPr>
          <w:rFonts w:ascii="Segoe UI" w:hAnsi="Segoe UI" w:cs="Segoe UI"/>
          <w:lang w:eastAsia="en-GB"/>
        </w:rPr>
        <w:t xml:space="preserve">are </w:t>
      </w:r>
      <w:r w:rsidRPr="00E15505">
        <w:rPr>
          <w:rFonts w:ascii="Segoe UI" w:hAnsi="Segoe UI" w:cs="Segoe UI"/>
          <w:lang w:eastAsia="en-GB"/>
        </w:rPr>
        <w:t>supporting most learners to make appropriate progress in literacy and numeracy. Most pupils achieve expected Curriculum for Excellence levels. To improve further, the school will:</w:t>
      </w:r>
    </w:p>
    <w:p w14:paraId="089A1ED4" w14:textId="77777777" w:rsidR="00E15505" w:rsidRPr="00FB0CC7" w:rsidRDefault="00E15505" w:rsidP="00E15505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i/>
          <w:iCs/>
          <w:kern w:val="0"/>
          <w:sz w:val="21"/>
          <w:szCs w:val="21"/>
          <w:lang w:eastAsia="en-GB"/>
          <w14:ligatures w14:val="none"/>
        </w:rPr>
      </w:pPr>
      <w:r w:rsidRPr="00FB0CC7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en-GB"/>
          <w14:ligatures w14:val="none"/>
        </w:rPr>
        <w:t>Strengthen differentiation</w:t>
      </w:r>
    </w:p>
    <w:p w14:paraId="10CFC97F" w14:textId="70430D33" w:rsidR="007F04C8" w:rsidRPr="00FB0CC7" w:rsidRDefault="007F04C8" w:rsidP="00E15505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i/>
          <w:iCs/>
          <w:kern w:val="0"/>
          <w:sz w:val="21"/>
          <w:szCs w:val="21"/>
          <w:lang w:eastAsia="en-GB"/>
          <w14:ligatures w14:val="none"/>
        </w:rPr>
      </w:pPr>
      <w:r w:rsidRPr="00FB0CC7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en-GB"/>
          <w14:ligatures w14:val="none"/>
        </w:rPr>
        <w:t>Increase challenge and depth of learning opportunities</w:t>
      </w:r>
    </w:p>
    <w:p w14:paraId="1B9D5D5F" w14:textId="4D9F0484" w:rsidR="00E15505" w:rsidRPr="00FB0CC7" w:rsidRDefault="00E15505" w:rsidP="00E15505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i/>
          <w:iCs/>
          <w:kern w:val="0"/>
          <w:sz w:val="21"/>
          <w:szCs w:val="21"/>
          <w:lang w:eastAsia="en-GB"/>
          <w14:ligatures w14:val="none"/>
        </w:rPr>
      </w:pPr>
      <w:r w:rsidRPr="00FB0CC7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en-GB"/>
          <w14:ligatures w14:val="none"/>
        </w:rPr>
        <w:t>Enhance targeted support</w:t>
      </w:r>
      <w:r w:rsidR="007F04C8" w:rsidRPr="00FB0CC7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en-GB"/>
          <w14:ligatures w14:val="none"/>
        </w:rPr>
        <w:t xml:space="preserve">, ensuring teachers have a full understanding of </w:t>
      </w:r>
      <w:r w:rsidR="00C00671" w:rsidRPr="00FB0CC7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en-GB"/>
          <w14:ligatures w14:val="none"/>
        </w:rPr>
        <w:t xml:space="preserve">pupil </w:t>
      </w:r>
      <w:r w:rsidR="007F04C8" w:rsidRPr="00FB0CC7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en-GB"/>
          <w14:ligatures w14:val="none"/>
        </w:rPr>
        <w:t>progress</w:t>
      </w:r>
    </w:p>
    <w:p w14:paraId="7F13BB62" w14:textId="687D16B0" w:rsidR="00E15505" w:rsidRPr="00FB0CC7" w:rsidRDefault="00E15505" w:rsidP="00E15505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i/>
          <w:iCs/>
          <w:kern w:val="0"/>
          <w:sz w:val="21"/>
          <w:szCs w:val="21"/>
          <w:lang w:eastAsia="en-GB"/>
          <w14:ligatures w14:val="none"/>
        </w:rPr>
      </w:pPr>
      <w:r w:rsidRPr="00FB0CC7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en-GB"/>
          <w14:ligatures w14:val="none"/>
        </w:rPr>
        <w:t xml:space="preserve">Focus on </w:t>
      </w:r>
      <w:r w:rsidR="007F04C8" w:rsidRPr="00FB0CC7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en-GB"/>
          <w14:ligatures w14:val="none"/>
        </w:rPr>
        <w:t>improving attendance over the whole school</w:t>
      </w:r>
    </w:p>
    <w:p w14:paraId="6A73D12B" w14:textId="77777777" w:rsidR="00E15505" w:rsidRPr="00170BE6" w:rsidRDefault="00E15505" w:rsidP="00E15505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2"/>
          <w:szCs w:val="32"/>
          <w:lang w:eastAsia="en-GB"/>
          <w14:ligatures w14:val="none"/>
        </w:rPr>
      </w:pPr>
      <w:r w:rsidRPr="00170BE6">
        <w:rPr>
          <w:rFonts w:ascii="Segoe UI" w:eastAsia="Times New Roman" w:hAnsi="Segoe UI" w:cs="Segoe UI"/>
          <w:b/>
          <w:bCs/>
          <w:kern w:val="0"/>
          <w:sz w:val="32"/>
          <w:szCs w:val="32"/>
          <w:lang w:eastAsia="en-GB"/>
          <w14:ligatures w14:val="none"/>
        </w:rPr>
        <w:t>5. Leadership</w:t>
      </w:r>
    </w:p>
    <w:p w14:paraId="0ACF00B8" w14:textId="24856F4C" w:rsidR="00E15505" w:rsidRPr="00EF19AC" w:rsidRDefault="00FB0CC7" w:rsidP="00E1550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Leadership at all levels is encouraged. </w:t>
      </w:r>
      <w:r w:rsidR="00E15505" w:rsidRPr="00EF19AC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Staff engage in collegiate working through the Local Management Group, with a focus on numeracy this session. Pupil leadership is promoted through the Pupil Council, </w:t>
      </w:r>
      <w:r w:rsidR="007F04C8" w:rsidRPr="00EF19AC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Eco Group, Library Group and </w:t>
      </w:r>
      <w:r w:rsidR="00BB40BB">
        <w:rPr>
          <w:rFonts w:ascii="Segoe UI" w:eastAsia="Times New Roman" w:hAnsi="Segoe UI" w:cs="Segoe UI"/>
          <w:kern w:val="0"/>
          <w:lang w:eastAsia="en-GB"/>
          <w14:ligatures w14:val="none"/>
        </w:rPr>
        <w:t>P</w:t>
      </w:r>
      <w:r w:rsidR="007F04C8" w:rsidRPr="00EF19AC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eer </w:t>
      </w:r>
      <w:r w:rsidR="00BB40BB">
        <w:rPr>
          <w:rFonts w:ascii="Segoe UI" w:eastAsia="Times New Roman" w:hAnsi="Segoe UI" w:cs="Segoe UI"/>
          <w:kern w:val="0"/>
          <w:lang w:eastAsia="en-GB"/>
          <w14:ligatures w14:val="none"/>
        </w:rPr>
        <w:t>M</w:t>
      </w:r>
      <w:r w:rsidR="007F04C8" w:rsidRPr="00EF19AC">
        <w:rPr>
          <w:rFonts w:ascii="Segoe UI" w:eastAsia="Times New Roman" w:hAnsi="Segoe UI" w:cs="Segoe UI"/>
          <w:kern w:val="0"/>
          <w:lang w:eastAsia="en-GB"/>
          <w14:ligatures w14:val="none"/>
        </w:rPr>
        <w:t>ediators</w:t>
      </w:r>
      <w:r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 as well as planning for community and school events</w:t>
      </w:r>
      <w:r w:rsidR="007F04C8" w:rsidRPr="00EF19AC">
        <w:rPr>
          <w:rFonts w:ascii="Segoe UI" w:eastAsia="Times New Roman" w:hAnsi="Segoe UI" w:cs="Segoe UI"/>
          <w:kern w:val="0"/>
          <w:lang w:eastAsia="en-GB"/>
          <w14:ligatures w14:val="none"/>
        </w:rPr>
        <w:t>.</w:t>
      </w:r>
      <w:r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 </w:t>
      </w:r>
    </w:p>
    <w:p w14:paraId="412CFA67" w14:textId="5A85718D" w:rsidR="00E15505" w:rsidRPr="00170BE6" w:rsidRDefault="00E15505" w:rsidP="00E15505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2"/>
          <w:szCs w:val="32"/>
          <w:lang w:eastAsia="en-GB"/>
          <w14:ligatures w14:val="none"/>
        </w:rPr>
      </w:pPr>
      <w:r w:rsidRPr="00170BE6">
        <w:rPr>
          <w:rFonts w:ascii="Segoe UI" w:eastAsia="Times New Roman" w:hAnsi="Segoe UI" w:cs="Segoe UI"/>
          <w:b/>
          <w:bCs/>
          <w:kern w:val="0"/>
          <w:sz w:val="32"/>
          <w:szCs w:val="32"/>
          <w:lang w:eastAsia="en-GB"/>
          <w14:ligatures w14:val="none"/>
        </w:rPr>
        <w:t xml:space="preserve">6. Consultation process </w:t>
      </w:r>
    </w:p>
    <w:p w14:paraId="0E6EA0A5" w14:textId="33FCE1D8" w:rsidR="00E15505" w:rsidRPr="00EF19AC" w:rsidRDefault="00E15505" w:rsidP="00E1550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lang w:eastAsia="en-GB"/>
          <w14:ligatures w14:val="none"/>
        </w:rPr>
      </w:pPr>
      <w:r w:rsidRPr="00EF19AC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Pupil voice is gathered termly through focus groups using </w:t>
      </w:r>
      <w:r w:rsidRPr="00EF19AC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 xml:space="preserve">How Good is Our </w:t>
      </w:r>
      <w:r w:rsidR="00C00671" w:rsidRPr="00EF19AC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>School,</w:t>
      </w:r>
      <w:r w:rsidRPr="00EF19AC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 informing ongoing improvement. Parent voice is gathered through twice-yearly focus groups and targeted consultation via Microsoft Forms (e.g. Learning Journals and </w:t>
      </w:r>
      <w:r w:rsidR="007F04C8" w:rsidRPr="00EF19AC">
        <w:rPr>
          <w:rFonts w:ascii="Segoe UI" w:eastAsia="Times New Roman" w:hAnsi="Segoe UI" w:cs="Segoe UI"/>
          <w:kern w:val="0"/>
          <w:lang w:eastAsia="en-GB"/>
          <w14:ligatures w14:val="none"/>
        </w:rPr>
        <w:t>Transitions</w:t>
      </w:r>
      <w:r w:rsidRPr="00EF19AC">
        <w:rPr>
          <w:rFonts w:ascii="Segoe UI" w:eastAsia="Times New Roman" w:hAnsi="Segoe UI" w:cs="Segoe UI"/>
          <w:kern w:val="0"/>
          <w:lang w:eastAsia="en-GB"/>
          <w14:ligatures w14:val="none"/>
        </w:rPr>
        <w:t>).</w:t>
      </w:r>
      <w:r w:rsidR="00170BE6" w:rsidRPr="00EF19AC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 The C</w:t>
      </w:r>
      <w:r w:rsidR="005C6285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ollace </w:t>
      </w:r>
      <w:r w:rsidR="00170BE6" w:rsidRPr="00EF19AC">
        <w:rPr>
          <w:rFonts w:ascii="Segoe UI" w:eastAsia="Times New Roman" w:hAnsi="Segoe UI" w:cs="Segoe UI"/>
          <w:kern w:val="0"/>
          <w:lang w:eastAsia="en-GB"/>
          <w14:ligatures w14:val="none"/>
        </w:rPr>
        <w:t>S</w:t>
      </w:r>
      <w:r w:rsidR="005C6285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chool </w:t>
      </w:r>
      <w:r w:rsidR="00170BE6" w:rsidRPr="00EF19AC">
        <w:rPr>
          <w:rFonts w:ascii="Segoe UI" w:eastAsia="Times New Roman" w:hAnsi="Segoe UI" w:cs="Segoe UI"/>
          <w:kern w:val="0"/>
          <w:lang w:eastAsia="en-GB"/>
          <w14:ligatures w14:val="none"/>
        </w:rPr>
        <w:t>A</w:t>
      </w:r>
      <w:r w:rsidR="005C6285">
        <w:rPr>
          <w:rFonts w:ascii="Segoe UI" w:eastAsia="Times New Roman" w:hAnsi="Segoe UI" w:cs="Segoe UI"/>
          <w:kern w:val="0"/>
          <w:lang w:eastAsia="en-GB"/>
          <w14:ligatures w14:val="none"/>
        </w:rPr>
        <w:t>ssociation</w:t>
      </w:r>
      <w:r w:rsidR="00170BE6" w:rsidRPr="00EF19AC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 play an active role in the shaping of school experiences.</w:t>
      </w:r>
    </w:p>
    <w:p w14:paraId="64EAEA0B" w14:textId="77777777" w:rsidR="00E15505" w:rsidRPr="00170BE6" w:rsidRDefault="00E15505" w:rsidP="00E15505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2"/>
          <w:szCs w:val="32"/>
          <w:lang w:eastAsia="en-GB"/>
          <w14:ligatures w14:val="none"/>
        </w:rPr>
      </w:pPr>
      <w:r w:rsidRPr="00170BE6">
        <w:rPr>
          <w:rFonts w:ascii="Segoe UI" w:eastAsia="Times New Roman" w:hAnsi="Segoe UI" w:cs="Segoe UI"/>
          <w:b/>
          <w:bCs/>
          <w:kern w:val="0"/>
          <w:sz w:val="32"/>
          <w:szCs w:val="32"/>
          <w:lang w:eastAsia="en-GB"/>
          <w14:ligatures w14:val="none"/>
        </w:rPr>
        <w:t>7. Overall evaluation of capacity for continuous improvement</w:t>
      </w:r>
    </w:p>
    <w:p w14:paraId="1C606DDA" w14:textId="04AEF65E" w:rsidR="00E15505" w:rsidRDefault="00E15505" w:rsidP="00E15505">
      <w:pPr>
        <w:pStyle w:val="NoSpacing"/>
        <w:rPr>
          <w:rFonts w:ascii="Segoe UI" w:hAnsi="Segoe UI" w:cs="Segoe UI"/>
          <w:lang w:eastAsia="en-GB"/>
        </w:rPr>
      </w:pPr>
      <w:r w:rsidRPr="00E15505">
        <w:rPr>
          <w:rFonts w:ascii="Segoe UI" w:hAnsi="Segoe UI" w:cs="Segoe UI"/>
          <w:lang w:eastAsia="en-GB"/>
        </w:rPr>
        <w:t xml:space="preserve">The school demonstrates strong capacity for continuous improvement. </w:t>
      </w:r>
      <w:r w:rsidR="007F04C8">
        <w:rPr>
          <w:rFonts w:ascii="Segoe UI" w:hAnsi="Segoe UI" w:cs="Segoe UI"/>
          <w:lang w:eastAsia="en-GB"/>
        </w:rPr>
        <w:t xml:space="preserve">Almost all learners achieve expected levels in </w:t>
      </w:r>
      <w:r w:rsidR="00170BE6">
        <w:rPr>
          <w:rFonts w:ascii="Segoe UI" w:hAnsi="Segoe UI" w:cs="Segoe UI"/>
          <w:lang w:eastAsia="en-GB"/>
        </w:rPr>
        <w:t>Numeracy,</w:t>
      </w:r>
      <w:r w:rsidR="007F04C8">
        <w:rPr>
          <w:rFonts w:ascii="Segoe UI" w:hAnsi="Segoe UI" w:cs="Segoe UI"/>
          <w:lang w:eastAsia="en-GB"/>
        </w:rPr>
        <w:t xml:space="preserve"> and m</w:t>
      </w:r>
      <w:r w:rsidRPr="00E15505">
        <w:rPr>
          <w:rFonts w:ascii="Segoe UI" w:hAnsi="Segoe UI" w:cs="Segoe UI"/>
          <w:lang w:eastAsia="en-GB"/>
        </w:rPr>
        <w:t xml:space="preserve">ost learners achieve expected levels and make steady progress in </w:t>
      </w:r>
      <w:r w:rsidR="007F04C8">
        <w:rPr>
          <w:rFonts w:ascii="Segoe UI" w:hAnsi="Segoe UI" w:cs="Segoe UI"/>
          <w:lang w:eastAsia="en-GB"/>
        </w:rPr>
        <w:t>Literacy</w:t>
      </w:r>
      <w:r w:rsidRPr="00E15505">
        <w:rPr>
          <w:rFonts w:ascii="Segoe UI" w:hAnsi="Segoe UI" w:cs="Segoe UI"/>
          <w:lang w:eastAsia="en-GB"/>
        </w:rPr>
        <w:t>.</w:t>
      </w:r>
      <w:r w:rsidR="007F04C8">
        <w:rPr>
          <w:rFonts w:ascii="Segoe UI" w:hAnsi="Segoe UI" w:cs="Segoe UI"/>
          <w:lang w:eastAsia="en-GB"/>
        </w:rPr>
        <w:t xml:space="preserve"> </w:t>
      </w:r>
      <w:r w:rsidRPr="00E15505">
        <w:rPr>
          <w:rFonts w:ascii="Segoe UI" w:hAnsi="Segoe UI" w:cs="Segoe UI"/>
          <w:lang w:eastAsia="en-GB"/>
        </w:rPr>
        <w:t>Strengths in reading and listening &amp; talking, alongside secure attainment at Second Level, reflect effective teaching and assessment practices.</w:t>
      </w:r>
      <w:r w:rsidR="007F04C8">
        <w:rPr>
          <w:rFonts w:ascii="Segoe UI" w:hAnsi="Segoe UI" w:cs="Segoe UI"/>
          <w:lang w:eastAsia="en-GB"/>
        </w:rPr>
        <w:t xml:space="preserve"> </w:t>
      </w:r>
      <w:r w:rsidRPr="00E15505">
        <w:rPr>
          <w:rFonts w:ascii="Segoe UI" w:hAnsi="Segoe UI" w:cs="Segoe UI"/>
          <w:lang w:eastAsia="en-GB"/>
        </w:rPr>
        <w:t xml:space="preserve">The school has a clear understanding of its priorities, including </w:t>
      </w:r>
      <w:r w:rsidR="007F04C8">
        <w:rPr>
          <w:rFonts w:ascii="Segoe UI" w:hAnsi="Segoe UI" w:cs="Segoe UI"/>
          <w:lang w:eastAsia="en-GB"/>
        </w:rPr>
        <w:t>increasing challenge and depth</w:t>
      </w:r>
      <w:r w:rsidRPr="00E15505">
        <w:rPr>
          <w:rFonts w:ascii="Segoe UI" w:hAnsi="Segoe UI" w:cs="Segoe UI"/>
          <w:lang w:eastAsia="en-GB"/>
        </w:rPr>
        <w:t>, and is well placed to use robust data to further improve outcomes.</w:t>
      </w:r>
    </w:p>
    <w:p w14:paraId="102B46C3" w14:textId="77777777" w:rsidR="006E6DFB" w:rsidRDefault="006E6DFB" w:rsidP="00E15505">
      <w:pPr>
        <w:pStyle w:val="NoSpacing"/>
        <w:rPr>
          <w:rFonts w:ascii="Segoe UI" w:hAnsi="Segoe UI" w:cs="Segoe UI"/>
          <w:lang w:eastAsia="en-GB"/>
        </w:rPr>
      </w:pPr>
    </w:p>
    <w:p w14:paraId="11B5DF15" w14:textId="7725ADDC" w:rsidR="006E6DFB" w:rsidRDefault="006E6DFB" w:rsidP="00E15505">
      <w:pPr>
        <w:pStyle w:val="NoSpacing"/>
        <w:rPr>
          <w:rFonts w:ascii="Segoe UI" w:hAnsi="Segoe UI" w:cs="Segoe UI"/>
          <w:b/>
          <w:bCs/>
          <w:lang w:eastAsia="en-GB"/>
        </w:rPr>
      </w:pPr>
      <w:r w:rsidRPr="006E7D56">
        <w:rPr>
          <w:rFonts w:ascii="Segoe UI" w:hAnsi="Segoe UI" w:cs="Segoe UI"/>
          <w:b/>
          <w:bCs/>
          <w:lang w:eastAsia="en-GB"/>
        </w:rPr>
        <w:t xml:space="preserve">Overall Evaluation of Core </w:t>
      </w:r>
      <w:r w:rsidR="00853897" w:rsidRPr="006E7D56">
        <w:rPr>
          <w:rFonts w:ascii="Segoe UI" w:hAnsi="Segoe UI" w:cs="Segoe UI"/>
          <w:b/>
          <w:bCs/>
          <w:lang w:eastAsia="en-GB"/>
        </w:rPr>
        <w:t>Quality</w:t>
      </w:r>
      <w:r w:rsidRPr="006E7D56">
        <w:rPr>
          <w:rFonts w:ascii="Segoe UI" w:hAnsi="Segoe UI" w:cs="Segoe UI"/>
          <w:b/>
          <w:bCs/>
          <w:lang w:eastAsia="en-GB"/>
        </w:rPr>
        <w:t xml:space="preserve"> Indi</w:t>
      </w:r>
      <w:r w:rsidR="00853897" w:rsidRPr="006E7D56">
        <w:rPr>
          <w:rFonts w:ascii="Segoe UI" w:hAnsi="Segoe UI" w:cs="Segoe UI"/>
          <w:b/>
          <w:bCs/>
          <w:lang w:eastAsia="en-GB"/>
        </w:rPr>
        <w:t>cators</w:t>
      </w:r>
    </w:p>
    <w:p w14:paraId="566559A9" w14:textId="77777777" w:rsidR="00C93EF6" w:rsidRDefault="00C93EF6" w:rsidP="00E15505">
      <w:pPr>
        <w:pStyle w:val="NoSpacing"/>
        <w:rPr>
          <w:rFonts w:ascii="Segoe UI" w:hAnsi="Segoe UI" w:cs="Segoe UI"/>
          <w:b/>
          <w:bCs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1016"/>
      </w:tblGrid>
      <w:tr w:rsidR="00C93EF6" w14:paraId="0CEC5B25" w14:textId="77777777" w:rsidTr="009C716F">
        <w:tc>
          <w:tcPr>
            <w:tcW w:w="4508" w:type="dxa"/>
          </w:tcPr>
          <w:p w14:paraId="2295904C" w14:textId="77777777" w:rsidR="00C93EF6" w:rsidRDefault="00C93EF6" w:rsidP="009C716F">
            <w:pPr>
              <w:spacing w:before="100" w:beforeAutospacing="1" w:after="100" w:afterAutospacing="1" w:line="300" w:lineRule="atLeast"/>
              <w:outlineLvl w:val="1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Leadership of Change</w:t>
            </w:r>
          </w:p>
        </w:tc>
        <w:tc>
          <w:tcPr>
            <w:tcW w:w="1016" w:type="dxa"/>
          </w:tcPr>
          <w:p w14:paraId="5ECD8175" w14:textId="77777777" w:rsidR="00C93EF6" w:rsidRDefault="00C93EF6" w:rsidP="009C716F">
            <w:pPr>
              <w:spacing w:before="100" w:beforeAutospacing="1" w:after="100" w:afterAutospacing="1" w:line="300" w:lineRule="atLeast"/>
              <w:outlineLvl w:val="1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4</w:t>
            </w:r>
          </w:p>
        </w:tc>
      </w:tr>
      <w:tr w:rsidR="00C93EF6" w14:paraId="4567738C" w14:textId="77777777" w:rsidTr="009C716F">
        <w:tc>
          <w:tcPr>
            <w:tcW w:w="4508" w:type="dxa"/>
          </w:tcPr>
          <w:p w14:paraId="627154A9" w14:textId="77777777" w:rsidR="00C93EF6" w:rsidRDefault="00C93EF6" w:rsidP="009C716F">
            <w:pPr>
              <w:spacing w:before="100" w:beforeAutospacing="1" w:after="100" w:afterAutospacing="1" w:line="300" w:lineRule="atLeast"/>
              <w:outlineLvl w:val="1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 xml:space="preserve">Learning, Teaching &amp; Assessment </w:t>
            </w:r>
          </w:p>
        </w:tc>
        <w:tc>
          <w:tcPr>
            <w:tcW w:w="1016" w:type="dxa"/>
          </w:tcPr>
          <w:p w14:paraId="30C9B668" w14:textId="33D8733A" w:rsidR="00C93EF6" w:rsidRDefault="00C93EF6" w:rsidP="009C716F">
            <w:pPr>
              <w:spacing w:before="100" w:beforeAutospacing="1" w:after="100" w:afterAutospacing="1" w:line="300" w:lineRule="atLeast"/>
              <w:outlineLvl w:val="1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4</w:t>
            </w:r>
          </w:p>
        </w:tc>
      </w:tr>
      <w:tr w:rsidR="00C93EF6" w14:paraId="4A273125" w14:textId="77777777" w:rsidTr="009C716F">
        <w:tc>
          <w:tcPr>
            <w:tcW w:w="4508" w:type="dxa"/>
          </w:tcPr>
          <w:p w14:paraId="2CC88B71" w14:textId="77777777" w:rsidR="00C93EF6" w:rsidRDefault="00C93EF6" w:rsidP="009C716F">
            <w:pPr>
              <w:spacing w:before="100" w:beforeAutospacing="1" w:after="100" w:afterAutospacing="1" w:line="300" w:lineRule="atLeast"/>
              <w:outlineLvl w:val="1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Ensuring Wellbeing, Equality &amp; Inclusion</w:t>
            </w:r>
          </w:p>
        </w:tc>
        <w:tc>
          <w:tcPr>
            <w:tcW w:w="1016" w:type="dxa"/>
          </w:tcPr>
          <w:p w14:paraId="249A2FC4" w14:textId="77777777" w:rsidR="00C93EF6" w:rsidRDefault="00C93EF6" w:rsidP="009C716F">
            <w:pPr>
              <w:spacing w:before="100" w:beforeAutospacing="1" w:after="100" w:afterAutospacing="1" w:line="300" w:lineRule="atLeast"/>
              <w:outlineLvl w:val="1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4</w:t>
            </w:r>
          </w:p>
        </w:tc>
      </w:tr>
      <w:tr w:rsidR="00C93EF6" w14:paraId="0D66D706" w14:textId="77777777" w:rsidTr="009C716F">
        <w:tc>
          <w:tcPr>
            <w:tcW w:w="4508" w:type="dxa"/>
          </w:tcPr>
          <w:p w14:paraId="5C952218" w14:textId="77777777" w:rsidR="00C93EF6" w:rsidRDefault="00C93EF6" w:rsidP="009C716F">
            <w:pPr>
              <w:spacing w:before="100" w:beforeAutospacing="1" w:after="100" w:afterAutospacing="1" w:line="300" w:lineRule="atLeast"/>
              <w:outlineLvl w:val="1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 xml:space="preserve">Raising Attainment &amp; Achievement </w:t>
            </w:r>
          </w:p>
        </w:tc>
        <w:tc>
          <w:tcPr>
            <w:tcW w:w="1016" w:type="dxa"/>
          </w:tcPr>
          <w:p w14:paraId="6049E1C3" w14:textId="708989A5" w:rsidR="00C93EF6" w:rsidRDefault="00C93EF6" w:rsidP="009C716F">
            <w:pPr>
              <w:spacing w:before="100" w:beforeAutospacing="1" w:after="100" w:afterAutospacing="1" w:line="300" w:lineRule="atLeast"/>
              <w:outlineLvl w:val="1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4</w:t>
            </w:r>
          </w:p>
        </w:tc>
      </w:tr>
    </w:tbl>
    <w:p w14:paraId="7F36133E" w14:textId="77777777" w:rsidR="006E7D56" w:rsidRDefault="006E7D56" w:rsidP="00E15505">
      <w:pPr>
        <w:pStyle w:val="NoSpacing"/>
        <w:rPr>
          <w:rFonts w:ascii="Segoe UI" w:hAnsi="Segoe UI" w:cs="Segoe UI"/>
          <w:b/>
          <w:bCs/>
          <w:lang w:eastAsia="en-GB"/>
        </w:rPr>
      </w:pPr>
    </w:p>
    <w:p w14:paraId="04F417A8" w14:textId="77777777" w:rsidR="00C93EF6" w:rsidRPr="006E7D56" w:rsidRDefault="00C93EF6" w:rsidP="00E15505">
      <w:pPr>
        <w:pStyle w:val="NoSpacing"/>
        <w:rPr>
          <w:rFonts w:ascii="Segoe UI" w:hAnsi="Segoe UI" w:cs="Segoe UI"/>
          <w:b/>
          <w:bCs/>
          <w:lang w:eastAsia="en-GB"/>
        </w:rPr>
      </w:pPr>
    </w:p>
    <w:p w14:paraId="02512CD3" w14:textId="77777777" w:rsidR="00E15505" w:rsidRPr="00170BE6" w:rsidRDefault="00E15505" w:rsidP="00E15505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2"/>
          <w:szCs w:val="32"/>
          <w:lang w:eastAsia="en-GB"/>
          <w14:ligatures w14:val="none"/>
        </w:rPr>
      </w:pPr>
      <w:r w:rsidRPr="00170BE6">
        <w:rPr>
          <w:rFonts w:ascii="Segoe UI" w:eastAsia="Times New Roman" w:hAnsi="Segoe UI" w:cs="Segoe UI"/>
          <w:b/>
          <w:bCs/>
          <w:kern w:val="0"/>
          <w:sz w:val="32"/>
          <w:szCs w:val="32"/>
          <w:lang w:eastAsia="en-GB"/>
          <w14:ligatures w14:val="none"/>
        </w:rPr>
        <w:lastRenderedPageBreak/>
        <w:t>8. Improvement priorities for Session 2026 to 2027</w:t>
      </w:r>
    </w:p>
    <w:p w14:paraId="7F31438F" w14:textId="77777777" w:rsidR="00E15505" w:rsidRPr="00BB40BB" w:rsidRDefault="00E15505" w:rsidP="00E15505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lang w:eastAsia="en-GB"/>
          <w14:ligatures w14:val="none"/>
        </w:rPr>
      </w:pPr>
      <w:r w:rsidRPr="00BB40BB">
        <w:rPr>
          <w:rFonts w:ascii="Segoe UI" w:eastAsia="Times New Roman" w:hAnsi="Segoe UI" w:cs="Segoe UI"/>
          <w:kern w:val="0"/>
          <w:lang w:eastAsia="en-GB"/>
          <w14:ligatures w14:val="none"/>
        </w:rPr>
        <w:t>Nurturing Schools – Principles 1 &amp; 4:</w:t>
      </w:r>
      <w:r w:rsidRPr="00BB40BB">
        <w:rPr>
          <w:rFonts w:ascii="Segoe UI" w:eastAsia="Times New Roman" w:hAnsi="Segoe UI" w:cs="Segoe UI"/>
          <w:kern w:val="0"/>
          <w:lang w:eastAsia="en-GB"/>
          <w14:ligatures w14:val="none"/>
        </w:rPr>
        <w:br/>
      </w:r>
      <w:r w:rsidRPr="00BB40BB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>Learning is Understood Developmentally</w:t>
      </w:r>
      <w:r w:rsidRPr="00BB40BB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 and </w:t>
      </w:r>
      <w:r w:rsidRPr="00BB40BB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>Language is a Vital Means of Communication</w:t>
      </w:r>
    </w:p>
    <w:p w14:paraId="1FF9CBE6" w14:textId="77777777" w:rsidR="00E15505" w:rsidRPr="00BB40BB" w:rsidRDefault="00E15505" w:rsidP="00E15505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lang w:eastAsia="en-GB"/>
          <w14:ligatures w14:val="none"/>
        </w:rPr>
      </w:pPr>
      <w:r w:rsidRPr="00BB40BB">
        <w:rPr>
          <w:rFonts w:ascii="Segoe UI" w:eastAsia="Times New Roman" w:hAnsi="Segoe UI" w:cs="Segoe UI"/>
          <w:kern w:val="0"/>
          <w:lang w:eastAsia="en-GB"/>
          <w14:ligatures w14:val="none"/>
        </w:rPr>
        <w:t>Learning &amp; Teaching – Development of a Whole School Literacy Strategy</w:t>
      </w:r>
    </w:p>
    <w:p w14:paraId="70CED00F" w14:textId="53469D47" w:rsidR="00600082" w:rsidRPr="00BB40BB" w:rsidRDefault="00E15505" w:rsidP="00E15505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lang w:eastAsia="en-GB"/>
          <w14:ligatures w14:val="none"/>
        </w:rPr>
      </w:pPr>
      <w:r w:rsidRPr="00BB40BB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Local Moderation Group – Curriculum Improvement Cycle: </w:t>
      </w:r>
      <w:r w:rsidR="005C6285">
        <w:rPr>
          <w:rFonts w:ascii="Segoe UI" w:eastAsia="Times New Roman" w:hAnsi="Segoe UI" w:cs="Segoe UI"/>
          <w:kern w:val="0"/>
          <w:lang w:eastAsia="en-GB"/>
          <w14:ligatures w14:val="none"/>
        </w:rPr>
        <w:t>I</w:t>
      </w:r>
      <w:r w:rsidRPr="00BB40BB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nitial </w:t>
      </w:r>
      <w:r w:rsidR="005C6285">
        <w:rPr>
          <w:rFonts w:ascii="Segoe UI" w:eastAsia="Times New Roman" w:hAnsi="Segoe UI" w:cs="Segoe UI"/>
          <w:kern w:val="0"/>
          <w:lang w:eastAsia="en-GB"/>
          <w14:ligatures w14:val="none"/>
        </w:rPr>
        <w:t>E</w:t>
      </w:r>
      <w:r w:rsidRPr="00BB40BB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ngagement and </w:t>
      </w:r>
      <w:r w:rsidR="005C6285">
        <w:rPr>
          <w:rFonts w:ascii="Segoe UI" w:eastAsia="Times New Roman" w:hAnsi="Segoe UI" w:cs="Segoe UI"/>
          <w:kern w:val="0"/>
          <w:lang w:eastAsia="en-GB"/>
          <w14:ligatures w14:val="none"/>
        </w:rPr>
        <w:t>Practitioner Enquiry</w:t>
      </w:r>
    </w:p>
    <w:sectPr w:rsidR="00600082" w:rsidRPr="00BB40BB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78110" w14:textId="77777777" w:rsidR="003B5DFD" w:rsidRDefault="003B5DFD" w:rsidP="00E15505">
      <w:pPr>
        <w:spacing w:after="0" w:line="240" w:lineRule="auto"/>
      </w:pPr>
      <w:r>
        <w:separator/>
      </w:r>
    </w:p>
  </w:endnote>
  <w:endnote w:type="continuationSeparator" w:id="0">
    <w:p w14:paraId="0C421E44" w14:textId="77777777" w:rsidR="003B5DFD" w:rsidRDefault="003B5DFD" w:rsidP="00E15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8490A" w14:textId="2F3E545D" w:rsidR="0063426A" w:rsidRPr="0063426A" w:rsidRDefault="0063426A">
    <w:pPr>
      <w:pStyle w:val="Footer"/>
      <w:rPr>
        <w:color w:val="ADADAD" w:themeColor="background2" w:themeShade="BF"/>
      </w:rPr>
    </w:pPr>
    <w:r w:rsidRPr="0063426A">
      <w:rPr>
        <w:noProof/>
        <w:color w:val="ADADAD" w:themeColor="background2" w:themeShade="BF"/>
      </w:rPr>
      <w:drawing>
        <wp:anchor distT="0" distB="0" distL="114300" distR="114300" simplePos="0" relativeHeight="251662336" behindDoc="1" locked="0" layoutInCell="1" allowOverlap="1" wp14:anchorId="196415C8" wp14:editId="2FA4614A">
          <wp:simplePos x="0" y="0"/>
          <wp:positionH relativeFrom="column">
            <wp:posOffset>5212080</wp:posOffset>
          </wp:positionH>
          <wp:positionV relativeFrom="page">
            <wp:posOffset>9593671</wp:posOffset>
          </wp:positionV>
          <wp:extent cx="1210404" cy="1248229"/>
          <wp:effectExtent l="0" t="0" r="0" b="0"/>
          <wp:wrapNone/>
          <wp:docPr id="660821115" name="Picture 660821115" descr="Enabling children and young people achieve full potent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821115" name="Picture 660821115" descr="Enabling children and young people achieve full potentia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0404" cy="12482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426A">
      <w:rPr>
        <w:color w:val="ADADAD" w:themeColor="background2" w:themeShade="BF"/>
      </w:rPr>
      <w:t xml:space="preserve">A Perth and Kinross where everyone can live life well, free from poverty and inequality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EA0A7" w14:textId="77777777" w:rsidR="003B5DFD" w:rsidRDefault="003B5DFD" w:rsidP="00E15505">
      <w:pPr>
        <w:spacing w:after="0" w:line="240" w:lineRule="auto"/>
      </w:pPr>
      <w:r>
        <w:separator/>
      </w:r>
    </w:p>
  </w:footnote>
  <w:footnote w:type="continuationSeparator" w:id="0">
    <w:p w14:paraId="2B2F49FC" w14:textId="77777777" w:rsidR="003B5DFD" w:rsidRDefault="003B5DFD" w:rsidP="00E15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E77D2" w14:textId="4B53C702" w:rsidR="00E15505" w:rsidRDefault="005F32E5" w:rsidP="00E15505">
    <w:pPr>
      <w:pStyle w:val="Header"/>
      <w:jc w:val="center"/>
      <w:rPr>
        <w:b/>
        <w:bCs/>
        <w:color w:val="FF0000"/>
        <w:sz w:val="40"/>
        <w:szCs w:val="40"/>
      </w:rPr>
    </w:pPr>
    <w:r w:rsidRPr="005F32E5">
      <w:rPr>
        <w:b/>
        <w:bCs/>
        <w:noProof/>
        <w:color w:val="FF0000"/>
        <w:sz w:val="40"/>
        <w:szCs w:val="40"/>
      </w:rPr>
      <w:drawing>
        <wp:anchor distT="0" distB="0" distL="114300" distR="114300" simplePos="0" relativeHeight="251663360" behindDoc="0" locked="0" layoutInCell="1" allowOverlap="1" wp14:anchorId="6806632D" wp14:editId="5CEFE58A">
          <wp:simplePos x="0" y="0"/>
          <wp:positionH relativeFrom="column">
            <wp:posOffset>-270704</wp:posOffset>
          </wp:positionH>
          <wp:positionV relativeFrom="paragraph">
            <wp:posOffset>-237821</wp:posOffset>
          </wp:positionV>
          <wp:extent cx="604299" cy="761943"/>
          <wp:effectExtent l="0" t="0" r="5715" b="635"/>
          <wp:wrapSquare wrapText="bothSides"/>
          <wp:docPr id="12654493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544936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299" cy="7619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426A">
      <w:rPr>
        <w:b/>
        <w:bCs/>
        <w:noProof/>
        <w:color w:val="FF0000"/>
        <w:sz w:val="40"/>
        <w:szCs w:val="40"/>
      </w:rPr>
      <w:drawing>
        <wp:anchor distT="0" distB="0" distL="114300" distR="114300" simplePos="0" relativeHeight="251659264" behindDoc="0" locked="0" layoutInCell="1" allowOverlap="1" wp14:anchorId="1B5F98FF" wp14:editId="102C55F1">
          <wp:simplePos x="0" y="0"/>
          <wp:positionH relativeFrom="column">
            <wp:posOffset>5257800</wp:posOffset>
          </wp:positionH>
          <wp:positionV relativeFrom="paragraph">
            <wp:posOffset>-189230</wp:posOffset>
          </wp:positionV>
          <wp:extent cx="539750" cy="711200"/>
          <wp:effectExtent l="0" t="0" r="0" b="0"/>
          <wp:wrapSquare wrapText="bothSides"/>
          <wp:docPr id="214327829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15505" w:rsidRPr="00E15505">
      <w:rPr>
        <w:b/>
        <w:bCs/>
        <w:color w:val="FF0000"/>
        <w:sz w:val="40"/>
        <w:szCs w:val="40"/>
      </w:rPr>
      <w:t>Standards and Quality Report</w:t>
    </w:r>
  </w:p>
  <w:p w14:paraId="16370069" w14:textId="5BB7BE45" w:rsidR="00E15505" w:rsidRPr="00E15505" w:rsidRDefault="005F32E5" w:rsidP="00E15505">
    <w:pPr>
      <w:pStyle w:val="Header"/>
      <w:jc w:val="center"/>
      <w:rPr>
        <w:b/>
        <w:bCs/>
        <w:color w:val="FF0000"/>
        <w:sz w:val="36"/>
        <w:szCs w:val="36"/>
      </w:rPr>
    </w:pPr>
    <w:r>
      <w:rPr>
        <w:b/>
        <w:bCs/>
        <w:color w:val="FF0000"/>
        <w:sz w:val="36"/>
        <w:szCs w:val="36"/>
      </w:rPr>
      <w:t>Collace</w:t>
    </w:r>
    <w:r w:rsidR="00E15505" w:rsidRPr="00E15505">
      <w:rPr>
        <w:b/>
        <w:bCs/>
        <w:color w:val="FF0000"/>
        <w:sz w:val="36"/>
        <w:szCs w:val="36"/>
      </w:rPr>
      <w:t xml:space="preserve"> Primary School 25-26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62D3E"/>
    <w:multiLevelType w:val="multilevel"/>
    <w:tmpl w:val="B0CCF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046176"/>
    <w:multiLevelType w:val="multilevel"/>
    <w:tmpl w:val="93EC4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763BAB"/>
    <w:multiLevelType w:val="multilevel"/>
    <w:tmpl w:val="910AD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5347C2"/>
    <w:multiLevelType w:val="multilevel"/>
    <w:tmpl w:val="35705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4C02A6"/>
    <w:multiLevelType w:val="hybridMultilevel"/>
    <w:tmpl w:val="A1D60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AC5980"/>
    <w:multiLevelType w:val="multilevel"/>
    <w:tmpl w:val="7E96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3930577">
    <w:abstractNumId w:val="3"/>
  </w:num>
  <w:num w:numId="2" w16cid:durableId="1105080123">
    <w:abstractNumId w:val="2"/>
  </w:num>
  <w:num w:numId="3" w16cid:durableId="1403874666">
    <w:abstractNumId w:val="0"/>
  </w:num>
  <w:num w:numId="4" w16cid:durableId="1721395820">
    <w:abstractNumId w:val="1"/>
  </w:num>
  <w:num w:numId="5" w16cid:durableId="819274613">
    <w:abstractNumId w:val="5"/>
  </w:num>
  <w:num w:numId="6" w16cid:durableId="17694990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505"/>
    <w:rsid w:val="00027171"/>
    <w:rsid w:val="001057CE"/>
    <w:rsid w:val="00161361"/>
    <w:rsid w:val="00170BE6"/>
    <w:rsid w:val="00196B22"/>
    <w:rsid w:val="002B2EEF"/>
    <w:rsid w:val="002B3C95"/>
    <w:rsid w:val="003B5DFD"/>
    <w:rsid w:val="004E3D09"/>
    <w:rsid w:val="0050028F"/>
    <w:rsid w:val="005C6285"/>
    <w:rsid w:val="005F32E5"/>
    <w:rsid w:val="00600082"/>
    <w:rsid w:val="0062082C"/>
    <w:rsid w:val="0063426A"/>
    <w:rsid w:val="006D2E70"/>
    <w:rsid w:val="006E6DFB"/>
    <w:rsid w:val="006E7D56"/>
    <w:rsid w:val="00767B83"/>
    <w:rsid w:val="007F04C8"/>
    <w:rsid w:val="00853897"/>
    <w:rsid w:val="009326BD"/>
    <w:rsid w:val="00957725"/>
    <w:rsid w:val="00A942D2"/>
    <w:rsid w:val="00AB10F4"/>
    <w:rsid w:val="00B20E7F"/>
    <w:rsid w:val="00BB40BB"/>
    <w:rsid w:val="00BC4C6C"/>
    <w:rsid w:val="00C00671"/>
    <w:rsid w:val="00C93EF6"/>
    <w:rsid w:val="00C96672"/>
    <w:rsid w:val="00CA5BC4"/>
    <w:rsid w:val="00CF5DF6"/>
    <w:rsid w:val="00E15505"/>
    <w:rsid w:val="00EF19AC"/>
    <w:rsid w:val="00FB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04CF68"/>
  <w15:chartTrackingRefBased/>
  <w15:docId w15:val="{B129E99D-791A-4035-A221-B43D4C348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55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5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5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5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5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5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5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5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5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5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5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5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5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5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5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5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5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5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5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5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5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5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5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5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50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55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505"/>
  </w:style>
  <w:style w:type="paragraph" w:styleId="Footer">
    <w:name w:val="footer"/>
    <w:basedOn w:val="Normal"/>
    <w:link w:val="FooterChar"/>
    <w:uiPriority w:val="99"/>
    <w:unhideWhenUsed/>
    <w:rsid w:val="00E155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505"/>
  </w:style>
  <w:style w:type="paragraph" w:styleId="NoSpacing">
    <w:name w:val="No Spacing"/>
    <w:uiPriority w:val="1"/>
    <w:qFormat/>
    <w:rsid w:val="00E15505"/>
    <w:pPr>
      <w:spacing w:after="0" w:line="240" w:lineRule="auto"/>
    </w:pPr>
  </w:style>
  <w:style w:type="table" w:styleId="TableGrid">
    <w:name w:val="Table Grid"/>
    <w:basedOn w:val="TableNormal"/>
    <w:uiPriority w:val="39"/>
    <w:rsid w:val="00C93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6303DCE5F3884555ABDE6450E03068EE001DA43A0FED06994B8CDC85349F9024FA" ma:contentTypeVersion="17" ma:contentTypeDescription="Core EDMS document content type" ma:contentTypeScope="" ma:versionID="4854593eb3b241b1897ebca9c771cb44">
  <xsd:schema xmlns:xsd="http://www.w3.org/2001/XMLSchema" xmlns:xs="http://www.w3.org/2001/XMLSchema" xmlns:p="http://schemas.microsoft.com/office/2006/metadata/properties" xmlns:ns2="8c6ee720-0b0d-43a1-bfa1-0557023bf876" xmlns:ns3="a0136ae3-22bc-426f-88a6-a34b3f20f4af" targetNamespace="http://schemas.microsoft.com/office/2006/metadata/properties" ma:root="true" ma:fieldsID="ac9a67c2127388d3bec339438cb9c132" ns2:_="" ns3:_="">
    <xsd:import namespace="8c6ee720-0b0d-43a1-bfa1-0557023bf876"/>
    <xsd:import namespace="a0136ae3-22bc-426f-88a6-a34b3f20f4af"/>
    <xsd:element name="properties">
      <xsd:complexType>
        <xsd:sequence>
          <xsd:element name="documentManagement">
            <xsd:complexType>
              <xsd:all>
                <xsd:element ref="ns2:FileplanmarkerTaxHTField" minOccurs="0"/>
                <xsd:element ref="ns2:TaxCatchAll" minOccurs="0"/>
                <xsd:element ref="ns2:TaxCatchAllLabel" minOccurs="0"/>
                <xsd:element ref="ns2:Edmsdisposition" minOccurs="0"/>
                <xsd:element ref="ns2:Edmsdateclosed" minOccurs="0"/>
                <xsd:element ref="ns3:Information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ee720-0b0d-43a1-bfa1-0557023bf876" elementFormDefault="qualified">
    <xsd:import namespace="http://schemas.microsoft.com/office/2006/documentManagement/types"/>
    <xsd:import namespace="http://schemas.microsoft.com/office/infopath/2007/PartnerControls"/>
    <xsd:element name="FileplanmarkerTaxHTField" ma:index="8" ma:taxonomy="true" ma:internalName="FileplanmarkerTaxHTField" ma:taxonomyFieldName="Fileplanmarker" ma:displayName="Fileplan Marker" ma:readOnly="false" ma:default="" ma:fieldId="{8f3fe8ea-359e-4086-b18c-02f8ee4b76e8}" ma:sspId="13e93c12-6cf0-45db-a146-10f817293c1b" ma:termSetId="d34034d2-f642-4875-aa17-3b0a742a9d60" ma:anchorId="ad85a3eb-30a6-48d8-b0ea-1d32903598f7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ef487fb-c9eb-4158-826f-0d71d8843cfa}" ma:internalName="TaxCatchAll" ma:showField="CatchAllData" ma:web="8c6ee720-0b0d-43a1-bfa1-0557023bf8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ef487fb-c9eb-4158-826f-0d71d8843cfa}" ma:internalName="TaxCatchAllLabel" ma:readOnly="true" ma:showField="CatchAllDataLabel" ma:web="8c6ee720-0b0d-43a1-bfa1-0557023bf8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msdisposition" ma:index="12" nillable="true" ma:displayName="EDMS Disposition" ma:default="" ma:description="Indicates the items EDMS status" ma:format="Dropdown" ma:internalName="Edmsdisposition">
      <xsd:simpleType>
        <xsd:restriction base="dms:Choice">
          <xsd:enumeration value="Closed"/>
          <xsd:enumeration value="Open"/>
          <xsd:enumeration value="n/a"/>
        </xsd:restriction>
      </xsd:simpleType>
    </xsd:element>
    <xsd:element name="Edmsdateclosed" ma:index="13" nillable="true" ma:displayName="EDMS Date Closed" ma:format="DateOnly" ma:internalName="Edmsdateclosed">
      <xsd:simpleType>
        <xsd:restriction base="dms:DateTime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36ae3-22bc-426f-88a6-a34b3f20f4af" elementFormDefault="qualified">
    <xsd:import namespace="http://schemas.microsoft.com/office/2006/documentManagement/types"/>
    <xsd:import namespace="http://schemas.microsoft.com/office/infopath/2007/PartnerControls"/>
    <xsd:element name="Information" ma:index="14" nillable="true" ma:displayName="Information" ma:format="Dropdown" ma:internalName="Information">
      <xsd:simpleType>
        <xsd:restriction base="dms:Text">
          <xsd:maxLength value="255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3e93c12-6cf0-45db-a146-10f817293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msdateclosed xmlns="8c6ee720-0b0d-43a1-bfa1-0557023bf876" xsi:nil="true"/>
    <Information xmlns="a0136ae3-22bc-426f-88a6-a34b3f20f4af" xsi:nil="true"/>
    <TaxCatchAll xmlns="8c6ee720-0b0d-43a1-bfa1-0557023bf876" xsi:nil="true"/>
    <lcf76f155ced4ddcb4097134ff3c332f xmlns="a0136ae3-22bc-426f-88a6-a34b3f20f4af">
      <Terms xmlns="http://schemas.microsoft.com/office/infopath/2007/PartnerControls"/>
    </lcf76f155ced4ddcb4097134ff3c332f>
    <Edmsdisposition xmlns="8c6ee720-0b0d-43a1-bfa1-0557023bf876" xsi:nil="true"/>
    <FileplanmarkerTaxHTField xmlns="8c6ee720-0b0d-43a1-bfa1-0557023bf876">
      <Terms xmlns="http://schemas.microsoft.com/office/infopath/2007/PartnerControls"/>
    </FileplanmarkerTaxHTFiel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63782-1433-4D1A-B171-66D9D5FAB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6ee720-0b0d-43a1-bfa1-0557023bf876"/>
    <ds:schemaRef ds:uri="a0136ae3-22bc-426f-88a6-a34b3f20f4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DAD205-C83C-4E32-9512-75430ECE7E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57C739-F094-4ABF-B584-874CC4443C21}">
  <ds:schemaRefs>
    <ds:schemaRef ds:uri="http://schemas.microsoft.com/office/2006/metadata/properties"/>
    <ds:schemaRef ds:uri="http://schemas.microsoft.com/office/infopath/2007/PartnerControls"/>
    <ds:schemaRef ds:uri="8c6ee720-0b0d-43a1-bfa1-0557023bf876"/>
    <ds:schemaRef ds:uri="a0136ae3-22bc-426f-88a6-a34b3f20f4af"/>
  </ds:schemaRefs>
</ds:datastoreItem>
</file>

<file path=customXml/itemProps4.xml><?xml version="1.0" encoding="utf-8"?>
<ds:datastoreItem xmlns:ds="http://schemas.openxmlformats.org/officeDocument/2006/customXml" ds:itemID="{8B734A81-0CD7-41EC-9816-58E43D2CBD0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b07f0c0-faa0-4a7d-a5db-f0c4772efd4f}" enabled="1" method="Privileged" siteId="{776adce9-5d26-4749-a202-f09fefe1059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3771</Characters>
  <Application>Microsoft Office Word</Application>
  <DocSecurity>0</DocSecurity>
  <Lines>73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Perth &amp; Kinross Council</Company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Donaldson</dc:creator>
  <cp:keywords/>
  <dc:description/>
  <cp:lastModifiedBy>Vicky Donaldson</cp:lastModifiedBy>
  <cp:revision>2</cp:revision>
  <dcterms:created xsi:type="dcterms:W3CDTF">2026-06-11T10:05:00Z</dcterms:created>
  <dcterms:modified xsi:type="dcterms:W3CDTF">2026-06-11T10:05:00Z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0x0101006303DCE5F3884555ABDE6450E03068EE001DA43A0FED06994B8CDC85349F9024FA</vt:lpwstr>
  </property>
</Properties>
</file>