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9B0D" w14:textId="77777777" w:rsidR="00570620" w:rsidRDefault="00570620"/>
    <w:p w14:paraId="5BF83742" w14:textId="1D8D767E" w:rsidR="00570620" w:rsidRDefault="00674CE1" w:rsidP="00AD4FF7">
      <w:pPr>
        <w:jc w:val="center"/>
      </w:pPr>
      <w:r>
        <w:rPr>
          <w:noProof/>
          <w:sz w:val="56"/>
          <w:szCs w:val="56"/>
          <w:lang w:eastAsia="en-GB"/>
        </w:rPr>
        <w:drawing>
          <wp:inline distT="0" distB="0" distL="0" distR="0" wp14:anchorId="2D541040" wp14:editId="0D0040B8">
            <wp:extent cx="2801328" cy="2219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16" cy="22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CD6B" w14:textId="77777777" w:rsidR="00674CE1" w:rsidRPr="00AD4FF7" w:rsidRDefault="00674CE1" w:rsidP="00674CE1">
      <w:pPr>
        <w:pStyle w:val="Default"/>
        <w:jc w:val="center"/>
        <w:rPr>
          <w:rFonts w:ascii="OpenDyslexic" w:hAnsi="OpenDyslexic"/>
          <w:color w:val="1F497D" w:themeColor="text2"/>
          <w:sz w:val="48"/>
          <w:szCs w:val="48"/>
        </w:rPr>
      </w:pPr>
      <w:r w:rsidRPr="00AD4FF7">
        <w:rPr>
          <w:rFonts w:ascii="OpenDyslexic" w:hAnsi="OpenDyslexic"/>
          <w:color w:val="1F497D" w:themeColor="text2"/>
          <w:sz w:val="48"/>
          <w:szCs w:val="48"/>
        </w:rPr>
        <w:t>Information for Parents and Carers</w:t>
      </w:r>
    </w:p>
    <w:p w14:paraId="55117808" w14:textId="77777777" w:rsidR="00674CE1" w:rsidRPr="00AD4FF7" w:rsidRDefault="00674CE1" w:rsidP="00674CE1">
      <w:pPr>
        <w:pStyle w:val="Default"/>
        <w:jc w:val="center"/>
        <w:rPr>
          <w:rFonts w:ascii="OpenDyslexic" w:hAnsi="OpenDyslexic"/>
          <w:color w:val="1F497D" w:themeColor="text2"/>
          <w:sz w:val="48"/>
          <w:szCs w:val="48"/>
        </w:rPr>
      </w:pPr>
      <w:r w:rsidRPr="00AD4FF7">
        <w:rPr>
          <w:rFonts w:ascii="OpenDyslexic" w:hAnsi="OpenDyslexic"/>
          <w:color w:val="1F497D" w:themeColor="text2"/>
          <w:sz w:val="48"/>
          <w:szCs w:val="48"/>
        </w:rPr>
        <w:t>Standards and Quality Report</w:t>
      </w:r>
    </w:p>
    <w:p w14:paraId="1A36B5E8" w14:textId="0C90E0FB" w:rsidR="00674CE1" w:rsidRPr="00AD4FF7" w:rsidRDefault="00195C60" w:rsidP="00674CE1">
      <w:pPr>
        <w:jc w:val="center"/>
        <w:rPr>
          <w:rFonts w:ascii="OpenDyslexic" w:hAnsi="OpenDyslexic"/>
          <w:color w:val="1F497D" w:themeColor="text2"/>
          <w:sz w:val="48"/>
          <w:szCs w:val="48"/>
        </w:rPr>
      </w:pPr>
      <w:r w:rsidRPr="00AD4FF7">
        <w:rPr>
          <w:rFonts w:ascii="OpenDyslexic" w:hAnsi="OpenDyslexic"/>
          <w:color w:val="1F497D" w:themeColor="text2"/>
          <w:sz w:val="48"/>
          <w:szCs w:val="48"/>
        </w:rPr>
        <w:t>20</w:t>
      </w:r>
      <w:r w:rsidR="004F41EA" w:rsidRPr="00AD4FF7">
        <w:rPr>
          <w:rFonts w:ascii="OpenDyslexic" w:hAnsi="OpenDyslexic"/>
          <w:color w:val="1F497D" w:themeColor="text2"/>
          <w:sz w:val="48"/>
          <w:szCs w:val="48"/>
        </w:rPr>
        <w:t>2</w:t>
      </w:r>
      <w:r w:rsidR="001452BE">
        <w:rPr>
          <w:rFonts w:ascii="OpenDyslexic" w:hAnsi="OpenDyslexic"/>
          <w:color w:val="1F497D" w:themeColor="text2"/>
          <w:sz w:val="48"/>
          <w:szCs w:val="48"/>
        </w:rPr>
        <w:t>4</w:t>
      </w:r>
      <w:r w:rsidRPr="00AD4FF7">
        <w:rPr>
          <w:rFonts w:ascii="OpenDyslexic" w:hAnsi="OpenDyslexic"/>
          <w:color w:val="1F497D" w:themeColor="text2"/>
          <w:sz w:val="48"/>
          <w:szCs w:val="48"/>
        </w:rPr>
        <w:t>-20</w:t>
      </w:r>
      <w:r w:rsidR="00EF0CAC" w:rsidRPr="00AD4FF7">
        <w:rPr>
          <w:rFonts w:ascii="OpenDyslexic" w:hAnsi="OpenDyslexic"/>
          <w:color w:val="1F497D" w:themeColor="text2"/>
          <w:sz w:val="48"/>
          <w:szCs w:val="48"/>
        </w:rPr>
        <w:t>2</w:t>
      </w:r>
      <w:r w:rsidR="001452BE">
        <w:rPr>
          <w:rFonts w:ascii="OpenDyslexic" w:hAnsi="OpenDyslexic"/>
          <w:color w:val="1F497D" w:themeColor="text2"/>
          <w:sz w:val="48"/>
          <w:szCs w:val="48"/>
        </w:rPr>
        <w:t>5</w:t>
      </w:r>
      <w:r w:rsidR="00674CE1" w:rsidRPr="00AD4FF7">
        <w:rPr>
          <w:rFonts w:ascii="OpenDyslexic" w:hAnsi="OpenDyslexic"/>
          <w:color w:val="1F497D" w:themeColor="text2"/>
          <w:sz w:val="48"/>
          <w:szCs w:val="48"/>
        </w:rPr>
        <w:t xml:space="preserve"> Session</w:t>
      </w:r>
    </w:p>
    <w:p w14:paraId="3FED4771" w14:textId="77777777" w:rsidR="00570620" w:rsidRDefault="00674CE1" w:rsidP="000C5F01">
      <w:pPr>
        <w:jc w:val="center"/>
      </w:pPr>
      <w:r>
        <w:rPr>
          <w:noProof/>
          <w:lang w:eastAsia="en-GB"/>
        </w:rPr>
        <w:drawing>
          <wp:inline distT="0" distB="0" distL="0" distR="0" wp14:anchorId="7CD6EACA" wp14:editId="5BFA5299">
            <wp:extent cx="8865729" cy="1690577"/>
            <wp:effectExtent l="0" t="0" r="0" b="5080"/>
            <wp:docPr id="2" name="Picture 2" descr="https://blogs.glowscotland.org.uk/pk/FairviewSchool/files/2012/12/fairview-pic-1024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s.glowscotland.org.uk/pk/FairviewSchool/files/2012/12/fairview-pic-1024x2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69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F204" w14:textId="77777777" w:rsidR="008339B9" w:rsidRPr="008339B9" w:rsidRDefault="008339B9" w:rsidP="008339B9">
      <w:pPr>
        <w:shd w:val="clear" w:color="auto" w:fill="FAFAFA"/>
        <w:spacing w:before="195" w:after="45" w:line="420" w:lineRule="atLeast"/>
        <w:outlineLvl w:val="2"/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</w:pPr>
      <w:r w:rsidRPr="008339B9"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  <w:t>Our Vision</w:t>
      </w:r>
    </w:p>
    <w:p w14:paraId="13413B6D" w14:textId="77777777" w:rsidR="008339B9" w:rsidRPr="008339B9" w:rsidRDefault="008339B9" w:rsidP="008339B9">
      <w:pPr>
        <w:shd w:val="clear" w:color="auto" w:fill="FAFAFA"/>
        <w:spacing w:before="120" w:after="60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lastRenderedPageBreak/>
        <w:t>We want every child to feel valued, supported, and able to be their best. We work together—families, staff, and partners—to create a caring and inclusive learning community.</w:t>
      </w:r>
    </w:p>
    <w:p w14:paraId="4891925F" w14:textId="77777777" w:rsidR="008339B9" w:rsidRPr="008339B9" w:rsidRDefault="008339B9" w:rsidP="008339B9">
      <w:pPr>
        <w:shd w:val="clear" w:color="auto" w:fill="FAFAFA"/>
        <w:spacing w:before="195" w:after="45" w:line="420" w:lineRule="atLeast"/>
        <w:outlineLvl w:val="2"/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</w:pPr>
      <w:r w:rsidRPr="008339B9"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  <w:t>Our Values</w:t>
      </w:r>
    </w:p>
    <w:p w14:paraId="13A9352F" w14:textId="77777777" w:rsidR="008339B9" w:rsidRPr="008339B9" w:rsidRDefault="008339B9" w:rsidP="008339B9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b/>
          <w:bCs/>
          <w:color w:val="424242"/>
          <w:sz w:val="24"/>
          <w:szCs w:val="24"/>
          <w:lang w:eastAsia="en-GB"/>
        </w:rPr>
        <w:t>Fun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 – Learning should be joyful and exciting.</w:t>
      </w:r>
    </w:p>
    <w:p w14:paraId="5D6A0A6A" w14:textId="4CAB58C8" w:rsidR="008339B9" w:rsidRPr="008339B9" w:rsidRDefault="008339B9" w:rsidP="008339B9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b/>
          <w:bCs/>
          <w:color w:val="424242"/>
          <w:sz w:val="24"/>
          <w:szCs w:val="24"/>
          <w:lang w:eastAsia="en-GB"/>
        </w:rPr>
        <w:t>Ambitious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 – We aim high and encourage children</w:t>
      </w:r>
      <w:r w:rsidR="00407877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young people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to do the same.</w:t>
      </w:r>
    </w:p>
    <w:p w14:paraId="481E6324" w14:textId="4B09BBDD" w:rsidR="008339B9" w:rsidRPr="008339B9" w:rsidRDefault="008339B9" w:rsidP="008339B9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b/>
          <w:bCs/>
          <w:color w:val="424242"/>
          <w:sz w:val="24"/>
          <w:szCs w:val="24"/>
          <w:lang w:eastAsia="en-GB"/>
        </w:rPr>
        <w:t>Inspiring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 – We help children</w:t>
      </w:r>
      <w:r w:rsidR="00407877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young people to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discover their passions and potential.</w:t>
      </w:r>
    </w:p>
    <w:p w14:paraId="50CE45BA" w14:textId="77777777" w:rsidR="008339B9" w:rsidRPr="008339B9" w:rsidRDefault="008339B9" w:rsidP="008339B9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b/>
          <w:bCs/>
          <w:color w:val="424242"/>
          <w:sz w:val="24"/>
          <w:szCs w:val="24"/>
          <w:lang w:eastAsia="en-GB"/>
        </w:rPr>
        <w:t>Respectful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 – We celebrate everyone’s uniqueness and treat each other with kindness.</w:t>
      </w:r>
    </w:p>
    <w:p w14:paraId="1455CEC2" w14:textId="77777777" w:rsidR="008339B9" w:rsidRPr="008339B9" w:rsidRDefault="008339B9" w:rsidP="008339B9">
      <w:pPr>
        <w:shd w:val="clear" w:color="auto" w:fill="FAFAFA"/>
        <w:spacing w:before="195" w:after="45" w:line="420" w:lineRule="atLeast"/>
        <w:outlineLvl w:val="2"/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</w:pPr>
      <w:r w:rsidRPr="008339B9"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  <w:t>Our Aims</w:t>
      </w:r>
    </w:p>
    <w:p w14:paraId="3AE9A851" w14:textId="7AB23749" w:rsidR="008339B9" w:rsidRPr="008339B9" w:rsidRDefault="008339B9" w:rsidP="008339B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Support every child</w:t>
      </w:r>
      <w:r w:rsidR="00407877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young person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to thrive.</w:t>
      </w:r>
    </w:p>
    <w:p w14:paraId="30EAFBFA" w14:textId="77777777" w:rsidR="008339B9" w:rsidRPr="008339B9" w:rsidRDefault="008339B9" w:rsidP="008339B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Work closely with families and partners.</w:t>
      </w:r>
    </w:p>
    <w:p w14:paraId="41D16369" w14:textId="77777777" w:rsidR="008339B9" w:rsidRPr="008339B9" w:rsidRDefault="008339B9" w:rsidP="008339B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Provide creative and high-quality learning.</w:t>
      </w:r>
    </w:p>
    <w:p w14:paraId="18DF98D3" w14:textId="3DF09929" w:rsidR="008339B9" w:rsidRPr="008339B9" w:rsidRDefault="008339B9" w:rsidP="008339B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Celebrate each child</w:t>
      </w:r>
      <w:r w:rsidR="0012756D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young person’s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individuality.</w:t>
      </w:r>
    </w:p>
    <w:p w14:paraId="54F69CC9" w14:textId="6EC10047" w:rsidR="008339B9" w:rsidRPr="008339B9" w:rsidRDefault="008339B9" w:rsidP="008339B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Help children</w:t>
      </w:r>
      <w:r w:rsidR="0012756D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young people to</w:t>
      </w: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build life skills.</w:t>
      </w:r>
    </w:p>
    <w:p w14:paraId="13E9A576" w14:textId="77777777" w:rsidR="008339B9" w:rsidRPr="008339B9" w:rsidRDefault="008339B9" w:rsidP="008339B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Support staff and families to keep learning.</w:t>
      </w:r>
    </w:p>
    <w:p w14:paraId="057D5C90" w14:textId="77777777" w:rsidR="008339B9" w:rsidRPr="008339B9" w:rsidRDefault="008339B9" w:rsidP="008339B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8339B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Care deeply about our whole school community.</w:t>
      </w:r>
    </w:p>
    <w:p w14:paraId="4A067330" w14:textId="77777777" w:rsidR="00550E1B" w:rsidRDefault="00550E1B" w:rsidP="00570620">
      <w:pPr>
        <w:autoSpaceDE w:val="0"/>
        <w:autoSpaceDN w:val="0"/>
        <w:adjustRightInd w:val="0"/>
        <w:spacing w:after="0" w:line="240" w:lineRule="auto"/>
        <w:rPr>
          <w:rFonts w:ascii="OpenDyslexic" w:eastAsia="Times New Roman" w:hAnsi="OpenDyslexic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</w:pPr>
    </w:p>
    <w:p w14:paraId="33FDFD38" w14:textId="77777777" w:rsidR="008339B9" w:rsidRDefault="008339B9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tbl>
      <w:tblPr>
        <w:tblpPr w:leftFromText="180" w:rightFromText="180" w:vertAnchor="text" w:horzAnchor="page" w:tblpXSpec="center" w:tblpY="-19"/>
        <w:tblW w:w="8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0"/>
      </w:tblGrid>
      <w:tr w:rsidR="005E4775" w:rsidRPr="000F7E4D" w14:paraId="19C0D89B" w14:textId="77777777" w:rsidTr="00FE4560">
        <w:trPr>
          <w:trHeight w:val="300"/>
        </w:trPr>
        <w:tc>
          <w:tcPr>
            <w:tcW w:w="8245" w:type="dxa"/>
            <w:tcBorders>
              <w:top w:val="single" w:sz="6" w:space="0" w:color="5B9BD5"/>
              <w:left w:val="single" w:sz="6" w:space="0" w:color="5B9BD5"/>
              <w:bottom w:val="nil"/>
              <w:right w:val="single" w:sz="6" w:space="0" w:color="5B9BD5"/>
            </w:tcBorders>
            <w:shd w:val="clear" w:color="auto" w:fill="5B9BD5"/>
            <w:hideMark/>
          </w:tcPr>
          <w:p w14:paraId="4B767059" w14:textId="450A2E3A" w:rsidR="005E4775" w:rsidRPr="001554BD" w:rsidRDefault="005E4775" w:rsidP="005E4775">
            <w:pPr>
              <w:spacing w:after="0" w:line="240" w:lineRule="auto"/>
              <w:jc w:val="center"/>
              <w:textAlignment w:val="baseline"/>
              <w:rPr>
                <w:rFonts w:ascii="OpenDyslexic" w:eastAsia="Times New Roman" w:hAnsi="OpenDyslexic" w:cs="Segoe U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554BD">
              <w:rPr>
                <w:rFonts w:ascii="OpenDyslexic" w:eastAsia="Times New Roman" w:hAnsi="OpenDyslexic" w:cs="Calibri Light"/>
                <w:b/>
                <w:bCs/>
                <w:i/>
                <w:iCs/>
                <w:color w:val="FFFFFF"/>
                <w:lang w:eastAsia="en-GB"/>
              </w:rPr>
              <w:lastRenderedPageBreak/>
              <w:t>Other whole school achievements</w:t>
            </w:r>
            <w:r w:rsidR="001452BE" w:rsidRPr="001554BD">
              <w:rPr>
                <w:rFonts w:ascii="OpenDyslexic" w:eastAsia="Times New Roman" w:hAnsi="OpenDyslexic" w:cs="Calibri Light"/>
                <w:b/>
                <w:bCs/>
                <w:i/>
                <w:iCs/>
                <w:color w:val="FFFFFF"/>
                <w:lang w:eastAsia="en-GB"/>
              </w:rPr>
              <w:t xml:space="preserve"> 202</w:t>
            </w:r>
            <w:r w:rsidR="00885271" w:rsidRPr="001554BD">
              <w:rPr>
                <w:rFonts w:ascii="OpenDyslexic" w:eastAsia="Times New Roman" w:hAnsi="OpenDyslexic" w:cs="Calibri Light"/>
                <w:b/>
                <w:bCs/>
                <w:i/>
                <w:iCs/>
                <w:color w:val="FFFFFF"/>
                <w:lang w:eastAsia="en-GB"/>
              </w:rPr>
              <w:t>4/5</w:t>
            </w:r>
          </w:p>
        </w:tc>
      </w:tr>
      <w:tr w:rsidR="005E4775" w:rsidRPr="00354D00" w14:paraId="793CBA77" w14:textId="77777777" w:rsidTr="00FE4560">
        <w:tc>
          <w:tcPr>
            <w:tcW w:w="8245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tbl>
            <w:tblPr>
              <w:tblStyle w:val="TableGrid"/>
              <w:tblpPr w:leftFromText="180" w:rightFromText="180" w:vertAnchor="text" w:horzAnchor="margin" w:tblpXSpec="right" w:tblpY="11"/>
              <w:tblW w:w="10915" w:type="dxa"/>
              <w:tblLook w:val="04A0" w:firstRow="1" w:lastRow="0" w:firstColumn="1" w:lastColumn="0" w:noHBand="0" w:noVBand="1"/>
            </w:tblPr>
            <w:tblGrid>
              <w:gridCol w:w="10915"/>
            </w:tblGrid>
            <w:tr w:rsidR="005E4775" w:rsidRPr="001554BD" w14:paraId="0ED14478" w14:textId="77777777" w:rsidTr="00AD4FF7">
              <w:tc>
                <w:tcPr>
                  <w:tcW w:w="10915" w:type="dxa"/>
                  <w:hideMark/>
                </w:tcPr>
                <w:p w14:paraId="164276B9" w14:textId="448D4A69" w:rsidR="005E4775" w:rsidRPr="001554BD" w:rsidRDefault="005E4775" w:rsidP="005E4775">
                  <w:pPr>
                    <w:jc w:val="center"/>
                    <w:textAlignment w:val="baseline"/>
                    <w:rPr>
                      <w:rFonts w:ascii="OpenDyslexic" w:eastAsia="Times New Roman" w:hAnsi="OpenDyslexic" w:cs="Segoe UI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>Hi5</w:t>
                  </w:r>
                  <w:r w:rsidR="005F7A5B"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 xml:space="preserve"> Awards</w:t>
                  </w:r>
                </w:p>
              </w:tc>
            </w:tr>
            <w:tr w:rsidR="005E4775" w:rsidRPr="001554BD" w14:paraId="5F080E59" w14:textId="77777777" w:rsidTr="00AD4FF7">
              <w:tc>
                <w:tcPr>
                  <w:tcW w:w="10915" w:type="dxa"/>
                  <w:hideMark/>
                </w:tcPr>
                <w:p w14:paraId="0D3C57FC" w14:textId="77777777" w:rsidR="005E4775" w:rsidRPr="001554BD" w:rsidRDefault="005E4775" w:rsidP="009960F5">
                  <w:pPr>
                    <w:jc w:val="center"/>
                    <w:textAlignment w:val="baseline"/>
                    <w:rPr>
                      <w:rFonts w:ascii="OpenDyslexic" w:eastAsia="Times New Roman" w:hAnsi="OpenDyslexic" w:cs="Segoe UI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>Duke Of Edinburgh</w:t>
                  </w:r>
                </w:p>
              </w:tc>
            </w:tr>
            <w:tr w:rsidR="005E4775" w:rsidRPr="001554BD" w14:paraId="5D78DCF1" w14:textId="77777777" w:rsidTr="00AD4FF7">
              <w:tc>
                <w:tcPr>
                  <w:tcW w:w="10915" w:type="dxa"/>
                  <w:hideMark/>
                </w:tcPr>
                <w:p w14:paraId="531B6830" w14:textId="77777777" w:rsidR="005E4775" w:rsidRPr="001554BD" w:rsidRDefault="005E4775" w:rsidP="009960F5">
                  <w:pPr>
                    <w:jc w:val="center"/>
                    <w:textAlignment w:val="baseline"/>
                    <w:rPr>
                      <w:rFonts w:ascii="OpenDyslexic" w:eastAsia="Times New Roman" w:hAnsi="OpenDyslexic" w:cs="Segoe UI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>Youth Achievement Award</w:t>
                  </w:r>
                </w:p>
              </w:tc>
            </w:tr>
            <w:tr w:rsidR="005E4775" w:rsidRPr="001554BD" w14:paraId="04223685" w14:textId="77777777" w:rsidTr="00AD4FF7">
              <w:tc>
                <w:tcPr>
                  <w:tcW w:w="10915" w:type="dxa"/>
                </w:tcPr>
                <w:p w14:paraId="00C0EBC9" w14:textId="4FF4FD0B" w:rsidR="005E4775" w:rsidRPr="001554BD" w:rsidRDefault="00D53F1C" w:rsidP="009960F5">
                  <w:pPr>
                    <w:jc w:val="center"/>
                    <w:textAlignment w:val="baseline"/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</w:pPr>
                  <w:r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>Level 1</w:t>
                  </w:r>
                  <w:r w:rsidR="00324961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 xml:space="preserve"> Nurture Award</w:t>
                  </w:r>
                </w:p>
              </w:tc>
            </w:tr>
            <w:tr w:rsidR="005E4775" w:rsidRPr="001554BD" w14:paraId="6DF4BBB9" w14:textId="77777777" w:rsidTr="00AD4FF7">
              <w:tc>
                <w:tcPr>
                  <w:tcW w:w="10915" w:type="dxa"/>
                  <w:hideMark/>
                </w:tcPr>
                <w:p w14:paraId="3FE276CF" w14:textId="16DBB9CE" w:rsidR="005E4775" w:rsidRPr="001554BD" w:rsidRDefault="005E4775" w:rsidP="009960F5">
                  <w:pPr>
                    <w:jc w:val="center"/>
                    <w:textAlignment w:val="baseline"/>
                    <w:rPr>
                      <w:rFonts w:ascii="OpenDyslexic" w:eastAsia="Times New Roman" w:hAnsi="OpenDyslexic" w:cs="Segoe UI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 xml:space="preserve">Eco School Green </w:t>
                  </w:r>
                  <w:proofErr w:type="gramStart"/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>Flag  (</w:t>
                  </w:r>
                  <w:proofErr w:type="gramEnd"/>
                  <w:r w:rsidR="005F7A5B"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>6</w:t>
                  </w: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vertAlign w:val="superscript"/>
                      <w:lang w:eastAsia="en-GB"/>
                    </w:rPr>
                    <w:t>th</w:t>
                  </w: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>)</w:t>
                  </w:r>
                </w:p>
              </w:tc>
            </w:tr>
            <w:tr w:rsidR="00D71A1E" w:rsidRPr="001554BD" w14:paraId="7B90E469" w14:textId="77777777" w:rsidTr="00AD4FF7">
              <w:tc>
                <w:tcPr>
                  <w:tcW w:w="10915" w:type="dxa"/>
                </w:tcPr>
                <w:p w14:paraId="6BCEE76B" w14:textId="6A0CA7F0" w:rsidR="00D71A1E" w:rsidRPr="001554BD" w:rsidRDefault="00D71A1E" w:rsidP="009960F5">
                  <w:pPr>
                    <w:jc w:val="center"/>
                    <w:textAlignment w:val="baseline"/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</w:pP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lang w:eastAsia="en-GB"/>
                    </w:rPr>
                    <w:t>Rights Respecting Gold Award</w:t>
                  </w:r>
                </w:p>
              </w:tc>
            </w:tr>
            <w:tr w:rsidR="005E4775" w:rsidRPr="001554BD" w14:paraId="4BC43BA7" w14:textId="77777777" w:rsidTr="00AD4FF7">
              <w:trPr>
                <w:trHeight w:val="572"/>
              </w:trPr>
              <w:tc>
                <w:tcPr>
                  <w:tcW w:w="10915" w:type="dxa"/>
                </w:tcPr>
                <w:p w14:paraId="760998E1" w14:textId="333FCE2D" w:rsidR="005E4775" w:rsidRPr="001554BD" w:rsidRDefault="005E4775" w:rsidP="009960F5">
                  <w:pPr>
                    <w:pBdr>
                      <w:top w:val="single" w:sz="4" w:space="1" w:color="auto"/>
                      <w:bottom w:val="single" w:sz="4" w:space="1" w:color="auto"/>
                    </w:pBdr>
                    <w:jc w:val="center"/>
                    <w:textAlignment w:val="baseline"/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  <w:t>Increased number of work experience opportunities</w:t>
                  </w:r>
                  <w:r w:rsidR="000B3A2B" w:rsidRPr="001554BD"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885271" w:rsidRPr="001554BD"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  <w:t>including in house job fairs</w:t>
                  </w:r>
                </w:p>
                <w:p w14:paraId="693AEC0B" w14:textId="58BB4D66" w:rsidR="005E4775" w:rsidRPr="001554BD" w:rsidRDefault="005E4775" w:rsidP="009960F5">
                  <w:pPr>
                    <w:pBdr>
                      <w:bottom w:val="single" w:sz="4" w:space="1" w:color="auto"/>
                    </w:pBdr>
                    <w:jc w:val="center"/>
                    <w:textAlignment w:val="baseline"/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554BD"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  <w:t>Range of sporting achievements</w:t>
                  </w:r>
                  <w:r w:rsidR="00B22833" w:rsidRPr="001554BD"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  <w:t xml:space="preserve"> including </w:t>
                  </w:r>
                  <w:proofErr w:type="gramStart"/>
                  <w:r w:rsidR="00D71A1E" w:rsidRPr="001554BD"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  <w:t>table top</w:t>
                  </w:r>
                  <w:proofErr w:type="gramEnd"/>
                  <w:r w:rsidR="00D71A1E" w:rsidRPr="001554BD"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  <w:t xml:space="preserve"> cricket, cross country and swimming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689"/>
                  </w:tblGrid>
                  <w:tr w:rsidR="008130CD" w:rsidRPr="008130CD" w14:paraId="755EEFD0" w14:textId="77777777">
                    <w:tc>
                      <w:tcPr>
                        <w:tcW w:w="10689" w:type="dxa"/>
                      </w:tcPr>
                      <w:p w14:paraId="11514208" w14:textId="77777777" w:rsidR="008130CD" w:rsidRPr="008130C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Supporting a wide range of charities</w:t>
                        </w:r>
                      </w:p>
                    </w:tc>
                  </w:tr>
                  <w:tr w:rsidR="008130CD" w:rsidRPr="008130CD" w14:paraId="18C2494C" w14:textId="77777777">
                    <w:tc>
                      <w:tcPr>
                        <w:tcW w:w="10689" w:type="dxa"/>
                      </w:tcPr>
                      <w:p w14:paraId="562306A2" w14:textId="77777777" w:rsidR="008130CD" w:rsidRPr="008130C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Funding obtained for Judo next year and new power assisted wheelchair bike</w:t>
                        </w:r>
                      </w:p>
                    </w:tc>
                  </w:tr>
                  <w:tr w:rsidR="008130CD" w:rsidRPr="008130CD" w14:paraId="61BE3AB8" w14:textId="77777777">
                    <w:tc>
                      <w:tcPr>
                        <w:tcW w:w="10689" w:type="dxa"/>
                      </w:tcPr>
                      <w:p w14:paraId="7082B748" w14:textId="77777777" w:rsidR="008130CD" w:rsidRPr="008130C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Whole School Trips to Active Kids and Safari Park</w:t>
                        </w:r>
                      </w:p>
                    </w:tc>
                  </w:tr>
                  <w:tr w:rsidR="008130CD" w:rsidRPr="008130CD" w14:paraId="6E061181" w14:textId="77777777">
                    <w:tc>
                      <w:tcPr>
                        <w:tcW w:w="10689" w:type="dxa"/>
                      </w:tcPr>
                      <w:p w14:paraId="59DF7E88" w14:textId="77777777" w:rsidR="008130CD" w:rsidRPr="008130C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Start of our breakfast club</w:t>
                        </w:r>
                      </w:p>
                    </w:tc>
                  </w:tr>
                  <w:tr w:rsidR="008130CD" w:rsidRPr="008130CD" w14:paraId="4A27CCB0" w14:textId="77777777">
                    <w:tc>
                      <w:tcPr>
                        <w:tcW w:w="10689" w:type="dxa"/>
                      </w:tcPr>
                      <w:p w14:paraId="79DA637E" w14:textId="77777777" w:rsidR="008130CD" w:rsidRPr="008130C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 xml:space="preserve">Secondary residential experience to </w:t>
                        </w:r>
                        <w:proofErr w:type="spellStart"/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Dalguise</w:t>
                        </w:r>
                        <w:proofErr w:type="spellEnd"/>
                      </w:p>
                    </w:tc>
                  </w:tr>
                  <w:tr w:rsidR="008130CD" w:rsidRPr="008130CD" w14:paraId="19BB84F8" w14:textId="77777777">
                    <w:tc>
                      <w:tcPr>
                        <w:tcW w:w="10689" w:type="dxa"/>
                      </w:tcPr>
                      <w:p w14:paraId="73E455C6" w14:textId="77777777" w:rsidR="008130CD" w:rsidRPr="008130C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School dog Lilly started with us</w:t>
                        </w:r>
                      </w:p>
                    </w:tc>
                  </w:tr>
                  <w:tr w:rsidR="008130CD" w:rsidRPr="008130CD" w14:paraId="03B1203B" w14:textId="77777777">
                    <w:tc>
                      <w:tcPr>
                        <w:tcW w:w="10689" w:type="dxa"/>
                      </w:tcPr>
                      <w:p w14:paraId="49E8D145" w14:textId="77777777" w:rsidR="008130CD" w:rsidRPr="008130C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Day of Dance Attendance at Oaklands School, Edinburgh</w:t>
                        </w:r>
                      </w:p>
                    </w:tc>
                  </w:tr>
                  <w:tr w:rsidR="008130CD" w:rsidRPr="008130CD" w14:paraId="319822A4" w14:textId="77777777">
                    <w:tc>
                      <w:tcPr>
                        <w:tcW w:w="10689" w:type="dxa"/>
                      </w:tcPr>
                      <w:p w14:paraId="3D2E3AF2" w14:textId="77777777" w:rsidR="008130CD" w:rsidRPr="008130C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Wellbeing opportunities for parents and family activities funded by the school</w:t>
                        </w:r>
                      </w:p>
                    </w:tc>
                  </w:tr>
                  <w:tr w:rsidR="008130CD" w:rsidRPr="001554BD" w14:paraId="2570258B" w14:textId="77777777">
                    <w:tc>
                      <w:tcPr>
                        <w:tcW w:w="10689" w:type="dxa"/>
                      </w:tcPr>
                      <w:p w14:paraId="3475C76B" w14:textId="77777777" w:rsidR="008130CD" w:rsidRPr="001554BD" w:rsidRDefault="008130CD" w:rsidP="00E96598">
                        <w:pPr>
                          <w:framePr w:hSpace="180" w:wrap="around" w:vAnchor="text" w:hAnchor="page" w:xAlign="center" w:y="-19"/>
                          <w:jc w:val="center"/>
                          <w:textAlignment w:val="baseline"/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8130CD">
                          <w:rPr>
                            <w:rFonts w:ascii="OpenDyslexic" w:eastAsia="Times New Roman" w:hAnsi="OpenDyslexic" w:cs="Calibri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Range of volunteers supporting our school and staff and families raising funds to improve our offer</w:t>
                        </w:r>
                      </w:p>
                    </w:tc>
                  </w:tr>
                </w:tbl>
                <w:p w14:paraId="147E4907" w14:textId="24349BFF" w:rsidR="00626AF9" w:rsidRPr="001554BD" w:rsidRDefault="00626AF9" w:rsidP="009960F5">
                  <w:pPr>
                    <w:jc w:val="center"/>
                    <w:textAlignment w:val="baseline"/>
                    <w:rPr>
                      <w:rFonts w:ascii="OpenDyslexic" w:eastAsia="Times New Roman" w:hAnsi="OpenDyslexic" w:cs="Calibri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23152A7" w14:textId="77777777" w:rsidR="005E4775" w:rsidRPr="001554BD" w:rsidRDefault="005E4775" w:rsidP="005E4775">
            <w:pPr>
              <w:spacing w:after="0" w:line="240" w:lineRule="auto"/>
              <w:jc w:val="center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14:paraId="185AD217" w14:textId="77777777" w:rsidR="00550E1B" w:rsidRDefault="00550E1B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57691A49" w14:textId="77777777" w:rsidR="005E4775" w:rsidRDefault="005E477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51EC81BB" w14:textId="77777777" w:rsidR="005E4775" w:rsidRDefault="005E477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36CF6C51" w14:textId="77777777" w:rsidR="005E4775" w:rsidRDefault="005E477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69BAE714" w14:textId="77777777" w:rsidR="005E4775" w:rsidRDefault="005E477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25EDF37B" w14:textId="77777777" w:rsidR="005E4775" w:rsidRDefault="005E477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560AD72B" w14:textId="77777777" w:rsidR="005E4775" w:rsidRDefault="005E477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486EF84B" w14:textId="77777777" w:rsidR="005E4775" w:rsidRDefault="005E477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5D6A0E85" w14:textId="77777777" w:rsidR="005E4775" w:rsidRDefault="005E477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0D36557A" w14:textId="77777777" w:rsidR="00FE4560" w:rsidRDefault="00FE4560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41807C23" w14:textId="77777777" w:rsidR="00E454A3" w:rsidRDefault="00E454A3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6A98D0F3" w14:textId="77777777" w:rsidR="00E454A3" w:rsidRDefault="00E454A3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19FE53B2" w14:textId="77777777" w:rsidR="00AB1C10" w:rsidRDefault="00AB1C10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6AE6929E" w14:textId="77777777" w:rsidR="00AB1C10" w:rsidRDefault="00AB1C10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2361CED0" w14:textId="77777777" w:rsidR="006542DF" w:rsidRDefault="006542DF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32002B04" w14:textId="77777777" w:rsidR="00EC42A5" w:rsidRDefault="00EC42A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653E154B" w14:textId="77777777" w:rsidR="00EC42A5" w:rsidRDefault="00EC42A5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63782FED" w14:textId="77777777" w:rsidR="008130CD" w:rsidRDefault="008130CD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1118DC69" w14:textId="77777777" w:rsidR="008130CD" w:rsidRDefault="008130CD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19EEDCE6" w14:textId="77777777" w:rsidR="008130CD" w:rsidRDefault="008130CD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570D599C" w14:textId="77777777" w:rsidR="008130CD" w:rsidRDefault="008130CD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770EF87A" w14:textId="77777777" w:rsidR="008130CD" w:rsidRDefault="008130CD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29CD4904" w14:textId="77777777" w:rsidR="008130CD" w:rsidRDefault="008130CD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</w:p>
    <w:p w14:paraId="1D40940C" w14:textId="145F5F07" w:rsidR="00570620" w:rsidRPr="00155095" w:rsidRDefault="00570620" w:rsidP="00570620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b/>
          <w:i/>
          <w:color w:val="000000"/>
          <w:sz w:val="24"/>
          <w:szCs w:val="24"/>
        </w:rPr>
      </w:pPr>
      <w:r w:rsidRPr="00155095">
        <w:rPr>
          <w:rFonts w:ascii="OpenDyslexic" w:hAnsi="OpenDyslexic" w:cs="Arial Rounded MT Bold"/>
          <w:b/>
          <w:i/>
          <w:color w:val="000000"/>
          <w:sz w:val="24"/>
          <w:szCs w:val="24"/>
        </w:rPr>
        <w:t xml:space="preserve">Learning </w:t>
      </w:r>
    </w:p>
    <w:p w14:paraId="517C3F57" w14:textId="77777777" w:rsidR="00674CE1" w:rsidRPr="00155095" w:rsidRDefault="00674CE1" w:rsidP="00674CE1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"/>
          <w:b/>
          <w:bCs/>
          <w:color w:val="000000"/>
          <w:sz w:val="24"/>
          <w:szCs w:val="24"/>
        </w:rPr>
      </w:pPr>
      <w:r w:rsidRPr="00155095">
        <w:rPr>
          <w:rFonts w:ascii="OpenDyslexic" w:hAnsi="OpenDyslexic" w:cs="Arial"/>
          <w:b/>
          <w:bCs/>
          <w:color w:val="000000"/>
          <w:sz w:val="24"/>
          <w:szCs w:val="24"/>
        </w:rPr>
        <w:t xml:space="preserve">Broad General Education: </w:t>
      </w:r>
    </w:p>
    <w:p w14:paraId="59D8D72A" w14:textId="77777777" w:rsidR="00307719" w:rsidRPr="00307719" w:rsidRDefault="00307719" w:rsidP="00307719">
      <w:pPr>
        <w:shd w:val="clear" w:color="auto" w:fill="FAFAFA"/>
        <w:spacing w:before="195" w:after="45" w:line="420" w:lineRule="atLeast"/>
        <w:outlineLvl w:val="2"/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</w:pPr>
      <w:r w:rsidRPr="00307719"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  <w:t>Learning at Fairview</w:t>
      </w:r>
    </w:p>
    <w:p w14:paraId="6EC34796" w14:textId="55A6C78A" w:rsidR="00307719" w:rsidRPr="00307719" w:rsidRDefault="00307719" w:rsidP="00307719">
      <w:pPr>
        <w:shd w:val="clear" w:color="auto" w:fill="FAFAFA"/>
        <w:spacing w:before="120" w:after="60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Our curriculum is tailored to each child</w:t>
      </w:r>
      <w:r w:rsidR="008130CD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young person’s</w:t>
      </w: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needs. Children</w:t>
      </w:r>
      <w:r w:rsidR="008130CD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young people</w:t>
      </w: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work at different levels and progress at their own pace. We focus on:</w:t>
      </w:r>
    </w:p>
    <w:p w14:paraId="549E43D2" w14:textId="77777777" w:rsidR="00307719" w:rsidRPr="00307719" w:rsidRDefault="00307719" w:rsidP="00307719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Communication &amp; Literacy</w:t>
      </w:r>
    </w:p>
    <w:p w14:paraId="569CB2B8" w14:textId="77777777" w:rsidR="00307719" w:rsidRPr="00307719" w:rsidRDefault="00307719" w:rsidP="00307719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Wellbeing</w:t>
      </w:r>
    </w:p>
    <w:p w14:paraId="5481181B" w14:textId="77777777" w:rsidR="00307719" w:rsidRPr="00307719" w:rsidRDefault="00307719" w:rsidP="00307719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Creativity &amp; Independence</w:t>
      </w:r>
    </w:p>
    <w:p w14:paraId="7786A6C9" w14:textId="77777777" w:rsidR="00307719" w:rsidRPr="00307719" w:rsidRDefault="00307719" w:rsidP="00307719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lastRenderedPageBreak/>
        <w:t>Play &amp; Leisure</w:t>
      </w:r>
    </w:p>
    <w:p w14:paraId="03B96B34" w14:textId="77777777" w:rsidR="00307719" w:rsidRPr="00307719" w:rsidRDefault="00307719" w:rsidP="00307719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Thinking &amp; Numeracy</w:t>
      </w:r>
    </w:p>
    <w:p w14:paraId="7B5258DE" w14:textId="77777777" w:rsidR="00307719" w:rsidRPr="00307719" w:rsidRDefault="00307719" w:rsidP="00307719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307719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Community</w:t>
      </w:r>
    </w:p>
    <w:p w14:paraId="78FE73D0" w14:textId="09098DCA" w:rsidR="002E25CA" w:rsidRPr="00D063D9" w:rsidRDefault="00307719" w:rsidP="00307719">
      <w:pPr>
        <w:shd w:val="clear" w:color="auto" w:fill="FAFAFA"/>
        <w:spacing w:before="120" w:after="60" w:line="240" w:lineRule="auto"/>
        <w:rPr>
          <w:rFonts w:ascii="OpenDyslexic" w:eastAsia="Times New Roman" w:hAnsi="OpenDyslexic" w:cs="Segoe UI"/>
          <w:color w:val="424242"/>
          <w:sz w:val="24"/>
          <w:szCs w:val="24"/>
          <w:highlight w:val="yellow"/>
          <w:lang w:eastAsia="en-GB"/>
        </w:rPr>
      </w:pPr>
      <w:r w:rsidRPr="00D063D9">
        <w:rPr>
          <w:rFonts w:ascii="OpenDyslexic" w:eastAsia="Times New Roman" w:hAnsi="OpenDyslexic" w:cs="Segoe UI"/>
          <w:b/>
          <w:bCs/>
          <w:color w:val="424242"/>
          <w:sz w:val="24"/>
          <w:szCs w:val="24"/>
          <w:highlight w:val="yellow"/>
          <w:lang w:eastAsia="en-GB"/>
        </w:rPr>
        <w:t>Target Achievement:</w:t>
      </w:r>
      <w:r w:rsidRPr="00D063D9">
        <w:rPr>
          <w:rFonts w:ascii="OpenDyslexic" w:eastAsia="Times New Roman" w:hAnsi="OpenDyslexic" w:cs="Segoe UI"/>
          <w:color w:val="424242"/>
          <w:sz w:val="24"/>
          <w:szCs w:val="24"/>
          <w:highlight w:val="yellow"/>
          <w:lang w:eastAsia="en-GB"/>
        </w:rPr>
        <w:br/>
        <w:t>Average achievement of individualised My Learning outcomes across Nursery, Primary and Secondary: </w:t>
      </w:r>
    </w:p>
    <w:tbl>
      <w:tblPr>
        <w:tblW w:w="0" w:type="auto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2332"/>
      </w:tblGrid>
      <w:tr w:rsidR="002E25CA" w:rsidRPr="00D063D9" w14:paraId="01800D0B" w14:textId="77777777" w:rsidTr="002E25C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B87F1FD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Learning Area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95B6009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% of Targets Achieved</w:t>
            </w:r>
          </w:p>
        </w:tc>
      </w:tr>
      <w:tr w:rsidR="002E25CA" w:rsidRPr="00D063D9" w14:paraId="718A2639" w14:textId="77777777" w:rsidTr="002E25CA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8811552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My Communication, Interaction &amp; Literacy Skills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B1BB8B6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94.2%</w:t>
            </w:r>
          </w:p>
        </w:tc>
      </w:tr>
      <w:tr w:rsidR="002E25CA" w:rsidRPr="00D063D9" w14:paraId="0C856F4E" w14:textId="77777777" w:rsidTr="002E25CA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BE943EE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My Wellbeing (Physical, Social &amp; Emotional)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EDFD89B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94.4%</w:t>
            </w:r>
          </w:p>
        </w:tc>
      </w:tr>
      <w:tr w:rsidR="002E25CA" w:rsidRPr="00D063D9" w14:paraId="3FD40A47" w14:textId="77777777" w:rsidTr="002E25CA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60BB144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My Creativity, Independence &amp; Vocational Skills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99C64CE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92.1%</w:t>
            </w:r>
          </w:p>
        </w:tc>
      </w:tr>
      <w:tr w:rsidR="002E25CA" w:rsidRPr="00D063D9" w14:paraId="64459C7D" w14:textId="77777777" w:rsidTr="002E25CA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49B1EA8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My Play, Leisure &amp; Choices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DF3FD35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93.8%</w:t>
            </w:r>
          </w:p>
        </w:tc>
      </w:tr>
      <w:tr w:rsidR="002E25CA" w:rsidRPr="00D063D9" w14:paraId="411DD033" w14:textId="77777777" w:rsidTr="002E25CA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D915720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My Thinking, Problem Solving &amp; Numeracy Skills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BC86029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90.8%</w:t>
            </w:r>
          </w:p>
        </w:tc>
      </w:tr>
      <w:tr w:rsidR="002E25CA" w:rsidRPr="00D063D9" w14:paraId="56E4ADEF" w14:textId="77777777" w:rsidTr="002E25CA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2FC8FD0F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 xml:space="preserve">My </w:t>
            </w:r>
            <w:proofErr w:type="gramStart"/>
            <w:r w:rsidRPr="00D063D9">
              <w:rPr>
                <w:rFonts w:ascii="OpenDyslexic" w:hAnsi="OpenDyslexic"/>
                <w:highlight w:val="yellow"/>
                <w:lang w:eastAsia="en-GB"/>
              </w:rPr>
              <w:t>Community</w:t>
            </w:r>
            <w:proofErr w:type="gramEnd"/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4CA0FBB2" w14:textId="77777777" w:rsidR="002E25CA" w:rsidRPr="00D063D9" w:rsidRDefault="002E25CA" w:rsidP="002E25CA">
            <w:pPr>
              <w:pStyle w:val="NoSpacing"/>
              <w:rPr>
                <w:rFonts w:ascii="OpenDyslexic" w:hAnsi="OpenDyslexic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  <w:lang w:eastAsia="en-GB"/>
              </w:rPr>
              <w:t>89.4%</w:t>
            </w:r>
          </w:p>
        </w:tc>
      </w:tr>
    </w:tbl>
    <w:tbl>
      <w:tblPr>
        <w:tblpPr w:leftFromText="180" w:rightFromText="180" w:vertAnchor="text" w:horzAnchor="margin" w:tblpY="927"/>
        <w:tblW w:w="10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708"/>
        <w:gridCol w:w="851"/>
        <w:gridCol w:w="850"/>
        <w:gridCol w:w="993"/>
        <w:gridCol w:w="850"/>
        <w:gridCol w:w="851"/>
        <w:gridCol w:w="851"/>
      </w:tblGrid>
      <w:tr w:rsidR="00D063D9" w:rsidRPr="00D063D9" w14:paraId="2BEA74B2" w14:textId="77777777" w:rsidTr="15FD149D">
        <w:trPr>
          <w:trHeight w:val="450"/>
        </w:trPr>
        <w:tc>
          <w:tcPr>
            <w:tcW w:w="4387" w:type="dxa"/>
            <w:tcBorders>
              <w:top w:val="single" w:sz="6" w:space="0" w:color="7295D2"/>
              <w:left w:val="single" w:sz="6" w:space="0" w:color="7295D2"/>
              <w:bottom w:val="single" w:sz="6" w:space="0" w:color="7295D2"/>
              <w:right w:val="single" w:sz="4" w:space="0" w:color="auto"/>
            </w:tcBorders>
            <w:shd w:val="clear" w:color="auto" w:fill="4472C4"/>
            <w:hideMark/>
          </w:tcPr>
          <w:p w14:paraId="28E9406F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Summary of SQA Qualifications </w:t>
            </w:r>
          </w:p>
        </w:tc>
        <w:tc>
          <w:tcPr>
            <w:tcW w:w="708" w:type="dxa"/>
            <w:tcBorders>
              <w:top w:val="single" w:sz="6" w:space="0" w:color="7295D2"/>
              <w:left w:val="single" w:sz="4" w:space="0" w:color="auto"/>
              <w:bottom w:val="single" w:sz="6" w:space="0" w:color="7295D2"/>
              <w:right w:val="nil"/>
            </w:tcBorders>
            <w:shd w:val="clear" w:color="auto" w:fill="4472C4"/>
            <w:hideMark/>
          </w:tcPr>
          <w:p w14:paraId="1759B57F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2018-19 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nil"/>
            </w:tcBorders>
            <w:shd w:val="clear" w:color="auto" w:fill="4472C4"/>
            <w:hideMark/>
          </w:tcPr>
          <w:p w14:paraId="67949470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2019-20</w:t>
            </w: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4472C4"/>
            <w:hideMark/>
          </w:tcPr>
          <w:p w14:paraId="4A0F7B95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2020-21 </w:t>
            </w:r>
          </w:p>
        </w:tc>
        <w:tc>
          <w:tcPr>
            <w:tcW w:w="993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4472C4"/>
          </w:tcPr>
          <w:p w14:paraId="4F04D660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2021-22</w:t>
            </w:r>
          </w:p>
        </w:tc>
        <w:tc>
          <w:tcPr>
            <w:tcW w:w="850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4472C4"/>
          </w:tcPr>
          <w:p w14:paraId="07A0F326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</w:rPr>
              <w:t>2022-23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4F81BD" w:themeFill="accent1"/>
          </w:tcPr>
          <w:p w14:paraId="449CBD37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2023-24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4F81BD" w:themeFill="accent1"/>
          </w:tcPr>
          <w:p w14:paraId="4C13BA9A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2024-25</w:t>
            </w:r>
          </w:p>
        </w:tc>
      </w:tr>
      <w:tr w:rsidR="002E25CA" w:rsidRPr="00D063D9" w14:paraId="35CEDB76" w14:textId="77777777" w:rsidTr="15FD149D">
        <w:trPr>
          <w:trHeight w:val="450"/>
        </w:trPr>
        <w:tc>
          <w:tcPr>
            <w:tcW w:w="4387" w:type="dxa"/>
            <w:tcBorders>
              <w:top w:val="single" w:sz="6" w:space="0" w:color="7295D2"/>
              <w:left w:val="single" w:sz="6" w:space="0" w:color="7295D2"/>
              <w:bottom w:val="single" w:sz="6" w:space="0" w:color="7295D2"/>
              <w:right w:val="single" w:sz="4" w:space="0" w:color="auto"/>
            </w:tcBorders>
            <w:shd w:val="clear" w:color="auto" w:fill="D0DBF0"/>
            <w:hideMark/>
          </w:tcPr>
          <w:p w14:paraId="5C8BA6D5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Number of Modules Entered at Nat 1 </w:t>
            </w:r>
          </w:p>
        </w:tc>
        <w:tc>
          <w:tcPr>
            <w:tcW w:w="708" w:type="dxa"/>
            <w:tcBorders>
              <w:top w:val="single" w:sz="6" w:space="0" w:color="7295D2"/>
              <w:left w:val="single" w:sz="4" w:space="0" w:color="auto"/>
              <w:bottom w:val="single" w:sz="6" w:space="0" w:color="7295D2"/>
              <w:right w:val="nil"/>
            </w:tcBorders>
            <w:shd w:val="clear" w:color="auto" w:fill="D0DBF0"/>
            <w:hideMark/>
          </w:tcPr>
          <w:p w14:paraId="748C0EDF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116 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nil"/>
            </w:tcBorders>
            <w:shd w:val="clear" w:color="auto" w:fill="D0DBF0"/>
            <w:hideMark/>
          </w:tcPr>
          <w:p w14:paraId="3C236484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96 </w:t>
            </w:r>
          </w:p>
        </w:tc>
        <w:tc>
          <w:tcPr>
            <w:tcW w:w="850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0DBF0"/>
            <w:hideMark/>
          </w:tcPr>
          <w:p w14:paraId="34D3FE2F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80 </w:t>
            </w:r>
          </w:p>
        </w:tc>
        <w:tc>
          <w:tcPr>
            <w:tcW w:w="993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0DBF0"/>
          </w:tcPr>
          <w:p w14:paraId="43CB2FEF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58</w:t>
            </w:r>
          </w:p>
        </w:tc>
        <w:tc>
          <w:tcPr>
            <w:tcW w:w="850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0DBF0"/>
          </w:tcPr>
          <w:p w14:paraId="64FABC03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</w:rPr>
              <w:t>99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BE5F1" w:themeFill="accent1" w:themeFillTint="33"/>
          </w:tcPr>
          <w:p w14:paraId="020BB747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177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BE5F1" w:themeFill="accent1" w:themeFillTint="33"/>
          </w:tcPr>
          <w:p w14:paraId="1682DFC2" w14:textId="492EA89F" w:rsidR="002E25CA" w:rsidRPr="00D063D9" w:rsidRDefault="6F46BDCE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221</w:t>
            </w:r>
          </w:p>
        </w:tc>
      </w:tr>
      <w:tr w:rsidR="002E25CA" w:rsidRPr="00D063D9" w14:paraId="3FFE088C" w14:textId="77777777" w:rsidTr="15FD149D">
        <w:trPr>
          <w:trHeight w:val="450"/>
        </w:trPr>
        <w:tc>
          <w:tcPr>
            <w:tcW w:w="4387" w:type="dxa"/>
            <w:tcBorders>
              <w:top w:val="single" w:sz="6" w:space="0" w:color="7295D2"/>
              <w:left w:val="single" w:sz="6" w:space="0" w:color="7295D2"/>
              <w:bottom w:val="single" w:sz="6" w:space="0" w:color="7295D2"/>
              <w:right w:val="single" w:sz="4" w:space="0" w:color="auto"/>
            </w:tcBorders>
            <w:shd w:val="clear" w:color="auto" w:fill="auto"/>
            <w:hideMark/>
          </w:tcPr>
          <w:p w14:paraId="5BC6215F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Number of Pupils Entered at Nat 1 </w:t>
            </w:r>
          </w:p>
        </w:tc>
        <w:tc>
          <w:tcPr>
            <w:tcW w:w="708" w:type="dxa"/>
            <w:tcBorders>
              <w:top w:val="single" w:sz="6" w:space="0" w:color="7295D2"/>
              <w:left w:val="single" w:sz="4" w:space="0" w:color="auto"/>
              <w:bottom w:val="single" w:sz="6" w:space="0" w:color="7295D2"/>
              <w:right w:val="nil"/>
            </w:tcBorders>
            <w:shd w:val="clear" w:color="auto" w:fill="FFFFFF" w:themeFill="background1"/>
            <w:hideMark/>
          </w:tcPr>
          <w:p w14:paraId="5AFB1BBE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15 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nil"/>
            </w:tcBorders>
            <w:shd w:val="clear" w:color="auto" w:fill="FFFFFF" w:themeFill="background1"/>
            <w:hideMark/>
          </w:tcPr>
          <w:p w14:paraId="6E6426E1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15 </w:t>
            </w:r>
          </w:p>
        </w:tc>
        <w:tc>
          <w:tcPr>
            <w:tcW w:w="850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  <w:hideMark/>
          </w:tcPr>
          <w:p w14:paraId="1334844C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15 </w:t>
            </w:r>
          </w:p>
        </w:tc>
        <w:tc>
          <w:tcPr>
            <w:tcW w:w="993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</w:tcPr>
          <w:p w14:paraId="60C40324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</w:tcPr>
          <w:p w14:paraId="5AB96A5F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</w:tcPr>
          <w:p w14:paraId="1632A6BD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1</w:t>
            </w:r>
            <w:r w:rsidRPr="00D063D9">
              <w:rPr>
                <w:rFonts w:ascii="OpenDyslexic" w:hAnsi="OpenDyslexic"/>
                <w:highlight w:val="yellow"/>
                <w:shd w:val="clear" w:color="auto" w:fill="FFFFFF" w:themeFill="background1"/>
              </w:rPr>
              <w:t>9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</w:tcPr>
          <w:p w14:paraId="30336D8A" w14:textId="1B53F473" w:rsidR="002E25CA" w:rsidRPr="00D063D9" w:rsidRDefault="5F7CFAA4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25</w:t>
            </w:r>
          </w:p>
        </w:tc>
      </w:tr>
      <w:tr w:rsidR="002E25CA" w:rsidRPr="00D063D9" w14:paraId="3D54E346" w14:textId="77777777" w:rsidTr="15FD149D">
        <w:trPr>
          <w:trHeight w:val="300"/>
        </w:trPr>
        <w:tc>
          <w:tcPr>
            <w:tcW w:w="4387" w:type="dxa"/>
            <w:tcBorders>
              <w:top w:val="single" w:sz="6" w:space="0" w:color="7295D2"/>
              <w:left w:val="single" w:sz="6" w:space="0" w:color="7295D2"/>
              <w:bottom w:val="single" w:sz="6" w:space="0" w:color="7295D2"/>
              <w:right w:val="single" w:sz="4" w:space="0" w:color="auto"/>
            </w:tcBorders>
            <w:shd w:val="clear" w:color="auto" w:fill="D0DBF0"/>
            <w:hideMark/>
          </w:tcPr>
          <w:p w14:paraId="0F9AAC4B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Number of Modules Entered at Nat 2 </w:t>
            </w:r>
          </w:p>
        </w:tc>
        <w:tc>
          <w:tcPr>
            <w:tcW w:w="708" w:type="dxa"/>
            <w:tcBorders>
              <w:top w:val="single" w:sz="6" w:space="0" w:color="7295D2"/>
              <w:left w:val="single" w:sz="4" w:space="0" w:color="auto"/>
              <w:bottom w:val="single" w:sz="6" w:space="0" w:color="7295D2"/>
              <w:right w:val="nil"/>
            </w:tcBorders>
            <w:shd w:val="clear" w:color="auto" w:fill="D0DBF0"/>
            <w:hideMark/>
          </w:tcPr>
          <w:p w14:paraId="3BD06D06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55 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nil"/>
            </w:tcBorders>
            <w:shd w:val="clear" w:color="auto" w:fill="D0DBF0"/>
            <w:hideMark/>
          </w:tcPr>
          <w:p w14:paraId="45F3465D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33 </w:t>
            </w:r>
          </w:p>
        </w:tc>
        <w:tc>
          <w:tcPr>
            <w:tcW w:w="850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0DBF0"/>
            <w:hideMark/>
          </w:tcPr>
          <w:p w14:paraId="20DF26B1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26 </w:t>
            </w:r>
          </w:p>
        </w:tc>
        <w:tc>
          <w:tcPr>
            <w:tcW w:w="993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0DBF0"/>
          </w:tcPr>
          <w:p w14:paraId="2BDC2407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15</w:t>
            </w:r>
          </w:p>
        </w:tc>
        <w:tc>
          <w:tcPr>
            <w:tcW w:w="850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0DBF0"/>
          </w:tcPr>
          <w:p w14:paraId="375EDE36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</w:rPr>
              <w:t>11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BE5F1" w:themeFill="accent1" w:themeFillTint="33"/>
          </w:tcPr>
          <w:p w14:paraId="4D7F83E6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19</w:t>
            </w:r>
          </w:p>
        </w:tc>
        <w:tc>
          <w:tcPr>
            <w:tcW w:w="851" w:type="dxa"/>
            <w:tcBorders>
              <w:top w:val="sing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DBE5F1" w:themeFill="accent1" w:themeFillTint="33"/>
          </w:tcPr>
          <w:p w14:paraId="2FF3F6EE" w14:textId="41C824BC" w:rsidR="002E25CA" w:rsidRPr="00D063D9" w:rsidRDefault="58137725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17</w:t>
            </w:r>
          </w:p>
        </w:tc>
      </w:tr>
      <w:tr w:rsidR="002E25CA" w:rsidRPr="00D063D9" w14:paraId="67506EE9" w14:textId="77777777" w:rsidTr="15FD149D">
        <w:trPr>
          <w:trHeight w:val="300"/>
        </w:trPr>
        <w:tc>
          <w:tcPr>
            <w:tcW w:w="4387" w:type="dxa"/>
            <w:tcBorders>
              <w:top w:val="double" w:sz="6" w:space="0" w:color="7295D2"/>
              <w:left w:val="single" w:sz="6" w:space="0" w:color="7295D2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D3F6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Number of Pupils Entered at Nat 2 </w:t>
            </w:r>
          </w:p>
        </w:tc>
        <w:tc>
          <w:tcPr>
            <w:tcW w:w="708" w:type="dxa"/>
            <w:tcBorders>
              <w:top w:val="double" w:sz="6" w:space="0" w:color="7295D2"/>
              <w:left w:val="single" w:sz="4" w:space="0" w:color="auto"/>
              <w:bottom w:val="single" w:sz="6" w:space="0" w:color="7295D2"/>
              <w:right w:val="nil"/>
            </w:tcBorders>
            <w:shd w:val="clear" w:color="auto" w:fill="FFFFFF" w:themeFill="background1"/>
            <w:hideMark/>
          </w:tcPr>
          <w:p w14:paraId="1A9374E9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10</w:t>
            </w: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double" w:sz="6" w:space="0" w:color="7295D2"/>
              <w:left w:val="nil"/>
              <w:bottom w:val="single" w:sz="6" w:space="0" w:color="7295D2"/>
              <w:right w:val="nil"/>
            </w:tcBorders>
            <w:shd w:val="clear" w:color="auto" w:fill="FFFFFF" w:themeFill="background1"/>
            <w:hideMark/>
          </w:tcPr>
          <w:p w14:paraId="25F8E1E4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7 </w:t>
            </w:r>
          </w:p>
        </w:tc>
        <w:tc>
          <w:tcPr>
            <w:tcW w:w="850" w:type="dxa"/>
            <w:tcBorders>
              <w:top w:val="doub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  <w:hideMark/>
          </w:tcPr>
          <w:p w14:paraId="57FEBA19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b/>
                <w:b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8 </w:t>
            </w:r>
          </w:p>
        </w:tc>
        <w:tc>
          <w:tcPr>
            <w:tcW w:w="993" w:type="dxa"/>
            <w:tcBorders>
              <w:top w:val="doub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</w:tcPr>
          <w:p w14:paraId="62363BDA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doub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</w:tcPr>
          <w:p w14:paraId="55A3142D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doub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</w:tcPr>
          <w:p w14:paraId="6C49F775" w14:textId="77777777" w:rsidR="002E25CA" w:rsidRPr="00D063D9" w:rsidRDefault="002E25CA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double" w:sz="6" w:space="0" w:color="7295D2"/>
              <w:left w:val="nil"/>
              <w:bottom w:val="single" w:sz="6" w:space="0" w:color="7295D2"/>
              <w:right w:val="single" w:sz="6" w:space="0" w:color="7295D2"/>
            </w:tcBorders>
            <w:shd w:val="clear" w:color="auto" w:fill="FFFFFF" w:themeFill="background1"/>
          </w:tcPr>
          <w:p w14:paraId="6CA74008" w14:textId="4BEF9127" w:rsidR="002E25CA" w:rsidRPr="00D063D9" w:rsidRDefault="060DA1B2" w:rsidP="002E25CA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5</w:t>
            </w:r>
          </w:p>
        </w:tc>
      </w:tr>
    </w:tbl>
    <w:p w14:paraId="71F1E732" w14:textId="61ED4915" w:rsidR="000F7E4D" w:rsidRPr="00D063D9" w:rsidRDefault="0060598E" w:rsidP="009058EC">
      <w:pPr>
        <w:spacing w:after="0" w:line="240" w:lineRule="auto"/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</w:pPr>
      <w:r w:rsidRPr="00D063D9"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  <w:tab/>
      </w:r>
      <w:r w:rsidRPr="00D063D9"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  <w:tab/>
      </w:r>
      <w:r w:rsidRPr="00D063D9"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  <w:tab/>
      </w:r>
      <w:r w:rsidRPr="00D063D9"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  <w:tab/>
      </w:r>
      <w:r w:rsidRPr="00D063D9"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  <w:tab/>
      </w:r>
      <w:r w:rsidRPr="00D063D9"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  <w:tab/>
      </w:r>
      <w:r w:rsidRPr="00D063D9"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  <w:tab/>
      </w:r>
      <w:r w:rsidRPr="00D063D9">
        <w:rPr>
          <w:rFonts w:ascii="Arial Rounded MT Bold" w:hAnsi="Arial Rounded MT Bold" w:cs="Arial Rounded MT Bold"/>
          <w:color w:val="000000"/>
          <w:sz w:val="20"/>
          <w:szCs w:val="20"/>
          <w:highlight w:val="yellow"/>
        </w:rPr>
        <w:tab/>
      </w:r>
    </w:p>
    <w:tbl>
      <w:tblPr>
        <w:tblW w:w="10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851"/>
        <w:gridCol w:w="850"/>
        <w:gridCol w:w="993"/>
        <w:gridCol w:w="850"/>
        <w:gridCol w:w="850"/>
        <w:gridCol w:w="850"/>
      </w:tblGrid>
      <w:tr w:rsidR="00D224D1" w:rsidRPr="00D063D9" w14:paraId="5F7EF97C" w14:textId="2FF1E3E4" w:rsidTr="3690D3D2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2B6240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i/>
                <w:iCs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i/>
                <w:iCs/>
                <w:highlight w:val="yellow"/>
                <w:lang w:eastAsia="en-GB"/>
              </w:rPr>
              <w:t>Summary of ASDAN awards</w:t>
            </w:r>
            <w:r w:rsidRPr="00D063D9">
              <w:rPr>
                <w:rFonts w:ascii="OpenDyslexic" w:eastAsia="Times New Roman" w:hAnsi="OpenDyslexic" w:cs="Calibri Light"/>
                <w:i/>
                <w:iCs/>
                <w:highlight w:val="yellow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FEFFE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2019-20</w:t>
            </w: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6A6F0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2020-21</w:t>
            </w: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0C37" w14:textId="7DA29B2F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  <w:t>2021-22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1F14" w14:textId="288F7A6D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b/>
                <w:bCs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b/>
                <w:bCs/>
                <w:highlight w:val="yellow"/>
              </w:rPr>
              <w:t>2022-23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DD9F" w14:textId="12BF4DDB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b/>
                <w:bCs/>
                <w:highlight w:val="yellow"/>
              </w:rPr>
            </w:pPr>
            <w:r w:rsidRPr="00D063D9">
              <w:rPr>
                <w:rFonts w:ascii="OpenDyslexic" w:hAnsi="OpenDyslexic"/>
                <w:b/>
                <w:bCs/>
                <w:highlight w:val="yellow"/>
              </w:rPr>
              <w:t>2023-24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6722" w14:textId="2A2552D1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b/>
                <w:bCs/>
                <w:highlight w:val="yellow"/>
              </w:rPr>
            </w:pPr>
            <w:r w:rsidRPr="00D063D9">
              <w:rPr>
                <w:rFonts w:ascii="OpenDyslexic" w:hAnsi="OpenDyslexic"/>
                <w:b/>
                <w:bCs/>
                <w:highlight w:val="yellow"/>
              </w:rPr>
              <w:t>2024-25</w:t>
            </w:r>
          </w:p>
        </w:tc>
      </w:tr>
      <w:tr w:rsidR="00D224D1" w:rsidRPr="00D063D9" w14:paraId="1B7F724A" w14:textId="45D06662" w:rsidTr="3690D3D2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28BC2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Towards Independence modules </w:t>
            </w:r>
          </w:p>
          <w:p w14:paraId="25360202" w14:textId="13CE7F96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  <w:t>(These are verified in S6 only)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032F88C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21 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E75E282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18 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12090BCA" w14:textId="2A4A6088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71727136" w14:textId="2358663D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31AB890" w14:textId="2DB0AC3F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6F48F32" w14:textId="494CE18E" w:rsidR="00D224D1" w:rsidRPr="00D063D9" w:rsidRDefault="2CAA0EAC" w:rsidP="00105FCE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8</w:t>
            </w:r>
          </w:p>
        </w:tc>
      </w:tr>
      <w:tr w:rsidR="00D224D1" w:rsidRPr="00D063D9" w14:paraId="1044F3FC" w14:textId="229D0281" w:rsidTr="3690D3D2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04B4A" w14:textId="307C0742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lastRenderedPageBreak/>
              <w:t>Number of pupils entered for an award in the current school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78B21672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3 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6313F904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10 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69CC16CF" w14:textId="5FD2D24F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3484A516" w14:textId="1157064F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EC48FEA" w14:textId="4805D76F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C75DE5C" w14:textId="2D3BFC45" w:rsidR="00D224D1" w:rsidRPr="00D063D9" w:rsidRDefault="519BCF19" w:rsidP="00105FCE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5</w:t>
            </w:r>
          </w:p>
        </w:tc>
      </w:tr>
      <w:tr w:rsidR="00D224D1" w:rsidRPr="00D063D9" w14:paraId="20D1FD9D" w14:textId="57802B22" w:rsidTr="3690D3D2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A3A25" w14:textId="601C4BC0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Number of pupils achieving New Horizons awards (internally moderated)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4FB9C236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45C6ADC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087C3A37" w14:textId="77777777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4E186A09" w14:textId="5299B780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hAnsi="OpenDyslexic"/>
                <w:highlight w:val="yellow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EBF5F79" w14:textId="19A4A1E4" w:rsidR="00D224D1" w:rsidRPr="00D063D9" w:rsidRDefault="00D224D1" w:rsidP="00105FCE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B039CBA" w14:textId="0ED3A948" w:rsidR="00D224D1" w:rsidRPr="00D063D9" w:rsidRDefault="37BBC671" w:rsidP="00105FCE">
            <w:pPr>
              <w:spacing w:after="0" w:line="240" w:lineRule="auto"/>
              <w:jc w:val="both"/>
              <w:textAlignment w:val="baseline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12</w:t>
            </w:r>
          </w:p>
        </w:tc>
      </w:tr>
      <w:tr w:rsidR="28BE9294" w:rsidRPr="00D063D9" w14:paraId="7F5FDAEB" w14:textId="77777777" w:rsidTr="3690D3D2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426BC" w14:textId="69EDDCBA" w:rsidR="28BE9294" w:rsidRPr="00D063D9" w:rsidRDefault="28BE9294" w:rsidP="28BE9294">
            <w:pPr>
              <w:spacing w:after="0" w:line="240" w:lineRule="auto"/>
              <w:jc w:val="both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 xml:space="preserve">Number of pupils achieving </w:t>
            </w:r>
            <w:r w:rsidR="68E8FF33"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>Transition Challenge</w:t>
            </w:r>
            <w:r w:rsidRPr="00D063D9">
              <w:rPr>
                <w:rFonts w:ascii="OpenDyslexic" w:eastAsia="Times New Roman" w:hAnsi="OpenDyslexic" w:cs="Calibri Light"/>
                <w:highlight w:val="yellow"/>
                <w:lang w:eastAsia="en-GB"/>
              </w:rPr>
              <w:t xml:space="preserve"> awards (internally moderated)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255503E" w14:textId="77777777" w:rsidR="28BE9294" w:rsidRPr="00D063D9" w:rsidRDefault="28BE9294" w:rsidP="28BE9294">
            <w:pPr>
              <w:spacing w:after="0" w:line="240" w:lineRule="auto"/>
              <w:jc w:val="both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624B73F1" w14:textId="77777777" w:rsidR="28BE9294" w:rsidRPr="00D063D9" w:rsidRDefault="28BE9294" w:rsidP="28BE9294">
            <w:pPr>
              <w:spacing w:after="0" w:line="240" w:lineRule="auto"/>
              <w:jc w:val="both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3F042562" w14:textId="77777777" w:rsidR="28BE9294" w:rsidRPr="00D063D9" w:rsidRDefault="28BE9294" w:rsidP="28BE9294">
            <w:pPr>
              <w:spacing w:after="0" w:line="240" w:lineRule="auto"/>
              <w:jc w:val="both"/>
              <w:rPr>
                <w:rFonts w:ascii="OpenDyslexic" w:eastAsia="Times New Roman" w:hAnsi="OpenDyslexic" w:cs="Calibri Light"/>
                <w:highlight w:val="yellow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0C5A4CC4" w14:textId="79F69838" w:rsidR="28BE9294" w:rsidRPr="00D063D9" w:rsidRDefault="28BE9294" w:rsidP="28BE9294">
            <w:pPr>
              <w:spacing w:after="0" w:line="240" w:lineRule="auto"/>
              <w:jc w:val="both"/>
              <w:rPr>
                <w:rFonts w:ascii="OpenDyslexic" w:hAnsi="OpenDyslexic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97A1639" w14:textId="2FE6AAD2" w:rsidR="28BE9294" w:rsidRPr="00D063D9" w:rsidRDefault="28BE9294" w:rsidP="28BE9294">
            <w:pPr>
              <w:spacing w:after="0" w:line="240" w:lineRule="auto"/>
              <w:jc w:val="both"/>
              <w:rPr>
                <w:rFonts w:ascii="OpenDyslexic" w:hAnsi="OpenDyslexic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E2B853A" w14:textId="22C564A9" w:rsidR="28BE9294" w:rsidRPr="00D063D9" w:rsidRDefault="03475E41" w:rsidP="28BE9294">
            <w:pPr>
              <w:spacing w:after="0" w:line="240" w:lineRule="auto"/>
              <w:jc w:val="both"/>
              <w:rPr>
                <w:rFonts w:ascii="OpenDyslexic" w:hAnsi="OpenDyslexic"/>
                <w:highlight w:val="yellow"/>
              </w:rPr>
            </w:pPr>
            <w:r w:rsidRPr="00D063D9">
              <w:rPr>
                <w:rFonts w:ascii="OpenDyslexic" w:hAnsi="OpenDyslexic"/>
                <w:highlight w:val="yellow"/>
              </w:rPr>
              <w:t>6</w:t>
            </w:r>
          </w:p>
        </w:tc>
      </w:tr>
    </w:tbl>
    <w:p w14:paraId="42CBB154" w14:textId="20FF10DA" w:rsidR="00C50B89" w:rsidRPr="00D063D9" w:rsidRDefault="00C50B89" w:rsidP="28BE9294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color w:val="000000" w:themeColor="text1"/>
          <w:sz w:val="20"/>
          <w:szCs w:val="20"/>
          <w:highlight w:val="yellow"/>
        </w:rPr>
      </w:pPr>
    </w:p>
    <w:p w14:paraId="12D8771E" w14:textId="7775F58E" w:rsidR="00C50B89" w:rsidRPr="00D063D9" w:rsidRDefault="00C50B89" w:rsidP="00674CE1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 Rounded MT Bold"/>
          <w:color w:val="000000"/>
          <w:sz w:val="20"/>
          <w:szCs w:val="20"/>
          <w:highlight w:val="yellow"/>
        </w:rPr>
      </w:pPr>
    </w:p>
    <w:p w14:paraId="5E55BCEB" w14:textId="31909608" w:rsidR="003C6040" w:rsidRPr="00D063D9" w:rsidRDefault="003C6040" w:rsidP="00674CE1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"/>
          <w:color w:val="000000"/>
          <w:highlight w:val="yellow"/>
        </w:rPr>
      </w:pPr>
      <w:r w:rsidRPr="00D063D9">
        <w:rPr>
          <w:rFonts w:ascii="OpenDyslexic" w:hAnsi="OpenDyslexic" w:cs="Arial Rounded MT Bold"/>
          <w:color w:val="000000"/>
          <w:sz w:val="20"/>
          <w:szCs w:val="20"/>
          <w:highlight w:val="yellow"/>
        </w:rPr>
        <w:t>Positive Destination Data:</w:t>
      </w:r>
    </w:p>
    <w:tbl>
      <w:tblPr>
        <w:tblStyle w:val="LightGrid-Accent1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201"/>
        <w:gridCol w:w="2127"/>
        <w:gridCol w:w="5528"/>
      </w:tblGrid>
      <w:tr w:rsidR="003C6040" w:rsidRPr="00D063D9" w14:paraId="3139F071" w14:textId="77777777" w:rsidTr="00D2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4C56D7FD" w14:textId="77777777" w:rsidR="003C6040" w:rsidRPr="00D063D9" w:rsidRDefault="003C6040" w:rsidP="003C6040">
            <w:pPr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Year</w:t>
            </w:r>
          </w:p>
        </w:tc>
        <w:tc>
          <w:tcPr>
            <w:tcW w:w="2127" w:type="dxa"/>
          </w:tcPr>
          <w:p w14:paraId="3AA8E50B" w14:textId="77777777" w:rsidR="003C6040" w:rsidRPr="00D063D9" w:rsidRDefault="003C6040" w:rsidP="003C6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Number of Leavers</w:t>
            </w:r>
          </w:p>
        </w:tc>
        <w:tc>
          <w:tcPr>
            <w:tcW w:w="5528" w:type="dxa"/>
          </w:tcPr>
          <w:p w14:paraId="7C67B28E" w14:textId="77777777" w:rsidR="003C6040" w:rsidRPr="00D063D9" w:rsidRDefault="003C6040" w:rsidP="003C6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Number in Positive Destinations (at point of leaving):</w:t>
            </w:r>
          </w:p>
        </w:tc>
      </w:tr>
      <w:tr w:rsidR="003C6040" w:rsidRPr="00D063D9" w14:paraId="613FC906" w14:textId="77777777" w:rsidTr="00D2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0E4D4812" w14:textId="77777777" w:rsidR="003C6040" w:rsidRPr="00D063D9" w:rsidRDefault="003C6040" w:rsidP="003C6040">
            <w:pPr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  <w:t>2020.21</w:t>
            </w:r>
          </w:p>
        </w:tc>
        <w:tc>
          <w:tcPr>
            <w:tcW w:w="2127" w:type="dxa"/>
          </w:tcPr>
          <w:p w14:paraId="45D28519" w14:textId="77777777" w:rsidR="003C6040" w:rsidRPr="00D063D9" w:rsidRDefault="003C6040" w:rsidP="003C6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528" w:type="dxa"/>
          </w:tcPr>
          <w:p w14:paraId="3848F084" w14:textId="77777777" w:rsidR="003C6040" w:rsidRPr="00D063D9" w:rsidRDefault="003C6040" w:rsidP="003C6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100%</w:t>
            </w:r>
          </w:p>
        </w:tc>
      </w:tr>
      <w:tr w:rsidR="003C6040" w:rsidRPr="00D063D9" w14:paraId="5234D441" w14:textId="77777777" w:rsidTr="00D22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670FD98C" w14:textId="77777777" w:rsidR="003C6040" w:rsidRPr="00D063D9" w:rsidRDefault="003C6040" w:rsidP="003C6040">
            <w:pPr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  <w:t>2021.22</w:t>
            </w:r>
          </w:p>
        </w:tc>
        <w:tc>
          <w:tcPr>
            <w:tcW w:w="2127" w:type="dxa"/>
          </w:tcPr>
          <w:p w14:paraId="6619BF0D" w14:textId="77777777" w:rsidR="003C6040" w:rsidRPr="00D063D9" w:rsidRDefault="003C6040" w:rsidP="003C6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528" w:type="dxa"/>
          </w:tcPr>
          <w:p w14:paraId="04C344D8" w14:textId="77777777" w:rsidR="003C6040" w:rsidRPr="00D063D9" w:rsidRDefault="003C6040" w:rsidP="003C6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100%</w:t>
            </w:r>
          </w:p>
        </w:tc>
      </w:tr>
      <w:tr w:rsidR="003C6040" w:rsidRPr="00D063D9" w14:paraId="524EF6BF" w14:textId="77777777" w:rsidTr="00D2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4FBFADE2" w14:textId="77777777" w:rsidR="003C6040" w:rsidRPr="00D063D9" w:rsidRDefault="003C6040" w:rsidP="003C6040">
            <w:pPr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  <w:t>2022.23</w:t>
            </w:r>
          </w:p>
        </w:tc>
        <w:tc>
          <w:tcPr>
            <w:tcW w:w="2127" w:type="dxa"/>
          </w:tcPr>
          <w:p w14:paraId="077EA301" w14:textId="77777777" w:rsidR="003C6040" w:rsidRPr="00D063D9" w:rsidRDefault="003C6040" w:rsidP="003C6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528" w:type="dxa"/>
          </w:tcPr>
          <w:p w14:paraId="2040000F" w14:textId="77777777" w:rsidR="003C6040" w:rsidRPr="00D063D9" w:rsidRDefault="003C6040" w:rsidP="003C6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100%</w:t>
            </w:r>
          </w:p>
        </w:tc>
      </w:tr>
      <w:tr w:rsidR="00507216" w:rsidRPr="00D063D9" w14:paraId="65BBD80B" w14:textId="77777777" w:rsidTr="00D22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49815498" w14:textId="743E2846" w:rsidR="00507216" w:rsidRPr="00D063D9" w:rsidRDefault="00507216" w:rsidP="003C6040">
            <w:pPr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  <w:t>2023.24</w:t>
            </w:r>
          </w:p>
        </w:tc>
        <w:tc>
          <w:tcPr>
            <w:tcW w:w="2127" w:type="dxa"/>
          </w:tcPr>
          <w:p w14:paraId="01972C54" w14:textId="0F9C045D" w:rsidR="00507216" w:rsidRPr="00D063D9" w:rsidRDefault="00507216" w:rsidP="003C6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528" w:type="dxa"/>
          </w:tcPr>
          <w:p w14:paraId="1F8C5594" w14:textId="702928D4" w:rsidR="00507216" w:rsidRPr="00D063D9" w:rsidRDefault="00507216" w:rsidP="003C6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100%</w:t>
            </w:r>
          </w:p>
        </w:tc>
      </w:tr>
      <w:tr w:rsidR="00D224D1" w:rsidRPr="00D063D9" w14:paraId="428C7796" w14:textId="77777777" w:rsidTr="00D2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1CFEFCA1" w14:textId="32203D1F" w:rsidR="00D224D1" w:rsidRPr="00D063D9" w:rsidRDefault="00D224D1" w:rsidP="003C6040">
            <w:pPr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theme="minorHAnsi"/>
                <w:color w:val="000000"/>
                <w:sz w:val="24"/>
                <w:szCs w:val="24"/>
                <w:highlight w:val="yellow"/>
              </w:rPr>
              <w:t>2024.25</w:t>
            </w:r>
          </w:p>
        </w:tc>
        <w:tc>
          <w:tcPr>
            <w:tcW w:w="2127" w:type="dxa"/>
          </w:tcPr>
          <w:p w14:paraId="7D2E5CBD" w14:textId="508113E0" w:rsidR="00D224D1" w:rsidRPr="00D063D9" w:rsidRDefault="008D7500" w:rsidP="003C6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528" w:type="dxa"/>
          </w:tcPr>
          <w:p w14:paraId="76A8BDF6" w14:textId="4D0B60CD" w:rsidR="00D224D1" w:rsidRPr="00D063D9" w:rsidRDefault="008D7500" w:rsidP="003C6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</w:pPr>
            <w:r w:rsidRPr="00D063D9">
              <w:rPr>
                <w:rFonts w:ascii="OpenDyslexic" w:hAnsi="OpenDyslexic" w:cs="Arial Rounded MT Bold"/>
                <w:color w:val="000000"/>
                <w:sz w:val="24"/>
                <w:szCs w:val="24"/>
                <w:highlight w:val="yellow"/>
              </w:rPr>
              <w:t>100%</w:t>
            </w:r>
          </w:p>
        </w:tc>
      </w:tr>
    </w:tbl>
    <w:p w14:paraId="46C16CEA" w14:textId="77777777" w:rsidR="00AE05B5" w:rsidRPr="00D063D9" w:rsidRDefault="00AE05B5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329724F6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069C0CCB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39D20A58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0C066631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5DE591A8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03C925AF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5756E6B0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23CE6217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5401A5FF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5A15E0BF" w14:textId="77777777" w:rsidR="003C6040" w:rsidRPr="00D063D9" w:rsidRDefault="003C6040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66D198BB" w14:textId="77777777" w:rsidR="00507216" w:rsidRPr="00D063D9" w:rsidRDefault="00507216" w:rsidP="00AE05B5">
      <w:pPr>
        <w:spacing w:after="0" w:line="240" w:lineRule="auto"/>
        <w:rPr>
          <w:rFonts w:cs="Arial Rounded MT Bold"/>
          <w:b/>
          <w:bCs/>
          <w:color w:val="000000"/>
          <w:sz w:val="24"/>
          <w:szCs w:val="24"/>
          <w:highlight w:val="yellow"/>
        </w:rPr>
      </w:pPr>
    </w:p>
    <w:p w14:paraId="6FE67E45" w14:textId="5DAB0DEB" w:rsidR="002047EB" w:rsidRPr="00D063D9" w:rsidRDefault="002047EB" w:rsidP="00AE05B5">
      <w:pPr>
        <w:spacing w:after="0" w:line="240" w:lineRule="auto"/>
        <w:rPr>
          <w:rFonts w:ascii="OpenDyslexic" w:hAnsi="OpenDyslexic" w:cs="Arial Rounded MT Bold"/>
          <w:color w:val="000000"/>
          <w:sz w:val="24"/>
          <w:szCs w:val="24"/>
          <w:highlight w:val="yellow"/>
        </w:rPr>
      </w:pPr>
      <w:r w:rsidRPr="00D063D9">
        <w:rPr>
          <w:rFonts w:ascii="OpenDyslexic" w:hAnsi="OpenDyslexic" w:cs="Arial Rounded MT Bold"/>
          <w:b/>
          <w:bCs/>
          <w:color w:val="000000"/>
          <w:sz w:val="24"/>
          <w:szCs w:val="24"/>
          <w:highlight w:val="yellow"/>
        </w:rPr>
        <w:t xml:space="preserve">Positive destinations </w:t>
      </w:r>
      <w:proofErr w:type="gramStart"/>
      <w:r w:rsidRPr="00D063D9">
        <w:rPr>
          <w:rFonts w:ascii="OpenDyslexic" w:hAnsi="OpenDyslexic" w:cs="Arial Rounded MT Bold"/>
          <w:b/>
          <w:bCs/>
          <w:color w:val="000000"/>
          <w:sz w:val="24"/>
          <w:szCs w:val="24"/>
          <w:highlight w:val="yellow"/>
        </w:rPr>
        <w:t>include</w:t>
      </w:r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:</w:t>
      </w:r>
      <w:proofErr w:type="gramEnd"/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 xml:space="preserve"> College, Kinnou</w:t>
      </w:r>
      <w:r w:rsidR="009E70BE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l</w:t>
      </w:r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 xml:space="preserve">l Day Opportunities, Gleneagles, </w:t>
      </w:r>
      <w:proofErr w:type="spellStart"/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Corbenic</w:t>
      </w:r>
      <w:proofErr w:type="spellEnd"/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 xml:space="preserve">, Upper </w:t>
      </w:r>
      <w:proofErr w:type="spellStart"/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Springlands</w:t>
      </w:r>
      <w:proofErr w:type="spellEnd"/>
      <w:r w:rsidR="00195C60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 xml:space="preserve">, Blairgowrie Day </w:t>
      </w:r>
      <w:r w:rsidR="0060598E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Opportunities</w:t>
      </w:r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,</w:t>
      </w:r>
      <w:r w:rsidR="0060598E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 xml:space="preserve"> Blair Drummond</w:t>
      </w:r>
      <w:r w:rsidR="00C9026D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, staff</w:t>
      </w:r>
      <w:r w:rsidR="000D4EFA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 xml:space="preserve"> supported destinations such as SDS</w:t>
      </w:r>
      <w:r w:rsidR="00F0793D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/Carer Providers,</w:t>
      </w:r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 xml:space="preserve"> Scottish Autism supported accommodation</w:t>
      </w:r>
      <w:r w:rsidR="008D7500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, supported work opportunities</w:t>
      </w:r>
      <w:r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>.</w:t>
      </w:r>
      <w:r w:rsidR="0060598E" w:rsidRPr="00D063D9">
        <w:rPr>
          <w:rFonts w:ascii="OpenDyslexic" w:hAnsi="OpenDyslexic" w:cs="Arial Rounded MT Bold"/>
          <w:color w:val="000000"/>
          <w:sz w:val="24"/>
          <w:szCs w:val="24"/>
          <w:highlight w:val="yellow"/>
        </w:rPr>
        <w:t xml:space="preserve">  </w:t>
      </w:r>
    </w:p>
    <w:p w14:paraId="1A9E4BE4" w14:textId="77777777" w:rsidR="00DC62A6" w:rsidRPr="00D063D9" w:rsidRDefault="00DC62A6" w:rsidP="002047EB">
      <w:pPr>
        <w:spacing w:after="0" w:line="240" w:lineRule="auto"/>
        <w:rPr>
          <w:rFonts w:ascii="Arial" w:hAnsi="Arial" w:cs="Arial"/>
          <w:color w:val="000000"/>
          <w:highlight w:val="yellow"/>
        </w:rPr>
      </w:pPr>
    </w:p>
    <w:p w14:paraId="6E5041B7" w14:textId="77777777" w:rsidR="00BE610F" w:rsidRPr="00D063D9" w:rsidRDefault="00657DE7" w:rsidP="002047EB">
      <w:pPr>
        <w:spacing w:after="0" w:line="240" w:lineRule="auto"/>
        <w:rPr>
          <w:rFonts w:ascii="OpenDyslexic" w:hAnsi="OpenDyslexic" w:cs="Arial Rounded MT Bold"/>
          <w:color w:val="000000"/>
          <w:sz w:val="24"/>
          <w:szCs w:val="24"/>
          <w:highlight w:val="yellow"/>
        </w:rPr>
      </w:pPr>
      <w:r w:rsidRPr="00D063D9">
        <w:rPr>
          <w:rFonts w:ascii="OpenDyslexic" w:hAnsi="OpenDyslexic" w:cs="Arial"/>
          <w:color w:val="000000"/>
          <w:highlight w:val="yellow"/>
        </w:rPr>
        <w:t>ATTEND</w:t>
      </w:r>
      <w:r w:rsidR="00BE610F" w:rsidRPr="00D063D9">
        <w:rPr>
          <w:rFonts w:ascii="OpenDyslexic" w:hAnsi="OpenDyslexic" w:cs="Arial"/>
          <w:color w:val="000000"/>
          <w:highlight w:val="yellow"/>
        </w:rPr>
        <w:t>A</w:t>
      </w:r>
      <w:r w:rsidRPr="00D063D9">
        <w:rPr>
          <w:rFonts w:ascii="OpenDyslexic" w:hAnsi="OpenDyslexic" w:cs="Arial"/>
          <w:color w:val="000000"/>
          <w:highlight w:val="yellow"/>
        </w:rPr>
        <w:t>N</w:t>
      </w:r>
      <w:r w:rsidR="00BE610F" w:rsidRPr="00D063D9">
        <w:rPr>
          <w:rFonts w:ascii="OpenDyslexic" w:hAnsi="OpenDyslexic" w:cs="Arial"/>
          <w:color w:val="000000"/>
          <w:highlight w:val="yellow"/>
        </w:rPr>
        <w:t>CE INFORMATION:</w:t>
      </w:r>
    </w:p>
    <w:p w14:paraId="17F603B1" w14:textId="77777777" w:rsidR="00BE610F" w:rsidRPr="00D063D9" w:rsidRDefault="00BE610F" w:rsidP="00674CE1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"/>
          <w:color w:val="000000"/>
          <w:highlight w:val="yellow"/>
        </w:rPr>
      </w:pPr>
    </w:p>
    <w:tbl>
      <w:tblPr>
        <w:tblStyle w:val="LightGrid-Accent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62"/>
        <w:gridCol w:w="2204"/>
        <w:gridCol w:w="2110"/>
        <w:gridCol w:w="2192"/>
        <w:gridCol w:w="2278"/>
      </w:tblGrid>
      <w:tr w:rsidR="00BE610F" w:rsidRPr="00D063D9" w14:paraId="26D3CAC7" w14:textId="77777777" w:rsidTr="000D4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</w:tcPr>
          <w:p w14:paraId="53F85AAB" w14:textId="77777777" w:rsidR="00BE610F" w:rsidRPr="00D063D9" w:rsidRDefault="00BE610F" w:rsidP="000D4EFA">
            <w:pPr>
              <w:autoSpaceDE w:val="0"/>
              <w:autoSpaceDN w:val="0"/>
              <w:adjustRightInd w:val="0"/>
              <w:rPr>
                <w:rFonts w:ascii="OpenDyslexic" w:hAnsi="OpenDyslexic" w:cs="Arial"/>
                <w:color w:val="000000"/>
                <w:highlight w:val="yellow"/>
              </w:rPr>
            </w:pPr>
            <w:bookmarkStart w:id="0" w:name="_Hlk50371753"/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Year</w:t>
            </w:r>
          </w:p>
        </w:tc>
        <w:tc>
          <w:tcPr>
            <w:tcW w:w="2204" w:type="dxa"/>
          </w:tcPr>
          <w:p w14:paraId="79BB22E4" w14:textId="77777777" w:rsidR="00BE610F" w:rsidRPr="00D063D9" w:rsidRDefault="00BE610F" w:rsidP="000D4EF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Possible Attendance</w:t>
            </w:r>
          </w:p>
        </w:tc>
        <w:tc>
          <w:tcPr>
            <w:tcW w:w="2110" w:type="dxa"/>
          </w:tcPr>
          <w:p w14:paraId="1B367DB1" w14:textId="77777777" w:rsidR="00BE610F" w:rsidRPr="00D063D9" w:rsidRDefault="00BE610F" w:rsidP="000D4EF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Total Absence</w:t>
            </w:r>
          </w:p>
        </w:tc>
        <w:tc>
          <w:tcPr>
            <w:tcW w:w="2192" w:type="dxa"/>
          </w:tcPr>
          <w:p w14:paraId="1480A254" w14:textId="77777777" w:rsidR="00BE610F" w:rsidRPr="00D063D9" w:rsidRDefault="00BE610F" w:rsidP="000D4EF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Authorised Absence</w:t>
            </w:r>
          </w:p>
        </w:tc>
        <w:tc>
          <w:tcPr>
            <w:tcW w:w="2278" w:type="dxa"/>
          </w:tcPr>
          <w:p w14:paraId="25E03EBE" w14:textId="77777777" w:rsidR="00BE610F" w:rsidRPr="00D063D9" w:rsidRDefault="00BE610F" w:rsidP="000D4EF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Unauthorised absence</w:t>
            </w:r>
          </w:p>
        </w:tc>
      </w:tr>
      <w:bookmarkEnd w:id="0"/>
      <w:tr w:rsidR="00A25855" w:rsidRPr="00D063D9" w14:paraId="48BDF0D5" w14:textId="77777777" w:rsidTr="000D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</w:tcPr>
          <w:p w14:paraId="5C03546C" w14:textId="4CEFD47B" w:rsidR="00A25855" w:rsidRPr="00D063D9" w:rsidRDefault="00A25855" w:rsidP="000D4EFA">
            <w:pPr>
              <w:autoSpaceDE w:val="0"/>
              <w:autoSpaceDN w:val="0"/>
              <w:adjustRightInd w:val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2020.21</w:t>
            </w:r>
          </w:p>
        </w:tc>
        <w:tc>
          <w:tcPr>
            <w:tcW w:w="2204" w:type="dxa"/>
          </w:tcPr>
          <w:p w14:paraId="06CAA79A" w14:textId="0080C982" w:rsidR="00A25855" w:rsidRPr="00D063D9" w:rsidRDefault="00A25855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100% out</w:t>
            </w:r>
            <w:r w:rsidR="006C177E" w:rsidRPr="00D063D9">
              <w:rPr>
                <w:rFonts w:ascii="OpenDyslexic" w:hAnsi="OpenDyslexic" w:cs="Arial"/>
                <w:color w:val="000000"/>
                <w:highlight w:val="yellow"/>
              </w:rPr>
              <w:t xml:space="preserve"> </w:t>
            </w: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with school closure</w:t>
            </w:r>
          </w:p>
        </w:tc>
        <w:tc>
          <w:tcPr>
            <w:tcW w:w="2110" w:type="dxa"/>
          </w:tcPr>
          <w:p w14:paraId="278C75CB" w14:textId="44316CC2" w:rsidR="00A25855" w:rsidRPr="00D063D9" w:rsidRDefault="00A25855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7.2%</w:t>
            </w:r>
          </w:p>
        </w:tc>
        <w:tc>
          <w:tcPr>
            <w:tcW w:w="2192" w:type="dxa"/>
          </w:tcPr>
          <w:p w14:paraId="528FC516" w14:textId="4C941D6C" w:rsidR="00A25855" w:rsidRPr="00D063D9" w:rsidRDefault="00A25855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5.7%</w:t>
            </w:r>
          </w:p>
        </w:tc>
        <w:tc>
          <w:tcPr>
            <w:tcW w:w="2278" w:type="dxa"/>
          </w:tcPr>
          <w:p w14:paraId="7088BCBF" w14:textId="6A0B3206" w:rsidR="00A25855" w:rsidRPr="00D063D9" w:rsidRDefault="00A25855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1.4%</w:t>
            </w:r>
          </w:p>
        </w:tc>
      </w:tr>
      <w:tr w:rsidR="00843D28" w:rsidRPr="00D063D9" w14:paraId="59D8BCAF" w14:textId="77777777" w:rsidTr="000D4E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</w:tcPr>
          <w:p w14:paraId="267CA691" w14:textId="7F0217B4" w:rsidR="00843D28" w:rsidRPr="00D063D9" w:rsidRDefault="00843D28" w:rsidP="000D4EFA">
            <w:pPr>
              <w:autoSpaceDE w:val="0"/>
              <w:autoSpaceDN w:val="0"/>
              <w:adjustRightInd w:val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2021.22</w:t>
            </w:r>
          </w:p>
        </w:tc>
        <w:tc>
          <w:tcPr>
            <w:tcW w:w="2204" w:type="dxa"/>
          </w:tcPr>
          <w:p w14:paraId="170EC85E" w14:textId="3FC519D7" w:rsidR="00843D28" w:rsidRPr="00D063D9" w:rsidRDefault="00843D28" w:rsidP="000D4EF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100%</w:t>
            </w:r>
          </w:p>
        </w:tc>
        <w:tc>
          <w:tcPr>
            <w:tcW w:w="2110" w:type="dxa"/>
          </w:tcPr>
          <w:p w14:paraId="2D2980C3" w14:textId="2A3F785A" w:rsidR="00843D28" w:rsidRPr="00D063D9" w:rsidRDefault="00FC39F1" w:rsidP="000D4EF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13.24%</w:t>
            </w:r>
          </w:p>
        </w:tc>
        <w:tc>
          <w:tcPr>
            <w:tcW w:w="2192" w:type="dxa"/>
          </w:tcPr>
          <w:p w14:paraId="2C3D7EAD" w14:textId="61C5E819" w:rsidR="00843D28" w:rsidRPr="00D063D9" w:rsidRDefault="00FC39F1" w:rsidP="000D4EF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12.06%</w:t>
            </w:r>
          </w:p>
        </w:tc>
        <w:tc>
          <w:tcPr>
            <w:tcW w:w="2278" w:type="dxa"/>
          </w:tcPr>
          <w:p w14:paraId="4E31716A" w14:textId="32E1B07E" w:rsidR="00843D28" w:rsidRPr="00D063D9" w:rsidRDefault="00FC39F1" w:rsidP="000D4EF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1.18%</w:t>
            </w:r>
          </w:p>
        </w:tc>
      </w:tr>
      <w:tr w:rsidR="003E7E88" w:rsidRPr="00D063D9" w14:paraId="79AE72FA" w14:textId="77777777" w:rsidTr="000D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</w:tcPr>
          <w:p w14:paraId="628CEFF6" w14:textId="02656226" w:rsidR="003E7E88" w:rsidRPr="00D063D9" w:rsidRDefault="003E7E88" w:rsidP="000D4EFA">
            <w:pPr>
              <w:autoSpaceDE w:val="0"/>
              <w:autoSpaceDN w:val="0"/>
              <w:adjustRightInd w:val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2022.23</w:t>
            </w:r>
          </w:p>
        </w:tc>
        <w:tc>
          <w:tcPr>
            <w:tcW w:w="2204" w:type="dxa"/>
          </w:tcPr>
          <w:p w14:paraId="53DE8BA1" w14:textId="52581FAC" w:rsidR="003E7E88" w:rsidRPr="00D063D9" w:rsidRDefault="003E7E88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100%</w:t>
            </w:r>
          </w:p>
        </w:tc>
        <w:tc>
          <w:tcPr>
            <w:tcW w:w="2110" w:type="dxa"/>
          </w:tcPr>
          <w:p w14:paraId="1B9F8279" w14:textId="7F06107B" w:rsidR="003E7E88" w:rsidRPr="00D063D9" w:rsidRDefault="00DC246C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</w:t>
            </w:r>
            <w:r w:rsidR="00F65E4C" w:rsidRPr="00D063D9">
              <w:rPr>
                <w:rFonts w:ascii="OpenDyslexic" w:hAnsi="OpenDyslexic" w:cs="Arial"/>
                <w:color w:val="000000"/>
                <w:highlight w:val="yellow"/>
              </w:rPr>
              <w:t>2.8</w:t>
            </w: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%</w:t>
            </w:r>
          </w:p>
        </w:tc>
        <w:tc>
          <w:tcPr>
            <w:tcW w:w="2192" w:type="dxa"/>
          </w:tcPr>
          <w:p w14:paraId="515D0D69" w14:textId="21277B40" w:rsidR="003E7E88" w:rsidRPr="00D063D9" w:rsidRDefault="00D66B2B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10.9</w:t>
            </w:r>
            <w:r w:rsidR="00A47116" w:rsidRPr="00D063D9">
              <w:rPr>
                <w:rFonts w:ascii="OpenDyslexic" w:hAnsi="OpenDyslexic" w:cs="Arial"/>
                <w:color w:val="000000"/>
                <w:highlight w:val="yellow"/>
              </w:rPr>
              <w:t>7</w:t>
            </w: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%</w:t>
            </w:r>
          </w:p>
        </w:tc>
        <w:tc>
          <w:tcPr>
            <w:tcW w:w="2278" w:type="dxa"/>
          </w:tcPr>
          <w:p w14:paraId="79D84A7C" w14:textId="65F2806F" w:rsidR="003E7E88" w:rsidRPr="00D063D9" w:rsidRDefault="007F6FAB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1.78%</w:t>
            </w:r>
          </w:p>
        </w:tc>
      </w:tr>
      <w:tr w:rsidR="00507216" w:rsidRPr="00D063D9" w14:paraId="7FA5762B" w14:textId="77777777" w:rsidTr="000D4E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</w:tcPr>
          <w:p w14:paraId="33D24416" w14:textId="5ACFE97C" w:rsidR="00507216" w:rsidRPr="00D063D9" w:rsidRDefault="00507216" w:rsidP="000D4EFA">
            <w:pPr>
              <w:autoSpaceDE w:val="0"/>
              <w:autoSpaceDN w:val="0"/>
              <w:adjustRightInd w:val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2023.24</w:t>
            </w:r>
          </w:p>
        </w:tc>
        <w:tc>
          <w:tcPr>
            <w:tcW w:w="2204" w:type="dxa"/>
          </w:tcPr>
          <w:p w14:paraId="248AC168" w14:textId="589FC5ED" w:rsidR="00507216" w:rsidRPr="00D063D9" w:rsidRDefault="00507216" w:rsidP="000D4EF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100%</w:t>
            </w:r>
          </w:p>
        </w:tc>
        <w:tc>
          <w:tcPr>
            <w:tcW w:w="2110" w:type="dxa"/>
          </w:tcPr>
          <w:p w14:paraId="7A2A7C35" w14:textId="6FB8AFB0" w:rsidR="00507216" w:rsidRPr="00D063D9" w:rsidRDefault="00777A19" w:rsidP="000D4EF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13.04%</w:t>
            </w:r>
          </w:p>
        </w:tc>
        <w:tc>
          <w:tcPr>
            <w:tcW w:w="2192" w:type="dxa"/>
          </w:tcPr>
          <w:p w14:paraId="4AEBFDC1" w14:textId="0EF0D0FB" w:rsidR="00507216" w:rsidRPr="00D063D9" w:rsidRDefault="009960F5" w:rsidP="000D4EF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10.83%</w:t>
            </w:r>
          </w:p>
        </w:tc>
        <w:tc>
          <w:tcPr>
            <w:tcW w:w="2278" w:type="dxa"/>
          </w:tcPr>
          <w:p w14:paraId="5A72C2BB" w14:textId="7E027759" w:rsidR="00507216" w:rsidRPr="00D063D9" w:rsidRDefault="009960F5" w:rsidP="000D4EF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2.21%</w:t>
            </w:r>
          </w:p>
        </w:tc>
      </w:tr>
      <w:tr w:rsidR="00C75025" w:rsidRPr="00507216" w14:paraId="6B208291" w14:textId="77777777" w:rsidTr="000D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</w:tcPr>
          <w:p w14:paraId="5D860A5A" w14:textId="2E263E6A" w:rsidR="00C75025" w:rsidRPr="00D063D9" w:rsidRDefault="00C75025" w:rsidP="000D4EFA">
            <w:pPr>
              <w:autoSpaceDE w:val="0"/>
              <w:autoSpaceDN w:val="0"/>
              <w:adjustRightInd w:val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2024.25</w:t>
            </w:r>
          </w:p>
        </w:tc>
        <w:tc>
          <w:tcPr>
            <w:tcW w:w="2204" w:type="dxa"/>
          </w:tcPr>
          <w:p w14:paraId="7A47F589" w14:textId="4A08AC80" w:rsidR="00C75025" w:rsidRPr="00D063D9" w:rsidRDefault="00C75025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100%</w:t>
            </w:r>
          </w:p>
        </w:tc>
        <w:tc>
          <w:tcPr>
            <w:tcW w:w="2110" w:type="dxa"/>
          </w:tcPr>
          <w:p w14:paraId="35A3769E" w14:textId="7B002307" w:rsidR="00C75025" w:rsidRPr="00D063D9" w:rsidRDefault="0036160D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10.3</w:t>
            </w:r>
            <w:r w:rsidR="00F41B63" w:rsidRPr="00D063D9">
              <w:rPr>
                <w:rFonts w:ascii="OpenDyslexic" w:hAnsi="OpenDyslexic" w:cs="Arial"/>
                <w:color w:val="000000"/>
                <w:highlight w:val="yellow"/>
              </w:rPr>
              <w:t>%</w:t>
            </w:r>
          </w:p>
        </w:tc>
        <w:tc>
          <w:tcPr>
            <w:tcW w:w="2192" w:type="dxa"/>
          </w:tcPr>
          <w:p w14:paraId="5B0A49F6" w14:textId="7D4984AD" w:rsidR="00C75025" w:rsidRPr="00D063D9" w:rsidRDefault="00841CBC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  <w:highlight w:val="yellow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7.46%</w:t>
            </w:r>
          </w:p>
        </w:tc>
        <w:tc>
          <w:tcPr>
            <w:tcW w:w="2278" w:type="dxa"/>
          </w:tcPr>
          <w:p w14:paraId="34C455E8" w14:textId="22E4679D" w:rsidR="00C75025" w:rsidRDefault="00CF63DB" w:rsidP="000D4E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Dyslexic" w:hAnsi="OpenDyslexic" w:cs="Arial"/>
                <w:color w:val="000000"/>
              </w:rPr>
            </w:pPr>
            <w:r w:rsidRPr="00D063D9">
              <w:rPr>
                <w:rFonts w:ascii="OpenDyslexic" w:hAnsi="OpenDyslexic" w:cs="Arial"/>
                <w:color w:val="000000"/>
                <w:highlight w:val="yellow"/>
              </w:rPr>
              <w:t>2.</w:t>
            </w:r>
            <w:r w:rsidR="00317ADD" w:rsidRPr="00D063D9">
              <w:rPr>
                <w:rFonts w:ascii="OpenDyslexic" w:hAnsi="OpenDyslexic" w:cs="Arial"/>
                <w:color w:val="000000"/>
                <w:highlight w:val="yellow"/>
              </w:rPr>
              <w:t>82%</w:t>
            </w:r>
          </w:p>
        </w:tc>
      </w:tr>
    </w:tbl>
    <w:p w14:paraId="51AF1F57" w14:textId="10596992" w:rsidR="009E70BE" w:rsidRDefault="000D4EFA" w:rsidP="0079301D">
      <w:pPr>
        <w:autoSpaceDE w:val="0"/>
        <w:autoSpaceDN w:val="0"/>
        <w:adjustRightInd w:val="0"/>
        <w:spacing w:after="0" w:line="240" w:lineRule="auto"/>
        <w:rPr>
          <w:rFonts w:cs="Arial Rounded MT Bold"/>
          <w:color w:val="000000"/>
          <w:sz w:val="24"/>
          <w:szCs w:val="24"/>
        </w:rPr>
      </w:pPr>
      <w:r>
        <w:rPr>
          <w:rFonts w:cs="Arial Rounded MT Bold"/>
          <w:color w:val="000000"/>
          <w:sz w:val="24"/>
          <w:szCs w:val="24"/>
        </w:rPr>
        <w:br w:type="textWrapping" w:clear="all"/>
      </w:r>
    </w:p>
    <w:p w14:paraId="647BF5DE" w14:textId="77777777" w:rsidR="00F95B85" w:rsidRPr="00F95B85" w:rsidRDefault="00F95B85" w:rsidP="00F95B85">
      <w:pPr>
        <w:shd w:val="clear" w:color="auto" w:fill="FAFAFA"/>
        <w:spacing w:before="195" w:after="45" w:line="420" w:lineRule="atLeast"/>
        <w:outlineLvl w:val="2"/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</w:pPr>
      <w:r w:rsidRPr="00F95B85"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  <w:lastRenderedPageBreak/>
        <w:t>Leadership &amp; Community</w:t>
      </w:r>
    </w:p>
    <w:p w14:paraId="0294397E" w14:textId="77777777" w:rsidR="00F95B85" w:rsidRPr="00F95B85" w:rsidRDefault="00F95B85" w:rsidP="00F95B85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Pupils help shape their learning and school life.</w:t>
      </w:r>
    </w:p>
    <w:p w14:paraId="0B6E4336" w14:textId="604D4E56" w:rsidR="00F95B85" w:rsidRPr="00F95B85" w:rsidRDefault="00F95B85" w:rsidP="00F95B85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Older pupils</w:t>
      </w:r>
      <w:r w:rsidR="00B55483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’</w:t>
      </w: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model positive behaviour and help care for the school.</w:t>
      </w:r>
    </w:p>
    <w:p w14:paraId="20151715" w14:textId="77777777" w:rsidR="00F95B85" w:rsidRPr="00F95B85" w:rsidRDefault="00F95B85" w:rsidP="00F95B85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Parents are actively involved through the Parent Council and wellbeing events.</w:t>
      </w:r>
    </w:p>
    <w:p w14:paraId="64234E65" w14:textId="77777777" w:rsidR="00F95B85" w:rsidRPr="00F95B85" w:rsidRDefault="00F95B85" w:rsidP="00F95B85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Staff have developed skills in areas like CALM, Makaton, IT, and first aid.</w:t>
      </w:r>
    </w:p>
    <w:p w14:paraId="3983581D" w14:textId="77777777" w:rsidR="00F95B85" w:rsidRPr="00F95B85" w:rsidRDefault="00F95B85" w:rsidP="00F95B85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Pupils take part in work experience, recycling, and caring for the school grounds.</w:t>
      </w:r>
    </w:p>
    <w:p w14:paraId="44D32293" w14:textId="319EC0CA" w:rsidR="00F95B85" w:rsidRPr="00F95B85" w:rsidRDefault="00F95B85" w:rsidP="00F95B85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Everyone contributes to charity and community projects.</w:t>
      </w:r>
    </w:p>
    <w:p w14:paraId="72E23A7D" w14:textId="77777777" w:rsidR="00F95B85" w:rsidRPr="00F95B85" w:rsidRDefault="00F95B85" w:rsidP="00F95B85">
      <w:pPr>
        <w:shd w:val="clear" w:color="auto" w:fill="FAFAFA"/>
        <w:spacing w:before="195" w:after="45" w:line="420" w:lineRule="atLeast"/>
        <w:outlineLvl w:val="2"/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</w:pPr>
      <w:r w:rsidRPr="00F95B85">
        <w:rPr>
          <w:rFonts w:ascii="OpenDyslexic" w:eastAsia="Times New Roman" w:hAnsi="OpenDyslexic" w:cs="Segoe UI"/>
          <w:b/>
          <w:bCs/>
          <w:color w:val="424242"/>
          <w:sz w:val="30"/>
          <w:szCs w:val="30"/>
          <w:lang w:eastAsia="en-GB"/>
        </w:rPr>
        <w:t>Overall Learning Experience</w:t>
      </w:r>
    </w:p>
    <w:p w14:paraId="6BEACC7C" w14:textId="77777777" w:rsidR="00F95B85" w:rsidRPr="00F95B85" w:rsidRDefault="00F95B85" w:rsidP="00F95B85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Learning is personalised and multi-sensory.</w:t>
      </w:r>
    </w:p>
    <w:p w14:paraId="29B3B3A6" w14:textId="77777777" w:rsidR="00F95B85" w:rsidRPr="00F95B85" w:rsidRDefault="00F95B85" w:rsidP="00F95B85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ICT and communication tools are widely used.</w:t>
      </w:r>
    </w:p>
    <w:p w14:paraId="6DFFB1DB" w14:textId="1DA7D471" w:rsidR="00F95B85" w:rsidRPr="00F95B85" w:rsidRDefault="00F95B85" w:rsidP="00F95B85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Staff work closely with health professionals</w:t>
      </w:r>
      <w:r w:rsidR="00B55483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other multi-agency</w:t>
      </w:r>
      <w:r w:rsidR="003977C2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partners</w:t>
      </w: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.</w:t>
      </w:r>
    </w:p>
    <w:p w14:paraId="05571480" w14:textId="77777777" w:rsidR="00F95B85" w:rsidRPr="00F95B85" w:rsidRDefault="00F95B85" w:rsidP="00F95B85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Pupils feel safe, respected, and happy.</w:t>
      </w:r>
    </w:p>
    <w:p w14:paraId="78BA2260" w14:textId="77777777" w:rsidR="00F95B85" w:rsidRPr="00F95B85" w:rsidRDefault="00F95B85" w:rsidP="00F95B85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Families are valued partners.</w:t>
      </w:r>
    </w:p>
    <w:p w14:paraId="5B04166C" w14:textId="411638E2" w:rsidR="00F95B85" w:rsidRPr="00F95B85" w:rsidRDefault="00F95B85" w:rsidP="00F95B85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</w:pP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We continue to improve our curriculum</w:t>
      </w:r>
      <w:r w:rsidR="003977C2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>, tracking</w:t>
      </w:r>
      <w:r w:rsidRPr="00F95B85">
        <w:rPr>
          <w:rFonts w:ascii="OpenDyslexic" w:eastAsia="Times New Roman" w:hAnsi="OpenDyslexic" w:cs="Segoe UI"/>
          <w:color w:val="424242"/>
          <w:sz w:val="24"/>
          <w:szCs w:val="24"/>
          <w:lang w:eastAsia="en-GB"/>
        </w:rPr>
        <w:t xml:space="preserve"> and support systems.</w:t>
      </w:r>
    </w:p>
    <w:p w14:paraId="4976DACA" w14:textId="1720A91A" w:rsidR="00674CE1" w:rsidRPr="005A1F21" w:rsidRDefault="00674CE1" w:rsidP="002F1FE9">
      <w:pPr>
        <w:autoSpaceDE w:val="0"/>
        <w:autoSpaceDN w:val="0"/>
        <w:adjustRightInd w:val="0"/>
        <w:spacing w:after="0" w:line="240" w:lineRule="auto"/>
        <w:rPr>
          <w:rFonts w:ascii="OpenDyslexic" w:hAnsi="OpenDyslexic" w:cs="Arial"/>
          <w:b/>
          <w:bCs/>
          <w:color w:val="000000"/>
          <w:sz w:val="24"/>
          <w:szCs w:val="24"/>
        </w:rPr>
      </w:pPr>
      <w:r w:rsidRPr="005A1F21">
        <w:rPr>
          <w:rFonts w:ascii="OpenDyslexic" w:hAnsi="OpenDyslexic" w:cs="Arial"/>
          <w:b/>
          <w:bCs/>
          <w:color w:val="000000"/>
          <w:sz w:val="24"/>
          <w:szCs w:val="24"/>
        </w:rPr>
        <w:t>Consultation Process:</w:t>
      </w:r>
    </w:p>
    <w:p w14:paraId="4544B013" w14:textId="77777777" w:rsidR="00E00762" w:rsidRDefault="00674CE1" w:rsidP="00F9722A">
      <w:pPr>
        <w:rPr>
          <w:rFonts w:ascii="OpenDyslexic" w:hAnsi="OpenDyslexic" w:cs="Arial"/>
          <w:color w:val="000000"/>
          <w:sz w:val="24"/>
          <w:szCs w:val="24"/>
        </w:rPr>
      </w:pPr>
      <w:proofErr w:type="gramStart"/>
      <w:r w:rsidRPr="005A1F21">
        <w:rPr>
          <w:rFonts w:ascii="OpenDyslexic" w:hAnsi="OpenDyslexic" w:cs="Arial"/>
          <w:color w:val="000000"/>
          <w:sz w:val="24"/>
          <w:szCs w:val="24"/>
        </w:rPr>
        <w:t>In order to</w:t>
      </w:r>
      <w:proofErr w:type="gramEnd"/>
      <w:r w:rsidRPr="005A1F21">
        <w:rPr>
          <w:rFonts w:ascii="OpenDyslexic" w:hAnsi="OpenDyslexic" w:cs="Arial"/>
          <w:color w:val="000000"/>
          <w:sz w:val="24"/>
          <w:szCs w:val="24"/>
        </w:rPr>
        <w:t xml:space="preserve"> compile this report, we consulted with staff, learners, parents and local authority representatives throughout the school session. In addition, we analysed achievement and attainment data and dre</w:t>
      </w:r>
      <w:r w:rsidR="0079301D" w:rsidRPr="005A1F21">
        <w:rPr>
          <w:rFonts w:ascii="OpenDyslexic" w:hAnsi="OpenDyslexic" w:cs="Arial"/>
          <w:color w:val="000000"/>
          <w:sz w:val="24"/>
          <w:szCs w:val="24"/>
        </w:rPr>
        <w:t xml:space="preserve">w on evidence from </w:t>
      </w:r>
      <w:r w:rsidRPr="005A1F21">
        <w:rPr>
          <w:rFonts w:ascii="OpenDyslexic" w:hAnsi="OpenDyslexic" w:cs="Arial"/>
          <w:color w:val="000000"/>
          <w:sz w:val="24"/>
          <w:szCs w:val="24"/>
        </w:rPr>
        <w:t>reviews</w:t>
      </w:r>
      <w:r w:rsidR="00A25855" w:rsidRPr="005A1F21">
        <w:rPr>
          <w:rFonts w:ascii="OpenDyslexic" w:hAnsi="OpenDyslexic" w:cs="Arial"/>
          <w:color w:val="000000"/>
          <w:sz w:val="24"/>
          <w:szCs w:val="24"/>
        </w:rPr>
        <w:t xml:space="preserve">, </w:t>
      </w:r>
      <w:r w:rsidRPr="005A1F21">
        <w:rPr>
          <w:rFonts w:ascii="OpenDyslexic" w:hAnsi="OpenDyslexic" w:cs="Arial"/>
          <w:color w:val="000000"/>
          <w:sz w:val="24"/>
          <w:szCs w:val="24"/>
        </w:rPr>
        <w:t>classroom visits</w:t>
      </w:r>
      <w:r w:rsidR="00A25855" w:rsidRPr="005A1F21">
        <w:rPr>
          <w:rFonts w:ascii="OpenDyslexic" w:hAnsi="OpenDyslexic" w:cs="Arial"/>
          <w:color w:val="000000"/>
          <w:sz w:val="24"/>
          <w:szCs w:val="24"/>
        </w:rPr>
        <w:t>, observations including through</w:t>
      </w:r>
      <w:r w:rsidR="005A1F21" w:rsidRPr="005A1F21">
        <w:rPr>
          <w:rFonts w:ascii="OpenDyslexic" w:hAnsi="OpenDyslexic" w:cs="Arial"/>
          <w:color w:val="000000"/>
          <w:sz w:val="24"/>
          <w:szCs w:val="24"/>
        </w:rPr>
        <w:t xml:space="preserve"> Learning Journal</w:t>
      </w:r>
      <w:r w:rsidR="00A25855" w:rsidRPr="005A1F21">
        <w:rPr>
          <w:rFonts w:ascii="OpenDyslexic" w:hAnsi="OpenDyslexic" w:cs="Arial"/>
          <w:color w:val="000000"/>
          <w:sz w:val="24"/>
          <w:szCs w:val="24"/>
        </w:rPr>
        <w:t xml:space="preserve"> and moderation and inset day events as well as discussions</w:t>
      </w:r>
      <w:r w:rsidRPr="005A1F21">
        <w:rPr>
          <w:rFonts w:ascii="OpenDyslexic" w:hAnsi="OpenDyslexic" w:cs="Arial"/>
          <w:color w:val="000000"/>
          <w:sz w:val="24"/>
          <w:szCs w:val="24"/>
        </w:rPr>
        <w:t xml:space="preserve">. </w:t>
      </w:r>
    </w:p>
    <w:p w14:paraId="54A14BEF" w14:textId="24B16A38" w:rsidR="00F9722A" w:rsidRPr="00E00762" w:rsidRDefault="00F9722A" w:rsidP="00F9722A">
      <w:pPr>
        <w:rPr>
          <w:rFonts w:ascii="OpenDyslexic" w:hAnsi="OpenDyslexic" w:cs="Arial"/>
          <w:color w:val="000000"/>
          <w:sz w:val="24"/>
          <w:szCs w:val="24"/>
        </w:rPr>
      </w:pPr>
      <w:r w:rsidRPr="00120D52">
        <w:rPr>
          <w:rFonts w:ascii="OpenDyslexic" w:hAnsi="OpenDyslexic"/>
          <w:b/>
          <w:bCs/>
          <w:sz w:val="24"/>
          <w:szCs w:val="24"/>
        </w:rPr>
        <w:t>SUMMARY AIMS OF SCHOOL IMPROVEMENT PLAN 202</w:t>
      </w:r>
      <w:r>
        <w:rPr>
          <w:rFonts w:ascii="OpenDyslexic" w:hAnsi="OpenDyslexic"/>
          <w:b/>
          <w:bCs/>
          <w:sz w:val="24"/>
          <w:szCs w:val="24"/>
        </w:rPr>
        <w:t>4</w:t>
      </w:r>
      <w:r w:rsidRPr="00120D52">
        <w:rPr>
          <w:rFonts w:ascii="OpenDyslexic" w:hAnsi="OpenDyslexic"/>
          <w:b/>
          <w:bCs/>
          <w:sz w:val="24"/>
          <w:szCs w:val="24"/>
        </w:rPr>
        <w:t>/2</w:t>
      </w:r>
      <w:r>
        <w:rPr>
          <w:rFonts w:ascii="OpenDyslexic" w:hAnsi="OpenDyslexic"/>
          <w:b/>
          <w:bCs/>
          <w:sz w:val="24"/>
          <w:szCs w:val="24"/>
        </w:rPr>
        <w:t>5</w:t>
      </w:r>
      <w:r w:rsidRPr="00120D52">
        <w:rPr>
          <w:rFonts w:ascii="OpenDyslexic" w:hAnsi="OpenDyslexic"/>
          <w:b/>
          <w:bCs/>
          <w:sz w:val="24"/>
          <w:szCs w:val="24"/>
        </w:rPr>
        <w:t>:</w:t>
      </w:r>
    </w:p>
    <w:tbl>
      <w:tblPr>
        <w:tblStyle w:val="TableGrid"/>
        <w:tblW w:w="15388" w:type="dxa"/>
        <w:tblInd w:w="-3" w:type="dxa"/>
        <w:tblLook w:val="04A0" w:firstRow="1" w:lastRow="0" w:firstColumn="1" w:lastColumn="0" w:noHBand="0" w:noVBand="1"/>
      </w:tblPr>
      <w:tblGrid>
        <w:gridCol w:w="5129"/>
        <w:gridCol w:w="5130"/>
        <w:gridCol w:w="5129"/>
      </w:tblGrid>
      <w:tr w:rsidR="005F4A81" w:rsidRPr="00120D52" w14:paraId="419D970D" w14:textId="2D1FCC82" w:rsidTr="00E00762">
        <w:trPr>
          <w:trHeight w:val="1261"/>
        </w:trPr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8E18" w14:textId="77777777" w:rsidR="005F4A81" w:rsidRPr="00846E68" w:rsidRDefault="005F4A81" w:rsidP="00846E68">
            <w:pPr>
              <w:shd w:val="clear" w:color="auto" w:fill="FAFAFA"/>
              <w:spacing w:before="195" w:after="45" w:line="420" w:lineRule="atLeast"/>
              <w:outlineLvl w:val="2"/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</w:pPr>
            <w:r w:rsidRPr="00846E68"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  <w:t>Priority 1: Listening to Our Learners – Embedding Pupil Voice</w:t>
            </w:r>
          </w:p>
          <w:p w14:paraId="627FD647" w14:textId="77777777" w:rsidR="005F4A81" w:rsidRPr="00846E68" w:rsidRDefault="005F4A81" w:rsidP="00846E68">
            <w:pPr>
              <w:shd w:val="clear" w:color="auto" w:fill="FAFAFA"/>
              <w:spacing w:before="120" w:after="60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846E68"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  <w:t>What we’re focusing on:</w:t>
            </w:r>
          </w:p>
          <w:p w14:paraId="5D4C5E66" w14:textId="77777777" w:rsidR="005F4A81" w:rsidRPr="00846E68" w:rsidRDefault="005F4A81" w:rsidP="00846E68">
            <w:pPr>
              <w:numPr>
                <w:ilvl w:val="0"/>
                <w:numId w:val="21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846E68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lastRenderedPageBreak/>
              <w:t>Making sure every pupil’s voice is heard in planning, assessment, and school decisions.</w:t>
            </w:r>
          </w:p>
          <w:p w14:paraId="55CE4B84" w14:textId="77777777" w:rsidR="005F4A81" w:rsidRPr="00846E68" w:rsidRDefault="005F4A81" w:rsidP="00846E68">
            <w:pPr>
              <w:numPr>
                <w:ilvl w:val="0"/>
                <w:numId w:val="21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846E68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Supporting pupils to take part in school groups like the pupil council and other community group</w:t>
            </w:r>
          </w:p>
          <w:p w14:paraId="6633E656" w14:textId="77777777" w:rsidR="005F4A81" w:rsidRPr="00846E68" w:rsidRDefault="005F4A81" w:rsidP="00846E68">
            <w:pPr>
              <w:numPr>
                <w:ilvl w:val="0"/>
                <w:numId w:val="21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846E68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Continuing to involve pupils in planning and giving them feedback in ways they understand.</w:t>
            </w:r>
          </w:p>
          <w:p w14:paraId="351AE201" w14:textId="2BA03649" w:rsidR="005F4A81" w:rsidRPr="00BB1AB3" w:rsidRDefault="005F4A81" w:rsidP="00BB1AB3">
            <w:pPr>
              <w:numPr>
                <w:ilvl w:val="0"/>
                <w:numId w:val="21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846E68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 xml:space="preserve">Training all teaching staff in the SCERTS </w:t>
            </w:r>
            <w:r w:rsidRPr="00846E68">
              <w:rPr>
                <w:rFonts w:ascii="OpenDyslexic" w:eastAsia="Times New Roman" w:hAnsi="OpenDyslexic" w:cs="Segoe UI"/>
                <w:sz w:val="24"/>
                <w:szCs w:val="24"/>
                <w:lang w:eastAsia="en-GB"/>
              </w:rPr>
              <w:t>(</w:t>
            </w:r>
            <w:r w:rsidRPr="00846E68">
              <w:rPr>
                <w:rFonts w:ascii="OpenDyslexic" w:hAnsi="OpenDyslexic" w:cs="Segoe UI"/>
                <w:sz w:val="24"/>
                <w:szCs w:val="24"/>
                <w:shd w:val="clear" w:color="auto" w:fill="F0F3FF"/>
              </w:rPr>
              <w:t>Social Communication, Emotional Regulation, and Transactional Support)</w:t>
            </w:r>
            <w:r w:rsidRPr="00846E68">
              <w:rPr>
                <w:rFonts w:ascii="OpenDyslexic" w:eastAsia="Times New Roman" w:hAnsi="OpenDyslexic" w:cs="Segoe UI"/>
                <w:sz w:val="24"/>
                <w:szCs w:val="24"/>
                <w:lang w:eastAsia="en-GB"/>
              </w:rPr>
              <w:t xml:space="preserve"> </w:t>
            </w:r>
            <w:r w:rsidRPr="00846E68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approach to support communication and emotional regulatio</w:t>
            </w:r>
            <w:r w:rsidR="00E00762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n</w:t>
            </w:r>
            <w:r w:rsidRPr="00846E68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130" w:type="dxa"/>
          </w:tcPr>
          <w:p w14:paraId="5E19568D" w14:textId="77777777" w:rsidR="005F4A81" w:rsidRPr="005F4A81" w:rsidRDefault="005F4A81" w:rsidP="005F4A81">
            <w:pPr>
              <w:shd w:val="clear" w:color="auto" w:fill="FAFAFA"/>
              <w:spacing w:before="195" w:after="45" w:line="420" w:lineRule="atLeast"/>
              <w:outlineLvl w:val="2"/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</w:pPr>
            <w:r w:rsidRPr="005F4A81"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  <w:lastRenderedPageBreak/>
              <w:t>Priority 2: Learning Through Play and Communication</w:t>
            </w:r>
          </w:p>
          <w:p w14:paraId="0D1A3E63" w14:textId="77777777" w:rsidR="005F4A81" w:rsidRPr="005F4A81" w:rsidRDefault="005F4A81" w:rsidP="005F4A81">
            <w:pPr>
              <w:shd w:val="clear" w:color="auto" w:fill="FAFAFA"/>
              <w:spacing w:before="120" w:after="60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5F4A81"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  <w:t>What we’re focusing on:</w:t>
            </w:r>
          </w:p>
          <w:p w14:paraId="42D8034D" w14:textId="77777777" w:rsidR="005F4A81" w:rsidRPr="005F4A81" w:rsidRDefault="005F4A81" w:rsidP="005F4A8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5F4A81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lastRenderedPageBreak/>
              <w:t>Weekly Friday play sessions for all pupils, with parents invited to join a session in term 1.</w:t>
            </w:r>
          </w:p>
          <w:p w14:paraId="740388AC" w14:textId="77777777" w:rsidR="005F4A81" w:rsidRPr="005F4A81" w:rsidRDefault="005F4A81" w:rsidP="005F4A8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5F4A81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Observing play to understand what motivates each child and using this to plan learning.</w:t>
            </w:r>
          </w:p>
          <w:p w14:paraId="469F174F" w14:textId="77777777" w:rsidR="005F4A81" w:rsidRPr="005F4A81" w:rsidRDefault="005F4A81" w:rsidP="005F4A8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5F4A81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Sharing play-based insights with families through Learning Journals.</w:t>
            </w:r>
          </w:p>
          <w:p w14:paraId="604E1008" w14:textId="77777777" w:rsidR="005F4A81" w:rsidRPr="005F4A81" w:rsidRDefault="005F4A81" w:rsidP="005F4A8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5F4A81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Ensuring all staff use consistent communication strategies (e.g. visuals, AAC).</w:t>
            </w:r>
          </w:p>
          <w:p w14:paraId="1F1D499C" w14:textId="610F0B7F" w:rsidR="00273D09" w:rsidRPr="00273D09" w:rsidRDefault="005F4A81" w:rsidP="008A4FE9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5F4A81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Encouraging staff to model and scaffold learning to support independence.</w:t>
            </w:r>
          </w:p>
        </w:tc>
        <w:tc>
          <w:tcPr>
            <w:tcW w:w="5129" w:type="dxa"/>
          </w:tcPr>
          <w:p w14:paraId="70464DE8" w14:textId="77777777" w:rsidR="00273D09" w:rsidRPr="00273D09" w:rsidRDefault="00273D09" w:rsidP="00273D09">
            <w:pPr>
              <w:shd w:val="clear" w:color="auto" w:fill="FAFAFA"/>
              <w:spacing w:before="195" w:after="45" w:line="420" w:lineRule="atLeast"/>
              <w:outlineLvl w:val="2"/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</w:pPr>
            <w:r w:rsidRPr="00273D09"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  <w:lastRenderedPageBreak/>
              <w:t>Priority 3: A Shared Understanding of Learning and Support</w:t>
            </w:r>
          </w:p>
          <w:p w14:paraId="5427B34B" w14:textId="77777777" w:rsidR="00273D09" w:rsidRPr="00273D09" w:rsidRDefault="00273D09" w:rsidP="00273D09">
            <w:pPr>
              <w:shd w:val="clear" w:color="auto" w:fill="FAFAFA"/>
              <w:spacing w:before="120" w:after="60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273D09"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  <w:t>What we’re focusing on:</w:t>
            </w:r>
          </w:p>
          <w:p w14:paraId="12162163" w14:textId="77777777" w:rsidR="00273D09" w:rsidRPr="00273D09" w:rsidRDefault="00273D09" w:rsidP="00273D09">
            <w:pPr>
              <w:numPr>
                <w:ilvl w:val="0"/>
                <w:numId w:val="23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273D09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lastRenderedPageBreak/>
              <w:t>Making sure all staff, families, and partners understand our curriculum and how we support learning.</w:t>
            </w:r>
          </w:p>
          <w:p w14:paraId="760B7DF9" w14:textId="77777777" w:rsidR="00273D09" w:rsidRPr="00273D09" w:rsidRDefault="00273D09" w:rsidP="00273D09">
            <w:pPr>
              <w:numPr>
                <w:ilvl w:val="0"/>
                <w:numId w:val="23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273D09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Providing training on curriculum pathways, Low Arousal, and Nurture approaches.</w:t>
            </w:r>
          </w:p>
          <w:p w14:paraId="31EC9D56" w14:textId="77777777" w:rsidR="00273D09" w:rsidRPr="00273D09" w:rsidRDefault="00273D09" w:rsidP="00273D09">
            <w:pPr>
              <w:numPr>
                <w:ilvl w:val="0"/>
                <w:numId w:val="23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273D09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Creating clear information for families about how learning is planned and assessed.</w:t>
            </w:r>
          </w:p>
          <w:p w14:paraId="5D5CCB06" w14:textId="77777777" w:rsidR="00273D09" w:rsidRPr="00273D09" w:rsidRDefault="00273D09" w:rsidP="00273D09">
            <w:pPr>
              <w:numPr>
                <w:ilvl w:val="0"/>
                <w:numId w:val="23"/>
              </w:numPr>
              <w:shd w:val="clear" w:color="auto" w:fill="FAFAFA"/>
              <w:spacing w:before="100" w:beforeAutospacing="1" w:after="100" w:afterAutospacing="1"/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</w:pPr>
            <w:r w:rsidRPr="00273D09">
              <w:rPr>
                <w:rFonts w:ascii="OpenDyslexic" w:eastAsia="Times New Roman" w:hAnsi="OpenDyslexic" w:cs="Segoe UI"/>
                <w:color w:val="424242"/>
                <w:sz w:val="24"/>
                <w:szCs w:val="24"/>
                <w:lang w:eastAsia="en-GB"/>
              </w:rPr>
              <w:t>Helping staff promote independence and use consistent strategies across the school.</w:t>
            </w:r>
          </w:p>
          <w:p w14:paraId="37F55BF0" w14:textId="77777777" w:rsidR="005F4A81" w:rsidRPr="005F4A81" w:rsidRDefault="005F4A81" w:rsidP="005F4A81">
            <w:pPr>
              <w:shd w:val="clear" w:color="auto" w:fill="FAFAFA"/>
              <w:spacing w:before="195" w:after="45" w:line="420" w:lineRule="atLeast"/>
              <w:outlineLvl w:val="2"/>
              <w:rPr>
                <w:rFonts w:ascii="OpenDyslexic" w:eastAsia="Times New Roman" w:hAnsi="OpenDyslexic" w:cs="Segoe UI"/>
                <w:b/>
                <w:bCs/>
                <w:color w:val="424242"/>
                <w:sz w:val="24"/>
                <w:szCs w:val="24"/>
                <w:lang w:eastAsia="en-GB"/>
              </w:rPr>
            </w:pPr>
          </w:p>
        </w:tc>
      </w:tr>
    </w:tbl>
    <w:p w14:paraId="19545DDB" w14:textId="77777777" w:rsidR="00F9722A" w:rsidRDefault="00F9722A" w:rsidP="00674CE1">
      <w:pPr>
        <w:rPr>
          <w:rFonts w:ascii="OpenDyslexic" w:hAnsi="OpenDyslexic" w:cs="Arial"/>
          <w:color w:val="000000"/>
          <w:sz w:val="24"/>
          <w:szCs w:val="24"/>
        </w:rPr>
      </w:pPr>
    </w:p>
    <w:p w14:paraId="143974C8" w14:textId="4DD2A73C" w:rsidR="008258B3" w:rsidRPr="008258B3" w:rsidRDefault="000E6577" w:rsidP="00E55A53">
      <w:pPr>
        <w:rPr>
          <w:rFonts w:ascii="Calibri" w:eastAsia="Times New Roman" w:hAnsi="Calibri" w:cs="Calibri"/>
          <w:color w:val="000000"/>
          <w:sz w:val="16"/>
          <w:szCs w:val="16"/>
          <w:lang w:eastAsia="en-GB"/>
        </w:rPr>
      </w:pPr>
      <w:r>
        <w:rPr>
          <w:rFonts w:ascii="OpenDyslexic" w:hAnsi="OpenDyslexic" w:cs="Arial"/>
          <w:color w:val="000000"/>
          <w:sz w:val="24"/>
          <w:szCs w:val="24"/>
        </w:rPr>
        <w:t>PUPIL EQUITY FUND AIMS</w:t>
      </w:r>
      <w:r w:rsidR="00CE409B">
        <w:rPr>
          <w:rFonts w:ascii="OpenDyslexic" w:hAnsi="OpenDyslexic" w:cs="Arial"/>
          <w:color w:val="000000"/>
          <w:sz w:val="24"/>
          <w:szCs w:val="24"/>
        </w:rPr>
        <w:t>:</w:t>
      </w:r>
    </w:p>
    <w:p w14:paraId="13B4E23E" w14:textId="05FEEA8C" w:rsidR="00120D52" w:rsidRDefault="00603F22" w:rsidP="00674CE1">
      <w:pPr>
        <w:rPr>
          <w:rFonts w:ascii="OpenDyslexic" w:hAnsi="OpenDyslexic" w:cs="Arial"/>
          <w:color w:val="000000"/>
          <w:sz w:val="24"/>
          <w:szCs w:val="24"/>
        </w:rPr>
      </w:pPr>
      <w:r>
        <w:rPr>
          <w:rFonts w:ascii="OpenDyslexic" w:hAnsi="OpenDyslexic" w:cs="Arial"/>
          <w:color w:val="000000"/>
          <w:sz w:val="24"/>
          <w:szCs w:val="24"/>
        </w:rPr>
        <w:t>To improve communication skills and support sensory regulation</w:t>
      </w:r>
    </w:p>
    <w:p w14:paraId="71E9BDBE" w14:textId="707BD883" w:rsidR="00603F22" w:rsidRDefault="00CE409B" w:rsidP="00674CE1">
      <w:pPr>
        <w:rPr>
          <w:rFonts w:ascii="OpenDyslexic" w:hAnsi="OpenDyslexic" w:cs="Arial"/>
          <w:color w:val="000000"/>
          <w:sz w:val="24"/>
          <w:szCs w:val="24"/>
        </w:rPr>
      </w:pPr>
      <w:r>
        <w:rPr>
          <w:rFonts w:ascii="OpenDyslexic" w:hAnsi="OpenDyslexic" w:cs="Arial"/>
          <w:color w:val="000000"/>
          <w:sz w:val="24"/>
          <w:szCs w:val="24"/>
        </w:rPr>
        <w:t>To improve family engagemen</w:t>
      </w:r>
      <w:r w:rsidR="003977C2">
        <w:rPr>
          <w:rFonts w:ascii="OpenDyslexic" w:hAnsi="OpenDyslexic" w:cs="Arial"/>
          <w:color w:val="000000"/>
          <w:sz w:val="24"/>
          <w:szCs w:val="24"/>
        </w:rPr>
        <w:t>t</w:t>
      </w:r>
    </w:p>
    <w:p w14:paraId="5A5AEA1D" w14:textId="77777777" w:rsidR="00120D52" w:rsidRDefault="00120D52" w:rsidP="00674CE1">
      <w:pPr>
        <w:rPr>
          <w:rFonts w:ascii="OpenDyslexic" w:hAnsi="OpenDyslexic" w:cs="Arial"/>
          <w:color w:val="000000"/>
          <w:sz w:val="24"/>
          <w:szCs w:val="24"/>
        </w:rPr>
      </w:pPr>
    </w:p>
    <w:p w14:paraId="0FE2D35C" w14:textId="77777777" w:rsidR="000E6577" w:rsidRDefault="000E6577" w:rsidP="00674CE1">
      <w:pPr>
        <w:rPr>
          <w:rFonts w:ascii="OpenDyslexic" w:hAnsi="OpenDyslexic" w:cs="Arial"/>
          <w:color w:val="000000"/>
          <w:sz w:val="24"/>
          <w:szCs w:val="24"/>
        </w:rPr>
      </w:pPr>
    </w:p>
    <w:p w14:paraId="0133667E" w14:textId="77777777" w:rsidR="003169A4" w:rsidRPr="005A1F21" w:rsidRDefault="003169A4" w:rsidP="00674CE1">
      <w:pPr>
        <w:rPr>
          <w:rFonts w:ascii="OpenDyslexic" w:hAnsi="OpenDyslexic" w:cs="Arial"/>
          <w:color w:val="000000"/>
          <w:sz w:val="24"/>
          <w:szCs w:val="24"/>
        </w:rPr>
      </w:pPr>
    </w:p>
    <w:p w14:paraId="3307C964" w14:textId="30D2E2A5" w:rsidR="00735B6F" w:rsidRPr="00AD1D03" w:rsidRDefault="00735B6F" w:rsidP="0079301D">
      <w:pPr>
        <w:rPr>
          <w:rFonts w:cstheme="minorHAnsi"/>
          <w:bCs/>
          <w:sz w:val="24"/>
          <w:szCs w:val="24"/>
        </w:rPr>
      </w:pPr>
    </w:p>
    <w:p w14:paraId="76352373" w14:textId="77777777" w:rsidR="00AD1D03" w:rsidRPr="00AD1D03" w:rsidRDefault="00AD1D03" w:rsidP="0079301D">
      <w:pPr>
        <w:rPr>
          <w:rFonts w:cstheme="minorHAnsi"/>
          <w:b/>
          <w:sz w:val="24"/>
          <w:szCs w:val="24"/>
        </w:rPr>
      </w:pPr>
    </w:p>
    <w:sectPr w:rsidR="00AD1D03" w:rsidRPr="00AD1D03" w:rsidSect="00E171B0">
      <w:footerReference w:type="default" r:id="rId12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7823" w14:textId="77777777" w:rsidR="006D547F" w:rsidRDefault="006D547F" w:rsidP="0079301D">
      <w:pPr>
        <w:spacing w:after="0" w:line="240" w:lineRule="auto"/>
      </w:pPr>
      <w:r>
        <w:separator/>
      </w:r>
    </w:p>
  </w:endnote>
  <w:endnote w:type="continuationSeparator" w:id="0">
    <w:p w14:paraId="0736B148" w14:textId="77777777" w:rsidR="006D547F" w:rsidRDefault="006D547F" w:rsidP="0079301D">
      <w:pPr>
        <w:spacing w:after="0" w:line="240" w:lineRule="auto"/>
      </w:pPr>
      <w:r>
        <w:continuationSeparator/>
      </w:r>
    </w:p>
  </w:endnote>
  <w:endnote w:type="continuationNotice" w:id="1">
    <w:p w14:paraId="09F04DFB" w14:textId="77777777" w:rsidR="006D547F" w:rsidRDefault="006D54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221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4BB90" w14:textId="77777777" w:rsidR="00EE2D62" w:rsidRDefault="00EE2D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4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5DC64CC" w14:textId="77777777" w:rsidR="00EE2D62" w:rsidRDefault="00EE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0668" w14:textId="77777777" w:rsidR="006D547F" w:rsidRDefault="006D547F" w:rsidP="0079301D">
      <w:pPr>
        <w:spacing w:after="0" w:line="240" w:lineRule="auto"/>
      </w:pPr>
      <w:r>
        <w:separator/>
      </w:r>
    </w:p>
  </w:footnote>
  <w:footnote w:type="continuationSeparator" w:id="0">
    <w:p w14:paraId="4F4945C5" w14:textId="77777777" w:rsidR="006D547F" w:rsidRDefault="006D547F" w:rsidP="0079301D">
      <w:pPr>
        <w:spacing w:after="0" w:line="240" w:lineRule="auto"/>
      </w:pPr>
      <w:r>
        <w:continuationSeparator/>
      </w:r>
    </w:p>
  </w:footnote>
  <w:footnote w:type="continuationNotice" w:id="1">
    <w:p w14:paraId="15E2652A" w14:textId="77777777" w:rsidR="006D547F" w:rsidRDefault="006D54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D14"/>
      </v:shape>
    </w:pict>
  </w:numPicBullet>
  <w:abstractNum w:abstractNumId="0" w15:restartNumberingAfterBreak="0">
    <w:nsid w:val="01FB200F"/>
    <w:multiLevelType w:val="multilevel"/>
    <w:tmpl w:val="1978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D2555"/>
    <w:multiLevelType w:val="multilevel"/>
    <w:tmpl w:val="B9B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806B7"/>
    <w:multiLevelType w:val="hybridMultilevel"/>
    <w:tmpl w:val="732E1654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8E00A4"/>
    <w:multiLevelType w:val="multilevel"/>
    <w:tmpl w:val="5F4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E1CE5"/>
    <w:multiLevelType w:val="multilevel"/>
    <w:tmpl w:val="500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322807"/>
    <w:multiLevelType w:val="multilevel"/>
    <w:tmpl w:val="96A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4248C"/>
    <w:multiLevelType w:val="hybridMultilevel"/>
    <w:tmpl w:val="9BC69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05DA5"/>
    <w:multiLevelType w:val="multilevel"/>
    <w:tmpl w:val="96C4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78157D"/>
    <w:multiLevelType w:val="hybridMultilevel"/>
    <w:tmpl w:val="25185200"/>
    <w:lvl w:ilvl="0" w:tplc="AC6AEE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6759"/>
    <w:multiLevelType w:val="multilevel"/>
    <w:tmpl w:val="3AF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377D1"/>
    <w:multiLevelType w:val="hybridMultilevel"/>
    <w:tmpl w:val="BA06FD84"/>
    <w:lvl w:ilvl="0" w:tplc="AC6AE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8363F90"/>
    <w:multiLevelType w:val="hybridMultilevel"/>
    <w:tmpl w:val="644E8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F55FA"/>
    <w:multiLevelType w:val="hybridMultilevel"/>
    <w:tmpl w:val="65142E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046DE"/>
    <w:multiLevelType w:val="hybridMultilevel"/>
    <w:tmpl w:val="EEEE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494E"/>
    <w:multiLevelType w:val="multilevel"/>
    <w:tmpl w:val="DA7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FF2591"/>
    <w:multiLevelType w:val="multilevel"/>
    <w:tmpl w:val="A43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926F31"/>
    <w:multiLevelType w:val="multilevel"/>
    <w:tmpl w:val="084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C13475"/>
    <w:multiLevelType w:val="multilevel"/>
    <w:tmpl w:val="3B06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F97CC7"/>
    <w:multiLevelType w:val="multilevel"/>
    <w:tmpl w:val="8808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8F2D2B"/>
    <w:multiLevelType w:val="hybridMultilevel"/>
    <w:tmpl w:val="28827A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391A"/>
    <w:multiLevelType w:val="hybridMultilevel"/>
    <w:tmpl w:val="456E0C2C"/>
    <w:lvl w:ilvl="0" w:tplc="D64A5696">
      <w:numFmt w:val="bullet"/>
      <w:lvlText w:val="•"/>
      <w:lvlJc w:val="left"/>
      <w:pPr>
        <w:ind w:left="720" w:hanging="360"/>
      </w:pPr>
      <w:rPr>
        <w:rFonts w:ascii="Arial Rounded MT Bold" w:eastAsiaTheme="minorHAnsi" w:hAnsi="Arial Rounded MT Bold" w:cs="Arial Rounded M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4BBF"/>
    <w:multiLevelType w:val="hybridMultilevel"/>
    <w:tmpl w:val="4E18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AA"/>
    <w:multiLevelType w:val="hybridMultilevel"/>
    <w:tmpl w:val="A560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89426">
    <w:abstractNumId w:val="2"/>
  </w:num>
  <w:num w:numId="2" w16cid:durableId="858856713">
    <w:abstractNumId w:val="21"/>
  </w:num>
  <w:num w:numId="3" w16cid:durableId="666589175">
    <w:abstractNumId w:val="22"/>
  </w:num>
  <w:num w:numId="4" w16cid:durableId="950362673">
    <w:abstractNumId w:val="11"/>
  </w:num>
  <w:num w:numId="5" w16cid:durableId="310869356">
    <w:abstractNumId w:val="12"/>
  </w:num>
  <w:num w:numId="6" w16cid:durableId="2051564521">
    <w:abstractNumId w:val="10"/>
  </w:num>
  <w:num w:numId="7" w16cid:durableId="1675036597">
    <w:abstractNumId w:val="19"/>
  </w:num>
  <w:num w:numId="8" w16cid:durableId="1909462969">
    <w:abstractNumId w:val="8"/>
  </w:num>
  <w:num w:numId="9" w16cid:durableId="2084597209">
    <w:abstractNumId w:val="6"/>
  </w:num>
  <w:num w:numId="10" w16cid:durableId="38434597">
    <w:abstractNumId w:val="20"/>
  </w:num>
  <w:num w:numId="11" w16cid:durableId="2094741755">
    <w:abstractNumId w:val="13"/>
  </w:num>
  <w:num w:numId="12" w16cid:durableId="626278168">
    <w:abstractNumId w:val="16"/>
  </w:num>
  <w:num w:numId="13" w16cid:durableId="611789538">
    <w:abstractNumId w:val="14"/>
  </w:num>
  <w:num w:numId="14" w16cid:durableId="1956399234">
    <w:abstractNumId w:val="5"/>
  </w:num>
  <w:num w:numId="15" w16cid:durableId="361169133">
    <w:abstractNumId w:val="9"/>
  </w:num>
  <w:num w:numId="16" w16cid:durableId="337729534">
    <w:abstractNumId w:val="15"/>
  </w:num>
  <w:num w:numId="17" w16cid:durableId="93671224">
    <w:abstractNumId w:val="0"/>
  </w:num>
  <w:num w:numId="18" w16cid:durableId="2061899261">
    <w:abstractNumId w:val="17"/>
  </w:num>
  <w:num w:numId="19" w16cid:durableId="834340797">
    <w:abstractNumId w:val="3"/>
  </w:num>
  <w:num w:numId="20" w16cid:durableId="238366200">
    <w:abstractNumId w:val="1"/>
  </w:num>
  <w:num w:numId="21" w16cid:durableId="1155562004">
    <w:abstractNumId w:val="18"/>
  </w:num>
  <w:num w:numId="22" w16cid:durableId="1247619314">
    <w:abstractNumId w:val="4"/>
  </w:num>
  <w:num w:numId="23" w16cid:durableId="960457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20"/>
    <w:rsid w:val="000079E7"/>
    <w:rsid w:val="00030B78"/>
    <w:rsid w:val="000364C3"/>
    <w:rsid w:val="000505B5"/>
    <w:rsid w:val="000562D5"/>
    <w:rsid w:val="00072A15"/>
    <w:rsid w:val="00091DC8"/>
    <w:rsid w:val="00091E7D"/>
    <w:rsid w:val="000971FD"/>
    <w:rsid w:val="000B3A2B"/>
    <w:rsid w:val="000B5935"/>
    <w:rsid w:val="000B6302"/>
    <w:rsid w:val="000B6757"/>
    <w:rsid w:val="000C5F01"/>
    <w:rsid w:val="000D0CE1"/>
    <w:rsid w:val="000D4EFA"/>
    <w:rsid w:val="000D67C3"/>
    <w:rsid w:val="000E2FB3"/>
    <w:rsid w:val="000E6577"/>
    <w:rsid w:val="000F2E7F"/>
    <w:rsid w:val="000F7E4D"/>
    <w:rsid w:val="0010206A"/>
    <w:rsid w:val="001045F0"/>
    <w:rsid w:val="00105FCE"/>
    <w:rsid w:val="00114F33"/>
    <w:rsid w:val="00120D52"/>
    <w:rsid w:val="0012756D"/>
    <w:rsid w:val="001452BE"/>
    <w:rsid w:val="00155095"/>
    <w:rsid w:val="0015513A"/>
    <w:rsid w:val="001554BD"/>
    <w:rsid w:val="00193CD8"/>
    <w:rsid w:val="00195C60"/>
    <w:rsid w:val="001A3BC0"/>
    <w:rsid w:val="001B2197"/>
    <w:rsid w:val="001B2A69"/>
    <w:rsid w:val="001C3E78"/>
    <w:rsid w:val="001C44C1"/>
    <w:rsid w:val="001D4424"/>
    <w:rsid w:val="001E63EB"/>
    <w:rsid w:val="002047EB"/>
    <w:rsid w:val="00212ECC"/>
    <w:rsid w:val="00215BE3"/>
    <w:rsid w:val="0022686F"/>
    <w:rsid w:val="00237F73"/>
    <w:rsid w:val="00273D09"/>
    <w:rsid w:val="00275A75"/>
    <w:rsid w:val="002A1D76"/>
    <w:rsid w:val="002A3067"/>
    <w:rsid w:val="002B1AB5"/>
    <w:rsid w:val="002D1F57"/>
    <w:rsid w:val="002D3D9B"/>
    <w:rsid w:val="002D6083"/>
    <w:rsid w:val="002E25CA"/>
    <w:rsid w:val="002E28C4"/>
    <w:rsid w:val="002F1FE9"/>
    <w:rsid w:val="00303580"/>
    <w:rsid w:val="00307719"/>
    <w:rsid w:val="003169A4"/>
    <w:rsid w:val="00317ADD"/>
    <w:rsid w:val="00323282"/>
    <w:rsid w:val="00324961"/>
    <w:rsid w:val="00342DD2"/>
    <w:rsid w:val="00354D00"/>
    <w:rsid w:val="0036160D"/>
    <w:rsid w:val="003616F0"/>
    <w:rsid w:val="003709F6"/>
    <w:rsid w:val="003977C2"/>
    <w:rsid w:val="003A568D"/>
    <w:rsid w:val="003B13F7"/>
    <w:rsid w:val="003B6497"/>
    <w:rsid w:val="003C6040"/>
    <w:rsid w:val="003E7D5D"/>
    <w:rsid w:val="003E7E88"/>
    <w:rsid w:val="00407877"/>
    <w:rsid w:val="0042324F"/>
    <w:rsid w:val="00425894"/>
    <w:rsid w:val="00427B6D"/>
    <w:rsid w:val="00447F8B"/>
    <w:rsid w:val="00480121"/>
    <w:rsid w:val="00486101"/>
    <w:rsid w:val="00496FBA"/>
    <w:rsid w:val="004A6317"/>
    <w:rsid w:val="004D7CB4"/>
    <w:rsid w:val="004F2AE7"/>
    <w:rsid w:val="004F2CF7"/>
    <w:rsid w:val="004F41EA"/>
    <w:rsid w:val="004F515B"/>
    <w:rsid w:val="00507216"/>
    <w:rsid w:val="00550E1B"/>
    <w:rsid w:val="0055486B"/>
    <w:rsid w:val="00570620"/>
    <w:rsid w:val="00573B7C"/>
    <w:rsid w:val="00576B08"/>
    <w:rsid w:val="005A1F21"/>
    <w:rsid w:val="005C03A0"/>
    <w:rsid w:val="005D155C"/>
    <w:rsid w:val="005E4775"/>
    <w:rsid w:val="005F4A81"/>
    <w:rsid w:val="005F7A5B"/>
    <w:rsid w:val="00603F22"/>
    <w:rsid w:val="0060598E"/>
    <w:rsid w:val="006246EE"/>
    <w:rsid w:val="00626AF9"/>
    <w:rsid w:val="00637414"/>
    <w:rsid w:val="006542DF"/>
    <w:rsid w:val="006553CC"/>
    <w:rsid w:val="0065694D"/>
    <w:rsid w:val="006571E3"/>
    <w:rsid w:val="00657DE7"/>
    <w:rsid w:val="00662A4E"/>
    <w:rsid w:val="006642CD"/>
    <w:rsid w:val="00674CE1"/>
    <w:rsid w:val="006858C3"/>
    <w:rsid w:val="006A14DD"/>
    <w:rsid w:val="006B3260"/>
    <w:rsid w:val="006C177E"/>
    <w:rsid w:val="006D547F"/>
    <w:rsid w:val="006F1D67"/>
    <w:rsid w:val="006F75E5"/>
    <w:rsid w:val="00727C71"/>
    <w:rsid w:val="00735B6F"/>
    <w:rsid w:val="00743318"/>
    <w:rsid w:val="00751909"/>
    <w:rsid w:val="00777A19"/>
    <w:rsid w:val="0078265C"/>
    <w:rsid w:val="00785E54"/>
    <w:rsid w:val="0079301D"/>
    <w:rsid w:val="007B13CB"/>
    <w:rsid w:val="007B2EE3"/>
    <w:rsid w:val="007D4BF7"/>
    <w:rsid w:val="007F6FAB"/>
    <w:rsid w:val="008045A8"/>
    <w:rsid w:val="00811A0E"/>
    <w:rsid w:val="008130CD"/>
    <w:rsid w:val="008203A3"/>
    <w:rsid w:val="008258B3"/>
    <w:rsid w:val="00832800"/>
    <w:rsid w:val="008339B9"/>
    <w:rsid w:val="00841CBC"/>
    <w:rsid w:val="00843D28"/>
    <w:rsid w:val="00846E68"/>
    <w:rsid w:val="00877576"/>
    <w:rsid w:val="00885271"/>
    <w:rsid w:val="008A4FE9"/>
    <w:rsid w:val="008A5153"/>
    <w:rsid w:val="008B76F6"/>
    <w:rsid w:val="008D135A"/>
    <w:rsid w:val="008D7500"/>
    <w:rsid w:val="008E5051"/>
    <w:rsid w:val="009058EC"/>
    <w:rsid w:val="00915EC2"/>
    <w:rsid w:val="009327A8"/>
    <w:rsid w:val="00933833"/>
    <w:rsid w:val="0093553A"/>
    <w:rsid w:val="00956C41"/>
    <w:rsid w:val="009709DE"/>
    <w:rsid w:val="009960F5"/>
    <w:rsid w:val="009B4D3D"/>
    <w:rsid w:val="009E70BE"/>
    <w:rsid w:val="00A0296E"/>
    <w:rsid w:val="00A23B9E"/>
    <w:rsid w:val="00A25855"/>
    <w:rsid w:val="00A300B1"/>
    <w:rsid w:val="00A47116"/>
    <w:rsid w:val="00A828D8"/>
    <w:rsid w:val="00A94789"/>
    <w:rsid w:val="00AA086E"/>
    <w:rsid w:val="00AB1C10"/>
    <w:rsid w:val="00AB3496"/>
    <w:rsid w:val="00AB4877"/>
    <w:rsid w:val="00AD1D03"/>
    <w:rsid w:val="00AD4FF7"/>
    <w:rsid w:val="00AE05B5"/>
    <w:rsid w:val="00AE7315"/>
    <w:rsid w:val="00AF66E5"/>
    <w:rsid w:val="00B22383"/>
    <w:rsid w:val="00B22833"/>
    <w:rsid w:val="00B3228F"/>
    <w:rsid w:val="00B409DE"/>
    <w:rsid w:val="00B506AF"/>
    <w:rsid w:val="00B55483"/>
    <w:rsid w:val="00B67E92"/>
    <w:rsid w:val="00B76351"/>
    <w:rsid w:val="00B8294B"/>
    <w:rsid w:val="00BB1AB3"/>
    <w:rsid w:val="00BD4918"/>
    <w:rsid w:val="00BE610F"/>
    <w:rsid w:val="00C45FEA"/>
    <w:rsid w:val="00C50B89"/>
    <w:rsid w:val="00C52AE5"/>
    <w:rsid w:val="00C72531"/>
    <w:rsid w:val="00C75025"/>
    <w:rsid w:val="00C8770B"/>
    <w:rsid w:val="00C9026D"/>
    <w:rsid w:val="00C91531"/>
    <w:rsid w:val="00C96D91"/>
    <w:rsid w:val="00CD1CAD"/>
    <w:rsid w:val="00CE2909"/>
    <w:rsid w:val="00CE409B"/>
    <w:rsid w:val="00CF63DB"/>
    <w:rsid w:val="00D063D9"/>
    <w:rsid w:val="00D21389"/>
    <w:rsid w:val="00D22394"/>
    <w:rsid w:val="00D224D1"/>
    <w:rsid w:val="00D53F1C"/>
    <w:rsid w:val="00D66B2B"/>
    <w:rsid w:val="00D71A1E"/>
    <w:rsid w:val="00D85755"/>
    <w:rsid w:val="00DB1CB2"/>
    <w:rsid w:val="00DB45EF"/>
    <w:rsid w:val="00DC246C"/>
    <w:rsid w:val="00DC62A6"/>
    <w:rsid w:val="00DE7CD3"/>
    <w:rsid w:val="00DF48C9"/>
    <w:rsid w:val="00E00762"/>
    <w:rsid w:val="00E02D60"/>
    <w:rsid w:val="00E171B0"/>
    <w:rsid w:val="00E421E6"/>
    <w:rsid w:val="00E454A3"/>
    <w:rsid w:val="00E55A53"/>
    <w:rsid w:val="00E96598"/>
    <w:rsid w:val="00EB092A"/>
    <w:rsid w:val="00EC42A5"/>
    <w:rsid w:val="00ED6515"/>
    <w:rsid w:val="00EE2470"/>
    <w:rsid w:val="00EE2D21"/>
    <w:rsid w:val="00EE2D62"/>
    <w:rsid w:val="00EF0CAC"/>
    <w:rsid w:val="00EF3FBB"/>
    <w:rsid w:val="00F02348"/>
    <w:rsid w:val="00F0793D"/>
    <w:rsid w:val="00F135E2"/>
    <w:rsid w:val="00F22F26"/>
    <w:rsid w:val="00F304F5"/>
    <w:rsid w:val="00F4134A"/>
    <w:rsid w:val="00F41B63"/>
    <w:rsid w:val="00F4734B"/>
    <w:rsid w:val="00F65E4C"/>
    <w:rsid w:val="00F72B6E"/>
    <w:rsid w:val="00F90A6F"/>
    <w:rsid w:val="00F9391D"/>
    <w:rsid w:val="00F957E9"/>
    <w:rsid w:val="00F959A1"/>
    <w:rsid w:val="00F95B85"/>
    <w:rsid w:val="00F9722A"/>
    <w:rsid w:val="00FC39F1"/>
    <w:rsid w:val="00FE249F"/>
    <w:rsid w:val="00FE29CF"/>
    <w:rsid w:val="00FE4560"/>
    <w:rsid w:val="03475E41"/>
    <w:rsid w:val="060DA1B2"/>
    <w:rsid w:val="15FD149D"/>
    <w:rsid w:val="16EE407B"/>
    <w:rsid w:val="28BE9294"/>
    <w:rsid w:val="2CAA0EAC"/>
    <w:rsid w:val="3690D3D2"/>
    <w:rsid w:val="37BBC671"/>
    <w:rsid w:val="3C9CA1A8"/>
    <w:rsid w:val="4E50ECAA"/>
    <w:rsid w:val="519BCF19"/>
    <w:rsid w:val="58137725"/>
    <w:rsid w:val="5A6E569F"/>
    <w:rsid w:val="5F7CFAA4"/>
    <w:rsid w:val="646742A2"/>
    <w:rsid w:val="68E8FF33"/>
    <w:rsid w:val="6F46BDCE"/>
    <w:rsid w:val="7B383F3B"/>
    <w:rsid w:val="7BB8C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0B21"/>
  <w15:docId w15:val="{DF870C84-B0DA-456F-8C36-EAD94F15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A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9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0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8D8"/>
    <w:pPr>
      <w:ind w:left="720"/>
      <w:contextualSpacing/>
    </w:pPr>
  </w:style>
  <w:style w:type="table" w:styleId="TableGrid">
    <w:name w:val="Table Grid"/>
    <w:basedOn w:val="TableNormal"/>
    <w:uiPriority w:val="59"/>
    <w:rsid w:val="001D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930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7930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7930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1D"/>
  </w:style>
  <w:style w:type="paragraph" w:styleId="Footer">
    <w:name w:val="footer"/>
    <w:basedOn w:val="Normal"/>
    <w:link w:val="FooterChar"/>
    <w:uiPriority w:val="99"/>
    <w:unhideWhenUsed/>
    <w:rsid w:val="00793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1D"/>
  </w:style>
  <w:style w:type="table" w:styleId="LightList-Accent5">
    <w:name w:val="Light List Accent 5"/>
    <w:basedOn w:val="TableNormal"/>
    <w:uiPriority w:val="61"/>
    <w:rsid w:val="00215B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F959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ph">
    <w:name w:val="paragraph"/>
    <w:basedOn w:val="Normal"/>
    <w:rsid w:val="00E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1E6"/>
  </w:style>
  <w:style w:type="character" w:customStyle="1" w:styleId="eop">
    <w:name w:val="eop"/>
    <w:basedOn w:val="DefaultParagraphFont"/>
    <w:rsid w:val="00E421E6"/>
  </w:style>
  <w:style w:type="table" w:styleId="PlainTable1">
    <w:name w:val="Plain Table 1"/>
    <w:basedOn w:val="TableNormal"/>
    <w:uiPriority w:val="41"/>
    <w:rsid w:val="005F7A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7A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75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7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5A75"/>
    <w:rPr>
      <w:b/>
      <w:bCs/>
    </w:rPr>
  </w:style>
  <w:style w:type="character" w:styleId="Emphasis">
    <w:name w:val="Emphasis"/>
    <w:basedOn w:val="DefaultParagraphFont"/>
    <w:uiPriority w:val="20"/>
    <w:qFormat/>
    <w:rsid w:val="00275A7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9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E2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1ACF153BCE64A4C93EEF19D89635569" ma:contentTypeVersion="19" ma:contentTypeDescription="Core EDMS document content type" ma:contentTypeScope="" ma:versionID="230fa489d588a7a606fa6ea56d467c7b">
  <xsd:schema xmlns:xsd="http://www.w3.org/2001/XMLSchema" xmlns:xs="http://www.w3.org/2001/XMLSchema" xmlns:p="http://schemas.microsoft.com/office/2006/metadata/properties" xmlns:ns2="309fb892-6c00-4bec-8ce1-1f49efb3331d" xmlns:ns3="757668f4-8593-41f6-82d5-fd00786e0adc" targetNamespace="http://schemas.microsoft.com/office/2006/metadata/properties" ma:root="true" ma:fieldsID="b857e8457b6b19d949b5010de78b70cd" ns2:_="" ns3:_="">
    <xsd:import namespace="309fb892-6c00-4bec-8ce1-1f49efb3331d"/>
    <xsd:import namespace="757668f4-8593-41f6-82d5-fd00786e0ad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b892-6c00-4bec-8ce1-1f49efb3331d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5ac150-dd8e-48b4-934c-7a305995dbf8}" ma:internalName="TaxCatchAll" ma:showField="CatchAllData" ma:web="309fb892-6c00-4bec-8ce1-1f49efb33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5ac150-dd8e-48b4-934c-7a305995dbf8}" ma:internalName="TaxCatchAllLabel" ma:readOnly="true" ma:showField="CatchAllDataLabel" ma:web="309fb892-6c00-4bec-8ce1-1f49efb33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668f4-8593-41f6-82d5-fd00786e0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309fb892-6c00-4bec-8ce1-1f49efb333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Assurance and Self Evaluation</TermName>
          <TermId xmlns="http://schemas.microsoft.com/office/infopath/2007/PartnerControls">f4f63239-0f27-4a49-87ca-2b15b554324a</TermId>
        </TermInfo>
      </Terms>
    </FileplanmarkerTaxHTField>
    <TaxCatchAll xmlns="309fb892-6c00-4bec-8ce1-1f49efb3331d">
      <Value>138</Value>
    </TaxCatchAll>
    <Edmsdisposition xmlns="309fb892-6c00-4bec-8ce1-1f49efb3331d">Open</Edmsdisposition>
    <lcf76f155ced4ddcb4097134ff3c332f xmlns="757668f4-8593-41f6-82d5-fd00786e0adc">
      <Terms xmlns="http://schemas.microsoft.com/office/infopath/2007/PartnerControls"/>
    </lcf76f155ced4ddcb4097134ff3c332f>
    <Edmsdateclosed xmlns="309fb892-6c00-4bec-8ce1-1f49efb333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4F422-15D2-4288-8539-8583F9C7E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fb892-6c00-4bec-8ce1-1f49efb3331d"/>
    <ds:schemaRef ds:uri="757668f4-8593-41f6-82d5-fd00786e0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3ED70-1A46-4059-91DE-11B598E693D3}">
  <ds:schemaRefs>
    <ds:schemaRef ds:uri="http://schemas.microsoft.com/office/2006/metadata/properties"/>
    <ds:schemaRef ds:uri="http://schemas.microsoft.com/office/infopath/2007/PartnerControls"/>
    <ds:schemaRef ds:uri="309fb892-6c00-4bec-8ce1-1f49efb3331d"/>
    <ds:schemaRef ds:uri="757668f4-8593-41f6-82d5-fd00786e0adc"/>
  </ds:schemaRefs>
</ds:datastoreItem>
</file>

<file path=customXml/itemProps3.xml><?xml version="1.0" encoding="utf-8"?>
<ds:datastoreItem xmlns:ds="http://schemas.openxmlformats.org/officeDocument/2006/customXml" ds:itemID="{E7543CFF-D048-41E3-A599-B0B925E032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1024</Words>
  <Characters>5837</Characters>
  <Application>Microsoft Office Word</Application>
  <DocSecurity>0</DocSecurity>
  <Lines>48</Lines>
  <Paragraphs>13</Paragraphs>
  <ScaleCrop>false</ScaleCrop>
  <Company>Perth &amp; Kinross Council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 Verdot</dc:creator>
  <cp:lastModifiedBy>Hayley Noonan</cp:lastModifiedBy>
  <cp:revision>2</cp:revision>
  <cp:lastPrinted>2019-09-04T17:39:00Z</cp:lastPrinted>
  <dcterms:created xsi:type="dcterms:W3CDTF">2025-09-09T08:43:00Z</dcterms:created>
  <dcterms:modified xsi:type="dcterms:W3CDTF">2025-09-09T08:43:00Z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0x0101006303DCE5F3884555ABDE6450E03068EE00C1ACF153BCE64A4C93EEF19D89635569</vt:lpwstr>
  </property>
  <property fmtid="{D5CDD505-2E9C-101B-9397-08002B2CF9AE}" pid="3" name="Fileplanmarker">
    <vt:lpwstr>138;#Quality Assurance and Self Evaluation|f4f63239-0f27-4a49-87ca-2b15b554324a</vt:lpwstr>
  </property>
  <property fmtid="{D5CDD505-2E9C-101B-9397-08002B2CF9AE}" pid="4" name="MediaServiceImageTags">
    <vt:lpwstr/>
  </property>
</Properties>
</file>