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8BEB2" w14:textId="77777777" w:rsidR="00DB12A3" w:rsidRDefault="00FD7BE8">
      <w:r>
        <w:rPr>
          <w:noProof/>
          <w:lang w:eastAsia="en-GB"/>
        </w:rPr>
        <mc:AlternateContent>
          <mc:Choice Requires="wps">
            <w:drawing>
              <wp:anchor distT="0" distB="0" distL="114300" distR="114300" simplePos="0" relativeHeight="251661312" behindDoc="0" locked="0" layoutInCell="1" allowOverlap="1" wp14:anchorId="1BF85270" wp14:editId="207F46C4">
                <wp:simplePos x="0" y="0"/>
                <wp:positionH relativeFrom="column">
                  <wp:posOffset>146050</wp:posOffset>
                </wp:positionH>
                <wp:positionV relativeFrom="paragraph">
                  <wp:posOffset>9878695</wp:posOffset>
                </wp:positionV>
                <wp:extent cx="6953250" cy="295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953250" cy="295275"/>
                        </a:xfrm>
                        <a:prstGeom prst="rect">
                          <a:avLst/>
                        </a:prstGeom>
                        <a:solidFill>
                          <a:schemeClr val="lt1"/>
                        </a:solidFill>
                        <a:ln w="6350">
                          <a:solidFill>
                            <a:prstClr val="black"/>
                          </a:solidFill>
                        </a:ln>
                      </wps:spPr>
                      <wps:txbx>
                        <w:txbxContent>
                          <w:p w14:paraId="76013EA1" w14:textId="514FF888" w:rsidR="00FD7BE8" w:rsidRDefault="00FD7BE8" w:rsidP="00FD7BE8">
                            <w:pPr>
                              <w:spacing w:after="0" w:line="240" w:lineRule="auto"/>
                              <w:rPr>
                                <w:rFonts w:ascii="Arial" w:hAnsi="Arial" w:cs="Arial"/>
                                <w:b/>
                                <w:sz w:val="24"/>
                                <w:szCs w:val="24"/>
                              </w:rPr>
                            </w:pPr>
                            <w:r>
                              <w:rPr>
                                <w:rFonts w:ascii="Arial" w:hAnsi="Arial" w:cs="Arial"/>
                                <w:b/>
                                <w:sz w:val="24"/>
                                <w:szCs w:val="24"/>
                              </w:rPr>
                              <w:t xml:space="preserve">Updated and shared with all staff </w:t>
                            </w:r>
                            <w:r w:rsidR="000A406B">
                              <w:rPr>
                                <w:rFonts w:ascii="Arial" w:hAnsi="Arial" w:cs="Arial"/>
                                <w:b/>
                                <w:sz w:val="24"/>
                                <w:szCs w:val="24"/>
                              </w:rPr>
                              <w:t>February 2026</w:t>
                            </w:r>
                            <w:r>
                              <w:rPr>
                                <w:rFonts w:ascii="Arial" w:hAnsi="Arial" w:cs="Arial"/>
                                <w:b/>
                                <w:sz w:val="24"/>
                                <w:szCs w:val="24"/>
                              </w:rPr>
                              <w:t xml:space="preserve"> by Nicola Ferguson </w:t>
                            </w:r>
                          </w:p>
                          <w:p w14:paraId="28CCA2F2" w14:textId="77777777" w:rsidR="00FD7BE8" w:rsidRDefault="00FD7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F85270" id="_x0000_t202" coordsize="21600,21600" o:spt="202" path="m,l,21600r21600,l21600,xe">
                <v:stroke joinstyle="miter"/>
                <v:path gradientshapeok="t" o:connecttype="rect"/>
              </v:shapetype>
              <v:shape id="Text Box 4" o:spid="_x0000_s1026" type="#_x0000_t202" style="position:absolute;margin-left:11.5pt;margin-top:777.85pt;width:547.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" fillcolor="white [3201]" strokeweight=".5pt">
                <v:textbox>
                  <w:txbxContent>
                    <w:p w14:paraId="76013EA1" w14:textId="514FF888" w:rsidR="00FD7BE8" w:rsidRDefault="00FD7BE8" w:rsidP="00FD7BE8">
                      <w:pPr>
                        <w:spacing w:after="0" w:line="240" w:lineRule="auto"/>
                        <w:rPr>
                          <w:rFonts w:ascii="Arial" w:hAnsi="Arial" w:cs="Arial"/>
                          <w:b/>
                          <w:sz w:val="24"/>
                          <w:szCs w:val="24"/>
                        </w:rPr>
                      </w:pPr>
                      <w:r>
                        <w:rPr>
                          <w:rFonts w:ascii="Arial" w:hAnsi="Arial" w:cs="Arial"/>
                          <w:b/>
                          <w:sz w:val="24"/>
                          <w:szCs w:val="24"/>
                        </w:rPr>
                        <w:t xml:space="preserve">Updated and shared with all staff </w:t>
                      </w:r>
                      <w:r w:rsidR="000A406B">
                        <w:rPr>
                          <w:rFonts w:ascii="Arial" w:hAnsi="Arial" w:cs="Arial"/>
                          <w:b/>
                          <w:sz w:val="24"/>
                          <w:szCs w:val="24"/>
                        </w:rPr>
                        <w:t>February 2026</w:t>
                      </w:r>
                      <w:r>
                        <w:rPr>
                          <w:rFonts w:ascii="Arial" w:hAnsi="Arial" w:cs="Arial"/>
                          <w:b/>
                          <w:sz w:val="24"/>
                          <w:szCs w:val="24"/>
                        </w:rPr>
                        <w:t xml:space="preserve"> by Nicola Ferguson </w:t>
                      </w:r>
                    </w:p>
                    <w:p w14:paraId="28CCA2F2" w14:textId="77777777" w:rsidR="00FD7BE8" w:rsidRDefault="00FD7BE8"/>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DCA9848" wp14:editId="7040DC24">
                <wp:simplePos x="0" y="0"/>
                <wp:positionH relativeFrom="margin">
                  <wp:posOffset>12700</wp:posOffset>
                </wp:positionH>
                <wp:positionV relativeFrom="paragraph">
                  <wp:posOffset>125096</wp:posOffset>
                </wp:positionV>
                <wp:extent cx="7086600" cy="9601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7086600" cy="9601200"/>
                        </a:xfrm>
                        <a:prstGeom prst="rect">
                          <a:avLst/>
                        </a:prstGeom>
                        <a:solidFill>
                          <a:schemeClr val="lt1"/>
                        </a:solidFill>
                        <a:ln w="6350">
                          <a:solidFill>
                            <a:prstClr val="black"/>
                          </a:solidFill>
                        </a:ln>
                      </wps:spPr>
                      <wps:txbx>
                        <w:txbxContent>
                          <w:p w14:paraId="3EE54C2F" w14:textId="77777777" w:rsidR="0038287E" w:rsidRPr="007E2D0C"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shd w:val="clear" w:color="auto" w:fill="FFFFFF"/>
                              </w:rPr>
                              <w:t>Planning is flexible and used as a guide rather than followed slavishly. The most important planning that is done is the short-term daily/weekly planning that arises from discussions with the children at the planning stage of play and is recorded in the chat books. Talk is an important feature of the planning stage as it extends thinking, vocabulary and enriches ideas for play (Moyles, 2013).</w:t>
                            </w:r>
                            <w:r>
                              <w:rPr>
                                <w:rFonts w:ascii="Arial" w:hAnsi="Arial" w:cs="Arial"/>
                                <w:color w:val="000000" w:themeColor="text1"/>
                                <w:sz w:val="20"/>
                                <w:szCs w:val="20"/>
                                <w:shd w:val="clear" w:color="auto" w:fill="FFFFFF"/>
                              </w:rPr>
                              <w:t xml:space="preserve"> </w:t>
                            </w:r>
                            <w:r w:rsidRPr="007E2D0C">
                              <w:rPr>
                                <w:rFonts w:ascii="Arial" w:hAnsi="Arial" w:cs="Arial"/>
                                <w:color w:val="000000" w:themeColor="text1"/>
                                <w:sz w:val="20"/>
                                <w:szCs w:val="20"/>
                              </w:rPr>
                              <w:t>Ensuring that all children receive equity in their learning is evident in both the way in which the nursery is designed and also in the way in which the adults interact with children to support their play.</w:t>
                            </w:r>
                          </w:p>
                          <w:p w14:paraId="7DA884CE" w14:textId="77777777" w:rsidR="0038287E" w:rsidRPr="007E2D0C"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rPr>
                              <w:t>Listening and observing children will be the key tools we use to assess children during play and are therefore the main tools for assessment within the nursery.  Lancaster and Kirby (2010) point out that listening to children is a respectful act and is concerned with the child’s feelings as well as their thinking.</w:t>
                            </w:r>
                            <w:r w:rsidRPr="007E2D0C">
                              <w:rPr>
                                <w:rFonts w:ascii="Arial" w:hAnsi="Arial" w:cs="Arial"/>
                                <w:color w:val="000000" w:themeColor="text1"/>
                                <w:sz w:val="20"/>
                                <w:szCs w:val="20"/>
                                <w:shd w:val="clear" w:color="auto" w:fill="FFFFFF"/>
                              </w:rPr>
                              <w:t xml:space="preserve"> Observation is the practice of looking at children to find out how they are developing, what they like doing and what they are learning through their play and the experiences on offer (Stewart, 2011). </w:t>
                            </w:r>
                            <w:r w:rsidRPr="007E2D0C">
                              <w:rPr>
                                <w:rFonts w:ascii="Arial" w:hAnsi="Arial" w:cs="Arial"/>
                                <w:color w:val="000000" w:themeColor="text1"/>
                                <w:sz w:val="20"/>
                                <w:szCs w:val="20"/>
                              </w:rPr>
                              <w:t xml:space="preserve">The </w:t>
                            </w:r>
                            <w:r>
                              <w:rPr>
                                <w:rFonts w:ascii="Arial" w:hAnsi="Arial" w:cs="Arial"/>
                                <w:color w:val="000000" w:themeColor="text1"/>
                                <w:sz w:val="20"/>
                                <w:szCs w:val="20"/>
                              </w:rPr>
                              <w:t>adult</w:t>
                            </w:r>
                            <w:r w:rsidRPr="007E2D0C">
                              <w:rPr>
                                <w:rFonts w:ascii="Arial" w:hAnsi="Arial" w:cs="Arial"/>
                                <w:color w:val="000000" w:themeColor="text1"/>
                                <w:sz w:val="20"/>
                                <w:szCs w:val="20"/>
                              </w:rPr>
                              <w:t>’s role when observing is to notice what the child is learning. Donaldson (1978) refers to this as ‘de-centring,’ in other words, seeing what the child is experiencing first over what the teacher’s view of the experience is.</w:t>
                            </w:r>
                          </w:p>
                          <w:p w14:paraId="44FBDBF4" w14:textId="55FC23CC" w:rsidR="0062088D"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rPr>
                              <w:t xml:space="preserve">Nursery staff will track specific children throughout the week, will observe children as they play within their areas and during </w:t>
                            </w:r>
                            <w:proofErr w:type="spellStart"/>
                            <w:r w:rsidRPr="007E2D0C">
                              <w:rPr>
                                <w:rFonts w:ascii="Arial" w:hAnsi="Arial" w:cs="Arial"/>
                                <w:color w:val="000000" w:themeColor="text1"/>
                                <w:sz w:val="20"/>
                                <w:szCs w:val="20"/>
                              </w:rPr>
                              <w:t>chat</w:t>
                            </w:r>
                            <w:proofErr w:type="spellEnd"/>
                            <w:r w:rsidRPr="007E2D0C">
                              <w:rPr>
                                <w:rFonts w:ascii="Arial" w:hAnsi="Arial" w:cs="Arial"/>
                                <w:color w:val="000000" w:themeColor="text1"/>
                                <w:sz w:val="20"/>
                                <w:szCs w:val="20"/>
                              </w:rPr>
                              <w:t xml:space="preserve"> time.</w:t>
                            </w:r>
                            <w:r w:rsidRPr="007E2D0C">
                              <w:rPr>
                                <w:rFonts w:ascii="Arial" w:hAnsi="Arial" w:cs="Arial"/>
                                <w:b/>
                                <w:color w:val="000000" w:themeColor="text1"/>
                                <w:sz w:val="20"/>
                                <w:szCs w:val="20"/>
                              </w:rPr>
                              <w:t xml:space="preserve"> The focus should be on the skills and concepts that are relevant to that child. Staff have a shared understanding of what skills they are </w:t>
                            </w:r>
                            <w:proofErr w:type="gramStart"/>
                            <w:r w:rsidRPr="007E2D0C">
                              <w:rPr>
                                <w:rFonts w:ascii="Arial" w:hAnsi="Arial" w:cs="Arial"/>
                                <w:b/>
                                <w:color w:val="000000" w:themeColor="text1"/>
                                <w:sz w:val="20"/>
                                <w:szCs w:val="20"/>
                              </w:rPr>
                              <w:t>observing</w:t>
                            </w:r>
                            <w:proofErr w:type="gramEnd"/>
                            <w:r w:rsidRPr="007E2D0C">
                              <w:rPr>
                                <w:rFonts w:ascii="Arial" w:hAnsi="Arial" w:cs="Arial"/>
                                <w:b/>
                                <w:color w:val="000000" w:themeColor="text1"/>
                                <w:sz w:val="20"/>
                                <w:szCs w:val="20"/>
                              </w:rPr>
                              <w:t xml:space="preserve"> and these are </w:t>
                            </w:r>
                            <w:r w:rsidR="000A406B">
                              <w:rPr>
                                <w:rFonts w:ascii="Arial" w:hAnsi="Arial" w:cs="Arial"/>
                                <w:b/>
                                <w:color w:val="000000" w:themeColor="text1"/>
                                <w:sz w:val="20"/>
                                <w:szCs w:val="20"/>
                              </w:rPr>
                              <w:t>incorporated in the planning book</w:t>
                            </w:r>
                            <w:r w:rsidRPr="007E2D0C">
                              <w:rPr>
                                <w:rFonts w:ascii="Arial" w:hAnsi="Arial" w:cs="Arial"/>
                                <w:b/>
                                <w:color w:val="000000" w:themeColor="text1"/>
                                <w:sz w:val="20"/>
                                <w:szCs w:val="20"/>
                              </w:rPr>
                              <w:t xml:space="preserve">. </w:t>
                            </w:r>
                            <w:r w:rsidRPr="007E2D0C">
                              <w:rPr>
                                <w:rFonts w:ascii="Arial" w:hAnsi="Arial" w:cs="Arial"/>
                                <w:color w:val="000000" w:themeColor="text1"/>
                                <w:sz w:val="20"/>
                                <w:szCs w:val="20"/>
                              </w:rPr>
                              <w:t>Nursery staff should record observations of children’s learning both within their chat books</w:t>
                            </w:r>
                            <w:r>
                              <w:rPr>
                                <w:rFonts w:ascii="Arial" w:hAnsi="Arial" w:cs="Arial"/>
                                <w:color w:val="000000" w:themeColor="text1"/>
                                <w:sz w:val="20"/>
                                <w:szCs w:val="20"/>
                              </w:rPr>
                              <w:t xml:space="preserve"> (informal)</w:t>
                            </w:r>
                            <w:r w:rsidRPr="007E2D0C">
                              <w:rPr>
                                <w:rFonts w:ascii="Arial" w:hAnsi="Arial" w:cs="Arial"/>
                                <w:color w:val="000000" w:themeColor="text1"/>
                                <w:sz w:val="20"/>
                                <w:szCs w:val="20"/>
                              </w:rPr>
                              <w:t xml:space="preserve"> and </w:t>
                            </w:r>
                            <w:r>
                              <w:rPr>
                                <w:rFonts w:ascii="Arial" w:hAnsi="Arial" w:cs="Arial"/>
                                <w:color w:val="000000" w:themeColor="text1"/>
                                <w:sz w:val="20"/>
                                <w:szCs w:val="20"/>
                              </w:rPr>
                              <w:t>on learning journals (formal)</w:t>
                            </w:r>
                            <w:r w:rsidRPr="007E2D0C">
                              <w:rPr>
                                <w:rFonts w:ascii="Arial" w:hAnsi="Arial" w:cs="Arial"/>
                                <w:color w:val="000000" w:themeColor="text1"/>
                                <w:sz w:val="20"/>
                                <w:szCs w:val="20"/>
                              </w:rPr>
                              <w:t xml:space="preserve">. </w:t>
                            </w:r>
                          </w:p>
                          <w:p w14:paraId="0D320911" w14:textId="77777777" w:rsidR="00FD7BE8" w:rsidRDefault="0062088D" w:rsidP="00FD7BE8">
                            <w:pPr>
                              <w:jc w:val="both"/>
                              <w:rPr>
                                <w:rFonts w:ascii="Arial" w:hAnsi="Arial" w:cs="Arial"/>
                                <w:b/>
                                <w:color w:val="000000" w:themeColor="text1"/>
                                <w:sz w:val="20"/>
                                <w:szCs w:val="20"/>
                              </w:rPr>
                            </w:pPr>
                            <w:r w:rsidRPr="0062088D">
                              <w:rPr>
                                <w:rFonts w:ascii="Arial" w:hAnsi="Arial" w:cs="Arial"/>
                                <w:b/>
                                <w:color w:val="000000" w:themeColor="text1"/>
                                <w:sz w:val="20"/>
                                <w:szCs w:val="20"/>
                              </w:rPr>
                              <w:t>Observing into Recording</w:t>
                            </w:r>
                          </w:p>
                          <w:p w14:paraId="53929A74" w14:textId="77777777" w:rsidR="00B41115" w:rsidRPr="00FD7BE8" w:rsidRDefault="0062088D" w:rsidP="00FD7BE8">
                            <w:pPr>
                              <w:jc w:val="both"/>
                              <w:rPr>
                                <w:rFonts w:ascii="Arial" w:hAnsi="Arial" w:cs="Arial"/>
                                <w:b/>
                                <w:color w:val="000000" w:themeColor="text1"/>
                                <w:sz w:val="20"/>
                                <w:szCs w:val="20"/>
                              </w:rPr>
                            </w:pPr>
                            <w:r w:rsidRPr="0062088D">
                              <w:rPr>
                                <w:noProof/>
                                <w:lang w:eastAsia="en-GB"/>
                              </w:rPr>
                              <w:drawing>
                                <wp:inline distT="0" distB="0" distL="0" distR="0" wp14:anchorId="591075DE" wp14:editId="67869C6A">
                                  <wp:extent cx="6896100" cy="6448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0" cy="644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9848" id="Text Box 3" o:spid="_x0000_s1027" type="#_x0000_t202" style="position:absolute;margin-left:1pt;margin-top:9.85pt;width:558pt;height:7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" fillcolor="white [3201]" strokeweight=".5pt">
                <v:textbox>
                  <w:txbxContent>
                    <w:p w14:paraId="3EE54C2F" w14:textId="77777777" w:rsidR="0038287E" w:rsidRPr="007E2D0C"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shd w:val="clear" w:color="auto" w:fill="FFFFFF"/>
                        </w:rPr>
                        <w:t>Planning is flexible and used as a guide rather than followed slavishly. The most important planning that is done is the short-term daily/weekly planning that arises from discussions with the children at the planning stage of play and is recorded in the chat books. Talk is an important feature of the planning stage as it extends thinking, vocabulary and enriches ideas for play (Moyles, 2013).</w:t>
                      </w:r>
                      <w:r>
                        <w:rPr>
                          <w:rFonts w:ascii="Arial" w:hAnsi="Arial" w:cs="Arial"/>
                          <w:color w:val="000000" w:themeColor="text1"/>
                          <w:sz w:val="20"/>
                          <w:szCs w:val="20"/>
                          <w:shd w:val="clear" w:color="auto" w:fill="FFFFFF"/>
                        </w:rPr>
                        <w:t xml:space="preserve"> </w:t>
                      </w:r>
                      <w:r w:rsidRPr="007E2D0C">
                        <w:rPr>
                          <w:rFonts w:ascii="Arial" w:hAnsi="Arial" w:cs="Arial"/>
                          <w:color w:val="000000" w:themeColor="text1"/>
                          <w:sz w:val="20"/>
                          <w:szCs w:val="20"/>
                        </w:rPr>
                        <w:t>Ensuring that all children receive equity in their learning is evident in both the way in which the nursery is designed and also in the way in which the adults interact with children to support their play.</w:t>
                      </w:r>
                    </w:p>
                    <w:p w14:paraId="7DA884CE" w14:textId="77777777" w:rsidR="0038287E" w:rsidRPr="007E2D0C"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rPr>
                        <w:t>Listening and observing children will be the key tools we use to assess children during play and are therefore the main tools for assessment within the nursery.  Lancaster and Kirby (2010) point out that listening to children is a respectful act and is concerned with the child’s feelings as well as their thinking.</w:t>
                      </w:r>
                      <w:r w:rsidRPr="007E2D0C">
                        <w:rPr>
                          <w:rFonts w:ascii="Arial" w:hAnsi="Arial" w:cs="Arial"/>
                          <w:color w:val="000000" w:themeColor="text1"/>
                          <w:sz w:val="20"/>
                          <w:szCs w:val="20"/>
                          <w:shd w:val="clear" w:color="auto" w:fill="FFFFFF"/>
                        </w:rPr>
                        <w:t xml:space="preserve"> Observation is the practice of looking at children to find out how they are developing, what they like doing and what they are learning through their play and the experiences on offer (Stewart, 2011). </w:t>
                      </w:r>
                      <w:r w:rsidRPr="007E2D0C">
                        <w:rPr>
                          <w:rFonts w:ascii="Arial" w:hAnsi="Arial" w:cs="Arial"/>
                          <w:color w:val="000000" w:themeColor="text1"/>
                          <w:sz w:val="20"/>
                          <w:szCs w:val="20"/>
                        </w:rPr>
                        <w:t xml:space="preserve">The </w:t>
                      </w:r>
                      <w:r>
                        <w:rPr>
                          <w:rFonts w:ascii="Arial" w:hAnsi="Arial" w:cs="Arial"/>
                          <w:color w:val="000000" w:themeColor="text1"/>
                          <w:sz w:val="20"/>
                          <w:szCs w:val="20"/>
                        </w:rPr>
                        <w:t>adult</w:t>
                      </w:r>
                      <w:r w:rsidRPr="007E2D0C">
                        <w:rPr>
                          <w:rFonts w:ascii="Arial" w:hAnsi="Arial" w:cs="Arial"/>
                          <w:color w:val="000000" w:themeColor="text1"/>
                          <w:sz w:val="20"/>
                          <w:szCs w:val="20"/>
                        </w:rPr>
                        <w:t>’s role when observing is to notice what the child is learning. Donaldson (1978) refers to this as ‘de-centring,’ in other words, seeing what the child is experiencing first over what the teacher’s view of the experience is.</w:t>
                      </w:r>
                    </w:p>
                    <w:p w14:paraId="44FBDBF4" w14:textId="55FC23CC" w:rsidR="0062088D" w:rsidRDefault="0038287E" w:rsidP="0038287E">
                      <w:pPr>
                        <w:jc w:val="both"/>
                        <w:rPr>
                          <w:rFonts w:ascii="Arial" w:hAnsi="Arial" w:cs="Arial"/>
                          <w:color w:val="000000" w:themeColor="text1"/>
                          <w:sz w:val="20"/>
                          <w:szCs w:val="20"/>
                        </w:rPr>
                      </w:pPr>
                      <w:r w:rsidRPr="007E2D0C">
                        <w:rPr>
                          <w:rFonts w:ascii="Arial" w:hAnsi="Arial" w:cs="Arial"/>
                          <w:color w:val="000000" w:themeColor="text1"/>
                          <w:sz w:val="20"/>
                          <w:szCs w:val="20"/>
                        </w:rPr>
                        <w:t xml:space="preserve">Nursery staff will track specific children throughout the week, will observe children as they play within their areas and during </w:t>
                      </w:r>
                      <w:proofErr w:type="spellStart"/>
                      <w:r w:rsidRPr="007E2D0C">
                        <w:rPr>
                          <w:rFonts w:ascii="Arial" w:hAnsi="Arial" w:cs="Arial"/>
                          <w:color w:val="000000" w:themeColor="text1"/>
                          <w:sz w:val="20"/>
                          <w:szCs w:val="20"/>
                        </w:rPr>
                        <w:t>chat</w:t>
                      </w:r>
                      <w:proofErr w:type="spellEnd"/>
                      <w:r w:rsidRPr="007E2D0C">
                        <w:rPr>
                          <w:rFonts w:ascii="Arial" w:hAnsi="Arial" w:cs="Arial"/>
                          <w:color w:val="000000" w:themeColor="text1"/>
                          <w:sz w:val="20"/>
                          <w:szCs w:val="20"/>
                        </w:rPr>
                        <w:t xml:space="preserve"> time.</w:t>
                      </w:r>
                      <w:r w:rsidRPr="007E2D0C">
                        <w:rPr>
                          <w:rFonts w:ascii="Arial" w:hAnsi="Arial" w:cs="Arial"/>
                          <w:b/>
                          <w:color w:val="000000" w:themeColor="text1"/>
                          <w:sz w:val="20"/>
                          <w:szCs w:val="20"/>
                        </w:rPr>
                        <w:t xml:space="preserve"> The focus should be on the skills and concepts that are relevant to that child. Staff have a shared understanding of what skills they are </w:t>
                      </w:r>
                      <w:proofErr w:type="gramStart"/>
                      <w:r w:rsidRPr="007E2D0C">
                        <w:rPr>
                          <w:rFonts w:ascii="Arial" w:hAnsi="Arial" w:cs="Arial"/>
                          <w:b/>
                          <w:color w:val="000000" w:themeColor="text1"/>
                          <w:sz w:val="20"/>
                          <w:szCs w:val="20"/>
                        </w:rPr>
                        <w:t>observing</w:t>
                      </w:r>
                      <w:proofErr w:type="gramEnd"/>
                      <w:r w:rsidRPr="007E2D0C">
                        <w:rPr>
                          <w:rFonts w:ascii="Arial" w:hAnsi="Arial" w:cs="Arial"/>
                          <w:b/>
                          <w:color w:val="000000" w:themeColor="text1"/>
                          <w:sz w:val="20"/>
                          <w:szCs w:val="20"/>
                        </w:rPr>
                        <w:t xml:space="preserve"> and these are </w:t>
                      </w:r>
                      <w:r w:rsidR="000A406B">
                        <w:rPr>
                          <w:rFonts w:ascii="Arial" w:hAnsi="Arial" w:cs="Arial"/>
                          <w:b/>
                          <w:color w:val="000000" w:themeColor="text1"/>
                          <w:sz w:val="20"/>
                          <w:szCs w:val="20"/>
                        </w:rPr>
                        <w:t>incorporated in the planning book</w:t>
                      </w:r>
                      <w:r w:rsidRPr="007E2D0C">
                        <w:rPr>
                          <w:rFonts w:ascii="Arial" w:hAnsi="Arial" w:cs="Arial"/>
                          <w:b/>
                          <w:color w:val="000000" w:themeColor="text1"/>
                          <w:sz w:val="20"/>
                          <w:szCs w:val="20"/>
                        </w:rPr>
                        <w:t xml:space="preserve">. </w:t>
                      </w:r>
                      <w:r w:rsidRPr="007E2D0C">
                        <w:rPr>
                          <w:rFonts w:ascii="Arial" w:hAnsi="Arial" w:cs="Arial"/>
                          <w:color w:val="000000" w:themeColor="text1"/>
                          <w:sz w:val="20"/>
                          <w:szCs w:val="20"/>
                        </w:rPr>
                        <w:t>Nursery staff should record observations of children’s learning both within their chat books</w:t>
                      </w:r>
                      <w:r>
                        <w:rPr>
                          <w:rFonts w:ascii="Arial" w:hAnsi="Arial" w:cs="Arial"/>
                          <w:color w:val="000000" w:themeColor="text1"/>
                          <w:sz w:val="20"/>
                          <w:szCs w:val="20"/>
                        </w:rPr>
                        <w:t xml:space="preserve"> (informal)</w:t>
                      </w:r>
                      <w:r w:rsidRPr="007E2D0C">
                        <w:rPr>
                          <w:rFonts w:ascii="Arial" w:hAnsi="Arial" w:cs="Arial"/>
                          <w:color w:val="000000" w:themeColor="text1"/>
                          <w:sz w:val="20"/>
                          <w:szCs w:val="20"/>
                        </w:rPr>
                        <w:t xml:space="preserve"> and </w:t>
                      </w:r>
                      <w:r>
                        <w:rPr>
                          <w:rFonts w:ascii="Arial" w:hAnsi="Arial" w:cs="Arial"/>
                          <w:color w:val="000000" w:themeColor="text1"/>
                          <w:sz w:val="20"/>
                          <w:szCs w:val="20"/>
                        </w:rPr>
                        <w:t>on learning journals (formal)</w:t>
                      </w:r>
                      <w:r w:rsidRPr="007E2D0C">
                        <w:rPr>
                          <w:rFonts w:ascii="Arial" w:hAnsi="Arial" w:cs="Arial"/>
                          <w:color w:val="000000" w:themeColor="text1"/>
                          <w:sz w:val="20"/>
                          <w:szCs w:val="20"/>
                        </w:rPr>
                        <w:t xml:space="preserve">. </w:t>
                      </w:r>
                    </w:p>
                    <w:p w14:paraId="0D320911" w14:textId="77777777" w:rsidR="00FD7BE8" w:rsidRDefault="0062088D" w:rsidP="00FD7BE8">
                      <w:pPr>
                        <w:jc w:val="both"/>
                        <w:rPr>
                          <w:rFonts w:ascii="Arial" w:hAnsi="Arial" w:cs="Arial"/>
                          <w:b/>
                          <w:color w:val="000000" w:themeColor="text1"/>
                          <w:sz w:val="20"/>
                          <w:szCs w:val="20"/>
                        </w:rPr>
                      </w:pPr>
                      <w:r w:rsidRPr="0062088D">
                        <w:rPr>
                          <w:rFonts w:ascii="Arial" w:hAnsi="Arial" w:cs="Arial"/>
                          <w:b/>
                          <w:color w:val="000000" w:themeColor="text1"/>
                          <w:sz w:val="20"/>
                          <w:szCs w:val="20"/>
                        </w:rPr>
                        <w:t>Observing into Recording</w:t>
                      </w:r>
                    </w:p>
                    <w:p w14:paraId="53929A74" w14:textId="77777777" w:rsidR="00B41115" w:rsidRPr="00FD7BE8" w:rsidRDefault="0062088D" w:rsidP="00FD7BE8">
                      <w:pPr>
                        <w:jc w:val="both"/>
                        <w:rPr>
                          <w:rFonts w:ascii="Arial" w:hAnsi="Arial" w:cs="Arial"/>
                          <w:b/>
                          <w:color w:val="000000" w:themeColor="text1"/>
                          <w:sz w:val="20"/>
                          <w:szCs w:val="20"/>
                        </w:rPr>
                      </w:pPr>
                      <w:r w:rsidRPr="0062088D">
                        <w:rPr>
                          <w:noProof/>
                          <w:lang w:eastAsia="en-GB"/>
                        </w:rPr>
                        <w:drawing>
                          <wp:inline distT="0" distB="0" distL="0" distR="0" wp14:anchorId="591075DE" wp14:editId="67869C6A">
                            <wp:extent cx="6896100" cy="6448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0" cy="6448425"/>
                                    </a:xfrm>
                                    <a:prstGeom prst="rect">
                                      <a:avLst/>
                                    </a:prstGeom>
                                    <a:noFill/>
                                    <a:ln>
                                      <a:noFill/>
                                    </a:ln>
                                  </pic:spPr>
                                </pic:pic>
                              </a:graphicData>
                            </a:graphic>
                          </wp:inline>
                        </w:drawing>
                      </w:r>
                    </w:p>
                  </w:txbxContent>
                </v:textbox>
                <w10:wrap anchorx="margin"/>
              </v:shape>
            </w:pict>
          </mc:Fallback>
        </mc:AlternateContent>
      </w:r>
      <w:r>
        <w:rPr>
          <w:noProof/>
          <w:lang w:eastAsia="en-GB"/>
        </w:rPr>
        <w:drawing>
          <wp:anchor distT="0" distB="0" distL="114300" distR="114300" simplePos="0" relativeHeight="251658240" behindDoc="0" locked="0" layoutInCell="1" allowOverlap="1" wp14:anchorId="034A570E" wp14:editId="55FA5EDE">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88D">
        <w:rPr>
          <w:noProof/>
          <w:lang w:eastAsia="en-GB"/>
        </w:rPr>
        <w:drawing>
          <wp:inline distT="0" distB="0" distL="0" distR="0" wp14:anchorId="01165FFE" wp14:editId="526D489F">
            <wp:extent cx="7316470" cy="691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6470" cy="6916420"/>
                    </a:xfrm>
                    <a:prstGeom prst="rect">
                      <a:avLst/>
                    </a:prstGeom>
                    <a:noFill/>
                  </pic:spPr>
                </pic:pic>
              </a:graphicData>
            </a:graphic>
          </wp:inline>
        </w:drawing>
      </w:r>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F852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visibility:visible" o:bullet="t">
        <v:imagedata r:id="rId1" o:title="" gain="79922f"/>
      </v:shape>
    </w:pict>
  </w:numPicBullet>
  <w:abstractNum w:abstractNumId="0" w15:restartNumberingAfterBreak="0">
    <w:nsid w:val="24323A08"/>
    <w:multiLevelType w:val="hybridMultilevel"/>
    <w:tmpl w:val="1FBCBC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C51B47"/>
    <w:multiLevelType w:val="hybridMultilevel"/>
    <w:tmpl w:val="4702939C"/>
    <w:lvl w:ilvl="0" w:tplc="55EC94A6">
      <w:start w:val="1"/>
      <w:numFmt w:val="bullet"/>
      <w:lvlText w:val=""/>
      <w:lvlPicBulletId w:val="0"/>
      <w:lvlJc w:val="left"/>
      <w:pPr>
        <w:tabs>
          <w:tab w:val="num" w:pos="720"/>
        </w:tabs>
        <w:ind w:left="720" w:hanging="360"/>
      </w:pPr>
      <w:rPr>
        <w:rFonts w:ascii="Symbol" w:hAnsi="Symbol" w:hint="default"/>
      </w:rPr>
    </w:lvl>
    <w:lvl w:ilvl="1" w:tplc="2682BA9E" w:tentative="1">
      <w:start w:val="1"/>
      <w:numFmt w:val="bullet"/>
      <w:lvlText w:val=""/>
      <w:lvlJc w:val="left"/>
      <w:pPr>
        <w:tabs>
          <w:tab w:val="num" w:pos="1440"/>
        </w:tabs>
        <w:ind w:left="1440" w:hanging="360"/>
      </w:pPr>
      <w:rPr>
        <w:rFonts w:ascii="Symbol" w:hAnsi="Symbol" w:hint="default"/>
      </w:rPr>
    </w:lvl>
    <w:lvl w:ilvl="2" w:tplc="F0E88152" w:tentative="1">
      <w:start w:val="1"/>
      <w:numFmt w:val="bullet"/>
      <w:lvlText w:val=""/>
      <w:lvlJc w:val="left"/>
      <w:pPr>
        <w:tabs>
          <w:tab w:val="num" w:pos="2160"/>
        </w:tabs>
        <w:ind w:left="2160" w:hanging="360"/>
      </w:pPr>
      <w:rPr>
        <w:rFonts w:ascii="Symbol" w:hAnsi="Symbol" w:hint="default"/>
      </w:rPr>
    </w:lvl>
    <w:lvl w:ilvl="3" w:tplc="9CF4B96C" w:tentative="1">
      <w:start w:val="1"/>
      <w:numFmt w:val="bullet"/>
      <w:lvlText w:val=""/>
      <w:lvlJc w:val="left"/>
      <w:pPr>
        <w:tabs>
          <w:tab w:val="num" w:pos="2880"/>
        </w:tabs>
        <w:ind w:left="2880" w:hanging="360"/>
      </w:pPr>
      <w:rPr>
        <w:rFonts w:ascii="Symbol" w:hAnsi="Symbol" w:hint="default"/>
      </w:rPr>
    </w:lvl>
    <w:lvl w:ilvl="4" w:tplc="02C46702" w:tentative="1">
      <w:start w:val="1"/>
      <w:numFmt w:val="bullet"/>
      <w:lvlText w:val=""/>
      <w:lvlJc w:val="left"/>
      <w:pPr>
        <w:tabs>
          <w:tab w:val="num" w:pos="3600"/>
        </w:tabs>
        <w:ind w:left="3600" w:hanging="360"/>
      </w:pPr>
      <w:rPr>
        <w:rFonts w:ascii="Symbol" w:hAnsi="Symbol" w:hint="default"/>
      </w:rPr>
    </w:lvl>
    <w:lvl w:ilvl="5" w:tplc="36B8C156" w:tentative="1">
      <w:start w:val="1"/>
      <w:numFmt w:val="bullet"/>
      <w:lvlText w:val=""/>
      <w:lvlJc w:val="left"/>
      <w:pPr>
        <w:tabs>
          <w:tab w:val="num" w:pos="4320"/>
        </w:tabs>
        <w:ind w:left="4320" w:hanging="360"/>
      </w:pPr>
      <w:rPr>
        <w:rFonts w:ascii="Symbol" w:hAnsi="Symbol" w:hint="default"/>
      </w:rPr>
    </w:lvl>
    <w:lvl w:ilvl="6" w:tplc="89D06C3A" w:tentative="1">
      <w:start w:val="1"/>
      <w:numFmt w:val="bullet"/>
      <w:lvlText w:val=""/>
      <w:lvlJc w:val="left"/>
      <w:pPr>
        <w:tabs>
          <w:tab w:val="num" w:pos="5040"/>
        </w:tabs>
        <w:ind w:left="5040" w:hanging="360"/>
      </w:pPr>
      <w:rPr>
        <w:rFonts w:ascii="Symbol" w:hAnsi="Symbol" w:hint="default"/>
      </w:rPr>
    </w:lvl>
    <w:lvl w:ilvl="7" w:tplc="88F216A6" w:tentative="1">
      <w:start w:val="1"/>
      <w:numFmt w:val="bullet"/>
      <w:lvlText w:val=""/>
      <w:lvlJc w:val="left"/>
      <w:pPr>
        <w:tabs>
          <w:tab w:val="num" w:pos="5760"/>
        </w:tabs>
        <w:ind w:left="5760" w:hanging="360"/>
      </w:pPr>
      <w:rPr>
        <w:rFonts w:ascii="Symbol" w:hAnsi="Symbol" w:hint="default"/>
      </w:rPr>
    </w:lvl>
    <w:lvl w:ilvl="8" w:tplc="45566C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4787CD9"/>
    <w:multiLevelType w:val="hybridMultilevel"/>
    <w:tmpl w:val="C15E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024B66"/>
    <w:multiLevelType w:val="hybridMultilevel"/>
    <w:tmpl w:val="7DCA2A68"/>
    <w:lvl w:ilvl="0" w:tplc="38C8C916">
      <w:start w:val="1"/>
      <w:numFmt w:val="bullet"/>
      <w:lvlText w:val=""/>
      <w:lvlPicBulletId w:val="0"/>
      <w:lvlJc w:val="left"/>
      <w:pPr>
        <w:tabs>
          <w:tab w:val="num" w:pos="720"/>
        </w:tabs>
        <w:ind w:left="720" w:hanging="360"/>
      </w:pPr>
      <w:rPr>
        <w:rFonts w:ascii="Symbol" w:hAnsi="Symbol" w:hint="default"/>
      </w:rPr>
    </w:lvl>
    <w:lvl w:ilvl="1" w:tplc="08029BBE" w:tentative="1">
      <w:start w:val="1"/>
      <w:numFmt w:val="bullet"/>
      <w:lvlText w:val=""/>
      <w:lvlJc w:val="left"/>
      <w:pPr>
        <w:tabs>
          <w:tab w:val="num" w:pos="1440"/>
        </w:tabs>
        <w:ind w:left="1440" w:hanging="360"/>
      </w:pPr>
      <w:rPr>
        <w:rFonts w:ascii="Symbol" w:hAnsi="Symbol" w:hint="default"/>
      </w:rPr>
    </w:lvl>
    <w:lvl w:ilvl="2" w:tplc="2D36CAEA" w:tentative="1">
      <w:start w:val="1"/>
      <w:numFmt w:val="bullet"/>
      <w:lvlText w:val=""/>
      <w:lvlJc w:val="left"/>
      <w:pPr>
        <w:tabs>
          <w:tab w:val="num" w:pos="2160"/>
        </w:tabs>
        <w:ind w:left="2160" w:hanging="360"/>
      </w:pPr>
      <w:rPr>
        <w:rFonts w:ascii="Symbol" w:hAnsi="Symbol" w:hint="default"/>
      </w:rPr>
    </w:lvl>
    <w:lvl w:ilvl="3" w:tplc="2D6E1C52" w:tentative="1">
      <w:start w:val="1"/>
      <w:numFmt w:val="bullet"/>
      <w:lvlText w:val=""/>
      <w:lvlJc w:val="left"/>
      <w:pPr>
        <w:tabs>
          <w:tab w:val="num" w:pos="2880"/>
        </w:tabs>
        <w:ind w:left="2880" w:hanging="360"/>
      </w:pPr>
      <w:rPr>
        <w:rFonts w:ascii="Symbol" w:hAnsi="Symbol" w:hint="default"/>
      </w:rPr>
    </w:lvl>
    <w:lvl w:ilvl="4" w:tplc="C248DAF2" w:tentative="1">
      <w:start w:val="1"/>
      <w:numFmt w:val="bullet"/>
      <w:lvlText w:val=""/>
      <w:lvlJc w:val="left"/>
      <w:pPr>
        <w:tabs>
          <w:tab w:val="num" w:pos="3600"/>
        </w:tabs>
        <w:ind w:left="3600" w:hanging="360"/>
      </w:pPr>
      <w:rPr>
        <w:rFonts w:ascii="Symbol" w:hAnsi="Symbol" w:hint="default"/>
      </w:rPr>
    </w:lvl>
    <w:lvl w:ilvl="5" w:tplc="31223468" w:tentative="1">
      <w:start w:val="1"/>
      <w:numFmt w:val="bullet"/>
      <w:lvlText w:val=""/>
      <w:lvlJc w:val="left"/>
      <w:pPr>
        <w:tabs>
          <w:tab w:val="num" w:pos="4320"/>
        </w:tabs>
        <w:ind w:left="4320" w:hanging="360"/>
      </w:pPr>
      <w:rPr>
        <w:rFonts w:ascii="Symbol" w:hAnsi="Symbol" w:hint="default"/>
      </w:rPr>
    </w:lvl>
    <w:lvl w:ilvl="6" w:tplc="DB6C4538" w:tentative="1">
      <w:start w:val="1"/>
      <w:numFmt w:val="bullet"/>
      <w:lvlText w:val=""/>
      <w:lvlJc w:val="left"/>
      <w:pPr>
        <w:tabs>
          <w:tab w:val="num" w:pos="5040"/>
        </w:tabs>
        <w:ind w:left="5040" w:hanging="360"/>
      </w:pPr>
      <w:rPr>
        <w:rFonts w:ascii="Symbol" w:hAnsi="Symbol" w:hint="default"/>
      </w:rPr>
    </w:lvl>
    <w:lvl w:ilvl="7" w:tplc="E0DE356A" w:tentative="1">
      <w:start w:val="1"/>
      <w:numFmt w:val="bullet"/>
      <w:lvlText w:val=""/>
      <w:lvlJc w:val="left"/>
      <w:pPr>
        <w:tabs>
          <w:tab w:val="num" w:pos="5760"/>
        </w:tabs>
        <w:ind w:left="5760" w:hanging="360"/>
      </w:pPr>
      <w:rPr>
        <w:rFonts w:ascii="Symbol" w:hAnsi="Symbol" w:hint="default"/>
      </w:rPr>
    </w:lvl>
    <w:lvl w:ilvl="8" w:tplc="90A23298" w:tentative="1">
      <w:start w:val="1"/>
      <w:numFmt w:val="bullet"/>
      <w:lvlText w:val=""/>
      <w:lvlJc w:val="left"/>
      <w:pPr>
        <w:tabs>
          <w:tab w:val="num" w:pos="6480"/>
        </w:tabs>
        <w:ind w:left="6480" w:hanging="360"/>
      </w:pPr>
      <w:rPr>
        <w:rFonts w:ascii="Symbol" w:hAnsi="Symbol" w:hint="default"/>
      </w:rPr>
    </w:lvl>
  </w:abstractNum>
  <w:num w:numId="1" w16cid:durableId="1118110994">
    <w:abstractNumId w:val="1"/>
  </w:num>
  <w:num w:numId="2" w16cid:durableId="755325034">
    <w:abstractNumId w:val="2"/>
  </w:num>
  <w:num w:numId="3" w16cid:durableId="1877619744">
    <w:abstractNumId w:val="4"/>
  </w:num>
  <w:num w:numId="4" w16cid:durableId="1042750732">
    <w:abstractNumId w:val="3"/>
  </w:num>
  <w:num w:numId="5" w16cid:durableId="1862667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7FF"/>
    <w:rsid w:val="000217FF"/>
    <w:rsid w:val="000A406B"/>
    <w:rsid w:val="000B51BA"/>
    <w:rsid w:val="000B5E51"/>
    <w:rsid w:val="000C1F96"/>
    <w:rsid w:val="00247BAF"/>
    <w:rsid w:val="00265FBF"/>
    <w:rsid w:val="002A78C4"/>
    <w:rsid w:val="002F034A"/>
    <w:rsid w:val="0031020A"/>
    <w:rsid w:val="0038287E"/>
    <w:rsid w:val="003958FA"/>
    <w:rsid w:val="003A4561"/>
    <w:rsid w:val="004A4F36"/>
    <w:rsid w:val="004E5905"/>
    <w:rsid w:val="0054581F"/>
    <w:rsid w:val="00595EBF"/>
    <w:rsid w:val="005B3CBD"/>
    <w:rsid w:val="0062088D"/>
    <w:rsid w:val="00692265"/>
    <w:rsid w:val="00714FE5"/>
    <w:rsid w:val="0073159D"/>
    <w:rsid w:val="00850C3A"/>
    <w:rsid w:val="00916F95"/>
    <w:rsid w:val="009563F3"/>
    <w:rsid w:val="009C48E6"/>
    <w:rsid w:val="00B41115"/>
    <w:rsid w:val="00B84854"/>
    <w:rsid w:val="00BC30E0"/>
    <w:rsid w:val="00C6456D"/>
    <w:rsid w:val="00C80612"/>
    <w:rsid w:val="00C83646"/>
    <w:rsid w:val="00D42995"/>
    <w:rsid w:val="00D8206C"/>
    <w:rsid w:val="00DB12A3"/>
    <w:rsid w:val="00EF5B00"/>
    <w:rsid w:val="00F45967"/>
    <w:rsid w:val="00F932EE"/>
    <w:rsid w:val="00FD7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31980"/>
  <w15:chartTrackingRefBased/>
  <w15:docId w15:val="{8E8EBAA1-3B66-4DEF-B574-CBFD176B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 w:type="paragraph" w:styleId="NormalWeb">
    <w:name w:val="Normal (Web)"/>
    <w:basedOn w:val="Normal"/>
    <w:uiPriority w:val="99"/>
    <w:unhideWhenUsed/>
    <w:rsid w:val="00850C3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39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ec3e00-94cd-4837-a7be-43332b452647">
      <Terms xmlns="http://schemas.microsoft.com/office/infopath/2007/PartnerControls"/>
    </lcf76f155ced4ddcb4097134ff3c332f>
    <TaxCatchAll xmlns="8dda547b-fe08-43e0-89ec-dfc102ae7d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E6F204D18CE9469D9BC0D0560BFF67" ma:contentTypeVersion="16" ma:contentTypeDescription="Create a new document." ma:contentTypeScope="" ma:versionID="814a1658fcb63bd5302f8f41d8a3a7aa">
  <xsd:schema xmlns:xsd="http://www.w3.org/2001/XMLSchema" xmlns:xs="http://www.w3.org/2001/XMLSchema" xmlns:p="http://schemas.microsoft.com/office/2006/metadata/properties" xmlns:ns2="c5ec3e00-94cd-4837-a7be-43332b452647" xmlns:ns3="8dda547b-fe08-43e0-89ec-dfc102ae7d30" targetNamespace="http://schemas.microsoft.com/office/2006/metadata/properties" ma:root="true" ma:fieldsID="bbcccc0ecd60d415ff3b9bf782348e1f" ns2:_="" ns3:_="">
    <xsd:import namespace="c5ec3e00-94cd-4837-a7be-43332b452647"/>
    <xsd:import namespace="8dda547b-fe08-43e0-89ec-dfc102ae7d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c3e00-94cd-4837-a7be-43332b452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da547b-fe08-43e0-89ec-dfc102ae7d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bb196f-e79f-48d8-bec0-2c19e44a37ab}" ma:internalName="TaxCatchAll" ma:showField="CatchAllData" ma:web="8dda547b-fe08-43e0-89ec-dfc102ae7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C60CE-5736-470A-9233-01DA5159C6ED}">
  <ds:schemaRefs>
    <ds:schemaRef ds:uri="http://schemas.microsoft.com/office/2006/metadata/properties"/>
    <ds:schemaRef ds:uri="http://schemas.microsoft.com/office/infopath/2007/PartnerControls"/>
    <ds:schemaRef ds:uri="c5ec3e00-94cd-4837-a7be-43332b452647"/>
    <ds:schemaRef ds:uri="8dda547b-fe08-43e0-89ec-dfc102ae7d30"/>
  </ds:schemaRefs>
</ds:datastoreItem>
</file>

<file path=customXml/itemProps2.xml><?xml version="1.0" encoding="utf-8"?>
<ds:datastoreItem xmlns:ds="http://schemas.openxmlformats.org/officeDocument/2006/customXml" ds:itemID="{D8E5ECC2-3CCF-47B3-BAC4-48C58748D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c3e00-94cd-4837-a7be-43332b452647"/>
    <ds:schemaRef ds:uri="8dda547b-fe08-43e0-89ec-dfc102ae7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BEB21-40CD-4032-9C7D-3541EB3139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Miss Ferguson</cp:lastModifiedBy>
  <cp:revision>5</cp:revision>
  <cp:lastPrinted>2018-12-20T11:07:00Z</cp:lastPrinted>
  <dcterms:created xsi:type="dcterms:W3CDTF">2023-01-10T14:14:00Z</dcterms:created>
  <dcterms:modified xsi:type="dcterms:W3CDTF">2026-02-20T15:13:00Z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0x0101009AE6F204D18CE9469D9BC0D0560BFF67</vt:lpwstr>
  </property>
</Properties>
</file>