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2B79DA" w:rsidP="00607AF0" w:rsidRDefault="00F61135" w14:paraId="14C3FE65" w14:textId="3A967BBA">
      <w:pPr>
        <w:jc w:val="center"/>
        <w:rPr>
          <w:sz w:val="56"/>
          <w:szCs w:val="56"/>
        </w:rPr>
      </w:pPr>
      <w:r>
        <w:rPr>
          <w:sz w:val="56"/>
          <w:szCs w:val="56"/>
        </w:rPr>
        <w:t>SQA</w:t>
      </w:r>
      <w:r w:rsidRPr="00607AF0" w:rsidR="00607AF0">
        <w:rPr>
          <w:sz w:val="56"/>
          <w:szCs w:val="56"/>
        </w:rPr>
        <w:t xml:space="preserve"> Information evening</w:t>
      </w:r>
    </w:p>
    <w:p w:rsidR="00607AF0" w:rsidP="00607AF0" w:rsidRDefault="00607AF0" w14:paraId="1467BF6C" w14:textId="77777777">
      <w:pPr>
        <w:jc w:val="center"/>
        <w:rPr>
          <w:sz w:val="56"/>
          <w:szCs w:val="56"/>
        </w:rPr>
      </w:pPr>
    </w:p>
    <w:p w:rsidR="00607AF0" w:rsidP="00607AF0" w:rsidRDefault="00607AF0" w14:paraId="602260D3" w14:textId="3CA42F23">
      <w:pPr>
        <w:jc w:val="center"/>
        <w:rPr>
          <w:sz w:val="56"/>
          <w:szCs w:val="56"/>
        </w:rPr>
      </w:pPr>
      <w:r w:rsidRPr="00607AF0">
        <w:rPr>
          <w:noProof/>
          <w:sz w:val="56"/>
          <w:szCs w:val="56"/>
        </w:rPr>
        <w:drawing>
          <wp:inline distT="0" distB="0" distL="0" distR="0" wp14:anchorId="325EEA5E" wp14:editId="3B01B74D">
            <wp:extent cx="2473601" cy="2414905"/>
            <wp:effectExtent l="0" t="0" r="3175" b="4445"/>
            <wp:docPr id="1026" name="Picture 2" descr="Taylor High School Pathways – Que tout soit pour Dieu">
              <a:extLst xmlns:a="http://schemas.openxmlformats.org/drawingml/2006/main">
                <a:ext uri="{FF2B5EF4-FFF2-40B4-BE49-F238E27FC236}">
                  <a16:creationId xmlns:a16="http://schemas.microsoft.com/office/drawing/2014/main" id="{A261F1D3-F028-5431-39CB-CBDD9CC2B0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aylor High School Pathways – Que tout soit pour Dieu">
                      <a:extLst>
                        <a:ext uri="{FF2B5EF4-FFF2-40B4-BE49-F238E27FC236}">
                          <a16:creationId xmlns:a16="http://schemas.microsoft.com/office/drawing/2014/main" id="{A261F1D3-F028-5431-39CB-CBDD9CC2B0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76" cy="243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7AF0">
        <w:rPr>
          <w:noProof/>
          <w:sz w:val="56"/>
          <w:szCs w:val="56"/>
        </w:rPr>
        <w:drawing>
          <wp:inline distT="0" distB="0" distL="0" distR="0" wp14:anchorId="01B1372C" wp14:editId="069E4437">
            <wp:extent cx="3105150" cy="2551693"/>
            <wp:effectExtent l="0" t="0" r="0" b="1270"/>
            <wp:docPr id="1028" name="Picture 4" descr="A map of spain with a fla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45EA48-549E-1546-3BA7-5FC7FC5C1B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map of spain with a flag&#10;&#10;Description automatically generated">
                      <a:extLst>
                        <a:ext uri="{FF2B5EF4-FFF2-40B4-BE49-F238E27FC236}">
                          <a16:creationId xmlns:a16="http://schemas.microsoft.com/office/drawing/2014/main" id="{C745EA48-549E-1546-3BA7-5FC7FC5C1B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516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07AF0" w:rsidP="00607AF0" w:rsidRDefault="00607AF0" w14:paraId="33EE3A92" w14:textId="77777777">
      <w:pPr>
        <w:jc w:val="center"/>
        <w:rPr>
          <w:sz w:val="56"/>
          <w:szCs w:val="56"/>
        </w:rPr>
      </w:pPr>
    </w:p>
    <w:p w:rsidR="00607AF0" w:rsidP="00607AF0" w:rsidRDefault="00607AF0" w14:paraId="382D8E90" w14:textId="77777777">
      <w:pPr>
        <w:jc w:val="center"/>
        <w:rPr>
          <w:sz w:val="56"/>
          <w:szCs w:val="56"/>
        </w:rPr>
      </w:pPr>
    </w:p>
    <w:p w:rsidRPr="00607AF0" w:rsidR="00607AF0" w:rsidP="61C43731" w:rsidRDefault="00607AF0" w14:paraId="41E6E463" w14:textId="21C22768">
      <w:pPr>
        <w:pStyle w:val="Normal"/>
        <w:jc w:val="center"/>
        <w:rPr>
          <w:sz w:val="56"/>
          <w:szCs w:val="56"/>
        </w:rPr>
      </w:pPr>
      <w:r w:rsidRPr="61C43731" w:rsidR="481BDE75">
        <w:rPr>
          <w:sz w:val="56"/>
          <w:szCs w:val="56"/>
        </w:rPr>
        <w:t xml:space="preserve">Taylor High School </w:t>
      </w:r>
    </w:p>
    <w:p w:rsidR="00607AF0" w:rsidP="00607AF0" w:rsidRDefault="00607AF0" w14:paraId="51D47CD6" w14:textId="77777777">
      <w:pPr>
        <w:jc w:val="center"/>
        <w:rPr>
          <w:sz w:val="56"/>
          <w:szCs w:val="56"/>
        </w:rPr>
      </w:pPr>
      <w:r w:rsidRPr="00607AF0">
        <w:rPr>
          <w:sz w:val="56"/>
          <w:szCs w:val="56"/>
        </w:rPr>
        <w:t>Spanish</w:t>
      </w:r>
    </w:p>
    <w:p w:rsidR="00607AF0" w:rsidP="00607AF0" w:rsidRDefault="00607AF0" w14:paraId="6C928EC1" w14:textId="77777777">
      <w:pPr>
        <w:jc w:val="center"/>
        <w:rPr>
          <w:sz w:val="56"/>
          <w:szCs w:val="56"/>
        </w:rPr>
      </w:pPr>
    </w:p>
    <w:p w:rsidR="00607AF0" w:rsidP="00607AF0" w:rsidRDefault="00607AF0" w14:paraId="15DBB3D5" w14:textId="77777777" w14:noSpellErr="1">
      <w:pPr>
        <w:jc w:val="center"/>
        <w:rPr>
          <w:sz w:val="56"/>
          <w:szCs w:val="56"/>
        </w:rPr>
      </w:pPr>
    </w:p>
    <w:p w:rsidR="61C43731" w:rsidP="61C43731" w:rsidRDefault="61C43731" w14:paraId="7AA5D5A4" w14:textId="106E5836">
      <w:pPr>
        <w:jc w:val="center"/>
        <w:rPr>
          <w:sz w:val="56"/>
          <w:szCs w:val="56"/>
        </w:rPr>
      </w:pPr>
    </w:p>
    <w:p w:rsidR="00607AF0" w:rsidP="00607AF0" w:rsidRDefault="00607AF0" w14:paraId="03B431C7" w14:textId="77777777">
      <w:pPr>
        <w:jc w:val="center"/>
        <w:rPr>
          <w:sz w:val="56"/>
          <w:szCs w:val="56"/>
        </w:rPr>
      </w:pPr>
    </w:p>
    <w:p w:rsidR="00607AF0" w:rsidP="61C43731" w:rsidRDefault="00607AF0" w14:paraId="1BBACF4B" w14:textId="6EC275D5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607AF0" w:rsidP="00607AF0" w:rsidRDefault="00607AF0" w14:paraId="526914FB" w14:textId="2079646E">
      <w:pPr>
        <w:jc w:val="center"/>
      </w:pPr>
      <w:r w:rsidR="4C00DDA8">
        <w:drawing>
          <wp:inline wp14:editId="0D9A3E09" wp14:anchorId="10EF1581">
            <wp:extent cx="5724525" cy="2314575"/>
            <wp:effectExtent l="0" t="0" r="0" b="0"/>
            <wp:docPr id="77110387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71103870" name=""/>
                    <pic:cNvPicPr/>
                  </pic:nvPicPr>
                  <pic:blipFill>
                    <a:blip xmlns:r="http://schemas.openxmlformats.org/officeDocument/2006/relationships" r:embed="rId17165125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F0" w:rsidP="61C43731" w:rsidRDefault="00607AF0" w14:paraId="02B4C1F9" w14:textId="24F8DAA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1C43731" w:rsidR="1C3981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Studying Spanish in the Senior Phase</w:t>
      </w:r>
    </w:p>
    <w:p w:rsidR="00607AF0" w:rsidP="61C43731" w:rsidRDefault="00607AF0" w14:paraId="53A6CB88" w14:textId="2DBD54FE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607AF0" w:rsidP="61C43731" w:rsidRDefault="00607AF0" w14:paraId="3B11E19E" w14:textId="706A9C07">
      <w:pPr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1C39817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At Taylor </w:t>
      </w:r>
      <w:r w:rsidRPr="61C43731" w:rsidR="3850799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High</w:t>
      </w:r>
      <w:r w:rsidRPr="61C43731" w:rsidR="1C39817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School we offer Spanish in the Senior Phase from National 3 through to Higher level. </w:t>
      </w:r>
    </w:p>
    <w:p w:rsidR="00607AF0" w:rsidP="61C43731" w:rsidRDefault="00607AF0" w14:paraId="43E1E2F1" w14:textId="6887E6BD">
      <w:pPr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79B6076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All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courses provide an in-depth study of Spanish, through class work, both individual and group work, </w:t>
      </w:r>
      <w:r w:rsidRPr="61C43731" w:rsidR="20212DE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enabling pupils</w:t>
      </w:r>
      <w:r w:rsidRPr="61C43731" w:rsidR="4AFF8F3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to </w:t>
      </w:r>
      <w:r w:rsidRPr="61C43731" w:rsidR="061423E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continue to</w:t>
      </w:r>
      <w:r w:rsidRPr="61C43731" w:rsidR="4AFF8F3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develop the skills they </w:t>
      </w:r>
      <w:r w:rsidRPr="61C43731" w:rsidR="7ECA70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learned</w:t>
      </w:r>
      <w:r w:rsidRPr="61C43731" w:rsidR="4AFF8F3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in the BGE</w:t>
      </w:r>
      <w:r w:rsidRPr="61C43731" w:rsidR="7A77A78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as they progress through the </w:t>
      </w:r>
      <w:r w:rsidRPr="61C43731" w:rsidR="7A77A78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different levels</w:t>
      </w:r>
      <w:r w:rsidRPr="61C43731" w:rsidR="4AFF8F3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607AF0" w:rsidR="00607AF0" w:rsidP="61C43731" w:rsidRDefault="00607AF0" w14:paraId="0A7AA651" w14:textId="38005349">
      <w:pPr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6E1AF6E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 four key skills developed when studying a language are Reading, Writing, Listening and Talking and it is in these four areas where learners will be assessed. </w:t>
      </w:r>
    </w:p>
    <w:p w:rsidRPr="00607AF0" w:rsidR="00607AF0" w:rsidP="61C43731" w:rsidRDefault="00607AF0" w14:paraId="715BFD1F" w14:textId="213DC54A">
      <w:pPr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769726A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 topic areas covered when learning a language in the Senior Phase aim to expand on what pupils have learned during the BGE. </w:t>
      </w:r>
      <w:r w:rsidRPr="61C43731" w:rsidR="6027019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Pupils will d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evelop</w:t>
      </w:r>
      <w:r w:rsidRPr="61C43731" w:rsidR="15F51F1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their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knowledge and understanding of detailed and complex language in the </w:t>
      </w:r>
      <w:r w:rsidRPr="61C43731" w:rsidR="0BFA2D7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four broad 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contexts of </w:t>
      </w:r>
      <w:r w:rsidRPr="61C43731" w:rsidR="4F9C8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ociety, </w:t>
      </w:r>
      <w:r w:rsidRPr="61C43731" w:rsidR="6C08785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earning, </w:t>
      </w:r>
      <w:r w:rsidRPr="61C43731" w:rsidR="78266FF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mployability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and </w:t>
      </w:r>
      <w:r w:rsidRPr="61C43731" w:rsidR="12EB4CD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ulture.</w:t>
      </w:r>
    </w:p>
    <w:p w:rsidR="00607AF0" w:rsidP="61C43731" w:rsidRDefault="00607AF0" w14:paraId="7811BA5B" w14:textId="297ECE5E">
      <w:pPr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16DAD92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Pupils </w:t>
      </w:r>
      <w:r w:rsidRPr="61C43731" w:rsidR="481BDE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will learn how to structure Spanish present, past and future tenses</w:t>
      </w:r>
      <w:r w:rsidRPr="61C43731" w:rsidR="58DEA18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as they advance </w:t>
      </w:r>
      <w:r w:rsidRPr="61C43731" w:rsidR="3752BB7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through</w:t>
      </w:r>
      <w:r w:rsidRPr="61C43731" w:rsidR="58DEA18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 courses.</w:t>
      </w:r>
    </w:p>
    <w:p w:rsidR="00607AF0" w:rsidP="61C43731" w:rsidRDefault="00607AF0" w14:paraId="7E803DD3" w14:textId="64651343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607AF0" w:rsidP="13E4B7BC" w:rsidRDefault="00607AF0" w14:paraId="569013A6" w14:textId="14B48CD4">
      <w:pPr>
        <w:ind w:left="1440" w:firstLine="7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="0803739D">
        <w:drawing>
          <wp:inline wp14:editId="065DF41D" wp14:anchorId="16CA675F">
            <wp:extent cx="3059430" cy="1665605"/>
            <wp:effectExtent l="0" t="0" r="7620" b="0"/>
            <wp:docPr id="1333207467" name="Picture 2" descr="Culture in Spain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3" descr="Culture in Spai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F0" w:rsidP="61C43731" w:rsidRDefault="00607AF0" w14:paraId="2AADE2A4" w14:textId="5E8E72CE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3E4B7BC" w:rsidP="13E4B7BC" w:rsidRDefault="13E4B7BC" w14:paraId="757EA85B" w14:textId="280D19D9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00607AF0" w:rsidP="61C43731" w:rsidRDefault="00607AF0" w14:paraId="17D5C896" w14:textId="7440D921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1C43731" w:rsidR="160EB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National 3/ 4 Spanish</w:t>
      </w:r>
    </w:p>
    <w:p w:rsidR="2698EDE0" w:rsidP="61C43731" w:rsidRDefault="2698EDE0" w14:paraId="5A79794D" w14:textId="3F5E0B9B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698ED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Pupils sitting National 3 or National 4 Spanish will be internally assessed across the 4 key skill areas</w:t>
      </w:r>
      <w:r w:rsidRPr="61C43731" w:rsidR="669F2F5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of Reading, Writing, </w:t>
      </w:r>
      <w:r w:rsidRPr="61C43731" w:rsidR="76DD771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Listening</w:t>
      </w:r>
      <w:r w:rsidRPr="61C43731" w:rsidR="669F2F5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and Talking. There is no final exam at these levels. </w:t>
      </w:r>
      <w:r w:rsidRPr="61C43731" w:rsidR="4A7D23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Instead, pupils will undertake coursework tasks in each of the four skill areas. For National 4, pupils </w:t>
      </w:r>
      <w:r w:rsidRPr="61C43731" w:rsidR="4A7D23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are also required to</w:t>
      </w:r>
      <w:r w:rsidRPr="61C43731" w:rsidR="4A7D23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do an AVU which involves reading and talking skil</w:t>
      </w:r>
      <w:r w:rsidRPr="61C43731" w:rsidR="7E6AFF8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ls. </w:t>
      </w:r>
      <w:r w:rsidRPr="61C43731" w:rsidR="669F2F5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Successful completion of these courses would allow pupils the opportunity to progress to National 5 leve</w:t>
      </w:r>
      <w:r w:rsidRPr="61C43731" w:rsidR="611516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l. </w:t>
      </w:r>
    </w:p>
    <w:p w:rsidR="61C43731" w:rsidP="61C43731" w:rsidRDefault="61C43731" w14:paraId="2A104516" w14:textId="787976AB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61C43731" w:rsidP="61C43731" w:rsidRDefault="61C43731" w14:paraId="4809D1BD" w14:textId="7E680039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60EB479" w:rsidP="13E4B7BC" w:rsidRDefault="160EB479" w14:paraId="035D2C93" w14:textId="044206F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13E4B7BC" w:rsidR="160EB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National 5 Spanish</w:t>
      </w:r>
    </w:p>
    <w:p w:rsidR="3A0DF4FA" w:rsidP="61C43731" w:rsidRDefault="3A0DF4FA" w14:paraId="77F4088F" w14:textId="744B3C4D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3A0DF4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National 5 Spanish continues to build on skills learned in the BGE and through National 3 and 4 courses. </w:t>
      </w:r>
      <w:r w:rsidRPr="61C43731" w:rsidR="471F20F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At National 5 level, pupils must complete </w:t>
      </w:r>
      <w:r w:rsidRPr="61C43731" w:rsidR="6B62EAB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coursework throughout the year as well as sit the final exam in May.</w:t>
      </w:r>
      <w:r w:rsidRPr="61C43731" w:rsidR="7D05596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7D055960" w:rsidP="61C43731" w:rsidRDefault="7D055960" w14:paraId="37DE3402" w14:textId="1147CA0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1C43731" w:rsidR="7D0559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Coursework</w:t>
      </w:r>
    </w:p>
    <w:p w:rsidR="7D055960" w:rsidP="61C43731" w:rsidRDefault="7D055960" w14:paraId="5615B543" w14:textId="52DF16C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r w:rsidRPr="13E4B7BC" w:rsidR="7D0559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  <w:t>Writing Assignment</w:t>
      </w:r>
      <w:r w:rsidRPr="13E4B7BC" w:rsidR="024DDD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  <w:t>:</w:t>
      </w:r>
    </w:p>
    <w:p w:rsidR="7D055960" w:rsidP="61C43731" w:rsidRDefault="7D055960" w14:paraId="0CF91E29" w14:textId="499ACAE6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7D05596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Pupils will prepare to </w:t>
      </w:r>
      <w:r w:rsidRPr="61C43731" w:rsidR="7D05596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write</w:t>
      </w:r>
      <w:r w:rsidRPr="61C43731" w:rsidR="7D05596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short essay </w:t>
      </w:r>
      <w:r w:rsidRPr="61C43731" w:rsidR="5CAC659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(120-200</w:t>
      </w:r>
      <w:r w:rsidRPr="61C43731" w:rsidR="76383B9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words</w:t>
      </w:r>
      <w:r w:rsidRPr="61C43731" w:rsidR="5CAC659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) </w:t>
      </w:r>
      <w:r w:rsidRPr="61C43731" w:rsidR="7D05596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on a topic area from within </w:t>
      </w:r>
      <w:r w:rsidRPr="61C43731" w:rsidR="6537DA8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the contexts</w:t>
      </w:r>
      <w:r w:rsidRPr="61C43731" w:rsidR="239FE55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of Society, Learning and Culture, as the topic of </w:t>
      </w:r>
      <w:r w:rsidRPr="61C43731" w:rsidR="7045F8F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Employability</w:t>
      </w:r>
      <w:r w:rsidRPr="61C43731" w:rsidR="239FE55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is covered in the exam day Writing. </w:t>
      </w:r>
      <w:r w:rsidRPr="61C43731" w:rsidR="0A06158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Pupils must address the given stimuli in their writing.  </w:t>
      </w:r>
      <w:r w:rsidRPr="61C43731" w:rsidR="4B1FADD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Pupils will produce a first draft</w:t>
      </w:r>
      <w:r w:rsidRPr="61C43731" w:rsidR="739CD67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over </w:t>
      </w:r>
      <w:r w:rsidRPr="61C43731" w:rsidR="739CD67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 period of time</w:t>
      </w:r>
      <w:r w:rsidRPr="61C43731" w:rsidR="4B1FADD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which will be corrected using a correction code. </w:t>
      </w:r>
      <w:r w:rsidRPr="61C43731" w:rsidR="6FF8DCC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Teachers will give support and feedback to pupils who will then work to improve their writing before </w:t>
      </w:r>
      <w:r w:rsidRPr="61C43731" w:rsidR="6208CD0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complet</w:t>
      </w:r>
      <w:r w:rsidRPr="61C43731" w:rsidR="6FF8DCC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ing a final draft which will be </w:t>
      </w:r>
      <w:r w:rsidRPr="61C43731" w:rsidR="6FF8DCC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submitted</w:t>
      </w:r>
      <w:r w:rsidRPr="61C43731" w:rsidR="6FF8DCC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to the SQA for marking.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This 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component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is worth 20 marks out of a total of 120.</w:t>
      </w:r>
    </w:p>
    <w:p w:rsidR="61C43731" w:rsidP="61C43731" w:rsidRDefault="61C43731" w14:paraId="22D2D8CA" w14:textId="46D0C03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4A36F742" w:rsidP="13E4B7BC" w:rsidRDefault="4A36F742" w14:paraId="2E210514" w14:textId="7DF309C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r w:rsidRPr="13E4B7BC" w:rsidR="4A36F7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  <w:t>Performance Talking:</w:t>
      </w:r>
    </w:p>
    <w:p w:rsidR="4A36F742" w:rsidP="61C43731" w:rsidRDefault="4A36F742" w14:paraId="311F3CC0" w14:textId="0FCF96F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Pupils will undertake a Talk </w:t>
      </w:r>
      <w:r w:rsidRPr="61C43731" w:rsidR="70D67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in the modern language 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with their teacher at a determined point in the year</w:t>
      </w:r>
      <w:r w:rsidRPr="61C43731" w:rsidR="43BCE0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,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which will be agreed in advance. The talk 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comprises</w:t>
      </w:r>
      <w:r w:rsidRPr="61C43731" w:rsidR="4A36F7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1C43731" w:rsidR="637AE0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two separate parts; presentation and conversation. Pupils will prepare a presentation lasting 1-2 minutes on a topic covered in the course</w:t>
      </w:r>
      <w:r w:rsidRPr="61C43731" w:rsidR="22DFC3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,</w:t>
      </w:r>
      <w:r w:rsidRPr="61C43731" w:rsidR="22DFC3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to allow demonstration of language resource, accuracy, and pronunciation and </w:t>
      </w:r>
      <w:r w:rsidRPr="61C43731" w:rsidR="616372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intonation.</w:t>
      </w:r>
      <w:r w:rsidRPr="61C43731" w:rsidR="637AE0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1C43731" w:rsidR="708100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During the presentation, pupils may refer to up to five headings of no more than eight words each as prompts, and/or use visual aids. </w:t>
      </w:r>
      <w:r w:rsidRPr="61C43731" w:rsidR="637AE0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Following the presentation, the teacher will then ask </w:t>
      </w:r>
      <w:r w:rsidRPr="61C43731" w:rsidR="2644EE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a series of questions which must </w:t>
      </w:r>
      <w:r w:rsidRPr="61C43731" w:rsidR="37E1F1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also </w:t>
      </w:r>
      <w:r w:rsidRPr="61C43731" w:rsidR="2644EE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cover an </w:t>
      </w:r>
      <w:r w:rsidRPr="61C43731" w:rsidR="2644EE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additional</w:t>
      </w:r>
      <w:r w:rsidRPr="61C43731" w:rsidR="2644EE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1C43731" w:rsidR="3A3AFB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context to that of the presentation.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The conversation should last 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approximately 5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–6 minutes to allow pupils to 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demonstrate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their ability to take part in a conversation in the modern language, using detailed language. The information to be exchanged is 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mainly of</w:t>
      </w:r>
      <w:r w:rsidRPr="61C43731" w:rsidR="7B380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a factual nature and includes some ideas and opinions. </w:t>
      </w:r>
    </w:p>
    <w:p w:rsidR="70BBD749" w:rsidP="61C43731" w:rsidRDefault="70BBD749" w14:paraId="406E72C0" w14:textId="266E4615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70BBD7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The Talk will be audio/video recorded. It will be marked internally but could be requested for verification by SQA. </w:t>
      </w:r>
    </w:p>
    <w:p w:rsidR="70BBD749" w:rsidP="61C43731" w:rsidRDefault="70BBD749" w14:paraId="40D6301F" w14:textId="35DCD6C5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70BBD7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The Talk is worth 30 marks in total; 10 marks for the presentation, 15 marks for the conversation and an </w:t>
      </w:r>
      <w:r w:rsidRPr="61C43731" w:rsidR="70BBD7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additional</w:t>
      </w:r>
      <w:r w:rsidRPr="61C43731" w:rsidR="70BBD7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5 marks for sustaining the </w:t>
      </w:r>
      <w:r w:rsidRPr="61C43731" w:rsidR="39680D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conversation.</w:t>
      </w:r>
    </w:p>
    <w:p w:rsidR="61C43731" w:rsidP="61C43731" w:rsidRDefault="61C43731" w14:paraId="4C59C012" w14:textId="1C187291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</w:p>
    <w:p w:rsidR="1C0CFD9A" w:rsidP="61C43731" w:rsidRDefault="1C0CFD9A" w14:paraId="758572F2" w14:textId="578C35CF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</w:pPr>
      <w:r w:rsidRPr="61C43731" w:rsidR="1C0CFD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  <w:t>Final Exam</w:t>
      </w:r>
    </w:p>
    <w:p w:rsidR="61C43731" w:rsidP="61C43731" w:rsidRDefault="61C43731" w14:paraId="61EFF932" w14:textId="7DE8503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</w:pPr>
    </w:p>
    <w:p w:rsidR="1C0CFD9A" w:rsidP="61C43731" w:rsidRDefault="1C0CFD9A" w14:paraId="682ABF49" w14:textId="675DE85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1C0CFD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  <w:t xml:space="preserve">Paper 1- Reading and Directed Writing: </w:t>
      </w:r>
    </w:p>
    <w:p w:rsidR="61C43731" w:rsidP="61C43731" w:rsidRDefault="61C43731" w14:paraId="384D67E2" w14:textId="77E6714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</w:p>
    <w:p w:rsidR="1C0CFD9A" w:rsidP="61C43731" w:rsidRDefault="1C0CFD9A" w14:paraId="57E26EF2" w14:textId="1573B1C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1C0CFD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Pupils will have an hour and a half for Paper 1 which is</w:t>
      </w:r>
      <w:r w:rsidRPr="61C43731" w:rsidR="6551A2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split into two sections- Reading and Directed Writing. The Reading </w:t>
      </w:r>
      <w:r w:rsidRPr="61C43731" w:rsidR="6551A2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comprises</w:t>
      </w:r>
      <w:r w:rsidRPr="61C43731" w:rsidR="6551A2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three texts in Spanish with comprehension questions to be answ</w:t>
      </w:r>
      <w:r w:rsidRPr="61C43731" w:rsidR="10B400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ered in English. Each text is worth ten marks, totalling thirty marks for this section. </w:t>
      </w:r>
    </w:p>
    <w:p w:rsidR="10B400AB" w:rsidP="61C43731" w:rsidRDefault="10B400AB" w14:paraId="72EB06CB" w14:textId="2457679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10B400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The Directed Writing involves pupils </w:t>
      </w:r>
      <w:r w:rsidRPr="61C43731" w:rsidR="43A9C8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writing a Job Application letter in Spanish. Pupils will be provided with a brief </w:t>
      </w:r>
      <w:r w:rsidRPr="61C43731" w:rsidR="68530D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job description in Spanish and six bullet points as a guide. The first four bullet points will always remain the same, with the f</w:t>
      </w:r>
      <w:r w:rsidRPr="61C43731" w:rsidR="0AE738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inal two being unpredictable. </w:t>
      </w:r>
      <w:r w:rsidRPr="61C43731" w:rsidR="5B072A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This section is worth twenty marks overall. </w:t>
      </w:r>
    </w:p>
    <w:p w:rsidR="40ADB4C7" w:rsidP="61C43731" w:rsidRDefault="40ADB4C7" w14:paraId="38A7CDC5" w14:textId="5958664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40ADB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Pupils will have access to a Spanish dictionary for this paper.</w:t>
      </w:r>
    </w:p>
    <w:p w:rsidR="61C43731" w:rsidP="61C43731" w:rsidRDefault="61C43731" w14:paraId="6394155E" w14:textId="5A2F6D1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</w:p>
    <w:p w:rsidR="61C43731" w:rsidP="13E4B7BC" w:rsidRDefault="61C43731" w14:paraId="0BFDC058" w14:textId="528F82D7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</w:pPr>
    </w:p>
    <w:p w:rsidR="5B072A78" w:rsidP="61C43731" w:rsidRDefault="5B072A78" w14:paraId="208EEE9C" w14:textId="2B052FA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</w:pPr>
      <w:r w:rsidRPr="61C43731" w:rsidR="5B072A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  <w:t xml:space="preserve">Paper 2- Listening: </w:t>
      </w:r>
    </w:p>
    <w:p w:rsidR="61C43731" w:rsidP="61C43731" w:rsidRDefault="61C43731" w14:paraId="2B4D2758" w14:textId="64473C8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p w:rsidR="5B072A78" w:rsidP="61C43731" w:rsidRDefault="5B072A78" w14:paraId="58D8F202" w14:textId="5D44B025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  <w:r w:rsidRPr="61C43731" w:rsidR="5B072A7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Pupils will listen to both a monologue and a dialogue in Spanish and will answer comprehension questions on each in English. </w:t>
      </w:r>
      <w:r w:rsidRPr="61C43731" w:rsidR="4007A0D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Each section will be played three times. The </w:t>
      </w:r>
      <w:r w:rsidRPr="61C43731" w:rsidR="097E21D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monologue</w:t>
      </w:r>
      <w:r w:rsidRPr="61C43731" w:rsidR="4007A0D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is worth eight marks, the dialogue ten, totalling twenty marks for this section. </w:t>
      </w:r>
    </w:p>
    <w:p w:rsidR="61C43731" w:rsidP="61C43731" w:rsidRDefault="61C43731" w14:paraId="344D5D99" w14:textId="43F8030B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607AF0" w:rsidP="61C43731" w:rsidRDefault="00607AF0" w14:paraId="6BCBA905" w14:noSpellErr="1" w14:textId="2A50805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="481BDE75">
        <w:drawing>
          <wp:inline wp14:editId="62824E14" wp14:anchorId="4748C4C0">
            <wp:extent cx="2476500" cy="2476500"/>
            <wp:effectExtent l="0" t="0" r="0" b="0"/>
            <wp:docPr id="411896769" name="Picture 3" descr="Culture in Spain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5" descr="Culture in Spai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13E4B7BC" w:rsidP="13E4B7BC" w:rsidRDefault="13E4B7BC" w14:paraId="362B3FA6" w14:textId="4FCE846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13E4B7BC" w:rsidP="13E4B7BC" w:rsidRDefault="13E4B7BC" w14:paraId="2F0C9C72" w14:textId="0AEE966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4DADA3CF" w:rsidP="61C43731" w:rsidRDefault="4DADA3CF" w14:paraId="538B73C3" w14:textId="43D1267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1C43731" w:rsidR="4DADA3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Higher</w:t>
      </w:r>
      <w:r w:rsidRPr="61C43731" w:rsidR="4DADA3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Spanish</w:t>
      </w:r>
    </w:p>
    <w:p w:rsidR="00607AF0" w:rsidP="61C43731" w:rsidRDefault="00607AF0" w14:paraId="268C5E55" w14:textId="03021650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10ECC69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Higher</w:t>
      </w:r>
      <w:r w:rsidRPr="13E4B7BC" w:rsidR="4DADA3C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Spanish allows pupils the opportunity to further develop the skills and knowledge the gained from studying National 5. As with National 5, </w:t>
      </w:r>
      <w:r w:rsidRPr="13E4B7BC" w:rsidR="75492AC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Higher</w:t>
      </w:r>
      <w:r w:rsidRPr="13E4B7BC" w:rsidR="4DADA3C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13E4B7BC" w:rsidR="304A0C6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pupils</w:t>
      </w:r>
      <w:r w:rsidRPr="13E4B7BC" w:rsidR="4DADA3C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must</w:t>
      </w:r>
      <w:r w:rsidRPr="13E4B7BC" w:rsidR="4DADA3C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complete coursework throughout the year as well as sit the final exam in May.</w:t>
      </w:r>
    </w:p>
    <w:p w:rsidR="00607AF0" w:rsidP="61C43731" w:rsidRDefault="00607AF0" w14:paraId="51D024E9" w14:textId="0B5DDC2D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607AF0" w:rsidP="61C43731" w:rsidRDefault="00607AF0" w14:paraId="3F232BEC" w14:textId="1147CA0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Coursework</w:t>
      </w:r>
    </w:p>
    <w:p w:rsidR="00607AF0" w:rsidP="61C43731" w:rsidRDefault="00607AF0" w14:paraId="646F9B9F" w14:textId="52DF16C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Writing Assignment:</w:t>
      </w:r>
    </w:p>
    <w:p w:rsidR="00607AF0" w:rsidP="61C43731" w:rsidRDefault="00607AF0" w14:paraId="0AAF0CC0" w14:textId="3C354F1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Pupils will prepare to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write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short essay (</w:t>
      </w:r>
      <w:r w:rsidRPr="61C43731" w:rsidR="7B5EF65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200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-2</w:t>
      </w:r>
      <w:r w:rsidRPr="61C43731" w:rsidR="6206CC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5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0 words) on a topic area from within the </w:t>
      </w:r>
      <w:r w:rsidRPr="61C43731" w:rsidR="78A02C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four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contexts</w:t>
      </w:r>
      <w:r w:rsidRPr="61C43731" w:rsidR="13D2315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The writing should be discursive in nature, providing different viewpoints and drawing a conclusion. Pupils must address the given stimuli in their writing.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Pupils will produce a first draft over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 period of time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which will be corrected using a correction code. Teachers will give support and feedback to pupils who will then work to improve their writing before </w:t>
      </w:r>
      <w:r w:rsidRPr="61C43731" w:rsidR="03E2C08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complet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ing a final draft which will be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ubmitted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to the SQA for marking. This c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omponent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is worth 20 marks out of a total of 120.</w:t>
      </w:r>
    </w:p>
    <w:p w:rsidR="00607AF0" w:rsidP="61C43731" w:rsidRDefault="00607AF0" w14:paraId="1815197B" w14:textId="7DF309C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Performance Talking:</w:t>
      </w:r>
    </w:p>
    <w:p w:rsidR="00607AF0" w:rsidP="61C43731" w:rsidRDefault="00607AF0" w14:paraId="1FB7919E" w14:textId="0845193F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Pupils will undertake a Talk in the modern language with their teacher at a determined point in the year, which will be agreed in advance. The talk</w:t>
      </w:r>
      <w:r w:rsidRPr="61C43731" w:rsidR="4CD039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will </w:t>
      </w:r>
      <w:r w:rsidRPr="61C43731" w:rsidR="5741E7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take the format of a discussion. It should last around ten minutes </w:t>
      </w:r>
      <w:r w:rsidRPr="61C43731" w:rsidR="7D9100B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to allow </w:t>
      </w:r>
      <w:r w:rsidRPr="61C43731" w:rsidR="0614B8E0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pupils</w:t>
      </w:r>
      <w:r w:rsidRPr="61C43731" w:rsidR="7D9100B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to </w:t>
      </w:r>
      <w:r w:rsidRPr="61C43731" w:rsidR="7D9100B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demonstrate</w:t>
      </w:r>
      <w:r w:rsidRPr="61C43731" w:rsidR="7D9100B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language resource, accuracy, pronunciation and intonation and it should cover</w:t>
      </w:r>
      <w:r w:rsidRPr="61C43731" w:rsidR="5741E7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at least two of the four contexts studied at Higher.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  <w:t>Pupils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must 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identify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the contexts for the </w:t>
      </w:r>
      <w:r w:rsidRPr="61C43731" w:rsidR="1D3FB1F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discussion and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communicate these to </w:t>
      </w:r>
      <w:r w:rsidRPr="61C43731" w:rsidR="0612F64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the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teacher before taking part in the performance—talking. </w:t>
      </w:r>
      <w:r w:rsidRPr="61C43731" w:rsidR="4388E189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Pupils 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will </w:t>
      </w:r>
      <w:r w:rsidRPr="61C43731" w:rsidR="693B28C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be 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provide</w:t>
      </w:r>
      <w:r w:rsidRPr="61C43731" w:rsidR="66ADB3E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d with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a form on which </w:t>
      </w:r>
      <w:r w:rsidRPr="61C43731" w:rsidR="405013C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they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will note </w:t>
      </w:r>
      <w:r w:rsidRPr="61C43731" w:rsidR="3899B38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their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chosen contexts</w:t>
      </w:r>
      <w:r w:rsidRPr="61C43731" w:rsidR="592A9C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.</w:t>
      </w:r>
      <w:r w:rsidRPr="61C43731" w:rsidR="64D18A5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The information to be exchanged is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mainly of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a factual nature and includes some ideas and opinions. </w:t>
      </w:r>
      <w:r w:rsidRPr="61C43731" w:rsidR="27BA435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During the discussion </w:t>
      </w:r>
      <w:r w:rsidRPr="61C43731" w:rsidR="4FA30D6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pupils</w:t>
      </w:r>
      <w:r w:rsidRPr="61C43731" w:rsidR="27BA435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may refer to up to five headings of not more than eight words each, and/or use visual aids. These may be in the modern language or English. You must use these only as </w:t>
      </w:r>
      <w:r w:rsidRPr="61C43731" w:rsidR="6F46CD1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prompts and</w:t>
      </w:r>
      <w:r w:rsidRPr="61C43731" w:rsidR="27BA435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not read them out word for word.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The Talk will be audio/video recorded. It will be marked internally but could be requested for verification by SQA.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The Talk is worth 30 marks in total</w:t>
      </w:r>
      <w:r w:rsidRPr="61C43731" w:rsidR="2448D4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.</w:t>
      </w:r>
    </w:p>
    <w:p w:rsidR="00607AF0" w:rsidP="61C43731" w:rsidRDefault="00607AF0" w14:paraId="3E7517C1" w14:textId="1C187291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</w:p>
    <w:p w:rsidR="00607AF0" w:rsidP="61C43731" w:rsidRDefault="00607AF0" w14:paraId="17EE6D00" w14:textId="578C35CF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  <w:t>Final Exam</w:t>
      </w:r>
    </w:p>
    <w:p w:rsidR="00607AF0" w:rsidP="61C43731" w:rsidRDefault="00607AF0" w14:paraId="48B2F3CE" w14:textId="7DE8503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</w:pPr>
    </w:p>
    <w:p w:rsidR="00607AF0" w:rsidP="61C43731" w:rsidRDefault="00607AF0" w14:paraId="02791A37" w14:textId="675DE85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  <w:t xml:space="preserve">Paper 1- Reading and Directed Writing: </w:t>
      </w:r>
    </w:p>
    <w:p w:rsidR="00607AF0" w:rsidP="61C43731" w:rsidRDefault="00607AF0" w14:paraId="698CD642" w14:textId="77E6714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</w:p>
    <w:p w:rsidR="00607AF0" w:rsidP="61C43731" w:rsidRDefault="00607AF0" w14:paraId="348D9BC9" w14:textId="0AEEFA5F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Pupils will have </w:t>
      </w:r>
      <w:r w:rsidRPr="61C43731" w:rsidR="391DCF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two hours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for Paper 1 which is split into two sections- Reading and Directed Writing. The Reading 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comprises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</w:t>
      </w:r>
      <w:r w:rsidRPr="61C43731" w:rsidR="4BCD95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one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text in Spanish with comprehension questions to be answered in English</w:t>
      </w:r>
      <w:r w:rsidRPr="61C43731" w:rsidR="3147DE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as well as a translation task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.</w:t>
      </w:r>
      <w:r w:rsidRPr="61C43731" w:rsidR="64D55B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The questions are worth twenty marks and the translation ten, totalling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thirty marks for this section. </w:t>
      </w:r>
    </w:p>
    <w:p w:rsidR="00607AF0" w:rsidP="61C43731" w:rsidRDefault="00607AF0" w14:paraId="3CDDD756" w14:textId="5F40A8B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13E4B7BC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The Directed Writing involves pupils writing a</w:t>
      </w:r>
      <w:r w:rsidRPr="13E4B7BC" w:rsidR="5DAE7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bout a past trip to Spain or a Spanish-speaking country. </w:t>
      </w:r>
      <w:r w:rsidRPr="13E4B7BC" w:rsidR="6BCEF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Pupils will be given two different scenarios to choose </w:t>
      </w:r>
      <w:r w:rsidRPr="13E4B7BC" w:rsidR="24E1B1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from;</w:t>
      </w:r>
      <w:r w:rsidRPr="13E4B7BC" w:rsidR="6BCEF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each linked to one of the four contexts. </w:t>
      </w:r>
      <w:r w:rsidRPr="13E4B7BC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Pupils will be provided with a brief </w:t>
      </w:r>
      <w:r w:rsidRPr="13E4B7BC" w:rsidR="59DC5B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stimulus</w:t>
      </w:r>
      <w:r w:rsidRPr="13E4B7BC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and six bullet points as a guide</w:t>
      </w:r>
      <w:r w:rsidRPr="13E4B7BC" w:rsidR="01C7BC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for each scenario and should choose which scenario they feel most confident to write about</w:t>
      </w:r>
      <w:r w:rsidRPr="13E4B7BC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. </w:t>
      </w:r>
      <w:r w:rsidRPr="13E4B7BC" w:rsidR="6AED64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In order to</w:t>
      </w:r>
      <w:r w:rsidRPr="13E4B7BC" w:rsidR="6AED64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perform well in this section, candidates will </w:t>
      </w:r>
      <w:r w:rsidRPr="13E4B7BC" w:rsidR="6AED64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be required</w:t>
      </w:r>
      <w:r w:rsidRPr="13E4B7BC" w:rsidR="6AED64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 to express themselves in the past tense as well as either future or conditional tenses. </w:t>
      </w:r>
      <w:r w:rsidRPr="13E4B7BC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 xml:space="preserve">This section is worth twenty marks overall. </w:t>
      </w:r>
    </w:p>
    <w:p w:rsidR="00607AF0" w:rsidP="61C43731" w:rsidRDefault="00607AF0" w14:paraId="5B76F39B" w14:textId="5958664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  <w:t>Pupils will have access to a Spanish dictionary for this paper.</w:t>
      </w:r>
    </w:p>
    <w:p w:rsidR="00607AF0" w:rsidP="61C43731" w:rsidRDefault="00607AF0" w14:paraId="35A438D5" w14:textId="5A2F6D1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GB"/>
        </w:rPr>
      </w:pPr>
    </w:p>
    <w:p w:rsidR="00607AF0" w:rsidP="61C43731" w:rsidRDefault="00607AF0" w14:paraId="3D85403A" w14:textId="2B052FAE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  <w:t xml:space="preserve">Paper 2- Listening: </w:t>
      </w:r>
    </w:p>
    <w:p w:rsidR="00607AF0" w:rsidP="61C43731" w:rsidRDefault="00607AF0" w14:paraId="5A986388" w14:textId="64473C8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p w:rsidR="00607AF0" w:rsidP="61C43731" w:rsidRDefault="00607AF0" w14:paraId="42FC373D" w14:textId="5113E6A7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Pupils will listen to both a monologue and a dialogue in Spanish and will answer comprehension questions on each in English. Each section will be played t</w:t>
      </w:r>
      <w:r w:rsidRPr="61C43731" w:rsidR="3F4C62A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wice</w:t>
      </w:r>
      <w:r w:rsidRPr="61C43731" w:rsidR="607CA7C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. The monologue is worth eight marks, the dialogue ten, totalling twenty marks for this section. </w:t>
      </w:r>
    </w:p>
    <w:p w:rsidR="00607AF0" w:rsidP="61C43731" w:rsidRDefault="00607AF0" w14:paraId="76C7686B" w14:textId="72229435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p w:rsidR="00607AF0" w:rsidP="61C43731" w:rsidRDefault="00607AF0" w14:paraId="1984B26A" w14:textId="078C6168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p w:rsidR="00607AF0" w:rsidP="61C43731" w:rsidRDefault="00607AF0" w14:paraId="7DCA8755" w14:textId="73BEDF3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p w:rsidR="00607AF0" w:rsidP="61C43731" w:rsidRDefault="00607AF0" w14:paraId="49DC2D9F" w14:textId="103827DC">
      <w:pPr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</w:pPr>
      <w:r w:rsidRPr="13E4B7BC" w:rsidR="47D457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  <w:t>Support and Resources for Learners</w:t>
      </w:r>
    </w:p>
    <w:p w:rsidR="13E4B7BC" w:rsidP="13E4B7BC" w:rsidRDefault="13E4B7BC" w14:paraId="35092A9D" w14:textId="1D6F0BC4">
      <w:pPr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u w:val="single"/>
          <w:lang w:val="en-GB"/>
        </w:rPr>
      </w:pPr>
    </w:p>
    <w:p w:rsidR="00607AF0" w:rsidP="13E4B7BC" w:rsidRDefault="00607AF0" w14:paraId="13BE21A5" w14:textId="361F17DA">
      <w:pPr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  <w:r w:rsidRPr="13E4B7BC" w:rsidR="7AFB608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-</w:t>
      </w:r>
      <w:r w:rsidRPr="13E4B7BC" w:rsidR="0942D78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Class Teams pages have been set up for all pupils and all teaching </w:t>
      </w:r>
      <w:r w:rsidRPr="13E4B7BC" w:rsidR="01B9E8B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resources</w:t>
      </w:r>
      <w:r w:rsidRPr="13E4B7BC" w:rsidR="0942D78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will be made available to pupils through these Teams. </w:t>
      </w:r>
    </w:p>
    <w:p w:rsidR="00607AF0" w:rsidP="13E4B7BC" w:rsidRDefault="00607AF0" w14:paraId="17A1A8A1" w14:textId="02BF5CE9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3E4B7BC" w:rsidR="33B8E0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-</w:t>
      </w:r>
      <w:r w:rsidRPr="13E4B7BC" w:rsidR="0957C08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In addition, pupils will also have access to a wealth of study and revision resources</w:t>
      </w:r>
    </w:p>
    <w:p w:rsidR="00607AF0" w:rsidP="13E4B7BC" w:rsidRDefault="00607AF0" w14:paraId="57A10B6A" w14:textId="617449CB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3E4B7BC" w:rsidR="0957C08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through</w:t>
      </w:r>
      <w:r w:rsidRPr="13E4B7BC" w:rsidR="04190ED6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:</w:t>
      </w:r>
    </w:p>
    <w:p w:rsidR="00607AF0" w:rsidP="13E4B7BC" w:rsidRDefault="00607AF0" w14:paraId="22EB438F" w14:textId="29E33ED5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13E4B7BC" w:rsidR="0957C08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</w:t>
      </w:r>
      <w:r w:rsidRPr="13E4B7BC" w:rsidR="5C85429C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*</w:t>
      </w:r>
      <w:r w:rsidRPr="13E4B7BC" w:rsidR="0957C08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SCHOLAR</w:t>
      </w:r>
      <w:r w:rsidRPr="13E4B7BC" w:rsidR="37041A2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</w:t>
      </w:r>
      <w:hyperlink r:id="Rc49c8f7ad1be428b">
        <w:r w:rsidRPr="13E4B7BC" w:rsidR="37041A24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Scholar- HIGHER</w:t>
        </w:r>
      </w:hyperlink>
      <w:r w:rsidRPr="13E4B7BC" w:rsidR="37041A24">
        <w:rPr>
          <w:rFonts w:ascii="Calibri" w:hAnsi="Calibri" w:eastAsia="Calibri" w:cs="Calibri"/>
          <w:noProof w:val="0"/>
          <w:sz w:val="28"/>
          <w:szCs w:val="28"/>
          <w:lang w:val="en-GB"/>
        </w:rPr>
        <w:t xml:space="preserve"> </w:t>
      </w:r>
      <w:hyperlink r:id="Rc3002f8a110943c7">
        <w:r w:rsidRPr="13E4B7BC" w:rsidR="5B5A2EFB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Scholar- National 5</w:t>
        </w:r>
      </w:hyperlink>
    </w:p>
    <w:p w:rsidR="00607AF0" w:rsidP="13E4B7BC" w:rsidRDefault="00607AF0" w14:paraId="2AEBD5B1" w14:textId="47F7206E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13E4B7BC" w:rsidR="294B9480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*</w:t>
      </w:r>
      <w:r w:rsidRPr="13E4B7BC" w:rsidR="0957C08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ACHIEVE</w:t>
      </w:r>
      <w:r w:rsidRPr="13E4B7BC" w:rsidR="3143763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</w:t>
      </w:r>
      <w:hyperlink r:id="R5687673e3ca14429">
        <w:r w:rsidRPr="13E4B7BC" w:rsidR="7AEC3AF4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ACHIEVE - ACHIEVE more at National 5 and Higher</w:t>
        </w:r>
      </w:hyperlink>
    </w:p>
    <w:p w:rsidR="00607AF0" w:rsidP="13E4B7BC" w:rsidRDefault="00607AF0" w14:paraId="6979BAF6" w14:textId="23C0BC78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13E4B7BC" w:rsidR="43EE5A6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*</w:t>
      </w:r>
      <w:r w:rsidRPr="13E4B7BC" w:rsidR="3FD3A8A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BBC BITESIZE. </w:t>
      </w:r>
      <w:hyperlink r:id="R55914a04b5f347f5">
        <w:r w:rsidRPr="13E4B7BC" w:rsidR="47901F8C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National 5 Spanish - BBC Bitesize</w:t>
        </w:r>
      </w:hyperlink>
      <w:r w:rsidRPr="13E4B7BC" w:rsidR="47901F8C">
        <w:rPr>
          <w:rFonts w:ascii="Calibri" w:hAnsi="Calibri" w:eastAsia="Calibri" w:cs="Calibri"/>
          <w:noProof w:val="0"/>
          <w:sz w:val="28"/>
          <w:szCs w:val="28"/>
          <w:lang w:val="en-GB"/>
        </w:rPr>
        <w:t xml:space="preserve"> </w:t>
      </w:r>
      <w:hyperlink r:id="R593f3781c0ed4f1e">
        <w:r w:rsidRPr="13E4B7BC" w:rsidR="47901F8C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Higher Spanish - BBC Bitesize</w:t>
        </w:r>
      </w:hyperlink>
    </w:p>
    <w:p w:rsidR="00607AF0" w:rsidP="13E4B7BC" w:rsidRDefault="00607AF0" w14:paraId="354483B4" w14:textId="01DDFFD8">
      <w:pPr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  <w:r w:rsidRPr="13E4B7BC" w:rsidR="40191E3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*</w:t>
      </w:r>
      <w:r w:rsidRPr="13E4B7BC" w:rsidR="3FD3A8A3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Quizlet and Duolingo ar</w:t>
      </w:r>
      <w:r w:rsidRPr="13E4B7BC" w:rsidR="160B72D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e also fantastic study resources for language learners.</w:t>
      </w:r>
    </w:p>
    <w:p w:rsidR="00607AF0" w:rsidP="13E4B7BC" w:rsidRDefault="00607AF0" w14:paraId="129D364B" w14:textId="6D5C62DF">
      <w:pPr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  <w:r w:rsidRPr="13E4B7BC" w:rsidR="160B72D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-</w:t>
      </w:r>
      <w:r w:rsidRPr="13E4B7BC" w:rsidR="120C358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The Modern Languages staff will be running supported study sessions for both National 5 and Higher pupils. Days and times will be agreed with the class teacher. </w:t>
      </w:r>
      <w:r w:rsidRPr="13E4B7BC" w:rsidR="11A6ABA0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Staff are also more than willing to provide </w:t>
      </w:r>
      <w:r w:rsidRPr="13E4B7BC" w:rsidR="11A6ABA0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>additional</w:t>
      </w:r>
      <w:r w:rsidRPr="13E4B7BC" w:rsidR="11A6ABA0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  <w:t xml:space="preserve"> support to groups or individual pupils on an ad-hoc basis, to be agreed between pupils and their teacher. </w:t>
      </w:r>
    </w:p>
    <w:p w:rsidR="00607AF0" w:rsidP="13E4B7BC" w:rsidRDefault="00607AF0" w14:paraId="2A18311D" w14:textId="7A610EAF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2E8E758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 department will run targeted </w:t>
      </w:r>
      <w:r w:rsidRPr="13E4B7BC" w:rsidR="769ECBC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intervention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sessions for the different skill areas</w:t>
      </w:r>
      <w:r w:rsidRPr="13E4B7BC" w:rsidR="660EC97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as we progress towards Prelim and Final exam </w:t>
      </w:r>
      <w:r w:rsidRPr="13E4B7BC" w:rsidR="52F2C64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time,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and pupils will also 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have the opportunity to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13E4B7BC" w:rsidR="137E74F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receive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additional</w:t>
      </w:r>
      <w:r w:rsidRPr="13E4B7BC" w:rsidR="7A0B18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support at Easter School</w:t>
      </w:r>
      <w:r w:rsidRPr="13E4B7BC" w:rsidR="5E9DF27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by attending a morning/afternoon of study support. </w:t>
      </w:r>
    </w:p>
    <w:p w:rsidR="00607AF0" w:rsidP="13E4B7BC" w:rsidRDefault="00607AF0" w14:paraId="21B58628" w14:textId="3E830CFE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036802A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-Pupils will be invited to attend a Spanish </w:t>
      </w:r>
      <w:r w:rsidRPr="13E4B7BC" w:rsidR="036802A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Immersion Day</w:t>
      </w:r>
      <w:r w:rsidRPr="13E4B7BC" w:rsidR="036802A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in the days prior to the final exam for any </w:t>
      </w:r>
      <w:r w:rsidRPr="13E4B7BC" w:rsidR="036802A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additional</w:t>
      </w:r>
      <w:r w:rsidRPr="13E4B7BC" w:rsidR="036802A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help or support.</w:t>
      </w:r>
    </w:p>
    <w:p w:rsidR="00607AF0" w:rsidP="13E4B7BC" w:rsidRDefault="00607AF0" w14:paraId="60500050" w14:textId="6015D397">
      <w:pPr>
        <w:ind w:left="6480" w:firstLine="720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="512896E0">
        <w:drawing>
          <wp:inline wp14:editId="2CFD8897" wp14:anchorId="681C52BC">
            <wp:extent cx="1186392" cy="728988"/>
            <wp:effectExtent l="0" t="0" r="0" b="0"/>
            <wp:docPr id="1599343150" name="Picture 4" descr="Culture in Spain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7" descr="Culture in Spai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186392" cy="7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F0" w:rsidP="13E4B7BC" w:rsidRDefault="00607AF0" w14:paraId="3A5569BC" w14:textId="311FD33D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13E4B7BC" w:rsidR="512896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What are the benefits of studying a modern language?</w:t>
      </w:r>
    </w:p>
    <w:p w:rsidR="00607AF0" w:rsidP="61C43731" w:rsidRDefault="00607AF0" w14:paraId="3BC34D70" w14:textId="69AFEE51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512896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</w:t>
      </w: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etter job opportunities</w:t>
      </w:r>
    </w:p>
    <w:p w:rsidR="00607AF0" w:rsidP="61C43731" w:rsidRDefault="00607AF0" w14:paraId="3B1D3475" w14:textId="1C16D81A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Bilingualism </w:t>
      </w: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benefits</w:t>
      </w: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your brain</w:t>
      </w:r>
      <w:r w:rsidRPr="13E4B7BC" w:rsidR="070D829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&amp; your </w:t>
      </w:r>
      <w:r w:rsidRPr="13E4B7BC" w:rsidR="69F2A01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employability!</w:t>
      </w:r>
      <w:r w:rsidRPr="13E4B7BC" w:rsidR="070D829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0607AF0" w:rsidP="61C43731" w:rsidRDefault="00607AF0" w14:textId="77777777" w14:noSpellErr="1" w14:paraId="6F5B419A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Help you build strong relationships </w:t>
      </w:r>
    </w:p>
    <w:p w:rsidR="00607AF0" w:rsidP="61C43731" w:rsidRDefault="00607AF0" w14:textId="77777777" w14:noSpellErr="1" w14:paraId="09CD3500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Improved communication skills </w:t>
      </w:r>
    </w:p>
    <w:p w:rsidR="00607AF0" w:rsidP="61C43731" w:rsidRDefault="00607AF0" w14:textId="77777777" w14:noSpellErr="1" w14:paraId="46125678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Travel opportunities </w:t>
      </w:r>
    </w:p>
    <w:p w:rsidR="00607AF0" w:rsidP="61C43731" w:rsidRDefault="00607AF0" w14:textId="77777777" w14:noSpellErr="1" w14:paraId="6135BDDF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Better understanding of other people and cultures </w:t>
      </w:r>
    </w:p>
    <w:p w:rsidR="00607AF0" w:rsidP="61C43731" w:rsidRDefault="00607AF0" w14:textId="77777777" w14:noSpellErr="1" w14:paraId="06EDE85B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Better understanding of how your own language/s work</w:t>
      </w:r>
    </w:p>
    <w:p w:rsidR="00607AF0" w:rsidP="61C43731" w:rsidRDefault="00607AF0" w14:noSpellErr="1" w14:paraId="33717A35" w14:textId="37329228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Helps build your vocabulary in your own language  </w:t>
      </w:r>
    </w:p>
    <w:p w:rsidR="14BE11E3" w:rsidP="13E4B7BC" w:rsidRDefault="14BE11E3" w14:paraId="29092708" w14:textId="51BBB62E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14BE11E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Develops your skills in working with your own language </w:t>
      </w:r>
    </w:p>
    <w:p w:rsidR="00607AF0" w:rsidP="61C43731" w:rsidRDefault="00607AF0" w14:textId="77777777" w14:noSpellErr="1" w14:paraId="748AF969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 competitive edge in the job market </w:t>
      </w:r>
    </w:p>
    <w:p w:rsidR="00607AF0" w:rsidP="61C43731" w:rsidRDefault="00607AF0" w14:textId="77777777" w14:noSpellErr="1" w14:paraId="20010735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Improved listening skills and memory </w:t>
      </w:r>
    </w:p>
    <w:p w:rsidR="00607AF0" w:rsidP="61C43731" w:rsidRDefault="00607AF0" w14:textId="77777777" w14:noSpellErr="1" w14:paraId="3C81A965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Increased confidence </w:t>
      </w:r>
    </w:p>
    <w:p w:rsidR="00607AF0" w:rsidP="61C43731" w:rsidRDefault="00607AF0" w14:paraId="47E5501B" w14:textId="23B31E04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Impress people!</w:t>
      </w:r>
    </w:p>
    <w:p w:rsidR="00607AF0" w:rsidP="61C43731" w:rsidRDefault="00607AF0" w14:paraId="219FE2C5" w14:textId="4B8B1E23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It’s</w:t>
      </w:r>
      <w:r w:rsidRPr="13E4B7BC" w:rsidR="2A2155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fun!</w:t>
      </w:r>
    </w:p>
    <w:p w:rsidR="00607AF0" w:rsidP="13E4B7BC" w:rsidRDefault="00607AF0" w14:paraId="13C1C779" w14:textId="53A274EC">
      <w:pPr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="630007D2">
        <w:drawing>
          <wp:inline wp14:editId="7F965855" wp14:anchorId="3F68F77D">
            <wp:extent cx="5317865" cy="3238500"/>
            <wp:effectExtent l="0" t="0" r="0" b="0"/>
            <wp:docPr id="41347609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413476093" name=""/>
                    <pic:cNvPicPr/>
                  </pic:nvPicPr>
                  <pic:blipFill>
                    <a:blip xmlns:r="http://schemas.openxmlformats.org/officeDocument/2006/relationships" r:embed="rId16980702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786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F0" w:rsidP="13E4B7BC" w:rsidRDefault="00607AF0" w14:paraId="50571F0F" w14:textId="5350D588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00607AF0" w:rsidP="13E4B7BC" w:rsidRDefault="00607AF0" w14:paraId="1419B228" w14:textId="447847E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00607AF0" w:rsidP="13E4B7BC" w:rsidRDefault="00607AF0" w14:paraId="2B13DD3F" w14:textId="0AD6C196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00607AF0" w:rsidP="13E4B7BC" w:rsidRDefault="00607AF0" w14:paraId="77D7A2BA" w14:textId="5328957E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00607AF0" w:rsidP="13E4B7BC" w:rsidRDefault="00607AF0" w14:paraId="0C09F658" w14:textId="23D2D86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13E4B7BC" w:rsidR="626E35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Where could learning a language take you?</w:t>
      </w:r>
    </w:p>
    <w:p w:rsidR="47A897E3" w:rsidP="61C43731" w:rsidRDefault="47A897E3" w14:paraId="140A71E7" w14:textId="631F647F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47A897E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-Teaching</w:t>
      </w:r>
    </w:p>
    <w:p w:rsidR="47A897E3" w:rsidP="61C43731" w:rsidRDefault="47A897E3" w14:paraId="6E5421E0" w14:textId="0E95A62C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47A897E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-Interpreting</w:t>
      </w:r>
    </w:p>
    <w:p w:rsidR="58E38A85" w:rsidP="61C43731" w:rsidRDefault="58E38A85" w14:paraId="26987A3E" w14:textId="531615DF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58E38A8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-Law</w:t>
      </w:r>
    </w:p>
    <w:p w:rsidR="118D91DD" w:rsidP="61C43731" w:rsidRDefault="118D91DD" w14:paraId="2E9AC6C5" w14:textId="545537D8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118D91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-Marketing</w:t>
      </w:r>
    </w:p>
    <w:p w:rsidR="118D91DD" w:rsidP="61C43731" w:rsidRDefault="118D91DD" w14:paraId="64888C80" w14:textId="34DE62B2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118D91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-Finance</w:t>
      </w:r>
    </w:p>
    <w:p w:rsidR="118D91DD" w:rsidP="61C43731" w:rsidRDefault="118D91DD" w14:paraId="4FC2217C" w14:textId="3B464FBD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118D91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-Media and Journalism</w:t>
      </w:r>
    </w:p>
    <w:p w:rsidR="118D91DD" w:rsidP="61C43731" w:rsidRDefault="118D91DD" w14:paraId="40D052C8" w14:textId="4C17ECAC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118D91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-Travel and Tourism</w:t>
      </w:r>
    </w:p>
    <w:p w:rsidR="4AC4A8B3" w:rsidP="61C43731" w:rsidRDefault="4AC4A8B3" w14:paraId="56BA911F" w14:textId="2F95225A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4AC4A8B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-Customer Service Sector</w:t>
      </w:r>
    </w:p>
    <w:p w:rsidR="4AC4A8B3" w:rsidP="61C43731" w:rsidRDefault="4AC4A8B3" w14:paraId="4C7DB83A" w14:textId="465D0D8C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3E4B7BC" w:rsidR="4AC4A8B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-Intelligence Agencies</w:t>
      </w:r>
    </w:p>
    <w:p w:rsidR="71FEE777" w:rsidP="13E4B7BC" w:rsidRDefault="71FEE777" w14:paraId="050CBA30" w14:textId="4D817595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="71FEE777">
        <w:drawing>
          <wp:inline wp14:editId="5B1D1598" wp14:anchorId="0F78FF5D">
            <wp:extent cx="3460336" cy="1928909"/>
            <wp:effectExtent l="0" t="0" r="0" b="0"/>
            <wp:docPr id="84702868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47028689" name=""/>
                    <pic:cNvPicPr/>
                  </pic:nvPicPr>
                  <pic:blipFill>
                    <a:blip xmlns:r="http://schemas.openxmlformats.org/officeDocument/2006/relationships" r:embed="rId132327407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60336" cy="192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7AF0" w:rsidR="00607AF0" w:rsidP="61C43731" w:rsidRDefault="00607AF0" w14:paraId="2B015D18" w14:textId="163A77F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Course Documents</w:t>
      </w:r>
    </w:p>
    <w:p w:rsidR="09884F66" w:rsidP="61C43731" w:rsidRDefault="09884F66" w14:paraId="44C06A35" w14:textId="4C3C5A89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National 5 Course Specification</w:t>
      </w:r>
    </w:p>
    <w:p w:rsidR="22B63242" w:rsidP="61C43731" w:rsidRDefault="22B63242" w14:paraId="04BD1C03" w14:textId="4C68549D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22B6324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hyperlink r:id="R94e963d605244e30">
        <w:r w:rsidRPr="61C43731" w:rsidR="22B632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https://www.sqa.org.uk/sqa/files_ccc/n5-course-spec-modern-languages.pdf</w:t>
        </w:r>
      </w:hyperlink>
      <w:r w:rsidRPr="61C43731" w:rsidR="22B6324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9884F66" w:rsidP="61C43731" w:rsidRDefault="09884F66" w14:paraId="485556A7" w14:textId="509BF84E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National 5 Writing Assignment</w:t>
      </w:r>
      <w:r w:rsidRPr="61C43731" w:rsidR="7B90C0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hyperlink r:id="Rd368b52e3a0645ff">
        <w:r w:rsidRPr="61C43731" w:rsidR="09884F6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https://www.sqa.org.uk/files_ccc/ModernLanguagesN5CATAssignmentWriting.docx</w:t>
        </w:r>
      </w:hyperlink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9884F66" w:rsidP="61C43731" w:rsidRDefault="09884F66" w14:paraId="4074282F" w14:textId="5ACCC00D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National 5 Performance Talking</w:t>
      </w:r>
    </w:p>
    <w:p w:rsidR="09884F66" w:rsidP="61C43731" w:rsidRDefault="09884F66" w14:paraId="494F24C6" w14:textId="7D97C5CE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4ffe88a1f0e44f8e">
        <w:r w:rsidRPr="61C43731" w:rsidR="09884F6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https://www.sqa.org.uk/files_ccc/ModernLanguagesN5CATPerformanceTalking.doc</w:t>
        </w:r>
      </w:hyperlink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9884F66" w:rsidP="61C43731" w:rsidRDefault="09884F66" w14:paraId="6FA32908" w14:textId="3491213F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Higher Course Specification</w:t>
      </w:r>
    </w:p>
    <w:p w:rsidR="4345850B" w:rsidP="61C43731" w:rsidRDefault="4345850B" w14:paraId="0A59F00F" w14:textId="50E9AD35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6de1d0a779074b79">
        <w:r w:rsidRPr="61C43731" w:rsidR="4345850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https://www.sqa.org.uk/sqa/files_ccc/h-course-spec-modern-languages.pdf</w:t>
        </w:r>
      </w:hyperlink>
      <w:r w:rsidRPr="61C43731" w:rsidR="4345850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9884F66" w:rsidP="61C43731" w:rsidRDefault="09884F66" w14:paraId="444F7803" w14:textId="5AD2C594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Higher Writing Assignment</w:t>
      </w:r>
    </w:p>
    <w:p w:rsidR="5A046250" w:rsidP="61C43731" w:rsidRDefault="5A046250" w14:paraId="057C4095" w14:textId="45358B9C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75b8e00fd68d4132">
        <w:r w:rsidRPr="61C43731" w:rsidR="5A04625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https://www.sqa.org.uk/files_ccc/HigherCATModernLanguagesAssignmentWriting.docx</w:t>
        </w:r>
      </w:hyperlink>
      <w:r w:rsidRPr="61C43731" w:rsidR="5A04625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9884F66" w:rsidP="61C43731" w:rsidRDefault="09884F66" w14:paraId="2F9A8882" w14:textId="457B7256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1C43731" w:rsidR="09884F6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Higher Performance Talking</w:t>
      </w:r>
    </w:p>
    <w:p w:rsidR="3DA8D0F6" w:rsidP="61C43731" w:rsidRDefault="3DA8D0F6" w14:paraId="32E06F75" w14:textId="464F565E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c1e26be57b9e45df">
        <w:r w:rsidRPr="61C43731" w:rsidR="3DA8D0F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8"/>
            <w:szCs w:val="28"/>
          </w:rPr>
          <w:t>https://www.sqa.org.uk/files_ccc/HigherCATModernLanguagesPerformanceTalking.docx</w:t>
        </w:r>
      </w:hyperlink>
      <w:r w:rsidRPr="61C43731" w:rsidR="3DA8D0F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sectPr w:rsidRPr="00607AF0" w:rsidR="00607AF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6fd21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B512D9"/>
    <w:multiLevelType w:val="hybridMultilevel"/>
    <w:tmpl w:val="914A5BEE"/>
    <w:lvl w:ilvl="0" w:tplc="54EE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136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E60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CE67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32A4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0682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2141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B2A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F44B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7B12356"/>
    <w:multiLevelType w:val="hybridMultilevel"/>
    <w:tmpl w:val="88EC445A"/>
    <w:lvl w:ilvl="0" w:tplc="C236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A25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E22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82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D7C8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D0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058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143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5A6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1102C55"/>
    <w:multiLevelType w:val="hybridMultilevel"/>
    <w:tmpl w:val="F00C921C"/>
    <w:lvl w:ilvl="0" w:tplc="ACEA1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903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868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8D83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3D87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EA64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6EB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4D4F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8A87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4">
    <w:abstractNumId w:val="3"/>
  </w:num>
  <w:num w:numId="1" w16cid:durableId="584538688">
    <w:abstractNumId w:val="0"/>
  </w:num>
  <w:num w:numId="2" w16cid:durableId="1057120908">
    <w:abstractNumId w:val="1"/>
  </w:num>
  <w:num w:numId="3" w16cid:durableId="115260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F0"/>
    <w:rsid w:val="000D3564"/>
    <w:rsid w:val="0017B633"/>
    <w:rsid w:val="002B79DA"/>
    <w:rsid w:val="005FC4DD"/>
    <w:rsid w:val="00607AF0"/>
    <w:rsid w:val="006F6178"/>
    <w:rsid w:val="00F61135"/>
    <w:rsid w:val="01B9E8B7"/>
    <w:rsid w:val="01C7BC2C"/>
    <w:rsid w:val="0227A425"/>
    <w:rsid w:val="024DDDA4"/>
    <w:rsid w:val="036802A7"/>
    <w:rsid w:val="0371A838"/>
    <w:rsid w:val="0389F597"/>
    <w:rsid w:val="03B5255B"/>
    <w:rsid w:val="03E2C085"/>
    <w:rsid w:val="04190ED6"/>
    <w:rsid w:val="041D120E"/>
    <w:rsid w:val="043680BF"/>
    <w:rsid w:val="0466D65D"/>
    <w:rsid w:val="04B22B74"/>
    <w:rsid w:val="05566D3F"/>
    <w:rsid w:val="05C06DA4"/>
    <w:rsid w:val="05D3D706"/>
    <w:rsid w:val="0612F643"/>
    <w:rsid w:val="061423E1"/>
    <w:rsid w:val="0614B8E0"/>
    <w:rsid w:val="070D829C"/>
    <w:rsid w:val="0723995C"/>
    <w:rsid w:val="0803739D"/>
    <w:rsid w:val="081DCFF6"/>
    <w:rsid w:val="087A14FF"/>
    <w:rsid w:val="09361DA4"/>
    <w:rsid w:val="0942D78B"/>
    <w:rsid w:val="0957C08E"/>
    <w:rsid w:val="097E21D2"/>
    <w:rsid w:val="09884F66"/>
    <w:rsid w:val="0A061588"/>
    <w:rsid w:val="0AB86D27"/>
    <w:rsid w:val="0AE73835"/>
    <w:rsid w:val="0BB97D32"/>
    <w:rsid w:val="0BFA2D73"/>
    <w:rsid w:val="0C2BEBF0"/>
    <w:rsid w:val="0C549E8D"/>
    <w:rsid w:val="0CA41583"/>
    <w:rsid w:val="0D053CB8"/>
    <w:rsid w:val="0E378C4B"/>
    <w:rsid w:val="0E4B8000"/>
    <w:rsid w:val="0F567CBF"/>
    <w:rsid w:val="1071D8F9"/>
    <w:rsid w:val="10B400AB"/>
    <w:rsid w:val="10ECC697"/>
    <w:rsid w:val="118D91DD"/>
    <w:rsid w:val="11A56835"/>
    <w:rsid w:val="11A6ABA0"/>
    <w:rsid w:val="11CFE528"/>
    <w:rsid w:val="120C358A"/>
    <w:rsid w:val="12673FE8"/>
    <w:rsid w:val="12EB4CD9"/>
    <w:rsid w:val="137E74FD"/>
    <w:rsid w:val="13D23158"/>
    <w:rsid w:val="13E4B7BC"/>
    <w:rsid w:val="143C0374"/>
    <w:rsid w:val="144CEBF8"/>
    <w:rsid w:val="14BE11E3"/>
    <w:rsid w:val="15F51F16"/>
    <w:rsid w:val="160B72D2"/>
    <w:rsid w:val="160EB479"/>
    <w:rsid w:val="1618E046"/>
    <w:rsid w:val="16BB348A"/>
    <w:rsid w:val="16DAD929"/>
    <w:rsid w:val="174469CF"/>
    <w:rsid w:val="17F7B90B"/>
    <w:rsid w:val="182803F1"/>
    <w:rsid w:val="1847BF60"/>
    <w:rsid w:val="19F90DA2"/>
    <w:rsid w:val="1B0C150B"/>
    <w:rsid w:val="1C0CFD9A"/>
    <w:rsid w:val="1C2F0EC7"/>
    <w:rsid w:val="1C398177"/>
    <w:rsid w:val="1C7DB4ED"/>
    <w:rsid w:val="1CCD01D9"/>
    <w:rsid w:val="1D0F55C6"/>
    <w:rsid w:val="1D3FB1FD"/>
    <w:rsid w:val="1D4A1D2E"/>
    <w:rsid w:val="1D583047"/>
    <w:rsid w:val="1E4AE8CE"/>
    <w:rsid w:val="1F6588C3"/>
    <w:rsid w:val="1FE35059"/>
    <w:rsid w:val="20212DEC"/>
    <w:rsid w:val="22B63242"/>
    <w:rsid w:val="22DFC349"/>
    <w:rsid w:val="23068C66"/>
    <w:rsid w:val="2395405F"/>
    <w:rsid w:val="239FE55C"/>
    <w:rsid w:val="2448D4A1"/>
    <w:rsid w:val="24E1B1BD"/>
    <w:rsid w:val="25FB1FB3"/>
    <w:rsid w:val="2644EEEC"/>
    <w:rsid w:val="268FD389"/>
    <w:rsid w:val="2698EDE0"/>
    <w:rsid w:val="2771487A"/>
    <w:rsid w:val="27BA4358"/>
    <w:rsid w:val="28578C1A"/>
    <w:rsid w:val="294B8F61"/>
    <w:rsid w:val="294B9480"/>
    <w:rsid w:val="29602EF9"/>
    <w:rsid w:val="2A2155FA"/>
    <w:rsid w:val="2A3748B0"/>
    <w:rsid w:val="2AC1341B"/>
    <w:rsid w:val="2BAE4542"/>
    <w:rsid w:val="2C805E68"/>
    <w:rsid w:val="2CD6CB80"/>
    <w:rsid w:val="2D45C8A7"/>
    <w:rsid w:val="2DB8449E"/>
    <w:rsid w:val="2E37DB37"/>
    <w:rsid w:val="2E8E7581"/>
    <w:rsid w:val="2EADD63D"/>
    <w:rsid w:val="2F8FF42B"/>
    <w:rsid w:val="304A0C69"/>
    <w:rsid w:val="3143763A"/>
    <w:rsid w:val="3147DE73"/>
    <w:rsid w:val="3155E1C6"/>
    <w:rsid w:val="31BCF2E0"/>
    <w:rsid w:val="31DF9125"/>
    <w:rsid w:val="329A7159"/>
    <w:rsid w:val="32AE6967"/>
    <w:rsid w:val="32E24A0B"/>
    <w:rsid w:val="33B8E075"/>
    <w:rsid w:val="37041A24"/>
    <w:rsid w:val="3752BB7B"/>
    <w:rsid w:val="3753A5E6"/>
    <w:rsid w:val="37BBC473"/>
    <w:rsid w:val="37D0165A"/>
    <w:rsid w:val="37E1F120"/>
    <w:rsid w:val="38507999"/>
    <w:rsid w:val="3899B385"/>
    <w:rsid w:val="38E46219"/>
    <w:rsid w:val="390C9F23"/>
    <w:rsid w:val="391DCF8B"/>
    <w:rsid w:val="39680D58"/>
    <w:rsid w:val="39DF24C2"/>
    <w:rsid w:val="3A0DF4FA"/>
    <w:rsid w:val="3A3AFB58"/>
    <w:rsid w:val="3A77ADE4"/>
    <w:rsid w:val="3B1D07AC"/>
    <w:rsid w:val="3C13909C"/>
    <w:rsid w:val="3D7B6841"/>
    <w:rsid w:val="3DA8D0F6"/>
    <w:rsid w:val="3DFC0A27"/>
    <w:rsid w:val="3E04A664"/>
    <w:rsid w:val="3E878E91"/>
    <w:rsid w:val="3F4C62AB"/>
    <w:rsid w:val="3F4FFCD6"/>
    <w:rsid w:val="3F62BF32"/>
    <w:rsid w:val="3FD3A8A3"/>
    <w:rsid w:val="4007A0DD"/>
    <w:rsid w:val="40191E3A"/>
    <w:rsid w:val="405013CA"/>
    <w:rsid w:val="40ADB4C7"/>
    <w:rsid w:val="415163B0"/>
    <w:rsid w:val="41F6B056"/>
    <w:rsid w:val="42637FEB"/>
    <w:rsid w:val="4345850B"/>
    <w:rsid w:val="4388E189"/>
    <w:rsid w:val="43A9C861"/>
    <w:rsid w:val="43BCE07D"/>
    <w:rsid w:val="43CC4DEE"/>
    <w:rsid w:val="43D93850"/>
    <w:rsid w:val="43EE5A68"/>
    <w:rsid w:val="4403E675"/>
    <w:rsid w:val="45B4F51F"/>
    <w:rsid w:val="45F283DE"/>
    <w:rsid w:val="463B773B"/>
    <w:rsid w:val="463E4AD1"/>
    <w:rsid w:val="46ACDCD7"/>
    <w:rsid w:val="470BE183"/>
    <w:rsid w:val="471F20F5"/>
    <w:rsid w:val="47901F8C"/>
    <w:rsid w:val="47A5C328"/>
    <w:rsid w:val="47A897E3"/>
    <w:rsid w:val="47BB5629"/>
    <w:rsid w:val="47D457E4"/>
    <w:rsid w:val="481BDE75"/>
    <w:rsid w:val="489AAB90"/>
    <w:rsid w:val="48F857CB"/>
    <w:rsid w:val="4A256101"/>
    <w:rsid w:val="4A36F742"/>
    <w:rsid w:val="4A6331C0"/>
    <w:rsid w:val="4A7D2375"/>
    <w:rsid w:val="4AC4A8B3"/>
    <w:rsid w:val="4AFF8F35"/>
    <w:rsid w:val="4B1FADD1"/>
    <w:rsid w:val="4BA8264E"/>
    <w:rsid w:val="4BCD9599"/>
    <w:rsid w:val="4BFA172F"/>
    <w:rsid w:val="4C00DDA8"/>
    <w:rsid w:val="4C0DBF1A"/>
    <w:rsid w:val="4C28613C"/>
    <w:rsid w:val="4C8F0AA5"/>
    <w:rsid w:val="4CD039EF"/>
    <w:rsid w:val="4CF3C8C1"/>
    <w:rsid w:val="4DADA3CF"/>
    <w:rsid w:val="4E27E63F"/>
    <w:rsid w:val="4E666DAB"/>
    <w:rsid w:val="4E853941"/>
    <w:rsid w:val="4E9642F5"/>
    <w:rsid w:val="4EE9288C"/>
    <w:rsid w:val="4F63A10C"/>
    <w:rsid w:val="4F9C812A"/>
    <w:rsid w:val="4FA30D61"/>
    <w:rsid w:val="4FBD05D0"/>
    <w:rsid w:val="50096F96"/>
    <w:rsid w:val="512896E0"/>
    <w:rsid w:val="52F2C641"/>
    <w:rsid w:val="54835EB2"/>
    <w:rsid w:val="550ECA4E"/>
    <w:rsid w:val="553789D8"/>
    <w:rsid w:val="55DB998F"/>
    <w:rsid w:val="56585A03"/>
    <w:rsid w:val="5741E79F"/>
    <w:rsid w:val="57D10B4E"/>
    <w:rsid w:val="5812B523"/>
    <w:rsid w:val="58752C2D"/>
    <w:rsid w:val="58DEA182"/>
    <w:rsid w:val="58E38A85"/>
    <w:rsid w:val="592A9C75"/>
    <w:rsid w:val="59316ABA"/>
    <w:rsid w:val="593A2832"/>
    <w:rsid w:val="59DC5B1D"/>
    <w:rsid w:val="5A046250"/>
    <w:rsid w:val="5A3EF05D"/>
    <w:rsid w:val="5B072A78"/>
    <w:rsid w:val="5B5A2EFB"/>
    <w:rsid w:val="5BC2C7BB"/>
    <w:rsid w:val="5C85429C"/>
    <w:rsid w:val="5C8B9C67"/>
    <w:rsid w:val="5CAC6599"/>
    <w:rsid w:val="5DAE7F70"/>
    <w:rsid w:val="5DF8D553"/>
    <w:rsid w:val="5E9DF275"/>
    <w:rsid w:val="5EED42E6"/>
    <w:rsid w:val="60270194"/>
    <w:rsid w:val="6075D91F"/>
    <w:rsid w:val="607CA7C6"/>
    <w:rsid w:val="60D1819D"/>
    <w:rsid w:val="61151696"/>
    <w:rsid w:val="6163722A"/>
    <w:rsid w:val="61C43731"/>
    <w:rsid w:val="6206CC98"/>
    <w:rsid w:val="6208CD00"/>
    <w:rsid w:val="6243D886"/>
    <w:rsid w:val="626E35A1"/>
    <w:rsid w:val="630007D2"/>
    <w:rsid w:val="637AE053"/>
    <w:rsid w:val="638B4BB6"/>
    <w:rsid w:val="6408C70D"/>
    <w:rsid w:val="64D18A56"/>
    <w:rsid w:val="64D55BF8"/>
    <w:rsid w:val="6537DA86"/>
    <w:rsid w:val="6551A247"/>
    <w:rsid w:val="658CE106"/>
    <w:rsid w:val="660EC97E"/>
    <w:rsid w:val="669F2F50"/>
    <w:rsid w:val="66ADB3EA"/>
    <w:rsid w:val="67440829"/>
    <w:rsid w:val="68530D5C"/>
    <w:rsid w:val="68A5980B"/>
    <w:rsid w:val="691436EC"/>
    <w:rsid w:val="693B28C6"/>
    <w:rsid w:val="69F2A017"/>
    <w:rsid w:val="6A51A742"/>
    <w:rsid w:val="6A5A3C88"/>
    <w:rsid w:val="6AED64D1"/>
    <w:rsid w:val="6B62EAB8"/>
    <w:rsid w:val="6BCEF2C1"/>
    <w:rsid w:val="6C07F58C"/>
    <w:rsid w:val="6C08785D"/>
    <w:rsid w:val="6C68F04D"/>
    <w:rsid w:val="6C85985B"/>
    <w:rsid w:val="6CB29CDB"/>
    <w:rsid w:val="6D3463A3"/>
    <w:rsid w:val="6DE774B9"/>
    <w:rsid w:val="6E1AF6E4"/>
    <w:rsid w:val="6E4C32C6"/>
    <w:rsid w:val="6EED2CC6"/>
    <w:rsid w:val="6F46CD18"/>
    <w:rsid w:val="6FBFD969"/>
    <w:rsid w:val="6FF8DCC4"/>
    <w:rsid w:val="7045F8FC"/>
    <w:rsid w:val="704F86A5"/>
    <w:rsid w:val="708100A2"/>
    <w:rsid w:val="70BBD749"/>
    <w:rsid w:val="70D67A4D"/>
    <w:rsid w:val="7149CFD6"/>
    <w:rsid w:val="71FEE777"/>
    <w:rsid w:val="7211FAF5"/>
    <w:rsid w:val="725D2B6F"/>
    <w:rsid w:val="727F1987"/>
    <w:rsid w:val="729060EB"/>
    <w:rsid w:val="7380F5CE"/>
    <w:rsid w:val="739CD673"/>
    <w:rsid w:val="75492AC4"/>
    <w:rsid w:val="7577EE02"/>
    <w:rsid w:val="757E3E5B"/>
    <w:rsid w:val="76383B93"/>
    <w:rsid w:val="769726A1"/>
    <w:rsid w:val="769ECBC4"/>
    <w:rsid w:val="76CE2128"/>
    <w:rsid w:val="76DD771B"/>
    <w:rsid w:val="770D0B13"/>
    <w:rsid w:val="77C92681"/>
    <w:rsid w:val="78266FF3"/>
    <w:rsid w:val="78A02C05"/>
    <w:rsid w:val="78CBDB9A"/>
    <w:rsid w:val="7918E5F1"/>
    <w:rsid w:val="79B6076A"/>
    <w:rsid w:val="7A0B18E8"/>
    <w:rsid w:val="7A77A788"/>
    <w:rsid w:val="7AEC3AF4"/>
    <w:rsid w:val="7AFB608E"/>
    <w:rsid w:val="7B380B0C"/>
    <w:rsid w:val="7B5EF657"/>
    <w:rsid w:val="7B79B764"/>
    <w:rsid w:val="7B90C05F"/>
    <w:rsid w:val="7D055960"/>
    <w:rsid w:val="7D1DD344"/>
    <w:rsid w:val="7D9100B4"/>
    <w:rsid w:val="7E6AFF8B"/>
    <w:rsid w:val="7EC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27CB"/>
  <w15:chartTrackingRefBased/>
  <w15:docId w15:val="{D21AD28C-C602-47B2-AAD1-3473F199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F0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1C437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image" Target="/media/image6.jpg" Id="rId1716512514" /><Relationship Type="http://schemas.openxmlformats.org/officeDocument/2006/relationships/hyperlink" Target="https://www.sqa.org.uk/sqa/files_ccc/n5-course-spec-modern-languages.pdf" TargetMode="External" Id="R94e963d605244e30" /><Relationship Type="http://schemas.openxmlformats.org/officeDocument/2006/relationships/hyperlink" Target="https://www.sqa.org.uk/files_ccc/ModernLanguagesN5CATAssignmentWriting.docx" TargetMode="External" Id="Rd368b52e3a0645ff" /><Relationship Type="http://schemas.openxmlformats.org/officeDocument/2006/relationships/hyperlink" Target="https://www.sqa.org.uk/files_ccc/ModernLanguagesN5CATPerformanceTalking.doc" TargetMode="External" Id="R4ffe88a1f0e44f8e" /><Relationship Type="http://schemas.openxmlformats.org/officeDocument/2006/relationships/hyperlink" Target="https://www.sqa.org.uk/sqa/files_ccc/h-course-spec-modern-languages.pdf" TargetMode="External" Id="R6de1d0a779074b79" /><Relationship Type="http://schemas.openxmlformats.org/officeDocument/2006/relationships/hyperlink" Target="https://www.sqa.org.uk/files_ccc/HigherCATModernLanguagesAssignmentWriting.docx" TargetMode="External" Id="R75b8e00fd68d4132" /><Relationship Type="http://schemas.openxmlformats.org/officeDocument/2006/relationships/hyperlink" Target="https://www.sqa.org.uk/files_ccc/HigherCATModernLanguagesPerformanceTalking.docx" TargetMode="External" Id="Rc1e26be57b9e45df" /><Relationship Type="http://schemas.openxmlformats.org/officeDocument/2006/relationships/hyperlink" Target="https://scholar.hw.ac.uk/courses/browse/H-CSPA/-1/-1" TargetMode="External" Id="Rc49c8f7ad1be428b" /><Relationship Type="http://schemas.openxmlformats.org/officeDocument/2006/relationships/hyperlink" Target="https://scholar.hw.ac.uk/courses/browse/N5SPA/-1/-1" TargetMode="External" Id="Rc3002f8a110943c7" /><Relationship Type="http://schemas.openxmlformats.org/officeDocument/2006/relationships/hyperlink" Target="https://letsachieve.co.uk/" TargetMode="External" Id="R5687673e3ca14429" /><Relationship Type="http://schemas.openxmlformats.org/officeDocument/2006/relationships/hyperlink" Target="https://www.bbc.co.uk/bitesize/subjects/zrtykqt" TargetMode="External" Id="R55914a04b5f347f5" /><Relationship Type="http://schemas.openxmlformats.org/officeDocument/2006/relationships/hyperlink" Target="https://www.bbc.co.uk/bitesize/subjects/zchv87h" TargetMode="External" Id="R593f3781c0ed4f1e" /><Relationship Type="http://schemas.openxmlformats.org/officeDocument/2006/relationships/image" Target="/media/image2.png" Id="rId1698070211" /><Relationship Type="http://schemas.openxmlformats.org/officeDocument/2006/relationships/image" Target="/media/image7.jpg" Id="rId132327407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 Lanarkshire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Josephine Burton</dc:creator>
  <keywords/>
  <dc:description/>
  <lastModifiedBy>Mrs Jackson</lastModifiedBy>
  <revision>4</revision>
  <lastPrinted>2023-09-07T11:14:00.0000000Z</lastPrinted>
  <dcterms:created xsi:type="dcterms:W3CDTF">2024-09-03T16:32:00.0000000Z</dcterms:created>
  <dcterms:modified xsi:type="dcterms:W3CDTF">2025-09-02T13:45:44.5550168Z</dcterms:modified>
</coreProperties>
</file>