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1F62" w14:textId="77777777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  <w:r w:rsidRPr="00BA2AC4">
        <w:rPr>
          <w:rFonts w:ascii="Century Gothic" w:hAnsi="Century Gothic" w:cs="Arial"/>
          <w:noProof/>
          <w:sz w:val="72"/>
          <w:szCs w:val="72"/>
          <w:lang w:val="en-US"/>
        </w:rPr>
        <w:drawing>
          <wp:inline distT="0" distB="0" distL="0" distR="0" wp14:anchorId="199A822F" wp14:editId="57810D01">
            <wp:extent cx="2507669" cy="2507669"/>
            <wp:effectExtent l="0" t="0" r="6985" b="6985"/>
            <wp:docPr id="2" name="Picture 2" descr="/Users/client/Desktop/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lient/Desktop/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46" cy="25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8B9C8" w14:textId="77777777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</w:p>
    <w:p w14:paraId="6ADC1CEC" w14:textId="77777777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  <w:r w:rsidRPr="00BA2AC4">
        <w:rPr>
          <w:rFonts w:ascii="Century Gothic" w:hAnsi="Century Gothic" w:cs="Arial"/>
          <w:sz w:val="72"/>
          <w:szCs w:val="72"/>
        </w:rPr>
        <w:t>Auchinloch Nursery Class</w:t>
      </w:r>
    </w:p>
    <w:p w14:paraId="194E7FD3" w14:textId="77777777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</w:p>
    <w:p w14:paraId="738A7F51" w14:textId="77777777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</w:p>
    <w:p w14:paraId="23433313" w14:textId="77777777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</w:p>
    <w:p w14:paraId="640B2210" w14:textId="0CE1B8BC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  <w:r w:rsidRPr="00BA2AC4">
        <w:rPr>
          <w:rFonts w:ascii="Century Gothic" w:hAnsi="Century Gothic" w:cs="Arial"/>
          <w:sz w:val="72"/>
          <w:szCs w:val="72"/>
        </w:rPr>
        <w:t>First Aid Boxes</w:t>
      </w:r>
    </w:p>
    <w:p w14:paraId="1A26A891" w14:textId="77777777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</w:p>
    <w:p w14:paraId="581D739A" w14:textId="77777777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</w:p>
    <w:p w14:paraId="7CE8CC3C" w14:textId="77777777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</w:p>
    <w:p w14:paraId="09F00C37" w14:textId="1645A08D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  <w:r w:rsidRPr="00BA2AC4">
        <w:rPr>
          <w:rFonts w:ascii="Century Gothic" w:hAnsi="Century Gothic" w:cs="Arial"/>
          <w:sz w:val="72"/>
          <w:szCs w:val="72"/>
        </w:rPr>
        <w:t>April 2018</w:t>
      </w:r>
    </w:p>
    <w:p w14:paraId="09F1BADE" w14:textId="77777777" w:rsidR="00C63BE0" w:rsidRPr="00BA2AC4" w:rsidRDefault="00C63BE0" w:rsidP="00C63BE0">
      <w:pPr>
        <w:jc w:val="center"/>
        <w:rPr>
          <w:rFonts w:ascii="Century Gothic" w:hAnsi="Century Gothic" w:cs="Arial"/>
          <w:sz w:val="72"/>
          <w:szCs w:val="72"/>
        </w:rPr>
      </w:pPr>
    </w:p>
    <w:p w14:paraId="10EDCA57" w14:textId="77777777" w:rsidR="00C63BE0" w:rsidRPr="00BA2AC4" w:rsidRDefault="00C63BE0" w:rsidP="005F489F">
      <w:pPr>
        <w:widowControl w:val="0"/>
        <w:tabs>
          <w:tab w:val="left" w:pos="20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3137BD8D" w14:textId="77777777" w:rsidR="005F489F" w:rsidRPr="00BA2AC4" w:rsidRDefault="005F489F" w:rsidP="005F489F">
      <w:pPr>
        <w:widowControl w:val="0"/>
        <w:tabs>
          <w:tab w:val="left" w:pos="20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lastRenderedPageBreak/>
        <w:t>First Aid Boxes</w:t>
      </w:r>
    </w:p>
    <w:p w14:paraId="426F8B7C" w14:textId="77777777" w:rsidR="005F489F" w:rsidRPr="00BA2AC4" w:rsidRDefault="005F489F" w:rsidP="005F489F">
      <w:pPr>
        <w:widowControl w:val="0"/>
        <w:tabs>
          <w:tab w:val="left" w:pos="20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</w:pPr>
    </w:p>
    <w:p w14:paraId="4C46F5E7" w14:textId="77777777" w:rsidR="005F489F" w:rsidRPr="00BA2AC4" w:rsidRDefault="005F489F" w:rsidP="005F489F">
      <w:pPr>
        <w:widowControl w:val="0"/>
        <w:tabs>
          <w:tab w:val="left" w:pos="20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</w:pPr>
    </w:p>
    <w:p w14:paraId="5954814C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These should be made of suitable material and so designed to protect the contents. All boxes should be clearly marked, the recommended marking being a white cross on a green background </w:t>
      </w:r>
    </w:p>
    <w:p w14:paraId="19F12D68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14:paraId="5467BEBB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(Health and Safety (Safety Signs and Signals) Regulations 1996).</w:t>
      </w:r>
    </w:p>
    <w:p w14:paraId="2B0CDE82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</w:pPr>
    </w:p>
    <w:p w14:paraId="27C0DB26" w14:textId="6D49CA01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adjustRightInd w:val="0"/>
        <w:ind w:firstLine="28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First </w:t>
      </w:r>
      <w:r w:rsidRPr="00BA2AC4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aid boxes and travelling first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aid kits should contain </w:t>
      </w:r>
      <w:r w:rsidR="00F32F47"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enough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quantities of suitable first aid materials and nothing else. </w:t>
      </w:r>
      <w:r w:rsidRPr="00BA2AC4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Minimum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quantities for </w:t>
      </w:r>
      <w:r w:rsidRPr="00BA2AC4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low-risk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establishments may be considered as:</w:t>
      </w:r>
    </w:p>
    <w:p w14:paraId="2CA403F1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adjustRightInd w:val="0"/>
        <w:ind w:firstLine="28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14:paraId="2B3804CD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80"/>
          <w:tab w:val="left" w:pos="620"/>
        </w:tabs>
        <w:autoSpaceDE w:val="0"/>
        <w:autoSpaceDN w:val="0"/>
        <w:adjustRightInd w:val="0"/>
        <w:ind w:left="620" w:hanging="30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(a)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ab/>
        <w:t>a general guidance leaflet on first aid (see below)</w:t>
      </w:r>
    </w:p>
    <w:p w14:paraId="1F1CF48E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80"/>
          <w:tab w:val="left" w:pos="620"/>
        </w:tabs>
        <w:autoSpaceDE w:val="0"/>
        <w:autoSpaceDN w:val="0"/>
        <w:adjustRightInd w:val="0"/>
        <w:ind w:left="620" w:hanging="30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(b)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ab/>
        <w:t>20 individually wrapped sterile adhesive dressings (assorted sizes) appropriate for the work environment (detectable dressings should be available for the catering industry)</w:t>
      </w:r>
    </w:p>
    <w:p w14:paraId="34DEBB63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80"/>
          <w:tab w:val="left" w:pos="620"/>
        </w:tabs>
        <w:autoSpaceDE w:val="0"/>
        <w:autoSpaceDN w:val="0"/>
        <w:adjustRightInd w:val="0"/>
        <w:ind w:left="620" w:hanging="30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(c)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ab/>
        <w:t>2 sterile eye pads</w:t>
      </w:r>
    </w:p>
    <w:p w14:paraId="5FC78999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80"/>
          <w:tab w:val="left" w:pos="620"/>
        </w:tabs>
        <w:autoSpaceDE w:val="0"/>
        <w:autoSpaceDN w:val="0"/>
        <w:adjustRightInd w:val="0"/>
        <w:ind w:left="620" w:hanging="30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(d)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ab/>
        <w:t>4 individually wrapped triangular bandages (preferably sterile)</w:t>
      </w:r>
    </w:p>
    <w:p w14:paraId="04F69B1C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80"/>
          <w:tab w:val="left" w:pos="620"/>
        </w:tabs>
        <w:autoSpaceDE w:val="0"/>
        <w:autoSpaceDN w:val="0"/>
        <w:adjustRightInd w:val="0"/>
        <w:ind w:left="620" w:hanging="30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(e)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ab/>
        <w:t>6 safety pins</w:t>
      </w:r>
    </w:p>
    <w:p w14:paraId="03A94390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80"/>
          <w:tab w:val="left" w:pos="620"/>
        </w:tabs>
        <w:autoSpaceDE w:val="0"/>
        <w:autoSpaceDN w:val="0"/>
        <w:adjustRightInd w:val="0"/>
        <w:ind w:left="620" w:hanging="30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(f)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ab/>
        <w:t>6 medium-sized individually wrapped sterile unmedicated wound dressings (</w:t>
      </w:r>
      <w:proofErr w:type="spellStart"/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approx</w:t>
      </w:r>
      <w:proofErr w:type="spellEnd"/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12cm x 12cm)</w:t>
      </w:r>
    </w:p>
    <w:p w14:paraId="0F919C3E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80"/>
          <w:tab w:val="left" w:pos="620"/>
        </w:tabs>
        <w:autoSpaceDE w:val="0"/>
        <w:autoSpaceDN w:val="0"/>
        <w:adjustRightInd w:val="0"/>
        <w:ind w:left="620" w:hanging="30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(g)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ab/>
        <w:t>2 large sterile individually wrapped unmedicated wound dressings (</w:t>
      </w:r>
      <w:proofErr w:type="spellStart"/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approx</w:t>
      </w:r>
      <w:proofErr w:type="spellEnd"/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18cm x 18cm)</w:t>
      </w:r>
    </w:p>
    <w:p w14:paraId="6023C173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80"/>
          <w:tab w:val="left" w:pos="620"/>
        </w:tabs>
        <w:autoSpaceDE w:val="0"/>
        <w:autoSpaceDN w:val="0"/>
        <w:adjustRightInd w:val="0"/>
        <w:ind w:left="620" w:hanging="30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(h)</w:t>
      </w: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ab/>
        <w:t>1 pair of disposable gloves.</w:t>
      </w:r>
    </w:p>
    <w:p w14:paraId="56C14B31" w14:textId="77777777" w:rsidR="005F489F" w:rsidRPr="00BA2AC4" w:rsidRDefault="005F489F" w:rsidP="000C4DB4">
      <w:pPr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In situations where mains tap water is not readily available for eye irrigation, sterile water or sterile normal saline solution (0.9%) in sealed disposable containers should be provided. Once opened they must not be re-used. The use of eye baths/cups or re-fillable containers is not recommended.</w:t>
      </w:r>
    </w:p>
    <w:p w14:paraId="506E7EA7" w14:textId="650EDC1C" w:rsidR="00F94659" w:rsidRDefault="005F489F" w:rsidP="000C4DB4">
      <w:pPr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Extra equipment, or items required for special hazards, </w:t>
      </w:r>
      <w:proofErr w:type="spellStart"/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>ie</w:t>
      </w:r>
      <w:proofErr w:type="spellEnd"/>
      <w:r w:rsidRPr="00BA2AC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antidotes, may be kept in or near first aid boxes but only where the first aider has been specifically trained in their use.</w:t>
      </w:r>
    </w:p>
    <w:p w14:paraId="061F17A2" w14:textId="77777777" w:rsidR="00145D84" w:rsidRDefault="00145D84" w:rsidP="000C4DB4">
      <w:pPr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14:paraId="2BE5A881" w14:textId="247E3A27" w:rsidR="00360F12" w:rsidRDefault="00360F12" w:rsidP="000C4DB4">
      <w:pPr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14:paraId="1989A31E" w14:textId="4C6BE3BC" w:rsidR="00360F12" w:rsidRPr="00BA2AC4" w:rsidRDefault="00360F12" w:rsidP="000C4DB4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>The desi</w:t>
      </w:r>
      <w:r w:rsidR="001D03D6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gnated First Aider will check the </w:t>
      </w:r>
      <w:r w:rsidR="005867E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First Aid box bi-annually, August Inservice </w:t>
      </w:r>
      <w:r w:rsidR="00C0010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and February </w:t>
      </w:r>
      <w:r w:rsidR="00145D84">
        <w:rPr>
          <w:rFonts w:ascii="Century Gothic" w:hAnsi="Century Gothic" w:cs="Arial"/>
          <w:color w:val="000000"/>
          <w:sz w:val="20"/>
          <w:szCs w:val="20"/>
          <w:lang w:val="en-US"/>
        </w:rPr>
        <w:t>Inservice to</w:t>
      </w:r>
      <w:r w:rsidR="005867EC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ensure all equipment</w:t>
      </w:r>
      <w:r w:rsidR="008C1BB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is present and in date until </w:t>
      </w:r>
      <w:r w:rsidR="005D5A25">
        <w:rPr>
          <w:rFonts w:ascii="Century Gothic" w:hAnsi="Century Gothic" w:cs="Arial"/>
          <w:color w:val="000000"/>
          <w:sz w:val="20"/>
          <w:szCs w:val="20"/>
          <w:lang w:val="en-US"/>
        </w:rPr>
        <w:t>the next box check.</w:t>
      </w:r>
    </w:p>
    <w:sectPr w:rsidR="00360F12" w:rsidRPr="00BA2AC4" w:rsidSect="00E84C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9F"/>
    <w:rsid w:val="000C4DB4"/>
    <w:rsid w:val="00145D84"/>
    <w:rsid w:val="001D03D6"/>
    <w:rsid w:val="00360F12"/>
    <w:rsid w:val="005867EC"/>
    <w:rsid w:val="005D5A25"/>
    <w:rsid w:val="005F489F"/>
    <w:rsid w:val="008C1BB4"/>
    <w:rsid w:val="00BA2AC4"/>
    <w:rsid w:val="00C0010E"/>
    <w:rsid w:val="00C63BE0"/>
    <w:rsid w:val="00E84C8E"/>
    <w:rsid w:val="00F32F47"/>
    <w:rsid w:val="00F94659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D7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 McCrossan</cp:lastModifiedBy>
  <cp:revision>2</cp:revision>
  <cp:lastPrinted>2018-04-19T13:13:00Z</cp:lastPrinted>
  <dcterms:created xsi:type="dcterms:W3CDTF">2020-01-22T14:39:00Z</dcterms:created>
  <dcterms:modified xsi:type="dcterms:W3CDTF">2020-01-22T14:39:00Z</dcterms:modified>
</cp:coreProperties>
</file>