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B06A" w14:textId="5BED92CA" w:rsidR="008C2577" w:rsidRPr="00A501BE" w:rsidRDefault="00D4472A" w:rsidP="000710FA">
      <w:pPr>
        <w:jc w:val="center"/>
        <w:rPr>
          <w:b/>
          <w:bCs/>
          <w:sz w:val="36"/>
          <w:szCs w:val="36"/>
        </w:rPr>
      </w:pPr>
      <w:r w:rsidRPr="00A501BE">
        <w:rPr>
          <w:b/>
          <w:bCs/>
          <w:sz w:val="36"/>
          <w:szCs w:val="36"/>
        </w:rPr>
        <w:t xml:space="preserve">Learning for Sustainability </w:t>
      </w:r>
      <w:r w:rsidR="00A501BE" w:rsidRPr="00A501BE">
        <w:rPr>
          <w:b/>
          <w:bCs/>
          <w:sz w:val="36"/>
          <w:szCs w:val="36"/>
        </w:rPr>
        <w:t xml:space="preserve">Indicators (self-evaluation). </w:t>
      </w:r>
    </w:p>
    <w:tbl>
      <w:tblPr>
        <w:tblStyle w:val="TableGrid"/>
        <w:tblpPr w:leftFromText="180" w:rightFromText="180" w:vertAnchor="page" w:horzAnchor="margin" w:tblpY="1303"/>
        <w:tblW w:w="15446" w:type="dxa"/>
        <w:tblLook w:val="04A0" w:firstRow="1" w:lastRow="0" w:firstColumn="1" w:lastColumn="0" w:noHBand="0" w:noVBand="1"/>
      </w:tblPr>
      <w:tblGrid>
        <w:gridCol w:w="3710"/>
        <w:gridCol w:w="1278"/>
        <w:gridCol w:w="1696"/>
        <w:gridCol w:w="1329"/>
        <w:gridCol w:w="3704"/>
        <w:gridCol w:w="3729"/>
      </w:tblGrid>
      <w:tr w:rsidR="00F64F7A" w:rsidRPr="00101811" w14:paraId="0744DD9F" w14:textId="77777777" w:rsidTr="00F64F7A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4FFC4" w14:textId="77777777" w:rsidR="00F64F7A" w:rsidRPr="00101811" w:rsidRDefault="00F64F7A" w:rsidP="00F64F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64F7A" w:rsidRPr="00101811" w14:paraId="50552037" w14:textId="77777777" w:rsidTr="00F64F7A">
        <w:tc>
          <w:tcPr>
            <w:tcW w:w="15446" w:type="dxa"/>
            <w:gridSpan w:val="6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7F6C0F3" w14:textId="77777777" w:rsidR="00F64F7A" w:rsidRPr="00B06911" w:rsidRDefault="00F64F7A" w:rsidP="00F64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01811">
              <w:rPr>
                <w:rFonts w:ascii="Arial" w:hAnsi="Arial" w:cs="Arial"/>
                <w:b/>
                <w:bCs/>
                <w:sz w:val="28"/>
                <w:szCs w:val="28"/>
              </w:rPr>
              <w:t>Curriculum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Pr="00B06911">
              <w:rPr>
                <w:rFonts w:ascii="Arial" w:hAnsi="Arial" w:cs="Arial"/>
                <w:i/>
                <w:iCs/>
                <w:sz w:val="28"/>
                <w:szCs w:val="28"/>
              </w:rPr>
              <w:t>Learning, teaching, assessment, pedagogy</w:t>
            </w:r>
          </w:p>
        </w:tc>
      </w:tr>
      <w:tr w:rsidR="00F64F7A" w:rsidRPr="00101811" w14:paraId="0D155137" w14:textId="77777777" w:rsidTr="00F64F7A">
        <w:tc>
          <w:tcPr>
            <w:tcW w:w="3710" w:type="dxa"/>
            <w:vMerge w:val="restart"/>
            <w:vAlign w:val="center"/>
          </w:tcPr>
          <w:p w14:paraId="6CC1B438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b/>
                <w:bCs/>
              </w:rPr>
              <w:t>Feature of Practice</w:t>
            </w:r>
          </w:p>
        </w:tc>
        <w:tc>
          <w:tcPr>
            <w:tcW w:w="4303" w:type="dxa"/>
            <w:gridSpan w:val="3"/>
            <w:vAlign w:val="center"/>
          </w:tcPr>
          <w:p w14:paraId="5E2BCB2B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b/>
                <w:bCs/>
              </w:rPr>
              <w:t>Progress</w:t>
            </w:r>
          </w:p>
        </w:tc>
        <w:tc>
          <w:tcPr>
            <w:tcW w:w="3704" w:type="dxa"/>
            <w:vMerge w:val="restart"/>
            <w:vAlign w:val="center"/>
          </w:tcPr>
          <w:p w14:paraId="511E1027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b/>
                <w:bCs/>
              </w:rPr>
              <w:t>Next steps for our establishment</w:t>
            </w:r>
          </w:p>
        </w:tc>
        <w:tc>
          <w:tcPr>
            <w:tcW w:w="3729" w:type="dxa"/>
            <w:vMerge w:val="restart"/>
            <w:vAlign w:val="center"/>
          </w:tcPr>
          <w:p w14:paraId="095E98B7" w14:textId="788E6FB3" w:rsidR="00F64F7A" w:rsidRPr="00E056A5" w:rsidRDefault="00664969" w:rsidP="00F64F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 / prompts / e</w:t>
            </w:r>
            <w:r w:rsidR="00F64F7A" w:rsidRPr="00E056A5">
              <w:rPr>
                <w:rFonts w:ascii="Arial" w:hAnsi="Arial" w:cs="Arial"/>
                <w:b/>
                <w:bCs/>
              </w:rPr>
              <w:t>xemplars</w:t>
            </w:r>
          </w:p>
        </w:tc>
      </w:tr>
      <w:tr w:rsidR="00F64F7A" w:rsidRPr="00101811" w14:paraId="760AC9A4" w14:textId="77777777" w:rsidTr="00F64F7A">
        <w:tc>
          <w:tcPr>
            <w:tcW w:w="3710" w:type="dxa"/>
            <w:vMerge/>
          </w:tcPr>
          <w:p w14:paraId="05D96F52" w14:textId="77777777" w:rsidR="00F64F7A" w:rsidRPr="00101811" w:rsidRDefault="00F64F7A" w:rsidP="00F64F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01904315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i/>
                <w:iCs/>
              </w:rPr>
            </w:pPr>
            <w:r w:rsidRPr="00E056A5">
              <w:rPr>
                <w:rFonts w:ascii="Arial" w:hAnsi="Arial" w:cs="Arial"/>
                <w:i/>
                <w:iCs/>
              </w:rPr>
              <w:t>Not yet visible</w:t>
            </w:r>
          </w:p>
        </w:tc>
        <w:tc>
          <w:tcPr>
            <w:tcW w:w="1696" w:type="dxa"/>
          </w:tcPr>
          <w:p w14:paraId="166A2924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i/>
                <w:iCs/>
              </w:rPr>
            </w:pPr>
            <w:r w:rsidRPr="00E056A5">
              <w:rPr>
                <w:rFonts w:ascii="Arial" w:hAnsi="Arial" w:cs="Arial"/>
                <w:i/>
                <w:iCs/>
              </w:rPr>
              <w:t>Emerging</w:t>
            </w:r>
          </w:p>
        </w:tc>
        <w:tc>
          <w:tcPr>
            <w:tcW w:w="1329" w:type="dxa"/>
          </w:tcPr>
          <w:p w14:paraId="01B8F983" w14:textId="77777777" w:rsidR="00F64F7A" w:rsidRPr="00E056A5" w:rsidRDefault="00F64F7A" w:rsidP="00F64F7A">
            <w:pPr>
              <w:jc w:val="center"/>
              <w:rPr>
                <w:rFonts w:ascii="Arial" w:hAnsi="Arial" w:cs="Arial"/>
                <w:i/>
                <w:iCs/>
              </w:rPr>
            </w:pPr>
            <w:r w:rsidRPr="00E056A5">
              <w:rPr>
                <w:rFonts w:ascii="Arial" w:hAnsi="Arial" w:cs="Arial"/>
                <w:i/>
                <w:iCs/>
              </w:rPr>
              <w:t>Embedded</w:t>
            </w:r>
          </w:p>
        </w:tc>
        <w:tc>
          <w:tcPr>
            <w:tcW w:w="3704" w:type="dxa"/>
            <w:vMerge/>
          </w:tcPr>
          <w:p w14:paraId="3048D4BF" w14:textId="77777777" w:rsidR="00F64F7A" w:rsidRPr="00101811" w:rsidRDefault="00F64F7A" w:rsidP="00F64F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Merge/>
          </w:tcPr>
          <w:p w14:paraId="75165D6B" w14:textId="77777777" w:rsidR="00F64F7A" w:rsidRPr="00101811" w:rsidRDefault="00F64F7A" w:rsidP="00F64F7A">
            <w:pPr>
              <w:jc w:val="center"/>
              <w:rPr>
                <w:rFonts w:ascii="Arial" w:hAnsi="Arial" w:cs="Arial"/>
              </w:rPr>
            </w:pPr>
          </w:p>
        </w:tc>
      </w:tr>
      <w:tr w:rsidR="00F64F7A" w:rsidRPr="00101811" w14:paraId="38C92B54" w14:textId="77777777" w:rsidTr="00F64F7A">
        <w:tc>
          <w:tcPr>
            <w:tcW w:w="3710" w:type="dxa"/>
          </w:tcPr>
          <w:p w14:paraId="16E6933D" w14:textId="77777777" w:rsidR="00F64F7A" w:rsidRPr="00101811" w:rsidRDefault="00F64F7A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for Sustainability (LfS) is a planned part of our curriculum through curricular areas, interdisciplinary learning, ethos and life, and personal achievement. </w:t>
            </w:r>
          </w:p>
        </w:tc>
        <w:tc>
          <w:tcPr>
            <w:tcW w:w="1278" w:type="dxa"/>
          </w:tcPr>
          <w:p w14:paraId="26AB4BFA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148E6DDF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3719B265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04" w:type="dxa"/>
          </w:tcPr>
          <w:p w14:paraId="6FDD90E0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2EB4573F" w14:textId="77777777" w:rsidR="008035D7" w:rsidRDefault="008035D7" w:rsidP="008035D7">
            <w:pPr>
              <w:rPr>
                <w:rFonts w:ascii="Arial" w:hAnsi="Arial" w:cs="Arial"/>
              </w:rPr>
            </w:pPr>
            <w:hyperlink r:id="rId7" w:history="1">
              <w:r w:rsidRPr="00FC6825">
                <w:rPr>
                  <w:rStyle w:val="Hyperlink"/>
                  <w:rFonts w:ascii="Arial" w:hAnsi="Arial" w:cs="Arial"/>
                </w:rPr>
                <w:t>Elderbank LfS Progression Planner</w:t>
              </w:r>
            </w:hyperlink>
          </w:p>
          <w:p w14:paraId="7E8E287E" w14:textId="77777777" w:rsidR="008035D7" w:rsidRDefault="008035D7" w:rsidP="001D067A"/>
          <w:p w14:paraId="4F36B98D" w14:textId="740BAA38" w:rsidR="001D067A" w:rsidRPr="00B60404" w:rsidRDefault="001D067A" w:rsidP="001D067A">
            <w:pPr>
              <w:rPr>
                <w:rFonts w:ascii="Arial" w:hAnsi="Arial" w:cs="Arial"/>
              </w:rPr>
            </w:pPr>
            <w:hyperlink r:id="rId8" w:history="1">
              <w:r w:rsidRPr="00F7258B">
                <w:rPr>
                  <w:rStyle w:val="Hyperlink"/>
                  <w:rFonts w:ascii="Arial" w:hAnsi="Arial" w:cs="Arial"/>
                </w:rPr>
                <w:t>Solar Punk Island</w:t>
              </w:r>
            </w:hyperlink>
            <w:r>
              <w:rPr>
                <w:rFonts w:ascii="Arial" w:hAnsi="Arial" w:cs="Arial"/>
              </w:rPr>
              <w:t xml:space="preserve"> is promoted by </w:t>
            </w:r>
            <w:r w:rsidRPr="00B60404">
              <w:rPr>
                <w:rFonts w:ascii="Arial" w:hAnsi="Arial" w:cs="Arial"/>
              </w:rPr>
              <w:t xml:space="preserve">Education Scotland as an LfS IDL project for learners aged 9+. </w:t>
            </w:r>
          </w:p>
          <w:p w14:paraId="60D12E18" w14:textId="77777777" w:rsidR="00F64F7A" w:rsidRPr="00B60404" w:rsidRDefault="00F64F7A" w:rsidP="00F64F7A">
            <w:pPr>
              <w:rPr>
                <w:rFonts w:ascii="Arial" w:hAnsi="Arial" w:cs="Arial"/>
              </w:rPr>
            </w:pPr>
          </w:p>
          <w:p w14:paraId="53E23E36" w14:textId="77777777" w:rsidR="005E7943" w:rsidRDefault="005E7943" w:rsidP="005E7943">
            <w:pPr>
              <w:rPr>
                <w:rFonts w:ascii="Arial" w:hAnsi="Arial" w:cs="Arial"/>
              </w:rPr>
            </w:pPr>
            <w:hyperlink r:id="rId9" w:history="1">
              <w:r w:rsidRPr="00B60404">
                <w:rPr>
                  <w:rStyle w:val="Hyperlink"/>
                  <w:rFonts w:ascii="Arial" w:hAnsi="Arial" w:cs="Arial"/>
                </w:rPr>
                <w:t>Powering Futures Programme</w:t>
              </w:r>
            </w:hyperlink>
            <w:r w:rsidRPr="00B60404">
              <w:rPr>
                <w:rFonts w:ascii="Arial" w:hAnsi="Arial" w:cs="Arial"/>
              </w:rPr>
              <w:t xml:space="preserve"> is a SCQF level 6 award that combines IDL &amp; meta-skills. Delivered at Ardrossan, Irvine Royal and</w:t>
            </w:r>
            <w:r w:rsidRPr="008245F2">
              <w:rPr>
                <w:rFonts w:ascii="Arial" w:hAnsi="Arial" w:cs="Arial"/>
              </w:rPr>
              <w:t xml:space="preserve"> St Matthew’s academies in 2025/26</w:t>
            </w:r>
          </w:p>
          <w:p w14:paraId="2B7B1771" w14:textId="77777777" w:rsidR="005E7943" w:rsidRDefault="005E7943" w:rsidP="00F64F7A">
            <w:pPr>
              <w:rPr>
                <w:rFonts w:ascii="Arial" w:hAnsi="Arial" w:cs="Arial"/>
              </w:rPr>
            </w:pPr>
          </w:p>
          <w:p w14:paraId="3AC49D5D" w14:textId="77777777" w:rsidR="005E7943" w:rsidRDefault="008B4756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Outdoor learning awards such as </w:t>
            </w:r>
            <w:r w:rsidR="00384999">
              <w:rPr>
                <w:rFonts w:ascii="Arial" w:hAnsi="Arial" w:cs="Arial"/>
              </w:rPr>
              <w:t xml:space="preserve">RSPB </w:t>
            </w:r>
            <w:r>
              <w:rPr>
                <w:rFonts w:ascii="Arial" w:hAnsi="Arial" w:cs="Arial"/>
              </w:rPr>
              <w:t xml:space="preserve">Wild Challenge and John Muir </w:t>
            </w:r>
            <w:r w:rsidR="00384999">
              <w:rPr>
                <w:rFonts w:ascii="Arial" w:hAnsi="Arial" w:cs="Arial"/>
              </w:rPr>
              <w:t xml:space="preserve">Award </w:t>
            </w:r>
            <w:r>
              <w:rPr>
                <w:rFonts w:ascii="Arial" w:hAnsi="Arial" w:cs="Arial"/>
              </w:rPr>
              <w:t>provide opportunities for personal achievement</w:t>
            </w:r>
            <w:r w:rsidR="00384999">
              <w:rPr>
                <w:rFonts w:ascii="Arial" w:hAnsi="Arial" w:cs="Arial"/>
              </w:rPr>
              <w:t xml:space="preserve">. Senior Phase qualifications include KSB </w:t>
            </w:r>
            <w:r w:rsidR="00680F3A">
              <w:rPr>
                <w:rFonts w:ascii="Arial" w:hAnsi="Arial" w:cs="Arial"/>
              </w:rPr>
              <w:t>Biodiversity</w:t>
            </w:r>
            <w:r w:rsidR="00384999">
              <w:rPr>
                <w:rFonts w:ascii="Arial" w:hAnsi="Arial" w:cs="Arial"/>
              </w:rPr>
              <w:t xml:space="preserve"> Award, </w:t>
            </w:r>
            <w:r w:rsidR="00680F3A">
              <w:rPr>
                <w:rFonts w:ascii="Arial" w:hAnsi="Arial" w:cs="Arial"/>
              </w:rPr>
              <w:t>Rural Skills, Bee Keeping, Environmental Science NQs and Climate Change and Sustainability NPA</w:t>
            </w:r>
            <w:r w:rsidR="00DF7C63">
              <w:rPr>
                <w:rFonts w:ascii="Arial" w:hAnsi="Arial" w:cs="Arial"/>
              </w:rPr>
              <w:t>.</w:t>
            </w:r>
          </w:p>
          <w:p w14:paraId="5D48D26F" w14:textId="77777777" w:rsidR="00DF7C63" w:rsidRDefault="00DF7C63" w:rsidP="00F64F7A">
            <w:pPr>
              <w:rPr>
                <w:rFonts w:ascii="Arial" w:hAnsi="Arial" w:cs="Arial"/>
              </w:rPr>
            </w:pPr>
          </w:p>
          <w:p w14:paraId="4DBDCDA8" w14:textId="77777777" w:rsidR="00DF7C63" w:rsidRDefault="00DF7C63" w:rsidP="00DF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Education Scotland </w:t>
            </w:r>
            <w:hyperlink r:id="rId10" w:history="1">
              <w:r w:rsidRPr="00F01805">
                <w:rPr>
                  <w:rStyle w:val="Hyperlink"/>
                  <w:rFonts w:ascii="Arial" w:hAnsi="Arial" w:cs="Arial"/>
                </w:rPr>
                <w:t>LfS portal</w:t>
              </w:r>
            </w:hyperlink>
            <w:r>
              <w:rPr>
                <w:rFonts w:ascii="Arial" w:hAnsi="Arial" w:cs="Arial"/>
              </w:rPr>
              <w:t xml:space="preserve"> lists a range of qualifications appropriate for secondary learners. </w:t>
            </w:r>
          </w:p>
          <w:p w14:paraId="2AD1674F" w14:textId="77777777" w:rsidR="00DF7C63" w:rsidRDefault="00DF7C63" w:rsidP="00F64F7A">
            <w:pPr>
              <w:rPr>
                <w:rFonts w:ascii="Arial" w:hAnsi="Arial" w:cs="Arial"/>
              </w:rPr>
            </w:pPr>
          </w:p>
          <w:p w14:paraId="2B8667A3" w14:textId="77777777" w:rsidR="00DF7C63" w:rsidRDefault="00DF7C63" w:rsidP="00F64F7A">
            <w:pPr>
              <w:rPr>
                <w:rFonts w:ascii="Arial" w:hAnsi="Arial" w:cs="Arial"/>
              </w:rPr>
            </w:pPr>
          </w:p>
          <w:p w14:paraId="3D7C6E5D" w14:textId="77777777" w:rsidR="00DF7C63" w:rsidRDefault="00DF7C63" w:rsidP="00F64F7A">
            <w:pPr>
              <w:rPr>
                <w:rFonts w:ascii="Arial" w:hAnsi="Arial" w:cs="Arial"/>
              </w:rPr>
            </w:pPr>
          </w:p>
          <w:p w14:paraId="220BC675" w14:textId="1AC00BAE" w:rsidR="00DF7C63" w:rsidRPr="00101811" w:rsidRDefault="00DF7C63" w:rsidP="00F64F7A">
            <w:pPr>
              <w:rPr>
                <w:rFonts w:ascii="Arial" w:hAnsi="Arial" w:cs="Arial"/>
              </w:rPr>
            </w:pPr>
          </w:p>
        </w:tc>
      </w:tr>
      <w:tr w:rsidR="00F64F7A" w:rsidRPr="00101811" w14:paraId="0DFF3C9D" w14:textId="77777777" w:rsidTr="00F64F7A">
        <w:tc>
          <w:tcPr>
            <w:tcW w:w="3710" w:type="dxa"/>
          </w:tcPr>
          <w:p w14:paraId="18901188" w14:textId="77777777" w:rsidR="00F64F7A" w:rsidRPr="00101811" w:rsidRDefault="00F64F7A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learn in, through and about the outdoors. </w:t>
            </w:r>
          </w:p>
        </w:tc>
        <w:tc>
          <w:tcPr>
            <w:tcW w:w="1278" w:type="dxa"/>
          </w:tcPr>
          <w:p w14:paraId="69FD43FA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3425C927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28A2B642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04" w:type="dxa"/>
          </w:tcPr>
          <w:p w14:paraId="0536DAB2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5EE873F8" w14:textId="77777777" w:rsidR="00F64F7A" w:rsidRDefault="000745A0" w:rsidP="00F64F7A">
            <w:hyperlink r:id="rId11" w:history="1">
              <w:r w:rsidRPr="007E326B">
                <w:rPr>
                  <w:rStyle w:val="Hyperlink"/>
                  <w:rFonts w:ascii="Arial" w:hAnsi="Arial" w:cs="Arial"/>
                </w:rPr>
                <w:t>Corsehill Outdoor Learning Progression Framework.</w:t>
              </w:r>
            </w:hyperlink>
          </w:p>
          <w:p w14:paraId="00D2B7D2" w14:textId="77777777" w:rsidR="002F36C1" w:rsidRDefault="002F36C1" w:rsidP="00F64F7A"/>
          <w:p w14:paraId="6E2BE050" w14:textId="77777777" w:rsidR="002F36C1" w:rsidRDefault="002F36C1" w:rsidP="002F36C1">
            <w:pPr>
              <w:rPr>
                <w:rFonts w:ascii="Arial" w:hAnsi="Arial" w:cs="Arial"/>
              </w:rPr>
            </w:pPr>
            <w:hyperlink r:id="rId12" w:history="1">
              <w:r w:rsidRPr="00AF69D8">
                <w:rPr>
                  <w:rStyle w:val="Hyperlink"/>
                  <w:rFonts w:ascii="Arial" w:hAnsi="Arial" w:cs="Arial"/>
                </w:rPr>
                <w:t>Outdoor Play at Largs EYC.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470948A" w14:textId="2248571F" w:rsidR="000745A0" w:rsidRPr="00101811" w:rsidRDefault="000745A0" w:rsidP="00F64F7A">
            <w:pPr>
              <w:rPr>
                <w:rFonts w:ascii="Arial" w:hAnsi="Arial" w:cs="Arial"/>
              </w:rPr>
            </w:pPr>
          </w:p>
        </w:tc>
      </w:tr>
      <w:tr w:rsidR="00F64F7A" w:rsidRPr="00101811" w14:paraId="0A45C699" w14:textId="77777777" w:rsidTr="00F64F7A">
        <w:tc>
          <w:tcPr>
            <w:tcW w:w="3710" w:type="dxa"/>
          </w:tcPr>
          <w:p w14:paraId="52A2031D" w14:textId="77777777" w:rsidR="00F64F7A" w:rsidRDefault="00F64F7A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Approaches to LfS are engaging relevant and challenging. </w:t>
            </w:r>
          </w:p>
          <w:p w14:paraId="3A95FE00" w14:textId="77777777" w:rsidR="00F64F7A" w:rsidRDefault="00F64F7A" w:rsidP="00F64F7A">
            <w:pPr>
              <w:rPr>
                <w:rFonts w:ascii="Arial" w:hAnsi="Arial" w:cs="Arial"/>
              </w:rPr>
            </w:pPr>
          </w:p>
          <w:p w14:paraId="13C51BA5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0BC23CCC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35A305E6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4A260D57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04" w:type="dxa"/>
          </w:tcPr>
          <w:p w14:paraId="30DA92B4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4C3AE3E6" w14:textId="12C1B8A6" w:rsidR="00F64F7A" w:rsidRPr="00101811" w:rsidRDefault="00E72401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many examples of settings using local greenspaces including Largs EYC use of Inverclyde woodland area, Elderbank PS use of local woodlands and West Kilbride PS use of </w:t>
            </w:r>
            <w:hyperlink r:id="rId13" w:history="1">
              <w:r w:rsidRPr="009105F7">
                <w:rPr>
                  <w:rStyle w:val="Hyperlink"/>
                  <w:rFonts w:ascii="Arial" w:hAnsi="Arial" w:cs="Arial"/>
                </w:rPr>
                <w:t>Ardneil beach</w:t>
              </w:r>
            </w:hyperlink>
          </w:p>
        </w:tc>
      </w:tr>
    </w:tbl>
    <w:p w14:paraId="19B4DD1F" w14:textId="03784C20" w:rsidR="003908D0" w:rsidRDefault="003908D0" w:rsidP="003908D0">
      <w:r>
        <w:rPr>
          <w:rFonts w:ascii="Arial" w:hAnsi="Arial" w:cs="Arial"/>
          <w:sz w:val="24"/>
          <w:szCs w:val="24"/>
        </w:rPr>
        <w:t xml:space="preserve">Further examples of LfS in practice can be found on the Education Scotland </w:t>
      </w:r>
      <w:hyperlink r:id="rId14" w:history="1">
        <w:r w:rsidRPr="001F44CA">
          <w:rPr>
            <w:rStyle w:val="Hyperlink"/>
            <w:rFonts w:ascii="Arial" w:hAnsi="Arial" w:cs="Arial"/>
            <w:sz w:val="24"/>
            <w:szCs w:val="24"/>
          </w:rPr>
          <w:t>Learning for Sustainability portal</w:t>
        </w:r>
      </w:hyperlink>
      <w:r w:rsidR="00CA01CC">
        <w:t>.</w:t>
      </w:r>
    </w:p>
    <w:p w14:paraId="2E488D14" w14:textId="77777777" w:rsidR="00CA01CC" w:rsidRPr="00CA01CC" w:rsidRDefault="00CA01CC" w:rsidP="00CA01CC"/>
    <w:p w14:paraId="60751161" w14:textId="77777777" w:rsidR="00CA01CC" w:rsidRPr="00CA01CC" w:rsidRDefault="00CA01CC" w:rsidP="00CA01CC"/>
    <w:p w14:paraId="61BB2C6E" w14:textId="77777777" w:rsidR="00CA01CC" w:rsidRDefault="00CA01CC" w:rsidP="00CA01CC"/>
    <w:p w14:paraId="4B5FF052" w14:textId="77777777" w:rsidR="00F64F7A" w:rsidRDefault="00F64F7A" w:rsidP="00CA01CC"/>
    <w:p w14:paraId="40190361" w14:textId="77777777" w:rsidR="00F64F7A" w:rsidRDefault="00F64F7A" w:rsidP="00CA01CC"/>
    <w:p w14:paraId="0989E5BB" w14:textId="77777777" w:rsidR="00F64F7A" w:rsidRDefault="00F64F7A" w:rsidP="00CA01CC"/>
    <w:p w14:paraId="2A09F773" w14:textId="77777777" w:rsidR="00F64F7A" w:rsidRDefault="00F64F7A" w:rsidP="00CA01CC"/>
    <w:tbl>
      <w:tblPr>
        <w:tblStyle w:val="TableGrid"/>
        <w:tblpPr w:leftFromText="180" w:rightFromText="180" w:vertAnchor="page" w:horzAnchor="margin" w:tblpY="790"/>
        <w:tblW w:w="15446" w:type="dxa"/>
        <w:tblLook w:val="04A0" w:firstRow="1" w:lastRow="0" w:firstColumn="1" w:lastColumn="0" w:noHBand="0" w:noVBand="1"/>
      </w:tblPr>
      <w:tblGrid>
        <w:gridCol w:w="3710"/>
        <w:gridCol w:w="1278"/>
        <w:gridCol w:w="1696"/>
        <w:gridCol w:w="1329"/>
        <w:gridCol w:w="3704"/>
        <w:gridCol w:w="3729"/>
      </w:tblGrid>
      <w:tr w:rsidR="00F64F7A" w:rsidRPr="00101811" w14:paraId="3098FD88" w14:textId="77777777" w:rsidTr="00F64F7A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59A9B" w14:textId="77777777" w:rsidR="00F64F7A" w:rsidRPr="00101811" w:rsidRDefault="00F64F7A" w:rsidP="00F64F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64F7A" w:rsidRPr="00101811" w14:paraId="423CDD49" w14:textId="77777777" w:rsidTr="00F64F7A">
        <w:tc>
          <w:tcPr>
            <w:tcW w:w="15446" w:type="dxa"/>
            <w:gridSpan w:val="6"/>
            <w:shd w:val="clear" w:color="auto" w:fill="92D050"/>
            <w:vAlign w:val="center"/>
          </w:tcPr>
          <w:p w14:paraId="5C8D6E57" w14:textId="77777777" w:rsidR="00F64F7A" w:rsidRPr="00DC15B3" w:rsidRDefault="00F64F7A" w:rsidP="00F64F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15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Campus </w:t>
            </w:r>
          </w:p>
          <w:p w14:paraId="78432059" w14:textId="1FA780E6" w:rsidR="00F64F7A" w:rsidRPr="00DC15B3" w:rsidRDefault="00DC15B3" w:rsidP="00F64F7A">
            <w:pPr>
              <w:jc w:val="center"/>
              <w:rPr>
                <w:rFonts w:ascii="Arial" w:hAnsi="Arial" w:cs="Arial"/>
              </w:rPr>
            </w:pPr>
            <w:r w:rsidRPr="00DC15B3">
              <w:rPr>
                <w:rFonts w:ascii="Arial" w:hAnsi="Arial" w:cs="Arial"/>
              </w:rPr>
              <w:t>Making the building and grounds more sustainable e.g. minimising energy use and waste, promoting active travel and protecting biodiversity.</w:t>
            </w:r>
          </w:p>
        </w:tc>
      </w:tr>
      <w:tr w:rsidR="00F64F7A" w:rsidRPr="00101811" w14:paraId="0D9A691C" w14:textId="77777777" w:rsidTr="00F64F7A">
        <w:tc>
          <w:tcPr>
            <w:tcW w:w="3710" w:type="dxa"/>
            <w:vMerge w:val="restart"/>
            <w:vAlign w:val="center"/>
          </w:tcPr>
          <w:p w14:paraId="3402032D" w14:textId="77777777" w:rsidR="00F64F7A" w:rsidRPr="00101811" w:rsidRDefault="00F64F7A" w:rsidP="00F64F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56A5">
              <w:rPr>
                <w:rFonts w:ascii="Arial" w:hAnsi="Arial" w:cs="Arial"/>
                <w:b/>
                <w:bCs/>
              </w:rPr>
              <w:t>Feature of Practice</w:t>
            </w:r>
          </w:p>
        </w:tc>
        <w:tc>
          <w:tcPr>
            <w:tcW w:w="4303" w:type="dxa"/>
            <w:gridSpan w:val="3"/>
            <w:vAlign w:val="center"/>
          </w:tcPr>
          <w:p w14:paraId="4C409E07" w14:textId="77777777" w:rsidR="00F64F7A" w:rsidRPr="00101811" w:rsidRDefault="00F64F7A" w:rsidP="00F64F7A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Progress</w:t>
            </w:r>
          </w:p>
        </w:tc>
        <w:tc>
          <w:tcPr>
            <w:tcW w:w="3704" w:type="dxa"/>
            <w:vMerge w:val="restart"/>
            <w:vAlign w:val="center"/>
          </w:tcPr>
          <w:p w14:paraId="65FB53B9" w14:textId="77777777" w:rsidR="00F64F7A" w:rsidRPr="00101811" w:rsidRDefault="00F64F7A" w:rsidP="00F64F7A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Next steps for our establishment</w:t>
            </w:r>
          </w:p>
        </w:tc>
        <w:tc>
          <w:tcPr>
            <w:tcW w:w="3729" w:type="dxa"/>
            <w:vMerge w:val="restart"/>
            <w:vAlign w:val="center"/>
          </w:tcPr>
          <w:p w14:paraId="75C7D099" w14:textId="0AD60BAC" w:rsidR="00F64F7A" w:rsidRDefault="00664969" w:rsidP="00F64F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Notes / prompts / e</w:t>
            </w:r>
            <w:r w:rsidRPr="00E056A5">
              <w:rPr>
                <w:rFonts w:ascii="Arial" w:hAnsi="Arial" w:cs="Arial"/>
                <w:b/>
                <w:bCs/>
              </w:rPr>
              <w:t>xemplars</w:t>
            </w:r>
          </w:p>
        </w:tc>
      </w:tr>
      <w:tr w:rsidR="00F64F7A" w:rsidRPr="00101811" w14:paraId="58A9D636" w14:textId="77777777" w:rsidTr="00F64F7A">
        <w:tc>
          <w:tcPr>
            <w:tcW w:w="3710" w:type="dxa"/>
            <w:vMerge/>
          </w:tcPr>
          <w:p w14:paraId="77BEFD75" w14:textId="77777777" w:rsidR="00F64F7A" w:rsidRPr="00E056A5" w:rsidRDefault="00F64F7A" w:rsidP="00F64F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8" w:type="dxa"/>
          </w:tcPr>
          <w:p w14:paraId="750E6ABC" w14:textId="77777777" w:rsidR="00F64F7A" w:rsidRPr="00E056A5" w:rsidRDefault="00F64F7A" w:rsidP="00F64F7A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Not yet visible</w:t>
            </w:r>
          </w:p>
        </w:tc>
        <w:tc>
          <w:tcPr>
            <w:tcW w:w="1696" w:type="dxa"/>
          </w:tcPr>
          <w:p w14:paraId="4521AA9A" w14:textId="77777777" w:rsidR="00F64F7A" w:rsidRPr="00E056A5" w:rsidRDefault="00F64F7A" w:rsidP="00F64F7A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Emerging</w:t>
            </w:r>
          </w:p>
        </w:tc>
        <w:tc>
          <w:tcPr>
            <w:tcW w:w="1329" w:type="dxa"/>
          </w:tcPr>
          <w:p w14:paraId="379ABCF9" w14:textId="77777777" w:rsidR="00F64F7A" w:rsidRPr="00E056A5" w:rsidRDefault="00F64F7A" w:rsidP="00F64F7A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Embedded</w:t>
            </w:r>
          </w:p>
        </w:tc>
        <w:tc>
          <w:tcPr>
            <w:tcW w:w="3704" w:type="dxa"/>
            <w:vMerge/>
          </w:tcPr>
          <w:p w14:paraId="46506CEE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vMerge/>
          </w:tcPr>
          <w:p w14:paraId="166FC373" w14:textId="77777777" w:rsidR="00F64F7A" w:rsidRDefault="00F64F7A" w:rsidP="00F64F7A">
            <w:pPr>
              <w:rPr>
                <w:rFonts w:ascii="Arial" w:hAnsi="Arial" w:cs="Arial"/>
              </w:rPr>
            </w:pPr>
          </w:p>
        </w:tc>
      </w:tr>
      <w:tr w:rsidR="00F64F7A" w:rsidRPr="00101811" w14:paraId="0196605D" w14:textId="77777777" w:rsidTr="00F64F7A">
        <w:tc>
          <w:tcPr>
            <w:tcW w:w="3710" w:type="dxa"/>
          </w:tcPr>
          <w:p w14:paraId="068BC1BE" w14:textId="7F684BAE" w:rsidR="00F64F7A" w:rsidRPr="009C1578" w:rsidRDefault="009C1578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take action for people and the planet. </w:t>
            </w:r>
          </w:p>
        </w:tc>
        <w:tc>
          <w:tcPr>
            <w:tcW w:w="1278" w:type="dxa"/>
          </w:tcPr>
          <w:p w14:paraId="3A944D9F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66729E0F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5626825C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1E63E641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2702AD74" w14:textId="2EBF339F" w:rsidR="009A5E3C" w:rsidRDefault="009B5281" w:rsidP="009B5281">
            <w:pPr>
              <w:rPr>
                <w:rFonts w:ascii="Arial" w:hAnsi="Arial" w:cs="Arial"/>
              </w:rPr>
            </w:pPr>
            <w:r w:rsidRPr="00BC3483">
              <w:rPr>
                <w:rFonts w:ascii="Arial" w:hAnsi="Arial" w:cs="Arial"/>
              </w:rPr>
              <w:t>-uniform/prom wear swap shop</w:t>
            </w:r>
            <w:r w:rsidR="009A5E3C">
              <w:rPr>
                <w:rFonts w:ascii="Arial" w:hAnsi="Arial" w:cs="Arial"/>
              </w:rPr>
              <w:t>s</w:t>
            </w:r>
          </w:p>
          <w:p w14:paraId="5CB9EF08" w14:textId="30B4C982" w:rsidR="009B5281" w:rsidRPr="00BC3483" w:rsidRDefault="009A5E3C" w:rsidP="009B5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13ECE">
              <w:rPr>
                <w:rFonts w:ascii="Arial" w:hAnsi="Arial" w:cs="Arial"/>
              </w:rPr>
              <w:t xml:space="preserve">in school </w:t>
            </w:r>
            <w:r>
              <w:rPr>
                <w:rFonts w:ascii="Arial" w:hAnsi="Arial" w:cs="Arial"/>
              </w:rPr>
              <w:t xml:space="preserve">food banks </w:t>
            </w:r>
          </w:p>
          <w:p w14:paraId="696D14B4" w14:textId="782C1F78" w:rsidR="009B5281" w:rsidRDefault="009B5281" w:rsidP="009B5281">
            <w:pPr>
              <w:rPr>
                <w:rFonts w:ascii="Arial" w:hAnsi="Arial" w:cs="Arial"/>
              </w:rPr>
            </w:pPr>
            <w:r w:rsidRPr="00BC3483">
              <w:rPr>
                <w:rFonts w:ascii="Arial" w:hAnsi="Arial" w:cs="Arial"/>
              </w:rPr>
              <w:t>-purchases support local business and Fair Trade</w:t>
            </w:r>
          </w:p>
          <w:p w14:paraId="4590E626" w14:textId="1AB4E6A0" w:rsidR="00023F9A" w:rsidRDefault="00023F9A" w:rsidP="009B5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-cost of the school day initiatives</w:t>
            </w:r>
          </w:p>
          <w:p w14:paraId="08A7F85F" w14:textId="76EA673B" w:rsidR="001C529C" w:rsidRDefault="001C529C" w:rsidP="009B5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-active travel initiatives</w:t>
            </w:r>
          </w:p>
          <w:p w14:paraId="766489C1" w14:textId="0F58AEB1" w:rsidR="004A4F78" w:rsidRDefault="004A4F78" w:rsidP="009B5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-JRSO ‘No Idling’ campaigns.</w:t>
            </w:r>
          </w:p>
          <w:p w14:paraId="7985157D" w14:textId="72B48924" w:rsidR="00F64F7A" w:rsidRDefault="00F64F7A" w:rsidP="009B5281">
            <w:pPr>
              <w:rPr>
                <w:rFonts w:ascii="Arial" w:hAnsi="Arial" w:cs="Arial"/>
              </w:rPr>
            </w:pPr>
          </w:p>
        </w:tc>
      </w:tr>
      <w:tr w:rsidR="00F64F7A" w:rsidRPr="00101811" w14:paraId="4011DC96" w14:textId="77777777" w:rsidTr="00F64F7A">
        <w:tc>
          <w:tcPr>
            <w:tcW w:w="3710" w:type="dxa"/>
          </w:tcPr>
          <w:p w14:paraId="00FB7E52" w14:textId="23A151DE" w:rsidR="00F64F7A" w:rsidRPr="00A86D3C" w:rsidRDefault="009C1578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actively reduce our impact on the environment both locally and globally.</w:t>
            </w:r>
          </w:p>
        </w:tc>
        <w:tc>
          <w:tcPr>
            <w:tcW w:w="1278" w:type="dxa"/>
          </w:tcPr>
          <w:p w14:paraId="4B29BB8C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1B0CD232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55E89BB5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57AA5CE6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555AF3B4" w14:textId="1D442DDD" w:rsidR="000B4DD1" w:rsidRDefault="00BE7581" w:rsidP="00BE7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 led action plans to </w:t>
            </w:r>
            <w:r w:rsidRPr="00037DC4">
              <w:rPr>
                <w:rFonts w:ascii="Arial" w:hAnsi="Arial" w:cs="Arial"/>
              </w:rPr>
              <w:t>reduc</w:t>
            </w:r>
            <w:r>
              <w:rPr>
                <w:rFonts w:ascii="Arial" w:hAnsi="Arial" w:cs="Arial"/>
              </w:rPr>
              <w:t>e</w:t>
            </w:r>
            <w:r w:rsidRPr="00037DC4">
              <w:rPr>
                <w:rFonts w:ascii="Arial" w:hAnsi="Arial" w:cs="Arial"/>
              </w:rPr>
              <w:t xml:space="preserve"> energy use, reducing food waste, increasing recycling, climate action, biodiversity conservation/restoration.   </w:t>
            </w:r>
          </w:p>
          <w:p w14:paraId="0DC4B877" w14:textId="6DEDC2E6" w:rsidR="00BE7581" w:rsidRDefault="00BE7581" w:rsidP="00BE7581">
            <w:pPr>
              <w:rPr>
                <w:rFonts w:ascii="Arial" w:hAnsi="Arial" w:cs="Arial"/>
              </w:rPr>
            </w:pPr>
            <w:r w:rsidRPr="00037DC4">
              <w:rPr>
                <w:rFonts w:ascii="Arial" w:hAnsi="Arial" w:cs="Arial"/>
              </w:rPr>
              <w:t>Climate Ready Classrooms and Eco-Schools provide frameworks for creating pupil action plans.</w:t>
            </w:r>
          </w:p>
          <w:p w14:paraId="398C7638" w14:textId="77777777" w:rsidR="00023F9A" w:rsidRDefault="00023F9A" w:rsidP="00BE7581">
            <w:pPr>
              <w:rPr>
                <w:rFonts w:ascii="Arial" w:hAnsi="Arial" w:cs="Arial"/>
              </w:rPr>
            </w:pPr>
          </w:p>
          <w:p w14:paraId="01BFD2C8" w14:textId="4EA1C2E9" w:rsidR="00023F9A" w:rsidRDefault="00023F9A" w:rsidP="00BE7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travel is supported with adequate storage for bikes and scooters.</w:t>
            </w:r>
          </w:p>
          <w:p w14:paraId="4EE56A99" w14:textId="77777777" w:rsidR="00BE7581" w:rsidRDefault="00BE7581" w:rsidP="00BE7581">
            <w:pPr>
              <w:rPr>
                <w:rFonts w:ascii="Arial" w:hAnsi="Arial" w:cs="Arial"/>
              </w:rPr>
            </w:pPr>
          </w:p>
          <w:p w14:paraId="5977A224" w14:textId="77777777" w:rsidR="00F64F7A" w:rsidRDefault="00BE7581" w:rsidP="00BE7581">
            <w:pPr>
              <w:rPr>
                <w:rFonts w:ascii="Arial" w:hAnsi="Arial" w:cs="Arial"/>
              </w:rPr>
            </w:pPr>
            <w:hyperlink r:id="rId15" w:history="1">
              <w:r w:rsidRPr="00D26418">
                <w:rPr>
                  <w:rStyle w:val="Hyperlink"/>
                  <w:rFonts w:ascii="Arial" w:hAnsi="Arial" w:cs="Arial"/>
                </w:rPr>
                <w:t>Count Your Carbon</w:t>
              </w:r>
            </w:hyperlink>
            <w:r w:rsidRPr="00D26418">
              <w:rPr>
                <w:rFonts w:ascii="Arial" w:hAnsi="Arial" w:cs="Arial"/>
              </w:rPr>
              <w:t xml:space="preserve"> allows</w:t>
            </w:r>
            <w:r>
              <w:rPr>
                <w:rFonts w:ascii="Arial" w:hAnsi="Arial" w:cs="Arial"/>
              </w:rPr>
              <w:t xml:space="preserve"> schools to calculate annual carbon usage and supports pupils to create a Carbon Reduction Action Plan.</w:t>
            </w:r>
          </w:p>
          <w:p w14:paraId="18867EC6" w14:textId="77777777" w:rsidR="0001231F" w:rsidRDefault="0001231F" w:rsidP="00BE7581">
            <w:pPr>
              <w:rPr>
                <w:rFonts w:ascii="Arial" w:hAnsi="Arial" w:cs="Arial"/>
              </w:rPr>
            </w:pPr>
          </w:p>
          <w:p w14:paraId="553955EC" w14:textId="77777777" w:rsidR="0001231F" w:rsidRDefault="0001231F" w:rsidP="00BE7581">
            <w:pPr>
              <w:rPr>
                <w:rFonts w:ascii="Arial" w:hAnsi="Arial" w:cs="Arial"/>
              </w:rPr>
            </w:pPr>
          </w:p>
          <w:p w14:paraId="7A733583" w14:textId="77777777" w:rsidR="0001231F" w:rsidRDefault="0001231F" w:rsidP="008076FB">
            <w:pPr>
              <w:tabs>
                <w:tab w:val="left" w:pos="989"/>
              </w:tabs>
              <w:rPr>
                <w:rFonts w:ascii="Arial" w:hAnsi="Arial" w:cs="Arial"/>
              </w:rPr>
            </w:pPr>
          </w:p>
          <w:p w14:paraId="3DBABDD8" w14:textId="762E2F7E" w:rsidR="008076FB" w:rsidRPr="005A68A2" w:rsidRDefault="008076FB" w:rsidP="008076FB">
            <w:pPr>
              <w:tabs>
                <w:tab w:val="left" w:pos="989"/>
              </w:tabs>
              <w:rPr>
                <w:rFonts w:ascii="Arial" w:hAnsi="Arial" w:cs="Arial"/>
              </w:rPr>
            </w:pPr>
          </w:p>
        </w:tc>
      </w:tr>
      <w:tr w:rsidR="00F64F7A" w:rsidRPr="00101811" w14:paraId="75937BBA" w14:textId="77777777" w:rsidTr="00F64F7A">
        <w:tc>
          <w:tcPr>
            <w:tcW w:w="3710" w:type="dxa"/>
          </w:tcPr>
          <w:p w14:paraId="08484D86" w14:textId="3826CFB4" w:rsidR="00F64F7A" w:rsidRPr="00A86D3C" w:rsidRDefault="009C1578" w:rsidP="00F6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use our outdoor spaces for learning and play, and to support nature. </w:t>
            </w:r>
          </w:p>
        </w:tc>
        <w:tc>
          <w:tcPr>
            <w:tcW w:w="1278" w:type="dxa"/>
          </w:tcPr>
          <w:p w14:paraId="58D2B7CA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26E19D5F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385F08F3" w14:textId="77777777" w:rsidR="00F64F7A" w:rsidRPr="00E056A5" w:rsidRDefault="00F64F7A" w:rsidP="00F64F7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30E71809" w14:textId="77777777" w:rsidR="00F64F7A" w:rsidRPr="00101811" w:rsidRDefault="00F64F7A" w:rsidP="00F64F7A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3C135D9A" w14:textId="5ABF7CBE" w:rsidR="00DB79BA" w:rsidRDefault="00DB79BA" w:rsidP="00DB79BA">
            <w:pPr>
              <w:rPr>
                <w:rFonts w:ascii="Arial" w:hAnsi="Arial" w:cs="Arial"/>
              </w:rPr>
            </w:pPr>
            <w:hyperlink r:id="rId16" w:history="1">
              <w:r w:rsidRPr="00FD5E5E">
                <w:rPr>
                  <w:rStyle w:val="Hyperlink"/>
                  <w:rFonts w:ascii="Arial" w:hAnsi="Arial" w:cs="Arial"/>
                </w:rPr>
                <w:t>'Building the Curriculum: Outside and In'</w:t>
              </w:r>
            </w:hyperlink>
            <w:r w:rsidRPr="005E1C4D">
              <w:rPr>
                <w:rFonts w:ascii="Arial" w:hAnsi="Arial" w:cs="Arial"/>
              </w:rPr>
              <w:t xml:space="preserve"> is a valuable starting point</w:t>
            </w:r>
            <w:r w:rsidR="0079552A">
              <w:rPr>
                <w:rFonts w:ascii="Arial" w:hAnsi="Arial" w:cs="Arial"/>
              </w:rPr>
              <w:t xml:space="preserve"> </w:t>
            </w:r>
            <w:r w:rsidR="00D9309D">
              <w:rPr>
                <w:rFonts w:ascii="Arial" w:hAnsi="Arial" w:cs="Arial"/>
              </w:rPr>
              <w:t xml:space="preserve">to </w:t>
            </w:r>
            <w:r w:rsidR="00D25830">
              <w:rPr>
                <w:rFonts w:ascii="Arial" w:hAnsi="Arial" w:cs="Arial"/>
              </w:rPr>
              <w:t xml:space="preserve">review how effectively school grounds support outdoor learning, play and </w:t>
            </w:r>
            <w:r w:rsidR="00ED4B11">
              <w:rPr>
                <w:rFonts w:ascii="Arial" w:hAnsi="Arial" w:cs="Arial"/>
              </w:rPr>
              <w:t>nature</w:t>
            </w:r>
            <w:r w:rsidRPr="005E1C4D">
              <w:rPr>
                <w:rFonts w:ascii="Arial" w:hAnsi="Arial" w:cs="Arial"/>
              </w:rPr>
              <w:t xml:space="preserve">.  </w:t>
            </w:r>
          </w:p>
          <w:p w14:paraId="293558AE" w14:textId="77777777" w:rsidR="00F64F7A" w:rsidRDefault="00DB79BA" w:rsidP="00ED4B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hyperlink r:id="rId17" w:history="1">
              <w:r w:rsidRPr="00D728F2">
                <w:rPr>
                  <w:rStyle w:val="Hyperlink"/>
                  <w:rFonts w:ascii="Arial" w:hAnsi="Arial" w:cs="Arial"/>
                </w:rPr>
                <w:t>Self-reflection tool.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36FB05A" w14:textId="49CF620E" w:rsidR="00847963" w:rsidRDefault="00847963" w:rsidP="00847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gardens support </w:t>
            </w:r>
            <w:r w:rsidR="009D015E">
              <w:rPr>
                <w:rFonts w:ascii="Arial" w:hAnsi="Arial" w:cs="Arial"/>
              </w:rPr>
              <w:t>biodiversity local food production</w:t>
            </w:r>
            <w:r w:rsidR="00BF1B96">
              <w:rPr>
                <w:rFonts w:ascii="Arial" w:hAnsi="Arial" w:cs="Arial"/>
              </w:rPr>
              <w:t xml:space="preserve"> and curricul</w:t>
            </w:r>
            <w:r w:rsidR="003F5CFF">
              <w:rPr>
                <w:rFonts w:ascii="Arial" w:hAnsi="Arial" w:cs="Arial"/>
              </w:rPr>
              <w:t>ar experiences and skill development for all learners</w:t>
            </w:r>
            <w:r w:rsidR="009D015E">
              <w:rPr>
                <w:rFonts w:ascii="Arial" w:hAnsi="Arial" w:cs="Arial"/>
              </w:rPr>
              <w:t xml:space="preserve">. </w:t>
            </w:r>
          </w:p>
          <w:p w14:paraId="723D7CC7" w14:textId="77777777" w:rsidR="008D046A" w:rsidRDefault="008D046A" w:rsidP="00847963">
            <w:pPr>
              <w:rPr>
                <w:rFonts w:ascii="Arial" w:hAnsi="Arial" w:cs="Arial"/>
              </w:rPr>
            </w:pPr>
          </w:p>
          <w:p w14:paraId="3BE8D37B" w14:textId="77777777" w:rsidR="008D046A" w:rsidRDefault="008D046A" w:rsidP="008D046A">
            <w:hyperlink r:id="rId18" w:history="1">
              <w:r w:rsidRPr="00103C27">
                <w:rPr>
                  <w:rStyle w:val="Hyperlink"/>
                  <w:rFonts w:ascii="Arial" w:hAnsi="Arial" w:cs="Arial"/>
                </w:rPr>
                <w:t>NAC School Gardening Handbook.</w:t>
              </w:r>
            </w:hyperlink>
          </w:p>
          <w:p w14:paraId="6E05F2D1" w14:textId="77777777" w:rsidR="008D046A" w:rsidRDefault="008D046A" w:rsidP="008D046A"/>
          <w:p w14:paraId="754133A9" w14:textId="77777777" w:rsidR="008D046A" w:rsidRPr="00BE18C8" w:rsidRDefault="008D046A" w:rsidP="008D046A">
            <w:pPr>
              <w:rPr>
                <w:rFonts w:ascii="Arial" w:hAnsi="Arial" w:cs="Arial"/>
              </w:rPr>
            </w:pPr>
            <w:hyperlink r:id="rId19" w:history="1">
              <w:r w:rsidRPr="009076BD">
                <w:rPr>
                  <w:rStyle w:val="Hyperlink"/>
                  <w:rFonts w:ascii="Arial" w:hAnsi="Arial" w:cs="Arial"/>
                </w:rPr>
                <w:t>Skill progression in Gardening (Primary).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49760068" w14:textId="77777777" w:rsidR="0001231F" w:rsidRDefault="0001231F" w:rsidP="00847963">
            <w:pPr>
              <w:rPr>
                <w:rFonts w:ascii="Arial" w:hAnsi="Arial" w:cs="Arial"/>
              </w:rPr>
            </w:pPr>
          </w:p>
          <w:p w14:paraId="23FE4851" w14:textId="5C14CF91" w:rsidR="0001231F" w:rsidRDefault="0001231F" w:rsidP="00847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B5278C">
              <w:rPr>
                <w:rFonts w:ascii="Arial" w:hAnsi="Arial" w:cs="Arial"/>
              </w:rPr>
              <w:t>earners are involved in assessing the risks and benefits of outdoor learning activities and outdoor play spaces.</w:t>
            </w:r>
          </w:p>
          <w:p w14:paraId="2C91EF3B" w14:textId="4EFA7072" w:rsidR="0001231F" w:rsidRPr="00847963" w:rsidRDefault="0001231F" w:rsidP="00847963">
            <w:pPr>
              <w:rPr>
                <w:rFonts w:ascii="Arial" w:hAnsi="Arial" w:cs="Arial"/>
              </w:rPr>
            </w:pPr>
          </w:p>
        </w:tc>
      </w:tr>
    </w:tbl>
    <w:p w14:paraId="7DE28932" w14:textId="77777777" w:rsidR="0098763F" w:rsidRDefault="0098763F" w:rsidP="0098763F">
      <w:r>
        <w:rPr>
          <w:rFonts w:ascii="Arial" w:hAnsi="Arial" w:cs="Arial"/>
          <w:sz w:val="24"/>
          <w:szCs w:val="24"/>
        </w:rPr>
        <w:t xml:space="preserve">Further examples of LfS in practice can be found on the Education Scotland </w:t>
      </w:r>
      <w:hyperlink r:id="rId20" w:history="1">
        <w:r w:rsidRPr="001F44CA">
          <w:rPr>
            <w:rStyle w:val="Hyperlink"/>
            <w:rFonts w:ascii="Arial" w:hAnsi="Arial" w:cs="Arial"/>
            <w:sz w:val="24"/>
            <w:szCs w:val="24"/>
          </w:rPr>
          <w:t>Learning for Sustainability portal</w:t>
        </w:r>
      </w:hyperlink>
      <w:r>
        <w:t>.</w:t>
      </w:r>
    </w:p>
    <w:p w14:paraId="5A8CA8BB" w14:textId="77777777" w:rsidR="00F64F7A" w:rsidRDefault="00F64F7A" w:rsidP="00CA01CC"/>
    <w:p w14:paraId="5452F48E" w14:textId="77777777" w:rsidR="00F64F7A" w:rsidRDefault="00F64F7A" w:rsidP="00CA01CC"/>
    <w:p w14:paraId="08A001E6" w14:textId="77777777" w:rsidR="00F64F7A" w:rsidRDefault="00F64F7A" w:rsidP="00CA01CC"/>
    <w:p w14:paraId="234371CF" w14:textId="77777777" w:rsidR="00F64F7A" w:rsidRDefault="00F64F7A" w:rsidP="00CA01CC"/>
    <w:p w14:paraId="450EDD9A" w14:textId="77777777" w:rsidR="00F64F7A" w:rsidRDefault="00F64F7A" w:rsidP="00CA01CC"/>
    <w:p w14:paraId="5E7D2E3F" w14:textId="77777777" w:rsidR="00F64F7A" w:rsidRDefault="00F64F7A" w:rsidP="00CA01CC"/>
    <w:p w14:paraId="2FA1E40D" w14:textId="77777777" w:rsidR="00F64F7A" w:rsidRDefault="00F64F7A" w:rsidP="00CA01CC"/>
    <w:p w14:paraId="67E17213" w14:textId="77777777" w:rsidR="0098763F" w:rsidRDefault="0098763F" w:rsidP="00CA01CC">
      <w:pPr>
        <w:tabs>
          <w:tab w:val="left" w:pos="3152"/>
        </w:tabs>
      </w:pPr>
    </w:p>
    <w:tbl>
      <w:tblPr>
        <w:tblStyle w:val="TableGrid"/>
        <w:tblpPr w:leftFromText="180" w:rightFromText="180" w:vertAnchor="page" w:horzAnchor="margin" w:tblpY="790"/>
        <w:tblW w:w="15446" w:type="dxa"/>
        <w:tblLook w:val="04A0" w:firstRow="1" w:lastRow="0" w:firstColumn="1" w:lastColumn="0" w:noHBand="0" w:noVBand="1"/>
      </w:tblPr>
      <w:tblGrid>
        <w:gridCol w:w="3710"/>
        <w:gridCol w:w="1278"/>
        <w:gridCol w:w="1696"/>
        <w:gridCol w:w="1329"/>
        <w:gridCol w:w="3704"/>
        <w:gridCol w:w="3729"/>
      </w:tblGrid>
      <w:tr w:rsidR="0098763F" w:rsidRPr="00101811" w14:paraId="58D9389E" w14:textId="77777777" w:rsidTr="00D5413E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240B5" w14:textId="77777777" w:rsidR="0098763F" w:rsidRPr="00101811" w:rsidRDefault="0098763F" w:rsidP="00D541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8763F" w:rsidRPr="00101811" w14:paraId="34D208EF" w14:textId="77777777" w:rsidTr="00EB3D11">
        <w:tc>
          <w:tcPr>
            <w:tcW w:w="15446" w:type="dxa"/>
            <w:gridSpan w:val="6"/>
            <w:shd w:val="clear" w:color="auto" w:fill="FFC000"/>
            <w:vAlign w:val="center"/>
          </w:tcPr>
          <w:p w14:paraId="205DEF93" w14:textId="104F1292" w:rsidR="0098763F" w:rsidRPr="00DC15B3" w:rsidRDefault="0098763F" w:rsidP="00D541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15B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ulture</w:t>
            </w:r>
          </w:p>
          <w:p w14:paraId="4EBC9CA3" w14:textId="2C806BA6" w:rsidR="0098763F" w:rsidRPr="00DC15B3" w:rsidRDefault="00D80689" w:rsidP="00D54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everyone, adults, children and young people, develop caring attitudes and behaviours for each other and the world. </w:t>
            </w:r>
          </w:p>
        </w:tc>
      </w:tr>
      <w:tr w:rsidR="0098763F" w:rsidRPr="00101811" w14:paraId="36A6FB8A" w14:textId="77777777" w:rsidTr="00D5413E">
        <w:tc>
          <w:tcPr>
            <w:tcW w:w="3710" w:type="dxa"/>
            <w:vMerge w:val="restart"/>
            <w:vAlign w:val="center"/>
          </w:tcPr>
          <w:p w14:paraId="78AD8BFE" w14:textId="77777777" w:rsidR="0098763F" w:rsidRPr="00101811" w:rsidRDefault="0098763F" w:rsidP="00D541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56A5">
              <w:rPr>
                <w:rFonts w:ascii="Arial" w:hAnsi="Arial" w:cs="Arial"/>
                <w:b/>
                <w:bCs/>
              </w:rPr>
              <w:t>Feature of Practice</w:t>
            </w:r>
          </w:p>
        </w:tc>
        <w:tc>
          <w:tcPr>
            <w:tcW w:w="4303" w:type="dxa"/>
            <w:gridSpan w:val="3"/>
            <w:vAlign w:val="center"/>
          </w:tcPr>
          <w:p w14:paraId="34E080F1" w14:textId="77777777" w:rsidR="0098763F" w:rsidRPr="00101811" w:rsidRDefault="0098763F" w:rsidP="00D5413E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Progress</w:t>
            </w:r>
          </w:p>
        </w:tc>
        <w:tc>
          <w:tcPr>
            <w:tcW w:w="3704" w:type="dxa"/>
            <w:vMerge w:val="restart"/>
            <w:vAlign w:val="center"/>
          </w:tcPr>
          <w:p w14:paraId="23BF6629" w14:textId="77777777" w:rsidR="0098763F" w:rsidRPr="00101811" w:rsidRDefault="0098763F" w:rsidP="00D5413E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Next steps for our establishment</w:t>
            </w:r>
          </w:p>
        </w:tc>
        <w:tc>
          <w:tcPr>
            <w:tcW w:w="3729" w:type="dxa"/>
            <w:vMerge w:val="restart"/>
            <w:vAlign w:val="center"/>
          </w:tcPr>
          <w:p w14:paraId="00BEE6C0" w14:textId="6B9FC36A" w:rsidR="0098763F" w:rsidRDefault="00664969" w:rsidP="00D54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Notes / prompts / e</w:t>
            </w:r>
            <w:r w:rsidRPr="00E056A5">
              <w:rPr>
                <w:rFonts w:ascii="Arial" w:hAnsi="Arial" w:cs="Arial"/>
                <w:b/>
                <w:bCs/>
              </w:rPr>
              <w:t>xemplars</w:t>
            </w:r>
          </w:p>
        </w:tc>
      </w:tr>
      <w:tr w:rsidR="0098763F" w:rsidRPr="00101811" w14:paraId="4F6F47D8" w14:textId="77777777" w:rsidTr="00D5413E">
        <w:tc>
          <w:tcPr>
            <w:tcW w:w="3710" w:type="dxa"/>
            <w:vMerge/>
          </w:tcPr>
          <w:p w14:paraId="3F0CA1EB" w14:textId="77777777" w:rsidR="0098763F" w:rsidRPr="00E056A5" w:rsidRDefault="0098763F" w:rsidP="00D5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8" w:type="dxa"/>
          </w:tcPr>
          <w:p w14:paraId="62AC8FEF" w14:textId="77777777" w:rsidR="0098763F" w:rsidRPr="00E056A5" w:rsidRDefault="0098763F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Not yet visible</w:t>
            </w:r>
          </w:p>
        </w:tc>
        <w:tc>
          <w:tcPr>
            <w:tcW w:w="1696" w:type="dxa"/>
          </w:tcPr>
          <w:p w14:paraId="111A9C51" w14:textId="77777777" w:rsidR="0098763F" w:rsidRPr="00E056A5" w:rsidRDefault="0098763F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Emerging</w:t>
            </w:r>
          </w:p>
        </w:tc>
        <w:tc>
          <w:tcPr>
            <w:tcW w:w="1329" w:type="dxa"/>
          </w:tcPr>
          <w:p w14:paraId="44EB96C2" w14:textId="77777777" w:rsidR="0098763F" w:rsidRPr="00E056A5" w:rsidRDefault="0098763F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Embedded</w:t>
            </w:r>
          </w:p>
        </w:tc>
        <w:tc>
          <w:tcPr>
            <w:tcW w:w="3704" w:type="dxa"/>
            <w:vMerge/>
          </w:tcPr>
          <w:p w14:paraId="1D036752" w14:textId="77777777" w:rsidR="0098763F" w:rsidRPr="00101811" w:rsidRDefault="0098763F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vMerge/>
          </w:tcPr>
          <w:p w14:paraId="269F7C46" w14:textId="77777777" w:rsidR="0098763F" w:rsidRDefault="0098763F" w:rsidP="00D5413E">
            <w:pPr>
              <w:rPr>
                <w:rFonts w:ascii="Arial" w:hAnsi="Arial" w:cs="Arial"/>
              </w:rPr>
            </w:pPr>
          </w:p>
        </w:tc>
      </w:tr>
      <w:tr w:rsidR="0098763F" w:rsidRPr="00101811" w14:paraId="236D3A95" w14:textId="77777777" w:rsidTr="00D5413E">
        <w:tc>
          <w:tcPr>
            <w:tcW w:w="3710" w:type="dxa"/>
          </w:tcPr>
          <w:p w14:paraId="7B240F11" w14:textId="2085D88C" w:rsidR="0098763F" w:rsidRPr="009C1578" w:rsidRDefault="001C58DA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Everyone contributes to LfS in our setting and we work together to bring about positive change. </w:t>
            </w:r>
            <w:r w:rsidR="009876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8" w:type="dxa"/>
          </w:tcPr>
          <w:p w14:paraId="31630B11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FAC69D0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546413D9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1E5A4A05" w14:textId="77777777" w:rsidR="0098763F" w:rsidRPr="00101811" w:rsidRDefault="0098763F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62A5C555" w14:textId="2ED180B0" w:rsidR="009B3DC3" w:rsidRDefault="009A6DA4" w:rsidP="00384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Leadership </w:t>
            </w:r>
            <w:r w:rsidR="009B3DC3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Learning for Sustainability is </w:t>
            </w:r>
            <w:r w:rsidR="009B3DC3">
              <w:rPr>
                <w:rFonts w:ascii="Arial" w:hAnsi="Arial" w:cs="Arial"/>
              </w:rPr>
              <w:t xml:space="preserve">evident at all levels. </w:t>
            </w:r>
          </w:p>
          <w:p w14:paraId="11C94A16" w14:textId="77777777" w:rsidR="009B3DC3" w:rsidRDefault="009B3DC3" w:rsidP="00384A98">
            <w:pPr>
              <w:rPr>
                <w:rFonts w:ascii="Arial" w:hAnsi="Arial" w:cs="Arial"/>
              </w:rPr>
            </w:pPr>
          </w:p>
          <w:p w14:paraId="75E32244" w14:textId="77777777" w:rsidR="009B3DC3" w:rsidRDefault="009B3DC3" w:rsidP="00384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for Sustainability contexts provide opportunities for pupil leadership, voice and action. </w:t>
            </w:r>
          </w:p>
          <w:p w14:paraId="7E4E7ED0" w14:textId="77777777" w:rsidR="0080247B" w:rsidRDefault="0080247B" w:rsidP="00384A98">
            <w:pPr>
              <w:rPr>
                <w:rFonts w:ascii="Arial" w:hAnsi="Arial" w:cs="Arial"/>
              </w:rPr>
            </w:pPr>
          </w:p>
          <w:p w14:paraId="2B2A47E9" w14:textId="10158ED0" w:rsidR="0080247B" w:rsidRDefault="0080247B" w:rsidP="00384A98">
            <w:pPr>
              <w:rPr>
                <w:rFonts w:ascii="Arial" w:hAnsi="Arial" w:cs="Arial"/>
              </w:rPr>
            </w:pPr>
            <w:r w:rsidRPr="00D01C11">
              <w:rPr>
                <w:rFonts w:ascii="Arial" w:hAnsi="Arial" w:cs="Arial"/>
              </w:rPr>
              <w:t>Learners are able to engage in charity fundraising, conservation work, campaign</w:t>
            </w:r>
            <w:r>
              <w:rPr>
                <w:rFonts w:ascii="Arial" w:hAnsi="Arial" w:cs="Arial"/>
              </w:rPr>
              <w:t>ing</w:t>
            </w:r>
            <w:r w:rsidRPr="00D01C11">
              <w:rPr>
                <w:rFonts w:ascii="Arial" w:hAnsi="Arial" w:cs="Arial"/>
              </w:rPr>
              <w:t xml:space="preserve"> and awareness raising through committees and clubs.</w:t>
            </w:r>
          </w:p>
          <w:p w14:paraId="164430D9" w14:textId="77777777" w:rsidR="009B3DC3" w:rsidRDefault="009B3DC3" w:rsidP="00384A98">
            <w:pPr>
              <w:rPr>
                <w:rFonts w:ascii="Arial" w:hAnsi="Arial" w:cs="Arial"/>
              </w:rPr>
            </w:pPr>
          </w:p>
          <w:p w14:paraId="6B65CC0B" w14:textId="40624D81" w:rsidR="00384A98" w:rsidRPr="00BC3483" w:rsidRDefault="009B3DC3" w:rsidP="00384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84A98" w:rsidRPr="00BC3483">
              <w:rPr>
                <w:rFonts w:ascii="Arial" w:hAnsi="Arial" w:cs="Arial"/>
              </w:rPr>
              <w:t xml:space="preserve">upils have input on areas of the school grounds </w:t>
            </w:r>
            <w:r w:rsidR="00384A98">
              <w:rPr>
                <w:rFonts w:ascii="Arial" w:hAnsi="Arial" w:cs="Arial"/>
              </w:rPr>
              <w:t>that can be developed to support biodiversity</w:t>
            </w:r>
            <w:r w:rsidR="008A70DC">
              <w:rPr>
                <w:rFonts w:ascii="Arial" w:hAnsi="Arial" w:cs="Arial"/>
              </w:rPr>
              <w:t>.</w:t>
            </w:r>
            <w:r w:rsidR="00384A98" w:rsidRPr="00BC3483">
              <w:rPr>
                <w:rFonts w:ascii="Arial" w:hAnsi="Arial" w:cs="Arial"/>
              </w:rPr>
              <w:t xml:space="preserve"> </w:t>
            </w:r>
          </w:p>
          <w:p w14:paraId="08D661A9" w14:textId="77777777" w:rsidR="0098763F" w:rsidRDefault="0098763F" w:rsidP="00D5413E">
            <w:pPr>
              <w:rPr>
                <w:rFonts w:ascii="Arial" w:hAnsi="Arial" w:cs="Arial"/>
              </w:rPr>
            </w:pPr>
          </w:p>
        </w:tc>
      </w:tr>
      <w:tr w:rsidR="0098763F" w:rsidRPr="00101811" w14:paraId="44C0CD3C" w14:textId="77777777" w:rsidTr="00D5413E">
        <w:tc>
          <w:tcPr>
            <w:tcW w:w="3710" w:type="dxa"/>
          </w:tcPr>
          <w:p w14:paraId="306D23B9" w14:textId="12C50D82" w:rsidR="0098763F" w:rsidRPr="00A86D3C" w:rsidRDefault="0098763F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="0078357D">
              <w:rPr>
                <w:rFonts w:ascii="Arial" w:hAnsi="Arial" w:cs="Arial"/>
              </w:rPr>
              <w:t xml:space="preserve">uphold rights and celebrate equality and diversity. </w:t>
            </w:r>
          </w:p>
        </w:tc>
        <w:tc>
          <w:tcPr>
            <w:tcW w:w="1278" w:type="dxa"/>
          </w:tcPr>
          <w:p w14:paraId="66002F85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02BEDD0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204F1F01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1665260F" w14:textId="77777777" w:rsidR="0098763F" w:rsidRPr="00101811" w:rsidRDefault="0098763F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1A00114E" w14:textId="77484A72" w:rsidR="0098763F" w:rsidRDefault="00282FCB" w:rsidP="00D5413E">
            <w:pPr>
              <w:rPr>
                <w:rFonts w:ascii="Arial" w:hAnsi="Arial" w:cs="Arial"/>
              </w:rPr>
            </w:pPr>
            <w:hyperlink r:id="rId21" w:history="1">
              <w:r w:rsidRPr="00282FCB">
                <w:rPr>
                  <w:rStyle w:val="Hyperlink"/>
                  <w:rFonts w:ascii="Arial" w:hAnsi="Arial" w:cs="Arial"/>
                </w:rPr>
                <w:t>Rights Respecting Schools Award</w:t>
              </w:r>
            </w:hyperlink>
          </w:p>
          <w:p w14:paraId="35F46C98" w14:textId="77777777" w:rsidR="00C00292" w:rsidRDefault="00C00292" w:rsidP="00D5413E">
            <w:pPr>
              <w:rPr>
                <w:rFonts w:ascii="Arial" w:hAnsi="Arial" w:cs="Arial"/>
              </w:rPr>
            </w:pPr>
          </w:p>
          <w:p w14:paraId="361C907C" w14:textId="77777777" w:rsidR="00C00292" w:rsidRDefault="00C03220" w:rsidP="00D5413E">
            <w:pPr>
              <w:rPr>
                <w:rFonts w:ascii="Arial" w:hAnsi="Arial" w:cs="Arial"/>
              </w:rPr>
            </w:pPr>
            <w:hyperlink r:id="rId22" w:history="1">
              <w:r w:rsidRPr="00C173B8">
                <w:rPr>
                  <w:rStyle w:val="Hyperlink"/>
                  <w:rFonts w:ascii="Arial" w:hAnsi="Arial" w:cs="Arial"/>
                </w:rPr>
                <w:t>L</w:t>
              </w:r>
              <w:r w:rsidR="00C173B8" w:rsidRPr="00C173B8">
                <w:rPr>
                  <w:rStyle w:val="Hyperlink"/>
                  <w:rFonts w:ascii="Arial" w:hAnsi="Arial" w:cs="Arial"/>
                </w:rPr>
                <w:t>GBT Charter for Education</w:t>
              </w:r>
            </w:hyperlink>
          </w:p>
          <w:p w14:paraId="4171C5DF" w14:textId="4BBDFAD1" w:rsidR="00DE589A" w:rsidRPr="005A68A2" w:rsidRDefault="00DE589A" w:rsidP="00D5413E">
            <w:pPr>
              <w:rPr>
                <w:rFonts w:ascii="Arial" w:hAnsi="Arial" w:cs="Arial"/>
              </w:rPr>
            </w:pPr>
          </w:p>
        </w:tc>
      </w:tr>
      <w:tr w:rsidR="0098763F" w:rsidRPr="00101811" w14:paraId="2201A056" w14:textId="77777777" w:rsidTr="00D5413E">
        <w:tc>
          <w:tcPr>
            <w:tcW w:w="3710" w:type="dxa"/>
          </w:tcPr>
          <w:p w14:paraId="338E4CBE" w14:textId="4467FAAF" w:rsidR="0098763F" w:rsidRPr="00A86D3C" w:rsidRDefault="0078357D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engage in LfS-specific professional learning. </w:t>
            </w:r>
            <w:r w:rsidR="009876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8" w:type="dxa"/>
          </w:tcPr>
          <w:p w14:paraId="7522D59C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5469B18A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75CCDC50" w14:textId="77777777" w:rsidR="0098763F" w:rsidRPr="00E056A5" w:rsidRDefault="0098763F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4F2CD974" w14:textId="77777777" w:rsidR="0098763F" w:rsidRPr="00101811" w:rsidRDefault="0098763F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7814B41E" w14:textId="77777777" w:rsidR="0098763F" w:rsidRDefault="00F426F7" w:rsidP="00D5413E">
            <w:pPr>
              <w:rPr>
                <w:rFonts w:ascii="Arial" w:hAnsi="Arial" w:cs="Arial"/>
              </w:rPr>
            </w:pPr>
            <w:r w:rsidRPr="00A812B4">
              <w:rPr>
                <w:rFonts w:ascii="Arial" w:hAnsi="Arial" w:cs="Arial"/>
              </w:rPr>
              <w:t xml:space="preserve">CLPL for outdoor learning and sustainable development education can be requested through NAC STEM and other national partners. </w:t>
            </w:r>
            <w:hyperlink r:id="rId23" w:history="1">
              <w:r w:rsidRPr="00EC2CDC">
                <w:rPr>
                  <w:rStyle w:val="Hyperlink"/>
                  <w:rFonts w:ascii="Arial" w:hAnsi="Arial" w:cs="Arial"/>
                </w:rPr>
                <w:t>WOSDEC</w:t>
              </w:r>
            </w:hyperlink>
            <w:r w:rsidRPr="00A812B4">
              <w:rPr>
                <w:rFonts w:ascii="Arial" w:hAnsi="Arial" w:cs="Arial"/>
              </w:rPr>
              <w:t xml:space="preserve"> provide high quality global citizenship professional learning.</w:t>
            </w:r>
          </w:p>
          <w:p w14:paraId="069F22AB" w14:textId="6681322E" w:rsidR="00C00292" w:rsidRPr="00BC0255" w:rsidRDefault="00C00292" w:rsidP="00D5413E">
            <w:pPr>
              <w:rPr>
                <w:rFonts w:ascii="Arial" w:hAnsi="Arial" w:cs="Arial"/>
              </w:rPr>
            </w:pPr>
          </w:p>
        </w:tc>
      </w:tr>
    </w:tbl>
    <w:p w14:paraId="02E11682" w14:textId="24D4C602" w:rsidR="009D1C31" w:rsidRDefault="009D1C31" w:rsidP="00DE589A">
      <w:r>
        <w:rPr>
          <w:rFonts w:ascii="Arial" w:hAnsi="Arial" w:cs="Arial"/>
          <w:sz w:val="24"/>
          <w:szCs w:val="24"/>
        </w:rPr>
        <w:t xml:space="preserve">Further examples of LfS in practice can be found on the Education Scotland </w:t>
      </w:r>
      <w:hyperlink r:id="rId24" w:history="1">
        <w:r w:rsidRPr="001F44CA">
          <w:rPr>
            <w:rStyle w:val="Hyperlink"/>
            <w:rFonts w:ascii="Arial" w:hAnsi="Arial" w:cs="Arial"/>
            <w:sz w:val="24"/>
            <w:szCs w:val="24"/>
          </w:rPr>
          <w:t>Learning for Sustainability portal</w:t>
        </w:r>
      </w:hyperlink>
      <w:r>
        <w:t>.</w:t>
      </w:r>
    </w:p>
    <w:tbl>
      <w:tblPr>
        <w:tblStyle w:val="TableGrid"/>
        <w:tblpPr w:leftFromText="180" w:rightFromText="180" w:vertAnchor="page" w:horzAnchor="margin" w:tblpY="790"/>
        <w:tblW w:w="15446" w:type="dxa"/>
        <w:tblLook w:val="04A0" w:firstRow="1" w:lastRow="0" w:firstColumn="1" w:lastColumn="0" w:noHBand="0" w:noVBand="1"/>
      </w:tblPr>
      <w:tblGrid>
        <w:gridCol w:w="3710"/>
        <w:gridCol w:w="1278"/>
        <w:gridCol w:w="1696"/>
        <w:gridCol w:w="1329"/>
        <w:gridCol w:w="3704"/>
        <w:gridCol w:w="3729"/>
      </w:tblGrid>
      <w:tr w:rsidR="009D1C31" w:rsidRPr="00101811" w14:paraId="212DBC48" w14:textId="77777777" w:rsidTr="00D5413E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FCC4F" w14:textId="77777777" w:rsidR="009D1C31" w:rsidRPr="00101811" w:rsidRDefault="009D1C31" w:rsidP="00D541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1C31" w:rsidRPr="00101811" w14:paraId="05EC0E4D" w14:textId="77777777" w:rsidTr="00EB3D11">
        <w:tc>
          <w:tcPr>
            <w:tcW w:w="15446" w:type="dxa"/>
            <w:gridSpan w:val="6"/>
            <w:shd w:val="clear" w:color="auto" w:fill="0F9ED5" w:themeFill="accent4"/>
            <w:vAlign w:val="center"/>
          </w:tcPr>
          <w:p w14:paraId="729CD7DE" w14:textId="5A9B8F6C" w:rsidR="009D1C31" w:rsidRPr="00DC15B3" w:rsidRDefault="009D1C31" w:rsidP="00D541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Community</w:t>
            </w:r>
          </w:p>
          <w:p w14:paraId="061244F5" w14:textId="1682D6A9" w:rsidR="009D1C31" w:rsidRPr="00DC15B3" w:rsidRDefault="00C90FD0" w:rsidP="001C74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Taking action with people, groups and organisations to make a difference locally and globally. </w:t>
            </w:r>
          </w:p>
        </w:tc>
      </w:tr>
      <w:tr w:rsidR="009D1C31" w:rsidRPr="00101811" w14:paraId="1BA80D16" w14:textId="77777777" w:rsidTr="00D5413E">
        <w:tc>
          <w:tcPr>
            <w:tcW w:w="3710" w:type="dxa"/>
            <w:vMerge w:val="restart"/>
            <w:vAlign w:val="center"/>
          </w:tcPr>
          <w:p w14:paraId="4BED424A" w14:textId="77777777" w:rsidR="009D1C31" w:rsidRPr="00101811" w:rsidRDefault="009D1C31" w:rsidP="00D541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56A5">
              <w:rPr>
                <w:rFonts w:ascii="Arial" w:hAnsi="Arial" w:cs="Arial"/>
                <w:b/>
                <w:bCs/>
              </w:rPr>
              <w:t>Feature of Practice</w:t>
            </w:r>
          </w:p>
        </w:tc>
        <w:tc>
          <w:tcPr>
            <w:tcW w:w="4303" w:type="dxa"/>
            <w:gridSpan w:val="3"/>
            <w:vAlign w:val="center"/>
          </w:tcPr>
          <w:p w14:paraId="6814F210" w14:textId="77777777" w:rsidR="009D1C31" w:rsidRPr="00101811" w:rsidRDefault="009D1C31" w:rsidP="00D5413E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Progress</w:t>
            </w:r>
          </w:p>
        </w:tc>
        <w:tc>
          <w:tcPr>
            <w:tcW w:w="3704" w:type="dxa"/>
            <w:vMerge w:val="restart"/>
            <w:vAlign w:val="center"/>
          </w:tcPr>
          <w:p w14:paraId="06974035" w14:textId="77777777" w:rsidR="009D1C31" w:rsidRPr="00101811" w:rsidRDefault="009D1C31" w:rsidP="00D5413E">
            <w:pPr>
              <w:jc w:val="center"/>
              <w:rPr>
                <w:rFonts w:ascii="Arial" w:hAnsi="Arial" w:cs="Arial"/>
              </w:rPr>
            </w:pPr>
            <w:r w:rsidRPr="00E056A5">
              <w:rPr>
                <w:rFonts w:ascii="Arial" w:hAnsi="Arial" w:cs="Arial"/>
                <w:b/>
                <w:bCs/>
              </w:rPr>
              <w:t>Next steps for our establishment</w:t>
            </w:r>
          </w:p>
        </w:tc>
        <w:tc>
          <w:tcPr>
            <w:tcW w:w="3729" w:type="dxa"/>
            <w:vMerge w:val="restart"/>
            <w:vAlign w:val="center"/>
          </w:tcPr>
          <w:p w14:paraId="7386F669" w14:textId="2E7C8E29" w:rsidR="009D1C31" w:rsidRDefault="00664969" w:rsidP="00D54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Notes / prompts / e</w:t>
            </w:r>
            <w:r w:rsidRPr="00E056A5">
              <w:rPr>
                <w:rFonts w:ascii="Arial" w:hAnsi="Arial" w:cs="Arial"/>
                <w:b/>
                <w:bCs/>
              </w:rPr>
              <w:t>xemplars</w:t>
            </w:r>
          </w:p>
        </w:tc>
      </w:tr>
      <w:tr w:rsidR="009D1C31" w:rsidRPr="00101811" w14:paraId="7CAEBEC6" w14:textId="77777777" w:rsidTr="00D5413E">
        <w:tc>
          <w:tcPr>
            <w:tcW w:w="3710" w:type="dxa"/>
            <w:vMerge/>
          </w:tcPr>
          <w:p w14:paraId="190AD10C" w14:textId="77777777" w:rsidR="009D1C31" w:rsidRPr="00E056A5" w:rsidRDefault="009D1C31" w:rsidP="00D5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8" w:type="dxa"/>
          </w:tcPr>
          <w:p w14:paraId="4F027AD9" w14:textId="77777777" w:rsidR="009D1C31" w:rsidRPr="00E056A5" w:rsidRDefault="009D1C31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Not yet visible</w:t>
            </w:r>
          </w:p>
        </w:tc>
        <w:tc>
          <w:tcPr>
            <w:tcW w:w="1696" w:type="dxa"/>
          </w:tcPr>
          <w:p w14:paraId="2D2FA73B" w14:textId="77777777" w:rsidR="009D1C31" w:rsidRPr="00E056A5" w:rsidRDefault="009D1C31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Emerging</w:t>
            </w:r>
          </w:p>
        </w:tc>
        <w:tc>
          <w:tcPr>
            <w:tcW w:w="1329" w:type="dxa"/>
          </w:tcPr>
          <w:p w14:paraId="182F5874" w14:textId="77777777" w:rsidR="009D1C31" w:rsidRPr="00E056A5" w:rsidRDefault="009D1C31" w:rsidP="00D5413E">
            <w:pPr>
              <w:rPr>
                <w:rFonts w:ascii="Arial" w:hAnsi="Arial" w:cs="Arial"/>
                <w:b/>
                <w:bCs/>
              </w:rPr>
            </w:pPr>
            <w:r w:rsidRPr="00E056A5">
              <w:rPr>
                <w:rFonts w:ascii="Arial" w:hAnsi="Arial" w:cs="Arial"/>
                <w:i/>
                <w:iCs/>
              </w:rPr>
              <w:t>Embedded</w:t>
            </w:r>
          </w:p>
        </w:tc>
        <w:tc>
          <w:tcPr>
            <w:tcW w:w="3704" w:type="dxa"/>
            <w:vMerge/>
          </w:tcPr>
          <w:p w14:paraId="6B6121B2" w14:textId="77777777" w:rsidR="009D1C31" w:rsidRPr="00101811" w:rsidRDefault="009D1C31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vMerge/>
          </w:tcPr>
          <w:p w14:paraId="0856956A" w14:textId="77777777" w:rsidR="009D1C31" w:rsidRDefault="009D1C31" w:rsidP="00D5413E">
            <w:pPr>
              <w:rPr>
                <w:rFonts w:ascii="Arial" w:hAnsi="Arial" w:cs="Arial"/>
              </w:rPr>
            </w:pPr>
          </w:p>
        </w:tc>
      </w:tr>
      <w:tr w:rsidR="009D1C31" w:rsidRPr="00101811" w14:paraId="6E805A4C" w14:textId="77777777" w:rsidTr="00D5413E">
        <w:tc>
          <w:tcPr>
            <w:tcW w:w="3710" w:type="dxa"/>
          </w:tcPr>
          <w:p w14:paraId="56D9A5C5" w14:textId="5D807787" w:rsidR="009D1C31" w:rsidRPr="009C1578" w:rsidRDefault="009D1C31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="001C7469">
              <w:rPr>
                <w:rFonts w:ascii="Arial" w:hAnsi="Arial" w:cs="Arial"/>
              </w:rPr>
              <w:t xml:space="preserve">work with families, communities and organisations to make our local places better.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8" w:type="dxa"/>
          </w:tcPr>
          <w:p w14:paraId="76B94982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D46035A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41FB68BD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64EDFAB7" w14:textId="77777777" w:rsidR="009D1C31" w:rsidRPr="00101811" w:rsidRDefault="009D1C31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4D7E11EF" w14:textId="77777777" w:rsidR="007E0A9A" w:rsidRPr="00FD70A1" w:rsidRDefault="007E0A9A" w:rsidP="007E0A9A">
            <w:pPr>
              <w:rPr>
                <w:rFonts w:ascii="Arial" w:hAnsi="Arial" w:cs="Arial"/>
                <w:i/>
                <w:iCs/>
              </w:rPr>
            </w:pPr>
            <w:hyperlink r:id="rId25" w:history="1">
              <w:r w:rsidRPr="00FC6825">
                <w:rPr>
                  <w:rStyle w:val="Hyperlink"/>
                  <w:rFonts w:ascii="Arial" w:hAnsi="Arial" w:cs="Arial"/>
                </w:rPr>
                <w:t>Cumbrae PS Inspection Report</w:t>
              </w:r>
            </w:hyperlink>
            <w:r w:rsidRPr="00FC6825">
              <w:rPr>
                <w:rFonts w:ascii="Arial" w:hAnsi="Arial" w:cs="Arial"/>
              </w:rPr>
              <w:t xml:space="preserve"> </w:t>
            </w:r>
            <w:r w:rsidRPr="00FC6825">
              <w:rPr>
                <w:rFonts w:ascii="Arial" w:hAnsi="Arial" w:cs="Arial"/>
                <w:i/>
                <w:iCs/>
              </w:rPr>
              <w:t>‘Strong effective partnerships…’</w:t>
            </w:r>
          </w:p>
          <w:p w14:paraId="71AD5F97" w14:textId="77777777" w:rsidR="009D1C31" w:rsidRDefault="009D1C31" w:rsidP="00D5413E">
            <w:pPr>
              <w:rPr>
                <w:rFonts w:ascii="Arial" w:hAnsi="Arial" w:cs="Arial"/>
              </w:rPr>
            </w:pPr>
          </w:p>
          <w:p w14:paraId="67479151" w14:textId="4788C289" w:rsidR="00E00BD1" w:rsidRDefault="00BB7E44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LfS activities are enhancing parental and community engagement. E.g.</w:t>
            </w:r>
            <w:r w:rsidR="00E00BD1" w:rsidRPr="001C2781">
              <w:rPr>
                <w:rFonts w:ascii="Arial" w:hAnsi="Arial" w:cs="Arial"/>
              </w:rPr>
              <w:t xml:space="preserve"> working with local allotments, charities, care homes, conservation groups, food larders, climate and biodiversity actions etc.</w:t>
            </w:r>
          </w:p>
          <w:p w14:paraId="454460E2" w14:textId="77777777" w:rsidR="00FA34C0" w:rsidRDefault="00FA34C0" w:rsidP="00D5413E">
            <w:pPr>
              <w:rPr>
                <w:rFonts w:ascii="Arial" w:hAnsi="Arial" w:cs="Arial"/>
              </w:rPr>
            </w:pPr>
          </w:p>
          <w:p w14:paraId="18B83971" w14:textId="6B459B4F" w:rsidR="00FA34C0" w:rsidRDefault="00FA34C0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Partnerships </w:t>
            </w:r>
            <w:r w:rsidRPr="001C2781">
              <w:rPr>
                <w:rFonts w:ascii="Arial" w:hAnsi="Arial" w:cs="Arial"/>
              </w:rPr>
              <w:t xml:space="preserve">provide opportunities for our learners to contribute effectively </w:t>
            </w:r>
            <w:r>
              <w:rPr>
                <w:rFonts w:ascii="Arial" w:hAnsi="Arial" w:cs="Arial"/>
              </w:rPr>
              <w:t>to</w:t>
            </w:r>
            <w:r w:rsidRPr="001C2781">
              <w:rPr>
                <w:rFonts w:ascii="Arial" w:hAnsi="Arial" w:cs="Arial"/>
              </w:rPr>
              <w:t xml:space="preserve"> their communities as active citizens.</w:t>
            </w:r>
          </w:p>
        </w:tc>
      </w:tr>
      <w:tr w:rsidR="009D1C31" w:rsidRPr="00101811" w14:paraId="09A4458C" w14:textId="77777777" w:rsidTr="00D5413E">
        <w:tc>
          <w:tcPr>
            <w:tcW w:w="3710" w:type="dxa"/>
          </w:tcPr>
          <w:p w14:paraId="4D1502EE" w14:textId="08714269" w:rsidR="009D1C31" w:rsidRPr="00A86D3C" w:rsidRDefault="001C7469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actions show that we care for people and nature across the world. </w:t>
            </w:r>
          </w:p>
        </w:tc>
        <w:tc>
          <w:tcPr>
            <w:tcW w:w="1278" w:type="dxa"/>
          </w:tcPr>
          <w:p w14:paraId="3A1E3EE6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55FE09C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3A389F75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294A1CBA" w14:textId="77777777" w:rsidR="009D1C31" w:rsidRPr="00101811" w:rsidRDefault="009D1C31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5BE72B1B" w14:textId="77777777" w:rsidR="001C10FA" w:rsidRDefault="001C10FA" w:rsidP="009A4124">
            <w:pPr>
              <w:rPr>
                <w:rFonts w:ascii="Arial" w:hAnsi="Arial" w:cs="Arial"/>
              </w:rPr>
            </w:pPr>
            <w:r w:rsidRPr="00B60404">
              <w:rPr>
                <w:rFonts w:ascii="Arial" w:hAnsi="Arial" w:cs="Arial"/>
              </w:rPr>
              <w:t xml:space="preserve">Exploring the global goals, social justice issues and human rights. </w:t>
            </w:r>
          </w:p>
          <w:p w14:paraId="6016CD2B" w14:textId="2B146926" w:rsidR="009A4124" w:rsidRDefault="009A4124" w:rsidP="009A4124">
            <w:pPr>
              <w:rPr>
                <w:rFonts w:ascii="Arial" w:hAnsi="Arial" w:cs="Arial"/>
              </w:rPr>
            </w:pPr>
          </w:p>
          <w:p w14:paraId="3063F1A7" w14:textId="77777777" w:rsidR="009A4124" w:rsidRDefault="009A4124" w:rsidP="009A4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created partnerships with community organisations that are enhancing the curriculum and opportunities to learn about the wider world. </w:t>
            </w:r>
          </w:p>
          <w:p w14:paraId="1B3CE184" w14:textId="548028CA" w:rsidR="009A4124" w:rsidRPr="005A68A2" w:rsidRDefault="009A4124" w:rsidP="009A4124">
            <w:pPr>
              <w:rPr>
                <w:rFonts w:ascii="Arial" w:hAnsi="Arial" w:cs="Arial"/>
              </w:rPr>
            </w:pPr>
          </w:p>
        </w:tc>
      </w:tr>
      <w:tr w:rsidR="009D1C31" w:rsidRPr="00101811" w14:paraId="7689F5F8" w14:textId="77777777" w:rsidTr="00D5413E">
        <w:tc>
          <w:tcPr>
            <w:tcW w:w="3710" w:type="dxa"/>
          </w:tcPr>
          <w:p w14:paraId="4E61E2BC" w14:textId="77777777" w:rsidR="009D1C31" w:rsidRDefault="001C7469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share out LfS actions to inspire others. </w:t>
            </w:r>
            <w:r w:rsidR="009D1C31">
              <w:rPr>
                <w:rFonts w:ascii="Arial" w:hAnsi="Arial" w:cs="Arial"/>
              </w:rPr>
              <w:t xml:space="preserve"> </w:t>
            </w:r>
          </w:p>
          <w:p w14:paraId="7F6EAF68" w14:textId="77777777" w:rsidR="00DE589A" w:rsidRPr="00DE589A" w:rsidRDefault="00DE589A" w:rsidP="00DE589A">
            <w:pPr>
              <w:rPr>
                <w:rFonts w:ascii="Arial" w:hAnsi="Arial" w:cs="Arial"/>
              </w:rPr>
            </w:pPr>
          </w:p>
          <w:p w14:paraId="067A17FE" w14:textId="77777777" w:rsidR="00DE589A" w:rsidRPr="00DE589A" w:rsidRDefault="00DE589A" w:rsidP="00DE589A">
            <w:pPr>
              <w:rPr>
                <w:rFonts w:ascii="Arial" w:hAnsi="Arial" w:cs="Arial"/>
              </w:rPr>
            </w:pPr>
          </w:p>
          <w:p w14:paraId="68AE0E8C" w14:textId="77777777" w:rsidR="00DE589A" w:rsidRDefault="00DE589A" w:rsidP="00DE589A">
            <w:pPr>
              <w:rPr>
                <w:rFonts w:ascii="Arial" w:hAnsi="Arial" w:cs="Arial"/>
              </w:rPr>
            </w:pPr>
          </w:p>
          <w:p w14:paraId="7E0CAEFF" w14:textId="5F00B844" w:rsidR="00DE589A" w:rsidRPr="00DE589A" w:rsidRDefault="00DE589A" w:rsidP="00DE589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7A2741B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E4D193C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29" w:type="dxa"/>
          </w:tcPr>
          <w:p w14:paraId="2ECDDC14" w14:textId="77777777" w:rsidR="009D1C31" w:rsidRPr="00E056A5" w:rsidRDefault="009D1C31" w:rsidP="00D5413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4" w:type="dxa"/>
          </w:tcPr>
          <w:p w14:paraId="2A80B778" w14:textId="77777777" w:rsidR="009D1C31" w:rsidRPr="00101811" w:rsidRDefault="009D1C31" w:rsidP="00D5413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00566D34" w14:textId="77777777" w:rsidR="009D1C31" w:rsidRDefault="00FB039A" w:rsidP="00D5413E">
            <w:pPr>
              <w:rPr>
                <w:rFonts w:ascii="Arial" w:hAnsi="Arial" w:cs="Arial"/>
              </w:rPr>
            </w:pPr>
            <w:hyperlink r:id="rId26" w:history="1">
              <w:r w:rsidRPr="00F93E11">
                <w:rPr>
                  <w:rStyle w:val="Hyperlink"/>
                  <w:rFonts w:ascii="Arial" w:hAnsi="Arial" w:cs="Arial"/>
                </w:rPr>
                <w:t>Young Reporters for the Environment</w:t>
              </w:r>
            </w:hyperlink>
            <w:r w:rsidRPr="00F93E11">
              <w:rPr>
                <w:rFonts w:ascii="Arial" w:hAnsi="Arial" w:cs="Arial"/>
              </w:rPr>
              <w:t xml:space="preserve"> competition.</w:t>
            </w:r>
          </w:p>
          <w:p w14:paraId="63BA559E" w14:textId="77777777" w:rsidR="00FB039A" w:rsidRDefault="00FB039A" w:rsidP="00D5413E">
            <w:pPr>
              <w:rPr>
                <w:rFonts w:ascii="Arial" w:hAnsi="Arial" w:cs="Arial"/>
              </w:rPr>
            </w:pPr>
          </w:p>
          <w:p w14:paraId="465D8213" w14:textId="727747B5" w:rsidR="00FB039A" w:rsidRDefault="00407055" w:rsidP="00D5413E">
            <w:pPr>
              <w:rPr>
                <w:rFonts w:ascii="Arial" w:hAnsi="Arial" w:cs="Arial"/>
              </w:rPr>
            </w:pPr>
            <w:hyperlink r:id="rId27" w:history="1">
              <w:r w:rsidRPr="00CB57A1">
                <w:rPr>
                  <w:rStyle w:val="Hyperlink"/>
                  <w:rFonts w:ascii="Arial" w:hAnsi="Arial" w:cs="Arial"/>
                </w:rPr>
                <w:t>Youth Activist Toolkit.</w:t>
              </w:r>
            </w:hyperlink>
          </w:p>
          <w:p w14:paraId="5AC03D94" w14:textId="77777777" w:rsidR="00A60962" w:rsidRDefault="00A60962" w:rsidP="00D5413E">
            <w:pPr>
              <w:rPr>
                <w:rFonts w:ascii="Arial" w:hAnsi="Arial" w:cs="Arial"/>
              </w:rPr>
            </w:pPr>
          </w:p>
          <w:p w14:paraId="270B4605" w14:textId="2580E0BF" w:rsidR="00A60962" w:rsidRPr="00BC0255" w:rsidRDefault="00A60962" w:rsidP="00D54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hyperlink r:id="rId28" w:history="1">
              <w:r w:rsidRPr="00057EE3">
                <w:rPr>
                  <w:rStyle w:val="Hyperlink"/>
                  <w:rFonts w:ascii="Arial" w:hAnsi="Arial" w:cs="Arial"/>
                </w:rPr>
                <w:t>St Palladius Grows’</w:t>
              </w:r>
            </w:hyperlink>
            <w:r>
              <w:rPr>
                <w:rFonts w:ascii="Arial" w:hAnsi="Arial" w:cs="Arial"/>
              </w:rPr>
              <w:t xml:space="preserve"> is an excellent example of </w:t>
            </w:r>
            <w:r w:rsidR="00A428AC">
              <w:rPr>
                <w:rFonts w:ascii="Arial" w:hAnsi="Arial" w:cs="Arial"/>
              </w:rPr>
              <w:t xml:space="preserve">sharing LfS actions. </w:t>
            </w:r>
          </w:p>
        </w:tc>
      </w:tr>
    </w:tbl>
    <w:p w14:paraId="147A0007" w14:textId="77777777" w:rsidR="009D1C31" w:rsidRPr="00CA01CC" w:rsidRDefault="009D1C31" w:rsidP="00CA01CC">
      <w:pPr>
        <w:tabs>
          <w:tab w:val="left" w:pos="3152"/>
        </w:tabs>
      </w:pPr>
    </w:p>
    <w:sectPr w:rsidR="009D1C31" w:rsidRPr="00CA01CC" w:rsidSect="003908D0">
      <w:pgSz w:w="16838" w:h="11906" w:orient="landscape"/>
      <w:pgMar w:top="568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9245" w14:textId="77777777" w:rsidR="007D00FF" w:rsidRDefault="007D00FF" w:rsidP="003908D0">
      <w:pPr>
        <w:spacing w:after="0" w:line="240" w:lineRule="auto"/>
      </w:pPr>
      <w:r>
        <w:separator/>
      </w:r>
    </w:p>
  </w:endnote>
  <w:endnote w:type="continuationSeparator" w:id="0">
    <w:p w14:paraId="72623711" w14:textId="77777777" w:rsidR="007D00FF" w:rsidRDefault="007D00FF" w:rsidP="0039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2CF9" w14:textId="77777777" w:rsidR="007D00FF" w:rsidRDefault="007D00FF" w:rsidP="003908D0">
      <w:pPr>
        <w:spacing w:after="0" w:line="240" w:lineRule="auto"/>
      </w:pPr>
      <w:r>
        <w:separator/>
      </w:r>
    </w:p>
  </w:footnote>
  <w:footnote w:type="continuationSeparator" w:id="0">
    <w:p w14:paraId="2D8A2FE9" w14:textId="77777777" w:rsidR="007D00FF" w:rsidRDefault="007D00FF" w:rsidP="0039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6241"/>
    <w:multiLevelType w:val="multilevel"/>
    <w:tmpl w:val="657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35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D0"/>
    <w:rsid w:val="0001231F"/>
    <w:rsid w:val="00023F9A"/>
    <w:rsid w:val="00041985"/>
    <w:rsid w:val="000710FA"/>
    <w:rsid w:val="000745A0"/>
    <w:rsid w:val="00094A83"/>
    <w:rsid w:val="000B4DD1"/>
    <w:rsid w:val="001068F8"/>
    <w:rsid w:val="00131BBA"/>
    <w:rsid w:val="00150124"/>
    <w:rsid w:val="00166B65"/>
    <w:rsid w:val="001C10FA"/>
    <w:rsid w:val="001C16EB"/>
    <w:rsid w:val="001C529C"/>
    <w:rsid w:val="001C58DA"/>
    <w:rsid w:val="001C7469"/>
    <w:rsid w:val="001D067A"/>
    <w:rsid w:val="00282FCB"/>
    <w:rsid w:val="00284957"/>
    <w:rsid w:val="002A0CC7"/>
    <w:rsid w:val="002B779F"/>
    <w:rsid w:val="002F049D"/>
    <w:rsid w:val="002F36C1"/>
    <w:rsid w:val="003339C8"/>
    <w:rsid w:val="00344B8F"/>
    <w:rsid w:val="00384999"/>
    <w:rsid w:val="00384A98"/>
    <w:rsid w:val="003908D0"/>
    <w:rsid w:val="003C65E9"/>
    <w:rsid w:val="003F5CFF"/>
    <w:rsid w:val="00407055"/>
    <w:rsid w:val="004931A9"/>
    <w:rsid w:val="004A4F78"/>
    <w:rsid w:val="0055132E"/>
    <w:rsid w:val="005E7943"/>
    <w:rsid w:val="0063321C"/>
    <w:rsid w:val="00664969"/>
    <w:rsid w:val="00667926"/>
    <w:rsid w:val="00680F3A"/>
    <w:rsid w:val="006D5066"/>
    <w:rsid w:val="0078357D"/>
    <w:rsid w:val="00794F9C"/>
    <w:rsid w:val="0079552A"/>
    <w:rsid w:val="007C7554"/>
    <w:rsid w:val="007D00FF"/>
    <w:rsid w:val="007E0A9A"/>
    <w:rsid w:val="0080247B"/>
    <w:rsid w:val="008035D7"/>
    <w:rsid w:val="008076FB"/>
    <w:rsid w:val="00847963"/>
    <w:rsid w:val="00884809"/>
    <w:rsid w:val="008A70DC"/>
    <w:rsid w:val="008B1F5D"/>
    <w:rsid w:val="008B4756"/>
    <w:rsid w:val="008C2577"/>
    <w:rsid w:val="008D046A"/>
    <w:rsid w:val="008E5779"/>
    <w:rsid w:val="009717AC"/>
    <w:rsid w:val="0098763F"/>
    <w:rsid w:val="009A4124"/>
    <w:rsid w:val="009A5E3C"/>
    <w:rsid w:val="009A6DA4"/>
    <w:rsid w:val="009B3DC3"/>
    <w:rsid w:val="009B5281"/>
    <w:rsid w:val="009C1578"/>
    <w:rsid w:val="009D015E"/>
    <w:rsid w:val="009D1C31"/>
    <w:rsid w:val="00A428AC"/>
    <w:rsid w:val="00A501BE"/>
    <w:rsid w:val="00A60962"/>
    <w:rsid w:val="00A952CE"/>
    <w:rsid w:val="00AD75CE"/>
    <w:rsid w:val="00B23A23"/>
    <w:rsid w:val="00B60308"/>
    <w:rsid w:val="00B60404"/>
    <w:rsid w:val="00BB7E44"/>
    <w:rsid w:val="00BC4ED2"/>
    <w:rsid w:val="00BE7581"/>
    <w:rsid w:val="00BF1B96"/>
    <w:rsid w:val="00C00292"/>
    <w:rsid w:val="00C03220"/>
    <w:rsid w:val="00C13ECE"/>
    <w:rsid w:val="00C173B8"/>
    <w:rsid w:val="00C570D6"/>
    <w:rsid w:val="00C90FD0"/>
    <w:rsid w:val="00CA01CC"/>
    <w:rsid w:val="00CB57A1"/>
    <w:rsid w:val="00CD61D6"/>
    <w:rsid w:val="00CF3329"/>
    <w:rsid w:val="00CF7EC4"/>
    <w:rsid w:val="00D079A1"/>
    <w:rsid w:val="00D25830"/>
    <w:rsid w:val="00D432EE"/>
    <w:rsid w:val="00D4472A"/>
    <w:rsid w:val="00D80689"/>
    <w:rsid w:val="00D9309D"/>
    <w:rsid w:val="00DB79BA"/>
    <w:rsid w:val="00DC15B3"/>
    <w:rsid w:val="00DE589A"/>
    <w:rsid w:val="00DE6C55"/>
    <w:rsid w:val="00DF7C63"/>
    <w:rsid w:val="00E00BD1"/>
    <w:rsid w:val="00E4003E"/>
    <w:rsid w:val="00E72401"/>
    <w:rsid w:val="00EA0027"/>
    <w:rsid w:val="00EB3D11"/>
    <w:rsid w:val="00ED4B11"/>
    <w:rsid w:val="00F3014E"/>
    <w:rsid w:val="00F426F7"/>
    <w:rsid w:val="00F64F7A"/>
    <w:rsid w:val="00FA34C0"/>
    <w:rsid w:val="00F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4D1A"/>
  <w15:chartTrackingRefBased/>
  <w15:docId w15:val="{83B9332E-62B4-4F81-BB26-0E88DDF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8D0"/>
    <w:rPr>
      <w:color w:val="0000FF"/>
      <w:u w:val="single"/>
    </w:rPr>
  </w:style>
  <w:style w:type="table" w:styleId="TableGrid">
    <w:name w:val="Table Grid"/>
    <w:basedOn w:val="TableNormal"/>
    <w:uiPriority w:val="39"/>
    <w:rsid w:val="003908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8D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8D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73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C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dreambelievers.co.uk/resources/solarpunk-island/" TargetMode="External"/><Relationship Id="rId13" Type="http://schemas.openxmlformats.org/officeDocument/2006/relationships/hyperlink" Target="https://northayrshirecounciledu-my.sharepoint.com/personal/gemmacarson_ea365_n-ayrshire_sch_uk/_layouts/15/stream.aspx?id=%2Fpersonal%2Fgemmacarson%5Fea365%5Fn%2Dayrshire%5Fsch%5Fuk%2FDocuments%2FAttachments%2FOur%20Coast%20Trailer%20v1%2Emp4&amp;ct=1734519962232&amp;or=Outlook%2DBody&amp;cid=7413D7E5%2D2767%2D46B7%2D89B8%2D899C3C4A2EE7&amp;ga=1&amp;referrer=StreamWebApp%2EWeb&amp;referrerScenario=AddressBarCopied%2Eview%2E36d962f1%2D1c65%2D4c1b%2Da6c7%2Deca2d6070071" TargetMode="External"/><Relationship Id="rId18" Type="http://schemas.openxmlformats.org/officeDocument/2006/relationships/hyperlink" Target="https://drive.google.com/file/d/1h_4cfoYoSd_x9vximXAaFl2pdtjXO3W8/view" TargetMode="External"/><Relationship Id="rId26" Type="http://schemas.openxmlformats.org/officeDocument/2006/relationships/hyperlink" Target="https://www.keepscotlandbeautiful.org/young-reporters-for-the-environm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cef.org.uk/rights-respecting-schools/accreditation-new/" TargetMode="External"/><Relationship Id="rId7" Type="http://schemas.openxmlformats.org/officeDocument/2006/relationships/hyperlink" Target="https://glowscotland-my.sharepoint.com/:w:/g/personal/gw16dreyertimothy_glow_sch_uk/Eet8HyMb3P9Ct1wYs3BjHtABCADY8wFv9Mje4ls61d_h7w?e=DYz4Rp" TargetMode="External"/><Relationship Id="rId12" Type="http://schemas.openxmlformats.org/officeDocument/2006/relationships/hyperlink" Target="https://blogs.glowscotland.org.uk/glowblogs/largsearlyyears/learning-initiatives/outdoor-play/" TargetMode="External"/><Relationship Id="rId17" Type="http://schemas.openxmlformats.org/officeDocument/2006/relationships/hyperlink" Target="https://education.gov.scot/media/omadhjhu/btc-out-in-reflection-tool.pdf" TargetMode="External"/><Relationship Id="rId25" Type="http://schemas.openxmlformats.org/officeDocument/2006/relationships/hyperlink" Target="https://education.gov.scot/media/wycev54l/cumbrae-ps-sif-2304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gov.scot/media/mnvnzrrl/elc34-building-your-curriculum.pdf" TargetMode="External"/><Relationship Id="rId20" Type="http://schemas.openxmlformats.org/officeDocument/2006/relationships/hyperlink" Target="https://education.gov.scot/resource-themes/learning-for-sustainability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wscotland-my.sharepoint.com/:w:/g/personal/gw16dreyertimothy_glow_sch_uk/EfUdXndWmxROpIkak1IjWY4BDlMUHkwlovKoioLMZMYRbQ?e=DBYtr6" TargetMode="External"/><Relationship Id="rId24" Type="http://schemas.openxmlformats.org/officeDocument/2006/relationships/hyperlink" Target="https://education.gov.scot/resource-themes/learning-for-sustainabili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ntyourcarbon.org/" TargetMode="External"/><Relationship Id="rId23" Type="http://schemas.openxmlformats.org/officeDocument/2006/relationships/hyperlink" Target="https://wosdec.org.uk/" TargetMode="External"/><Relationship Id="rId28" Type="http://schemas.openxmlformats.org/officeDocument/2006/relationships/hyperlink" Target="https://youtu.be/_suexTZzNhY?si=GCNmQQxR9t0klwDK" TargetMode="External"/><Relationship Id="rId10" Type="http://schemas.openxmlformats.org/officeDocument/2006/relationships/hyperlink" Target="https://education.gov.scot/resources/learning-for-sustainability-advice-and-guidance/" TargetMode="External"/><Relationship Id="rId19" Type="http://schemas.openxmlformats.org/officeDocument/2006/relationships/hyperlink" Target="https://glowscotland-my.sharepoint.com/:b:/g/personal/gw16dreyertimothy_glow_sch_uk/EVpu0Nq_-ApDltHch9Z75JoBwPZzHjiM0Vd9Sm2TqgI8TA?e=zVfV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weringfutures.com/education" TargetMode="External"/><Relationship Id="rId14" Type="http://schemas.openxmlformats.org/officeDocument/2006/relationships/hyperlink" Target="https://education.gov.scot/resource-themes/learning-for-sustainability/" TargetMode="External"/><Relationship Id="rId22" Type="http://schemas.openxmlformats.org/officeDocument/2006/relationships/hyperlink" Target="https://lgbtyouth.org.uk/supporting-inclusive-education/" TargetMode="External"/><Relationship Id="rId27" Type="http://schemas.openxmlformats.org/officeDocument/2006/relationships/hyperlink" Target="https://stridemagazine.org.uk/resources/item/523-youth-action-toolk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Dreyer ( Education Officer (STEM) / Headquarters Teachers )</dc:creator>
  <cp:keywords/>
  <dc:description/>
  <cp:lastModifiedBy>Tim Dreyer ( Education Officer (STEM) / Headquarters Teachers )</cp:lastModifiedBy>
  <cp:revision>87</cp:revision>
  <dcterms:created xsi:type="dcterms:W3CDTF">2026-04-23T13:42:00Z</dcterms:created>
  <dcterms:modified xsi:type="dcterms:W3CDTF">2026-05-01T09:55:00Z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08fc22-4098-4493-b652-d6ffb65f80d4_Enabled">
    <vt:lpwstr>true</vt:lpwstr>
  </property>
  <property fmtid="{D5CDD505-2E9C-101B-9397-08002B2CF9AE}" pid="3" name="MSIP_Label_8808fc22-4098-4493-b652-d6ffb65f80d4_SetDate">
    <vt:lpwstr>2026-04-23T13:42:22Z</vt:lpwstr>
  </property>
  <property fmtid="{D5CDD505-2E9C-101B-9397-08002B2CF9AE}" pid="4" name="MSIP_Label_8808fc22-4098-4493-b652-d6ffb65f80d4_Method">
    <vt:lpwstr>Privileged</vt:lpwstr>
  </property>
  <property fmtid="{D5CDD505-2E9C-101B-9397-08002B2CF9AE}" pid="5" name="MSIP_Label_8808fc22-4098-4493-b652-d6ffb65f80d4_Name">
    <vt:lpwstr>8808fc22-4098-4493-b652-d6ffb65f80d4</vt:lpwstr>
  </property>
  <property fmtid="{D5CDD505-2E9C-101B-9397-08002B2CF9AE}" pid="6" name="MSIP_Label_8808fc22-4098-4493-b652-d6ffb65f80d4_SiteId">
    <vt:lpwstr>bef5d4b2-6c9e-4fe0-9bdf-45398ab43327</vt:lpwstr>
  </property>
  <property fmtid="{D5CDD505-2E9C-101B-9397-08002B2CF9AE}" pid="7" name="MSIP_Label_8808fc22-4098-4493-b652-d6ffb65f80d4_ActionId">
    <vt:lpwstr>aba0b5e0-c017-4745-beb2-4d0553e96db6</vt:lpwstr>
  </property>
  <property fmtid="{D5CDD505-2E9C-101B-9397-08002B2CF9AE}" pid="8" name="MSIP_Label_8808fc22-4098-4493-b652-d6ffb65f80d4_ContentBits">
    <vt:lpwstr>0</vt:lpwstr>
  </property>
  <property fmtid="{D5CDD505-2E9C-101B-9397-08002B2CF9AE}" pid="9" name="MSIP_Label_8808fc22-4098-4493-b652-d6ffb65f80d4_Tag">
    <vt:lpwstr>10, 0, 1, 1</vt:lpwstr>
  </property>
</Properties>
</file>