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48C26" w14:textId="5A3BBDC4" w:rsidR="007717A2" w:rsidRDefault="007717A2">
      <w:pPr>
        <w:rPr>
          <w:u w:val="single"/>
        </w:rPr>
      </w:pPr>
      <w:r>
        <w:rPr>
          <w:noProof/>
          <w:u w:val="single"/>
          <w:lang w:eastAsia="en-GB"/>
        </w:rPr>
        <w:drawing>
          <wp:anchor distT="0" distB="0" distL="114300" distR="114300" simplePos="0" relativeHeight="251658240" behindDoc="0" locked="0" layoutInCell="1" allowOverlap="1" wp14:anchorId="023ED959" wp14:editId="07777777">
            <wp:simplePos x="0" y="0"/>
            <wp:positionH relativeFrom="column">
              <wp:posOffset>6184900</wp:posOffset>
            </wp:positionH>
            <wp:positionV relativeFrom="paragraph">
              <wp:posOffset>-254000</wp:posOffset>
            </wp:positionV>
            <wp:extent cx="548351" cy="5185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351" cy="518505"/>
                    </a:xfrm>
                    <a:prstGeom prst="rect">
                      <a:avLst/>
                    </a:prstGeom>
                  </pic:spPr>
                </pic:pic>
              </a:graphicData>
            </a:graphic>
            <wp14:sizeRelH relativeFrom="page">
              <wp14:pctWidth>0</wp14:pctWidth>
            </wp14:sizeRelH>
            <wp14:sizeRelV relativeFrom="page">
              <wp14:pctHeight>0</wp14:pctHeight>
            </wp14:sizeRelV>
          </wp:anchor>
        </w:drawing>
      </w:r>
      <w:r w:rsidRPr="007717A2">
        <w:rPr>
          <w:u w:val="single"/>
        </w:rPr>
        <w:t>DEEP LEARNING TEACHER SELF ASSESSMENT TOOL ANALYSIS</w:t>
      </w:r>
      <w:r>
        <w:rPr>
          <w:u w:val="single"/>
        </w:rPr>
        <w:tab/>
      </w:r>
      <w:r>
        <w:rPr>
          <w:u w:val="single"/>
        </w:rPr>
        <w:tab/>
        <w:t xml:space="preserve">TOOL COMPLETED: </w:t>
      </w:r>
      <w:r w:rsidR="00317E25">
        <w:rPr>
          <w:u w:val="single"/>
        </w:rPr>
        <w:t>12/03/25</w:t>
      </w:r>
      <w:bookmarkStart w:id="0" w:name="_GoBack"/>
      <w:bookmarkEnd w:id="0"/>
    </w:p>
    <w:p w14:paraId="3F78B21E" w14:textId="13FCA430" w:rsidR="6FA32565" w:rsidRPr="00460D8C" w:rsidRDefault="007717A2">
      <w:pPr>
        <w:rPr>
          <w:i/>
          <w:iCs/>
        </w:rPr>
      </w:pPr>
      <w:r w:rsidRPr="6FA32565">
        <w:rPr>
          <w:b/>
          <w:bCs/>
        </w:rPr>
        <w:t>Purpose</w:t>
      </w:r>
      <w:r>
        <w:t xml:space="preserve">: </w:t>
      </w:r>
      <w:r w:rsidR="00460D8C" w:rsidRPr="00460D8C">
        <w:t>This document presents an updated analysis of staff self-assessment in Deep Learning, comparing results from August 2024 to November 2024. The four elements of Deep Learning Design—Learning Partnerships, Learning Environments, Pedagogical Practices, and Leveraging Digital—were reassessed to determine progress and areas for further development.</w:t>
      </w:r>
    </w:p>
    <w:p w14:paraId="3114DA69" w14:textId="77777777" w:rsidR="00A611C4" w:rsidRDefault="00A611C4">
      <w:pPr>
        <w:rPr>
          <w:b/>
        </w:rPr>
      </w:pPr>
      <w:r>
        <w:rPr>
          <w:b/>
        </w:rPr>
        <w:t>Section by Section Analysis:</w:t>
      </w:r>
    </w:p>
    <w:p w14:paraId="791D1952" w14:textId="77777777" w:rsidR="00A611C4" w:rsidRPr="00460D8C" w:rsidRDefault="00A611C4">
      <w:pPr>
        <w:rPr>
          <w:b/>
          <w:u w:val="single"/>
        </w:rPr>
      </w:pPr>
      <w:r w:rsidRPr="00460D8C">
        <w:rPr>
          <w:b/>
          <w:u w:val="single"/>
        </w:rPr>
        <w:t xml:space="preserve">Middle School (P4A, P4B, P5) </w:t>
      </w:r>
    </w:p>
    <w:tbl>
      <w:tblPr>
        <w:tblStyle w:val="TableGrid"/>
        <w:tblW w:w="10563" w:type="dxa"/>
        <w:tblLook w:val="04A0" w:firstRow="1" w:lastRow="0" w:firstColumn="1" w:lastColumn="0" w:noHBand="0" w:noVBand="1"/>
      </w:tblPr>
      <w:tblGrid>
        <w:gridCol w:w="1509"/>
        <w:gridCol w:w="1509"/>
        <w:gridCol w:w="1509"/>
        <w:gridCol w:w="1509"/>
        <w:gridCol w:w="1509"/>
        <w:gridCol w:w="1509"/>
        <w:gridCol w:w="1509"/>
      </w:tblGrid>
      <w:tr w:rsidR="00A611C4" w14:paraId="76F4C0FA" w14:textId="77777777" w:rsidTr="00460D8C">
        <w:trPr>
          <w:cantSplit/>
          <w:trHeight w:val="284"/>
        </w:trPr>
        <w:tc>
          <w:tcPr>
            <w:tcW w:w="1509" w:type="dxa"/>
          </w:tcPr>
          <w:p w14:paraId="26F3D6E7" w14:textId="77777777" w:rsidR="00A611C4" w:rsidRDefault="00A611C4" w:rsidP="00A611C4">
            <w:pPr>
              <w:rPr>
                <w:b/>
              </w:rPr>
            </w:pPr>
            <w:r>
              <w:rPr>
                <w:b/>
              </w:rPr>
              <w:t>Element</w:t>
            </w:r>
          </w:p>
        </w:tc>
        <w:tc>
          <w:tcPr>
            <w:tcW w:w="1509" w:type="dxa"/>
          </w:tcPr>
          <w:p w14:paraId="2E9EFA25" w14:textId="77777777" w:rsidR="00A611C4" w:rsidRDefault="00A611C4" w:rsidP="00A611C4">
            <w:pPr>
              <w:rPr>
                <w:b/>
              </w:rPr>
            </w:pPr>
            <w:r>
              <w:rPr>
                <w:b/>
              </w:rPr>
              <w:t>No. of items</w:t>
            </w:r>
          </w:p>
        </w:tc>
        <w:tc>
          <w:tcPr>
            <w:tcW w:w="1509" w:type="dxa"/>
          </w:tcPr>
          <w:p w14:paraId="0F9FD830" w14:textId="77777777" w:rsidR="00A611C4" w:rsidRDefault="00A611C4" w:rsidP="00A611C4">
            <w:pPr>
              <w:rPr>
                <w:b/>
              </w:rPr>
            </w:pPr>
            <w:r>
              <w:rPr>
                <w:b/>
              </w:rPr>
              <w:t>Responses</w:t>
            </w:r>
          </w:p>
        </w:tc>
        <w:tc>
          <w:tcPr>
            <w:tcW w:w="1509" w:type="dxa"/>
            <w:shd w:val="clear" w:color="auto" w:fill="FF0000"/>
          </w:tcPr>
          <w:p w14:paraId="093BD14B" w14:textId="77777777" w:rsidR="00A611C4" w:rsidRPr="00A611C4" w:rsidRDefault="00A611C4" w:rsidP="00A611C4">
            <w:pPr>
              <w:rPr>
                <w:b/>
              </w:rPr>
            </w:pPr>
            <w:r>
              <w:rPr>
                <w:b/>
              </w:rPr>
              <w:t xml:space="preserve">Red </w:t>
            </w:r>
          </w:p>
        </w:tc>
        <w:tc>
          <w:tcPr>
            <w:tcW w:w="1509" w:type="dxa"/>
            <w:shd w:val="clear" w:color="auto" w:fill="FFC000" w:themeFill="accent4"/>
          </w:tcPr>
          <w:p w14:paraId="626188F6" w14:textId="77777777" w:rsidR="00A611C4" w:rsidRDefault="00A611C4" w:rsidP="00A611C4">
            <w:pPr>
              <w:rPr>
                <w:b/>
              </w:rPr>
            </w:pPr>
            <w:r>
              <w:rPr>
                <w:b/>
              </w:rPr>
              <w:t>Amber</w:t>
            </w:r>
          </w:p>
        </w:tc>
        <w:tc>
          <w:tcPr>
            <w:tcW w:w="1509" w:type="dxa"/>
            <w:shd w:val="clear" w:color="auto" w:fill="70AD47" w:themeFill="accent6"/>
          </w:tcPr>
          <w:p w14:paraId="6A170216" w14:textId="77777777" w:rsidR="00A611C4" w:rsidRDefault="00A611C4" w:rsidP="00A611C4">
            <w:pPr>
              <w:rPr>
                <w:b/>
              </w:rPr>
            </w:pPr>
            <w:r>
              <w:rPr>
                <w:b/>
              </w:rPr>
              <w:t>Green</w:t>
            </w:r>
          </w:p>
        </w:tc>
        <w:tc>
          <w:tcPr>
            <w:tcW w:w="1509" w:type="dxa"/>
            <w:shd w:val="clear" w:color="auto" w:fill="4472C4" w:themeFill="accent5"/>
          </w:tcPr>
          <w:p w14:paraId="556428AE" w14:textId="77777777" w:rsidR="00A611C4" w:rsidRDefault="00A611C4" w:rsidP="00A611C4">
            <w:pPr>
              <w:rPr>
                <w:b/>
              </w:rPr>
            </w:pPr>
            <w:r>
              <w:rPr>
                <w:b/>
              </w:rPr>
              <w:t>Blue</w:t>
            </w:r>
          </w:p>
        </w:tc>
      </w:tr>
      <w:tr w:rsidR="00460D8C" w14:paraId="259E185E" w14:textId="77777777" w:rsidTr="00460D8C">
        <w:trPr>
          <w:trHeight w:val="274"/>
        </w:trPr>
        <w:tc>
          <w:tcPr>
            <w:tcW w:w="1509" w:type="dxa"/>
            <w:vAlign w:val="center"/>
          </w:tcPr>
          <w:p w14:paraId="4A3E2F50" w14:textId="1643B34C" w:rsidR="00460D8C" w:rsidRPr="004F2293" w:rsidRDefault="00460D8C" w:rsidP="00460D8C">
            <w:r>
              <w:t>Learning Partnerships</w:t>
            </w:r>
          </w:p>
        </w:tc>
        <w:tc>
          <w:tcPr>
            <w:tcW w:w="1509" w:type="dxa"/>
            <w:vAlign w:val="center"/>
          </w:tcPr>
          <w:p w14:paraId="44B0A208" w14:textId="0946E6A4" w:rsidR="00460D8C" w:rsidRPr="004F2293" w:rsidRDefault="00460D8C" w:rsidP="00460D8C">
            <w:r>
              <w:t>8</w:t>
            </w:r>
          </w:p>
        </w:tc>
        <w:tc>
          <w:tcPr>
            <w:tcW w:w="1509" w:type="dxa"/>
            <w:vAlign w:val="center"/>
          </w:tcPr>
          <w:p w14:paraId="5FCD5EC4" w14:textId="3D3FCD5E" w:rsidR="00460D8C" w:rsidRPr="004F2293" w:rsidRDefault="00460D8C" w:rsidP="00460D8C">
            <w:r>
              <w:t>2</w:t>
            </w:r>
          </w:p>
        </w:tc>
        <w:tc>
          <w:tcPr>
            <w:tcW w:w="1509" w:type="dxa"/>
            <w:shd w:val="clear" w:color="auto" w:fill="FBE4D5" w:themeFill="accent2" w:themeFillTint="33"/>
            <w:vAlign w:val="center"/>
          </w:tcPr>
          <w:p w14:paraId="2FFC5AE4" w14:textId="5AA99A89" w:rsidR="00460D8C" w:rsidRPr="004F2293" w:rsidRDefault="00460D8C" w:rsidP="00460D8C">
            <w:r>
              <w:t>6%</w:t>
            </w:r>
          </w:p>
        </w:tc>
        <w:tc>
          <w:tcPr>
            <w:tcW w:w="1509" w:type="dxa"/>
            <w:shd w:val="clear" w:color="auto" w:fill="FFF2CC" w:themeFill="accent4" w:themeFillTint="33"/>
            <w:vAlign w:val="center"/>
          </w:tcPr>
          <w:p w14:paraId="37B1E73D" w14:textId="6E67008B" w:rsidR="00460D8C" w:rsidRPr="004F2293" w:rsidRDefault="00460D8C" w:rsidP="00460D8C">
            <w:r>
              <w:t>38%</w:t>
            </w:r>
          </w:p>
        </w:tc>
        <w:tc>
          <w:tcPr>
            <w:tcW w:w="1509" w:type="dxa"/>
            <w:shd w:val="clear" w:color="auto" w:fill="E2EFD9" w:themeFill="accent6" w:themeFillTint="33"/>
            <w:vAlign w:val="center"/>
          </w:tcPr>
          <w:p w14:paraId="58FAD710" w14:textId="74C5E770" w:rsidR="00460D8C" w:rsidRPr="004F2293" w:rsidRDefault="00460D8C" w:rsidP="00460D8C">
            <w:r>
              <w:t>56%</w:t>
            </w:r>
          </w:p>
        </w:tc>
        <w:tc>
          <w:tcPr>
            <w:tcW w:w="1509" w:type="dxa"/>
            <w:shd w:val="clear" w:color="auto" w:fill="D9E2F3" w:themeFill="accent5" w:themeFillTint="33"/>
            <w:vAlign w:val="center"/>
          </w:tcPr>
          <w:p w14:paraId="6D414B93" w14:textId="1D87FC59" w:rsidR="00460D8C" w:rsidRPr="004F2293" w:rsidRDefault="00460D8C" w:rsidP="00460D8C">
            <w:r>
              <w:t>0%</w:t>
            </w:r>
          </w:p>
        </w:tc>
      </w:tr>
      <w:tr w:rsidR="00460D8C" w14:paraId="6A7ED5E9" w14:textId="77777777" w:rsidTr="00460D8C">
        <w:trPr>
          <w:trHeight w:val="274"/>
        </w:trPr>
        <w:tc>
          <w:tcPr>
            <w:tcW w:w="1509" w:type="dxa"/>
            <w:vAlign w:val="center"/>
          </w:tcPr>
          <w:p w14:paraId="58BF3E46" w14:textId="6AB68D22" w:rsidR="00460D8C" w:rsidRPr="004F2293" w:rsidRDefault="00460D8C" w:rsidP="00460D8C">
            <w:r>
              <w:t>Learning Environments</w:t>
            </w:r>
          </w:p>
        </w:tc>
        <w:tc>
          <w:tcPr>
            <w:tcW w:w="1509" w:type="dxa"/>
            <w:vAlign w:val="center"/>
          </w:tcPr>
          <w:p w14:paraId="03853697" w14:textId="631CE179" w:rsidR="00460D8C" w:rsidRPr="004F2293" w:rsidRDefault="00460D8C" w:rsidP="00460D8C">
            <w:r>
              <w:t>8</w:t>
            </w:r>
          </w:p>
        </w:tc>
        <w:tc>
          <w:tcPr>
            <w:tcW w:w="1509" w:type="dxa"/>
            <w:vAlign w:val="center"/>
          </w:tcPr>
          <w:p w14:paraId="0B778152" w14:textId="118F3AC0" w:rsidR="00460D8C" w:rsidRPr="004F2293" w:rsidRDefault="00460D8C" w:rsidP="00460D8C">
            <w:r>
              <w:t>2</w:t>
            </w:r>
          </w:p>
        </w:tc>
        <w:tc>
          <w:tcPr>
            <w:tcW w:w="1509" w:type="dxa"/>
            <w:shd w:val="clear" w:color="auto" w:fill="FBE4D5" w:themeFill="accent2" w:themeFillTint="33"/>
            <w:vAlign w:val="center"/>
          </w:tcPr>
          <w:p w14:paraId="030CC565" w14:textId="6F20B934" w:rsidR="00460D8C" w:rsidRPr="004F2293" w:rsidRDefault="00460D8C" w:rsidP="00460D8C">
            <w:r>
              <w:t>0%</w:t>
            </w:r>
          </w:p>
        </w:tc>
        <w:tc>
          <w:tcPr>
            <w:tcW w:w="1509" w:type="dxa"/>
            <w:shd w:val="clear" w:color="auto" w:fill="FFF2CC" w:themeFill="accent4" w:themeFillTint="33"/>
            <w:vAlign w:val="center"/>
          </w:tcPr>
          <w:p w14:paraId="3F2AE1CC" w14:textId="433468E6" w:rsidR="00460D8C" w:rsidRPr="004F2293" w:rsidRDefault="00460D8C" w:rsidP="00460D8C">
            <w:r>
              <w:t>31%</w:t>
            </w:r>
          </w:p>
        </w:tc>
        <w:tc>
          <w:tcPr>
            <w:tcW w:w="1509" w:type="dxa"/>
            <w:shd w:val="clear" w:color="auto" w:fill="E2EFD9" w:themeFill="accent6" w:themeFillTint="33"/>
            <w:vAlign w:val="center"/>
          </w:tcPr>
          <w:p w14:paraId="4A59C0CC" w14:textId="38FC7C5E" w:rsidR="00460D8C" w:rsidRPr="004F2293" w:rsidRDefault="00460D8C" w:rsidP="00460D8C">
            <w:r>
              <w:t>75%</w:t>
            </w:r>
          </w:p>
        </w:tc>
        <w:tc>
          <w:tcPr>
            <w:tcW w:w="1509" w:type="dxa"/>
            <w:shd w:val="clear" w:color="auto" w:fill="D9E2F3" w:themeFill="accent5" w:themeFillTint="33"/>
            <w:vAlign w:val="center"/>
          </w:tcPr>
          <w:p w14:paraId="56B07750" w14:textId="6E08C915" w:rsidR="00460D8C" w:rsidRPr="004F2293" w:rsidRDefault="00460D8C" w:rsidP="00460D8C">
            <w:r>
              <w:t>6%</w:t>
            </w:r>
          </w:p>
        </w:tc>
      </w:tr>
      <w:tr w:rsidR="00460D8C" w14:paraId="3B7F5BC5" w14:textId="77777777" w:rsidTr="00460D8C">
        <w:trPr>
          <w:trHeight w:val="274"/>
        </w:trPr>
        <w:tc>
          <w:tcPr>
            <w:tcW w:w="1509" w:type="dxa"/>
            <w:vAlign w:val="center"/>
          </w:tcPr>
          <w:p w14:paraId="126AD0E4" w14:textId="7B24E643" w:rsidR="00460D8C" w:rsidRPr="004F2293" w:rsidRDefault="00460D8C" w:rsidP="00460D8C">
            <w:r>
              <w:t>Pedagogical Practices</w:t>
            </w:r>
          </w:p>
        </w:tc>
        <w:tc>
          <w:tcPr>
            <w:tcW w:w="1509" w:type="dxa"/>
            <w:vAlign w:val="center"/>
          </w:tcPr>
          <w:p w14:paraId="75697EEC" w14:textId="65CB7DEE" w:rsidR="00460D8C" w:rsidRPr="004F2293" w:rsidRDefault="00460D8C" w:rsidP="00460D8C">
            <w:r>
              <w:t>7</w:t>
            </w:r>
          </w:p>
        </w:tc>
        <w:tc>
          <w:tcPr>
            <w:tcW w:w="1509" w:type="dxa"/>
            <w:vAlign w:val="center"/>
          </w:tcPr>
          <w:p w14:paraId="7A036E3D" w14:textId="1A8992B5" w:rsidR="00460D8C" w:rsidRPr="004F2293" w:rsidRDefault="00460D8C" w:rsidP="00460D8C">
            <w:r>
              <w:t>2</w:t>
            </w:r>
          </w:p>
        </w:tc>
        <w:tc>
          <w:tcPr>
            <w:tcW w:w="1509" w:type="dxa"/>
            <w:shd w:val="clear" w:color="auto" w:fill="FBE4D5" w:themeFill="accent2" w:themeFillTint="33"/>
            <w:vAlign w:val="center"/>
          </w:tcPr>
          <w:p w14:paraId="598B85BA" w14:textId="0EA289E1" w:rsidR="00460D8C" w:rsidRPr="004F2293" w:rsidRDefault="00460D8C" w:rsidP="00460D8C">
            <w:r>
              <w:t>0%</w:t>
            </w:r>
          </w:p>
        </w:tc>
        <w:tc>
          <w:tcPr>
            <w:tcW w:w="1509" w:type="dxa"/>
            <w:shd w:val="clear" w:color="auto" w:fill="FFF2CC" w:themeFill="accent4" w:themeFillTint="33"/>
            <w:vAlign w:val="center"/>
          </w:tcPr>
          <w:p w14:paraId="4BD979E1" w14:textId="0620B16C" w:rsidR="00460D8C" w:rsidRPr="004F2293" w:rsidRDefault="00460D8C" w:rsidP="00460D8C">
            <w:r>
              <w:t>57%</w:t>
            </w:r>
          </w:p>
        </w:tc>
        <w:tc>
          <w:tcPr>
            <w:tcW w:w="1509" w:type="dxa"/>
            <w:shd w:val="clear" w:color="auto" w:fill="E2EFD9" w:themeFill="accent6" w:themeFillTint="33"/>
            <w:vAlign w:val="center"/>
          </w:tcPr>
          <w:p w14:paraId="43CFE7DB" w14:textId="023AB89E" w:rsidR="00460D8C" w:rsidRPr="004F2293" w:rsidRDefault="00460D8C" w:rsidP="00460D8C">
            <w:r>
              <w:t>61%</w:t>
            </w:r>
          </w:p>
        </w:tc>
        <w:tc>
          <w:tcPr>
            <w:tcW w:w="1509" w:type="dxa"/>
            <w:shd w:val="clear" w:color="auto" w:fill="D9E2F3" w:themeFill="accent5" w:themeFillTint="33"/>
            <w:vAlign w:val="center"/>
          </w:tcPr>
          <w:p w14:paraId="4018C83E" w14:textId="586FF190" w:rsidR="00460D8C" w:rsidRPr="004F2293" w:rsidRDefault="00460D8C" w:rsidP="00460D8C">
            <w:r>
              <w:t>0%</w:t>
            </w:r>
          </w:p>
        </w:tc>
      </w:tr>
      <w:tr w:rsidR="00460D8C" w14:paraId="1F92F6F5" w14:textId="77777777" w:rsidTr="00460D8C">
        <w:trPr>
          <w:trHeight w:val="264"/>
        </w:trPr>
        <w:tc>
          <w:tcPr>
            <w:tcW w:w="1509" w:type="dxa"/>
            <w:vAlign w:val="center"/>
          </w:tcPr>
          <w:p w14:paraId="6C4435E9" w14:textId="697C8A3D" w:rsidR="00460D8C" w:rsidRPr="004F2293" w:rsidRDefault="00460D8C" w:rsidP="00460D8C">
            <w:r>
              <w:t>Leveraging Digital</w:t>
            </w:r>
          </w:p>
        </w:tc>
        <w:tc>
          <w:tcPr>
            <w:tcW w:w="1509" w:type="dxa"/>
            <w:vAlign w:val="center"/>
          </w:tcPr>
          <w:p w14:paraId="29B4EA11" w14:textId="70E6EBFB" w:rsidR="00460D8C" w:rsidRPr="004F2293" w:rsidRDefault="00460D8C" w:rsidP="00460D8C">
            <w:r>
              <w:t>6</w:t>
            </w:r>
          </w:p>
        </w:tc>
        <w:tc>
          <w:tcPr>
            <w:tcW w:w="1509" w:type="dxa"/>
            <w:vAlign w:val="center"/>
          </w:tcPr>
          <w:p w14:paraId="68D9363B" w14:textId="715BA498" w:rsidR="00460D8C" w:rsidRPr="004F2293" w:rsidRDefault="00460D8C" w:rsidP="00460D8C">
            <w:r>
              <w:t>2</w:t>
            </w:r>
          </w:p>
        </w:tc>
        <w:tc>
          <w:tcPr>
            <w:tcW w:w="1509" w:type="dxa"/>
            <w:shd w:val="clear" w:color="auto" w:fill="FBE4D5" w:themeFill="accent2" w:themeFillTint="33"/>
            <w:vAlign w:val="center"/>
          </w:tcPr>
          <w:p w14:paraId="262EE23F" w14:textId="0F2B84C3" w:rsidR="00460D8C" w:rsidRPr="004F2293" w:rsidRDefault="00460D8C" w:rsidP="00460D8C">
            <w:r>
              <w:t>0%</w:t>
            </w:r>
          </w:p>
        </w:tc>
        <w:tc>
          <w:tcPr>
            <w:tcW w:w="1509" w:type="dxa"/>
            <w:shd w:val="clear" w:color="auto" w:fill="FFF2CC" w:themeFill="accent4" w:themeFillTint="33"/>
            <w:vAlign w:val="center"/>
          </w:tcPr>
          <w:p w14:paraId="5A34C260" w14:textId="2F355D65" w:rsidR="00460D8C" w:rsidRPr="004F2293" w:rsidRDefault="00460D8C" w:rsidP="00460D8C">
            <w:r>
              <w:t>25%</w:t>
            </w:r>
          </w:p>
        </w:tc>
        <w:tc>
          <w:tcPr>
            <w:tcW w:w="1509" w:type="dxa"/>
            <w:shd w:val="clear" w:color="auto" w:fill="E2EFD9" w:themeFill="accent6" w:themeFillTint="33"/>
            <w:vAlign w:val="center"/>
          </w:tcPr>
          <w:p w14:paraId="3E5E850A" w14:textId="7099D9BF" w:rsidR="00460D8C" w:rsidRPr="004F2293" w:rsidRDefault="00460D8C" w:rsidP="00460D8C">
            <w:r>
              <w:t>75%</w:t>
            </w:r>
          </w:p>
        </w:tc>
        <w:tc>
          <w:tcPr>
            <w:tcW w:w="1509" w:type="dxa"/>
            <w:shd w:val="clear" w:color="auto" w:fill="D9E2F3" w:themeFill="accent5" w:themeFillTint="33"/>
            <w:vAlign w:val="center"/>
          </w:tcPr>
          <w:p w14:paraId="0EEA4D56" w14:textId="09615343" w:rsidR="00460D8C" w:rsidRPr="004F2293" w:rsidRDefault="00460D8C" w:rsidP="00460D8C">
            <w:r>
              <w:t>0%</w:t>
            </w:r>
          </w:p>
        </w:tc>
      </w:tr>
    </w:tbl>
    <w:p w14:paraId="6D67F536" w14:textId="4D4DAAA8" w:rsidR="5DE14D8B" w:rsidRDefault="5DE14D8B" w:rsidP="5DE14D8B">
      <w:pPr>
        <w:rPr>
          <w:b/>
          <w:bCs/>
        </w:rPr>
      </w:pPr>
    </w:p>
    <w:p w14:paraId="4173250E" w14:textId="58EF4A72" w:rsidR="0D2F3009" w:rsidRDefault="0D2F3009" w:rsidP="5DE14D8B">
      <w:pPr>
        <w:rPr>
          <w:b/>
          <w:bCs/>
          <w:u w:val="single"/>
        </w:rPr>
      </w:pPr>
      <w:r w:rsidRPr="6FA32565">
        <w:rPr>
          <w:b/>
          <w:bCs/>
          <w:u w:val="single"/>
        </w:rPr>
        <w:t>Main Findings</w:t>
      </w:r>
    </w:p>
    <w:p w14:paraId="40748A1C" w14:textId="4E3E7DFB" w:rsidR="00460D8C" w:rsidRPr="00460D8C" w:rsidRDefault="00460D8C" w:rsidP="00460D8C">
      <w:pPr>
        <w:rPr>
          <w:b/>
          <w:bCs/>
        </w:rPr>
      </w:pPr>
      <w:r w:rsidRPr="00460D8C">
        <w:rPr>
          <w:b/>
          <w:bCs/>
        </w:rPr>
        <w:t xml:space="preserve">Learning Partnerships: </w:t>
      </w:r>
      <w:r w:rsidRPr="00460D8C">
        <w:rPr>
          <w:bCs/>
        </w:rPr>
        <w:t>Staff confidence has improved, with 56% now in the Green category, up from 33% in August</w:t>
      </w:r>
      <w:r w:rsidRPr="00460D8C">
        <w:rPr>
          <w:bCs/>
        </w:rPr>
        <w:t xml:space="preserve">. The percentage of those with very little confidence (Red) has </w:t>
      </w:r>
      <w:r>
        <w:rPr>
          <w:bCs/>
        </w:rPr>
        <w:t xml:space="preserve">stayed consistent and this relates to ‘engaging parents as partners in the learning of pupils’. </w:t>
      </w:r>
    </w:p>
    <w:p w14:paraId="13187E63" w14:textId="6230FEF1" w:rsidR="00460D8C" w:rsidRPr="00460D8C" w:rsidRDefault="00460D8C" w:rsidP="00460D8C">
      <w:pPr>
        <w:rPr>
          <w:b/>
          <w:bCs/>
        </w:rPr>
      </w:pPr>
      <w:r w:rsidRPr="00460D8C">
        <w:rPr>
          <w:b/>
          <w:bCs/>
        </w:rPr>
        <w:t xml:space="preserve">Learning Environments: </w:t>
      </w:r>
      <w:r w:rsidRPr="00460D8C">
        <w:rPr>
          <w:bCs/>
        </w:rPr>
        <w:t xml:space="preserve">This area has seen strong improvement, with 75% of staff now in the Green category and 6% reaching Blue. Amber responses have decreased from 54% to 31%, showing increased confidence in creating </w:t>
      </w:r>
      <w:proofErr w:type="spellStart"/>
      <w:r>
        <w:rPr>
          <w:bCs/>
        </w:rPr>
        <w:t>abd</w:t>
      </w:r>
      <w:proofErr w:type="spellEnd"/>
      <w:r>
        <w:rPr>
          <w:bCs/>
        </w:rPr>
        <w:t xml:space="preserve"> utilising </w:t>
      </w:r>
      <w:r w:rsidRPr="00460D8C">
        <w:rPr>
          <w:bCs/>
        </w:rPr>
        <w:t>effective learning spaces.</w:t>
      </w:r>
    </w:p>
    <w:p w14:paraId="6540DD01" w14:textId="77777777" w:rsidR="00460D8C" w:rsidRDefault="00460D8C" w:rsidP="5DE14D8B">
      <w:pPr>
        <w:rPr>
          <w:bCs/>
        </w:rPr>
      </w:pPr>
      <w:r w:rsidRPr="00460D8C">
        <w:rPr>
          <w:b/>
          <w:bCs/>
        </w:rPr>
        <w:t xml:space="preserve">Pedagogical Practices: </w:t>
      </w:r>
      <w:r w:rsidRPr="00460D8C">
        <w:rPr>
          <w:bCs/>
        </w:rPr>
        <w:t>More staff are confident in this area, but progress is slower compared to others. While the Green category has increased, a high percentage (57%) still remain in Amber.</w:t>
      </w:r>
    </w:p>
    <w:p w14:paraId="6C9CBDC8" w14:textId="5D9E914D" w:rsidR="00460D8C" w:rsidRDefault="00460D8C" w:rsidP="00AD6896">
      <w:pPr>
        <w:rPr>
          <w:b/>
          <w:u w:val="single"/>
        </w:rPr>
      </w:pPr>
      <w:r w:rsidRPr="00460D8C">
        <w:rPr>
          <w:b/>
          <w:bCs/>
        </w:rPr>
        <w:t xml:space="preserve">Leveraging Digital: </w:t>
      </w:r>
      <w:r w:rsidRPr="00460D8C">
        <w:rPr>
          <w:bCs/>
        </w:rPr>
        <w:t>Significant progress has been made, with no staff in the Red category and 75% now confident in using digital tools.</w:t>
      </w:r>
    </w:p>
    <w:p w14:paraId="5A253E42" w14:textId="77777777" w:rsidR="00460D8C" w:rsidRDefault="00460D8C" w:rsidP="00AD6896">
      <w:pPr>
        <w:rPr>
          <w:b/>
          <w:u w:val="single"/>
        </w:rPr>
      </w:pPr>
    </w:p>
    <w:p w14:paraId="5E37EFCA" w14:textId="77777777" w:rsidR="00460D8C" w:rsidRDefault="00460D8C" w:rsidP="00AD6896">
      <w:pPr>
        <w:rPr>
          <w:b/>
          <w:u w:val="single"/>
        </w:rPr>
      </w:pPr>
    </w:p>
    <w:p w14:paraId="793289CB" w14:textId="77777777" w:rsidR="00460D8C" w:rsidRDefault="00460D8C" w:rsidP="00AD6896">
      <w:pPr>
        <w:rPr>
          <w:b/>
          <w:u w:val="single"/>
        </w:rPr>
      </w:pPr>
    </w:p>
    <w:p w14:paraId="1C18BBAD" w14:textId="77777777" w:rsidR="00460D8C" w:rsidRDefault="00460D8C" w:rsidP="00AD6896">
      <w:pPr>
        <w:rPr>
          <w:b/>
          <w:u w:val="single"/>
        </w:rPr>
      </w:pPr>
    </w:p>
    <w:p w14:paraId="0E6EA5E2" w14:textId="77777777" w:rsidR="00460D8C" w:rsidRDefault="00460D8C" w:rsidP="00AD6896">
      <w:pPr>
        <w:rPr>
          <w:b/>
          <w:u w:val="single"/>
        </w:rPr>
      </w:pPr>
    </w:p>
    <w:p w14:paraId="043E79B3" w14:textId="77777777" w:rsidR="00460D8C" w:rsidRDefault="00460D8C" w:rsidP="00AD6896">
      <w:pPr>
        <w:rPr>
          <w:b/>
          <w:u w:val="single"/>
        </w:rPr>
      </w:pPr>
    </w:p>
    <w:p w14:paraId="12ECC817" w14:textId="77777777" w:rsidR="00460D8C" w:rsidRDefault="00460D8C" w:rsidP="00AD6896">
      <w:pPr>
        <w:rPr>
          <w:b/>
          <w:u w:val="single"/>
        </w:rPr>
      </w:pPr>
    </w:p>
    <w:p w14:paraId="3810C1F3" w14:textId="77777777" w:rsidR="00460D8C" w:rsidRDefault="00460D8C" w:rsidP="00AD6896">
      <w:pPr>
        <w:rPr>
          <w:b/>
          <w:u w:val="single"/>
        </w:rPr>
      </w:pPr>
    </w:p>
    <w:p w14:paraId="2DF5D61B" w14:textId="77777777" w:rsidR="00460D8C" w:rsidRDefault="00460D8C" w:rsidP="00AD6896">
      <w:pPr>
        <w:rPr>
          <w:b/>
          <w:u w:val="single"/>
        </w:rPr>
      </w:pPr>
    </w:p>
    <w:p w14:paraId="31BCE3CE" w14:textId="77777777" w:rsidR="00460D8C" w:rsidRDefault="00460D8C" w:rsidP="00AD6896">
      <w:pPr>
        <w:rPr>
          <w:b/>
          <w:u w:val="single"/>
        </w:rPr>
      </w:pPr>
    </w:p>
    <w:p w14:paraId="5377A5F4" w14:textId="1B539111" w:rsidR="00460D8C" w:rsidRDefault="00460D8C" w:rsidP="00AD6896">
      <w:pPr>
        <w:rPr>
          <w:b/>
          <w:u w:val="single"/>
        </w:rPr>
      </w:pPr>
    </w:p>
    <w:p w14:paraId="6FF0EF45" w14:textId="77777777" w:rsidR="00A71B89" w:rsidRDefault="00A71B89" w:rsidP="00AD6896">
      <w:pPr>
        <w:rPr>
          <w:b/>
          <w:u w:val="single"/>
        </w:rPr>
      </w:pPr>
    </w:p>
    <w:p w14:paraId="4A56D1F1" w14:textId="77777777" w:rsidR="00460D8C" w:rsidRDefault="00460D8C" w:rsidP="00AD6896">
      <w:pPr>
        <w:rPr>
          <w:b/>
          <w:u w:val="single"/>
        </w:rPr>
      </w:pPr>
    </w:p>
    <w:p w14:paraId="6B419926" w14:textId="302659FB" w:rsidR="00AD6896" w:rsidRPr="00460D8C" w:rsidRDefault="00AD6896" w:rsidP="00AD6896">
      <w:pPr>
        <w:rPr>
          <w:b/>
          <w:u w:val="single"/>
        </w:rPr>
      </w:pPr>
      <w:r w:rsidRPr="00460D8C">
        <w:rPr>
          <w:b/>
          <w:u w:val="single"/>
        </w:rPr>
        <w:lastRenderedPageBreak/>
        <w:t xml:space="preserve">Senior School (P6/5, P6, P7A, P7B) </w:t>
      </w:r>
    </w:p>
    <w:tbl>
      <w:tblPr>
        <w:tblStyle w:val="TableGrid"/>
        <w:tblW w:w="10563" w:type="dxa"/>
        <w:tblLook w:val="04A0" w:firstRow="1" w:lastRow="0" w:firstColumn="1" w:lastColumn="0" w:noHBand="0" w:noVBand="1"/>
      </w:tblPr>
      <w:tblGrid>
        <w:gridCol w:w="1509"/>
        <w:gridCol w:w="1509"/>
        <w:gridCol w:w="1509"/>
        <w:gridCol w:w="1509"/>
        <w:gridCol w:w="1509"/>
        <w:gridCol w:w="1509"/>
        <w:gridCol w:w="1509"/>
      </w:tblGrid>
      <w:tr w:rsidR="00AD6896" w14:paraId="3C0EF7E1" w14:textId="77777777" w:rsidTr="6FA32565">
        <w:trPr>
          <w:cantSplit/>
          <w:trHeight w:val="284"/>
        </w:trPr>
        <w:tc>
          <w:tcPr>
            <w:tcW w:w="1509" w:type="dxa"/>
          </w:tcPr>
          <w:p w14:paraId="39BD403C" w14:textId="77777777" w:rsidR="00AD6896" w:rsidRDefault="00AD6896" w:rsidP="00445D64">
            <w:pPr>
              <w:rPr>
                <w:b/>
              </w:rPr>
            </w:pPr>
            <w:r>
              <w:rPr>
                <w:b/>
              </w:rPr>
              <w:t>Element</w:t>
            </w:r>
          </w:p>
        </w:tc>
        <w:tc>
          <w:tcPr>
            <w:tcW w:w="1509" w:type="dxa"/>
          </w:tcPr>
          <w:p w14:paraId="29F3FD7F" w14:textId="77777777" w:rsidR="00AD6896" w:rsidRDefault="00AD6896" w:rsidP="00445D64">
            <w:pPr>
              <w:rPr>
                <w:b/>
              </w:rPr>
            </w:pPr>
            <w:r>
              <w:rPr>
                <w:b/>
              </w:rPr>
              <w:t>No. of items</w:t>
            </w:r>
          </w:p>
        </w:tc>
        <w:tc>
          <w:tcPr>
            <w:tcW w:w="1509" w:type="dxa"/>
          </w:tcPr>
          <w:p w14:paraId="7E5E2C86" w14:textId="77777777" w:rsidR="00AD6896" w:rsidRDefault="00AD6896" w:rsidP="00445D64">
            <w:pPr>
              <w:rPr>
                <w:b/>
              </w:rPr>
            </w:pPr>
            <w:r>
              <w:rPr>
                <w:b/>
              </w:rPr>
              <w:t>Responses</w:t>
            </w:r>
          </w:p>
        </w:tc>
        <w:tc>
          <w:tcPr>
            <w:tcW w:w="1509" w:type="dxa"/>
            <w:shd w:val="clear" w:color="auto" w:fill="FF0000"/>
          </w:tcPr>
          <w:p w14:paraId="517622BF" w14:textId="77777777" w:rsidR="00AD6896" w:rsidRPr="00A611C4" w:rsidRDefault="00AD6896" w:rsidP="00445D64">
            <w:pPr>
              <w:rPr>
                <w:b/>
              </w:rPr>
            </w:pPr>
            <w:r>
              <w:rPr>
                <w:b/>
              </w:rPr>
              <w:t xml:space="preserve">Red </w:t>
            </w:r>
          </w:p>
        </w:tc>
        <w:tc>
          <w:tcPr>
            <w:tcW w:w="1509" w:type="dxa"/>
            <w:shd w:val="clear" w:color="auto" w:fill="FFC000" w:themeFill="accent4"/>
          </w:tcPr>
          <w:p w14:paraId="3E8566B8" w14:textId="77777777" w:rsidR="00AD6896" w:rsidRDefault="00AD6896" w:rsidP="00445D64">
            <w:pPr>
              <w:rPr>
                <w:b/>
              </w:rPr>
            </w:pPr>
            <w:r>
              <w:rPr>
                <w:b/>
              </w:rPr>
              <w:t>Amber</w:t>
            </w:r>
          </w:p>
        </w:tc>
        <w:tc>
          <w:tcPr>
            <w:tcW w:w="1509" w:type="dxa"/>
            <w:shd w:val="clear" w:color="auto" w:fill="70AD47" w:themeFill="accent6"/>
          </w:tcPr>
          <w:p w14:paraId="1FE11960" w14:textId="77777777" w:rsidR="00AD6896" w:rsidRDefault="00AD6896" w:rsidP="00445D64">
            <w:pPr>
              <w:rPr>
                <w:b/>
              </w:rPr>
            </w:pPr>
            <w:r>
              <w:rPr>
                <w:b/>
              </w:rPr>
              <w:t>Green</w:t>
            </w:r>
          </w:p>
        </w:tc>
        <w:tc>
          <w:tcPr>
            <w:tcW w:w="1509" w:type="dxa"/>
            <w:shd w:val="clear" w:color="auto" w:fill="4472C4" w:themeFill="accent5"/>
          </w:tcPr>
          <w:p w14:paraId="66A042B7" w14:textId="77777777" w:rsidR="00AD6896" w:rsidRDefault="00AD6896" w:rsidP="00445D64">
            <w:pPr>
              <w:rPr>
                <w:b/>
              </w:rPr>
            </w:pPr>
            <w:r>
              <w:rPr>
                <w:b/>
              </w:rPr>
              <w:t>Blue</w:t>
            </w:r>
          </w:p>
        </w:tc>
      </w:tr>
      <w:tr w:rsidR="00460D8C" w14:paraId="4ED5BAEC" w14:textId="77777777" w:rsidTr="00287A38">
        <w:trPr>
          <w:trHeight w:val="274"/>
        </w:trPr>
        <w:tc>
          <w:tcPr>
            <w:tcW w:w="1509" w:type="dxa"/>
            <w:vAlign w:val="center"/>
          </w:tcPr>
          <w:p w14:paraId="62FE36C4" w14:textId="0A9BD2E0" w:rsidR="00460D8C" w:rsidRPr="004F2293" w:rsidRDefault="00460D8C" w:rsidP="00460D8C">
            <w:r>
              <w:t>Learning Partnerships</w:t>
            </w:r>
          </w:p>
        </w:tc>
        <w:tc>
          <w:tcPr>
            <w:tcW w:w="1509" w:type="dxa"/>
            <w:vAlign w:val="center"/>
          </w:tcPr>
          <w:p w14:paraId="49832D11" w14:textId="686730FB" w:rsidR="00460D8C" w:rsidRPr="004F2293" w:rsidRDefault="00460D8C" w:rsidP="00460D8C">
            <w:r>
              <w:t>8</w:t>
            </w:r>
          </w:p>
        </w:tc>
        <w:tc>
          <w:tcPr>
            <w:tcW w:w="1509" w:type="dxa"/>
            <w:vAlign w:val="center"/>
          </w:tcPr>
          <w:p w14:paraId="109B8484" w14:textId="765B6AFB" w:rsidR="00460D8C" w:rsidRPr="004F2293" w:rsidRDefault="00460D8C" w:rsidP="00460D8C">
            <w:r>
              <w:t>6</w:t>
            </w:r>
          </w:p>
        </w:tc>
        <w:tc>
          <w:tcPr>
            <w:tcW w:w="1509" w:type="dxa"/>
            <w:shd w:val="clear" w:color="auto" w:fill="FBE4D5" w:themeFill="accent2" w:themeFillTint="33"/>
            <w:vAlign w:val="center"/>
          </w:tcPr>
          <w:p w14:paraId="34DB2A6E" w14:textId="26CB527A" w:rsidR="00460D8C" w:rsidRPr="004F2293" w:rsidRDefault="00460D8C" w:rsidP="00460D8C">
            <w:r>
              <w:t>2%</w:t>
            </w:r>
          </w:p>
        </w:tc>
        <w:tc>
          <w:tcPr>
            <w:tcW w:w="1509" w:type="dxa"/>
            <w:shd w:val="clear" w:color="auto" w:fill="FFF2CC" w:themeFill="accent4" w:themeFillTint="33"/>
            <w:vAlign w:val="center"/>
          </w:tcPr>
          <w:p w14:paraId="3F8DEC0C" w14:textId="239F9C6A" w:rsidR="00460D8C" w:rsidRPr="004F2293" w:rsidRDefault="00460D8C" w:rsidP="00460D8C">
            <w:r>
              <w:t>31%</w:t>
            </w:r>
          </w:p>
        </w:tc>
        <w:tc>
          <w:tcPr>
            <w:tcW w:w="1509" w:type="dxa"/>
            <w:shd w:val="clear" w:color="auto" w:fill="E2EFD9" w:themeFill="accent6" w:themeFillTint="33"/>
            <w:vAlign w:val="center"/>
          </w:tcPr>
          <w:p w14:paraId="498DFBC8" w14:textId="17FEF326" w:rsidR="00460D8C" w:rsidRPr="004F2293" w:rsidRDefault="00460D8C" w:rsidP="00460D8C">
            <w:r>
              <w:t>54%</w:t>
            </w:r>
          </w:p>
        </w:tc>
        <w:tc>
          <w:tcPr>
            <w:tcW w:w="1509" w:type="dxa"/>
            <w:shd w:val="clear" w:color="auto" w:fill="D9E2F3" w:themeFill="accent5" w:themeFillTint="33"/>
            <w:vAlign w:val="center"/>
          </w:tcPr>
          <w:p w14:paraId="3D359A52" w14:textId="3127FA35" w:rsidR="00460D8C" w:rsidRPr="004F2293" w:rsidRDefault="00460D8C" w:rsidP="00460D8C">
            <w:r>
              <w:t>4%</w:t>
            </w:r>
          </w:p>
        </w:tc>
      </w:tr>
      <w:tr w:rsidR="00460D8C" w14:paraId="4C70C77A" w14:textId="77777777" w:rsidTr="00287A38">
        <w:trPr>
          <w:trHeight w:val="274"/>
        </w:trPr>
        <w:tc>
          <w:tcPr>
            <w:tcW w:w="1509" w:type="dxa"/>
            <w:vAlign w:val="center"/>
          </w:tcPr>
          <w:p w14:paraId="6155D853" w14:textId="3B8847F2" w:rsidR="00460D8C" w:rsidRPr="004F2293" w:rsidRDefault="00460D8C" w:rsidP="00460D8C">
            <w:r>
              <w:t>Learning Environments</w:t>
            </w:r>
          </w:p>
        </w:tc>
        <w:tc>
          <w:tcPr>
            <w:tcW w:w="1509" w:type="dxa"/>
            <w:vAlign w:val="center"/>
          </w:tcPr>
          <w:p w14:paraId="4CE4F91D" w14:textId="1B3574B7" w:rsidR="00460D8C" w:rsidRPr="004F2293" w:rsidRDefault="00460D8C" w:rsidP="00460D8C">
            <w:r>
              <w:t>8</w:t>
            </w:r>
          </w:p>
        </w:tc>
        <w:tc>
          <w:tcPr>
            <w:tcW w:w="1509" w:type="dxa"/>
            <w:vAlign w:val="center"/>
          </w:tcPr>
          <w:p w14:paraId="6F74D8FD" w14:textId="51A6A9E0" w:rsidR="00460D8C" w:rsidRPr="004F2293" w:rsidRDefault="00460D8C" w:rsidP="00460D8C">
            <w:r>
              <w:t>6</w:t>
            </w:r>
          </w:p>
        </w:tc>
        <w:tc>
          <w:tcPr>
            <w:tcW w:w="1509" w:type="dxa"/>
            <w:shd w:val="clear" w:color="auto" w:fill="FBE4D5" w:themeFill="accent2" w:themeFillTint="33"/>
            <w:vAlign w:val="center"/>
          </w:tcPr>
          <w:p w14:paraId="17DCED26" w14:textId="4D4D9000" w:rsidR="00460D8C" w:rsidRPr="004F2293" w:rsidRDefault="00460D8C" w:rsidP="00460D8C">
            <w:r>
              <w:t>0%</w:t>
            </w:r>
          </w:p>
        </w:tc>
        <w:tc>
          <w:tcPr>
            <w:tcW w:w="1509" w:type="dxa"/>
            <w:shd w:val="clear" w:color="auto" w:fill="FFF2CC" w:themeFill="accent4" w:themeFillTint="33"/>
            <w:vAlign w:val="center"/>
          </w:tcPr>
          <w:p w14:paraId="52F6B6D8" w14:textId="74842198" w:rsidR="00460D8C" w:rsidRPr="004F2293" w:rsidRDefault="00460D8C" w:rsidP="00460D8C">
            <w:r>
              <w:t>33%</w:t>
            </w:r>
          </w:p>
        </w:tc>
        <w:tc>
          <w:tcPr>
            <w:tcW w:w="1509" w:type="dxa"/>
            <w:shd w:val="clear" w:color="auto" w:fill="E2EFD9" w:themeFill="accent6" w:themeFillTint="33"/>
            <w:vAlign w:val="center"/>
          </w:tcPr>
          <w:p w14:paraId="35866ACF" w14:textId="51C1F42E" w:rsidR="00460D8C" w:rsidRPr="004F2293" w:rsidRDefault="00460D8C" w:rsidP="00460D8C">
            <w:r>
              <w:t>56%</w:t>
            </w:r>
          </w:p>
        </w:tc>
        <w:tc>
          <w:tcPr>
            <w:tcW w:w="1509" w:type="dxa"/>
            <w:shd w:val="clear" w:color="auto" w:fill="D9E2F3" w:themeFill="accent5" w:themeFillTint="33"/>
            <w:vAlign w:val="center"/>
          </w:tcPr>
          <w:p w14:paraId="02D1A0E8" w14:textId="4B9B00FB" w:rsidR="00460D8C" w:rsidRPr="004F2293" w:rsidRDefault="00460D8C" w:rsidP="00460D8C">
            <w:r>
              <w:t>8%</w:t>
            </w:r>
          </w:p>
        </w:tc>
      </w:tr>
      <w:tr w:rsidR="00460D8C" w14:paraId="2D27E88A" w14:textId="77777777" w:rsidTr="00287A38">
        <w:trPr>
          <w:trHeight w:val="274"/>
        </w:trPr>
        <w:tc>
          <w:tcPr>
            <w:tcW w:w="1509" w:type="dxa"/>
            <w:vAlign w:val="center"/>
          </w:tcPr>
          <w:p w14:paraId="1D0D7067" w14:textId="51A29C00" w:rsidR="00460D8C" w:rsidRPr="004F2293" w:rsidRDefault="00460D8C" w:rsidP="00460D8C">
            <w:r>
              <w:t>Pedagogical Practices</w:t>
            </w:r>
          </w:p>
        </w:tc>
        <w:tc>
          <w:tcPr>
            <w:tcW w:w="1509" w:type="dxa"/>
            <w:vAlign w:val="center"/>
          </w:tcPr>
          <w:p w14:paraId="28AF3A15" w14:textId="610A491F" w:rsidR="00460D8C" w:rsidRPr="004F2293" w:rsidRDefault="00460D8C" w:rsidP="00460D8C">
            <w:r>
              <w:t>7</w:t>
            </w:r>
          </w:p>
        </w:tc>
        <w:tc>
          <w:tcPr>
            <w:tcW w:w="1509" w:type="dxa"/>
            <w:vAlign w:val="center"/>
          </w:tcPr>
          <w:p w14:paraId="71F3359E" w14:textId="4C6E8663" w:rsidR="00460D8C" w:rsidRPr="004F2293" w:rsidRDefault="00460D8C" w:rsidP="00460D8C">
            <w:r>
              <w:t>6</w:t>
            </w:r>
          </w:p>
        </w:tc>
        <w:tc>
          <w:tcPr>
            <w:tcW w:w="1509" w:type="dxa"/>
            <w:shd w:val="clear" w:color="auto" w:fill="FBE4D5" w:themeFill="accent2" w:themeFillTint="33"/>
            <w:vAlign w:val="center"/>
          </w:tcPr>
          <w:p w14:paraId="2C874B54" w14:textId="71ADF00A" w:rsidR="00460D8C" w:rsidRPr="004F2293" w:rsidRDefault="00961E45" w:rsidP="00460D8C">
            <w:r>
              <w:t>0</w:t>
            </w:r>
            <w:r w:rsidR="00460D8C">
              <w:t>%</w:t>
            </w:r>
          </w:p>
        </w:tc>
        <w:tc>
          <w:tcPr>
            <w:tcW w:w="1509" w:type="dxa"/>
            <w:shd w:val="clear" w:color="auto" w:fill="FFF2CC" w:themeFill="accent4" w:themeFillTint="33"/>
            <w:vAlign w:val="center"/>
          </w:tcPr>
          <w:p w14:paraId="052A8AFF" w14:textId="35DFD0B5" w:rsidR="00460D8C" w:rsidRPr="004F2293" w:rsidRDefault="00961E45" w:rsidP="00460D8C">
            <w:r>
              <w:t>40</w:t>
            </w:r>
            <w:r w:rsidR="00460D8C">
              <w:t>%</w:t>
            </w:r>
          </w:p>
        </w:tc>
        <w:tc>
          <w:tcPr>
            <w:tcW w:w="1509" w:type="dxa"/>
            <w:shd w:val="clear" w:color="auto" w:fill="E2EFD9" w:themeFill="accent6" w:themeFillTint="33"/>
            <w:vAlign w:val="center"/>
          </w:tcPr>
          <w:p w14:paraId="77D88F52" w14:textId="1A935E5D" w:rsidR="00460D8C" w:rsidRPr="004F2293" w:rsidRDefault="00961E45" w:rsidP="00460D8C">
            <w:r>
              <w:t>55</w:t>
            </w:r>
            <w:r w:rsidR="00460D8C">
              <w:t>%</w:t>
            </w:r>
          </w:p>
        </w:tc>
        <w:tc>
          <w:tcPr>
            <w:tcW w:w="1509" w:type="dxa"/>
            <w:shd w:val="clear" w:color="auto" w:fill="D9E2F3" w:themeFill="accent5" w:themeFillTint="33"/>
            <w:vAlign w:val="center"/>
          </w:tcPr>
          <w:p w14:paraId="2418A138" w14:textId="66882E76" w:rsidR="00460D8C" w:rsidRPr="004F2293" w:rsidRDefault="00961E45" w:rsidP="00460D8C">
            <w:r>
              <w:t>2</w:t>
            </w:r>
            <w:r w:rsidR="00460D8C">
              <w:t>%</w:t>
            </w:r>
          </w:p>
        </w:tc>
      </w:tr>
      <w:tr w:rsidR="00460D8C" w14:paraId="35CB6464" w14:textId="77777777" w:rsidTr="00287A38">
        <w:trPr>
          <w:trHeight w:val="264"/>
        </w:trPr>
        <w:tc>
          <w:tcPr>
            <w:tcW w:w="1509" w:type="dxa"/>
            <w:vAlign w:val="center"/>
          </w:tcPr>
          <w:p w14:paraId="3E8660B1" w14:textId="6289F6F2" w:rsidR="00460D8C" w:rsidRPr="004F2293" w:rsidRDefault="00460D8C" w:rsidP="00460D8C">
            <w:r>
              <w:t>Leveraging Digital</w:t>
            </w:r>
          </w:p>
        </w:tc>
        <w:tc>
          <w:tcPr>
            <w:tcW w:w="1509" w:type="dxa"/>
            <w:vAlign w:val="center"/>
          </w:tcPr>
          <w:p w14:paraId="1B87E3DE" w14:textId="0B5BD47A" w:rsidR="00460D8C" w:rsidRPr="004F2293" w:rsidRDefault="00460D8C" w:rsidP="00460D8C">
            <w:r>
              <w:t>6</w:t>
            </w:r>
          </w:p>
        </w:tc>
        <w:tc>
          <w:tcPr>
            <w:tcW w:w="1509" w:type="dxa"/>
            <w:vAlign w:val="center"/>
          </w:tcPr>
          <w:p w14:paraId="1F87031A" w14:textId="701B547D" w:rsidR="00460D8C" w:rsidRPr="004F2293" w:rsidRDefault="00460D8C" w:rsidP="00460D8C">
            <w:r>
              <w:t>5</w:t>
            </w:r>
          </w:p>
        </w:tc>
        <w:tc>
          <w:tcPr>
            <w:tcW w:w="1509" w:type="dxa"/>
            <w:shd w:val="clear" w:color="auto" w:fill="FBE4D5" w:themeFill="accent2" w:themeFillTint="33"/>
            <w:vAlign w:val="center"/>
          </w:tcPr>
          <w:p w14:paraId="59A39CC1" w14:textId="38709D00" w:rsidR="00460D8C" w:rsidRPr="004F2293" w:rsidRDefault="00961E45" w:rsidP="00460D8C">
            <w:r>
              <w:t>13</w:t>
            </w:r>
            <w:r w:rsidR="00460D8C">
              <w:t>%</w:t>
            </w:r>
          </w:p>
        </w:tc>
        <w:tc>
          <w:tcPr>
            <w:tcW w:w="1509" w:type="dxa"/>
            <w:shd w:val="clear" w:color="auto" w:fill="FFF2CC" w:themeFill="accent4" w:themeFillTint="33"/>
            <w:vAlign w:val="center"/>
          </w:tcPr>
          <w:p w14:paraId="145F8C30" w14:textId="41415DFE" w:rsidR="00460D8C" w:rsidRPr="004F2293" w:rsidRDefault="00961E45" w:rsidP="00460D8C">
            <w:r>
              <w:t>30</w:t>
            </w:r>
            <w:r w:rsidR="00460D8C">
              <w:t>%</w:t>
            </w:r>
          </w:p>
        </w:tc>
        <w:tc>
          <w:tcPr>
            <w:tcW w:w="1509" w:type="dxa"/>
            <w:shd w:val="clear" w:color="auto" w:fill="E2EFD9" w:themeFill="accent6" w:themeFillTint="33"/>
            <w:vAlign w:val="center"/>
          </w:tcPr>
          <w:p w14:paraId="6C4828D0" w14:textId="72C8D3CB" w:rsidR="00460D8C" w:rsidRPr="004F2293" w:rsidRDefault="00961E45" w:rsidP="00460D8C">
            <w:r>
              <w:t>50</w:t>
            </w:r>
            <w:r w:rsidR="00460D8C">
              <w:t>%</w:t>
            </w:r>
          </w:p>
        </w:tc>
        <w:tc>
          <w:tcPr>
            <w:tcW w:w="1509" w:type="dxa"/>
            <w:shd w:val="clear" w:color="auto" w:fill="D9E2F3" w:themeFill="accent5" w:themeFillTint="33"/>
            <w:vAlign w:val="center"/>
          </w:tcPr>
          <w:p w14:paraId="284A9CAB" w14:textId="1B006E15" w:rsidR="00460D8C" w:rsidRPr="004F2293" w:rsidRDefault="00961E45" w:rsidP="00460D8C">
            <w:r>
              <w:t>7</w:t>
            </w:r>
            <w:r w:rsidR="00460D8C">
              <w:t>%</w:t>
            </w:r>
          </w:p>
        </w:tc>
      </w:tr>
    </w:tbl>
    <w:p w14:paraId="0A37501D" w14:textId="77777777" w:rsidR="00AD6896" w:rsidRDefault="00AD6896" w:rsidP="5DE14D8B">
      <w:pPr>
        <w:rPr>
          <w:b/>
          <w:bCs/>
        </w:rPr>
      </w:pPr>
    </w:p>
    <w:p w14:paraId="55F268B3" w14:textId="32C6F47B" w:rsidR="40644364" w:rsidRDefault="40644364" w:rsidP="5DE14D8B">
      <w:pPr>
        <w:rPr>
          <w:b/>
          <w:bCs/>
          <w:u w:val="single"/>
        </w:rPr>
      </w:pPr>
      <w:r w:rsidRPr="6FA32565">
        <w:rPr>
          <w:b/>
          <w:bCs/>
          <w:u w:val="single"/>
        </w:rPr>
        <w:t>Main Findings</w:t>
      </w:r>
    </w:p>
    <w:p w14:paraId="16060772" w14:textId="45D11860" w:rsidR="00460D8C" w:rsidRPr="00460D8C" w:rsidRDefault="00460D8C" w:rsidP="00460D8C">
      <w:pPr>
        <w:rPr>
          <w:rFonts w:ascii="Calibri" w:eastAsia="Calibri" w:hAnsi="Calibri" w:cs="Calibri"/>
          <w:bCs/>
        </w:rPr>
      </w:pPr>
      <w:r w:rsidRPr="00460D8C">
        <w:rPr>
          <w:rFonts w:ascii="Calibri" w:eastAsia="Calibri" w:hAnsi="Calibri" w:cs="Calibri"/>
          <w:b/>
          <w:bCs/>
        </w:rPr>
        <w:t xml:space="preserve">Learning Partnerships: </w:t>
      </w:r>
      <w:r w:rsidR="00A0028D" w:rsidRPr="00A0028D">
        <w:rPr>
          <w:rFonts w:ascii="Calibri" w:eastAsia="Calibri" w:hAnsi="Calibri" w:cs="Calibri"/>
          <w:bCs/>
        </w:rPr>
        <w:t>Confidence has remained relatively stable, with a slight increase in the Amber category to 31%. While 54% of, 4%</w:t>
      </w:r>
      <w:r w:rsidR="00A0028D">
        <w:rPr>
          <w:rFonts w:ascii="Calibri" w:eastAsia="Calibri" w:hAnsi="Calibri" w:cs="Calibri"/>
          <w:bCs/>
        </w:rPr>
        <w:t xml:space="preserve"> have reached the Blue category.</w:t>
      </w:r>
    </w:p>
    <w:p w14:paraId="580FDE11" w14:textId="226556C5" w:rsidR="00460D8C" w:rsidRPr="00460D8C" w:rsidRDefault="00460D8C" w:rsidP="00460D8C">
      <w:pPr>
        <w:rPr>
          <w:rFonts w:ascii="Calibri" w:eastAsia="Calibri" w:hAnsi="Calibri" w:cs="Calibri"/>
          <w:b/>
          <w:bCs/>
        </w:rPr>
      </w:pPr>
      <w:r w:rsidRPr="00460D8C">
        <w:rPr>
          <w:rFonts w:ascii="Calibri" w:eastAsia="Calibri" w:hAnsi="Calibri" w:cs="Calibri"/>
          <w:b/>
          <w:bCs/>
        </w:rPr>
        <w:t xml:space="preserve">Learning Environments: </w:t>
      </w:r>
      <w:r w:rsidR="00A0028D" w:rsidRPr="00A0028D">
        <w:rPr>
          <w:rFonts w:ascii="Calibri" w:eastAsia="Calibri" w:hAnsi="Calibri" w:cs="Calibri"/>
          <w:bCs/>
        </w:rPr>
        <w:t>There has been a slight shift, with 8% now reaching the Blue category. However, 33% of staff remain in Amber, suggesting that continued focus on best practices is necessary to ensure all staff feel confident.</w:t>
      </w:r>
      <w:r w:rsidRPr="00460D8C">
        <w:rPr>
          <w:rFonts w:ascii="Calibri" w:eastAsia="Calibri" w:hAnsi="Calibri" w:cs="Calibri"/>
          <w:bCs/>
        </w:rPr>
        <w:t xml:space="preserve"> </w:t>
      </w:r>
    </w:p>
    <w:p w14:paraId="38E235F5" w14:textId="75AF7A2D" w:rsidR="00460D8C" w:rsidRPr="00460D8C" w:rsidRDefault="00460D8C" w:rsidP="00460D8C">
      <w:pPr>
        <w:rPr>
          <w:rFonts w:ascii="Calibri" w:eastAsia="Calibri" w:hAnsi="Calibri" w:cs="Calibri"/>
          <w:b/>
          <w:bCs/>
        </w:rPr>
      </w:pPr>
      <w:r w:rsidRPr="00460D8C">
        <w:rPr>
          <w:rFonts w:ascii="Calibri" w:eastAsia="Calibri" w:hAnsi="Calibri" w:cs="Calibri"/>
          <w:b/>
          <w:bCs/>
        </w:rPr>
        <w:t xml:space="preserve">Pedagogical Practices: </w:t>
      </w:r>
      <w:r w:rsidR="00C36576" w:rsidRPr="00C36576">
        <w:rPr>
          <w:rFonts w:ascii="Calibri" w:eastAsia="Calibri" w:hAnsi="Calibri" w:cs="Calibri"/>
          <w:bCs/>
        </w:rPr>
        <w:t>The proportion of staff in Amber has increased from 28% to 40%, suggesting that while more staff are gaining familiarity, they have yet to transition into full confidence. The Green category has only slightly improved, and movement into Blue (2%) remains minimal.</w:t>
      </w:r>
    </w:p>
    <w:p w14:paraId="6CF31CCD" w14:textId="7FC60751" w:rsidR="5DE14D8B" w:rsidRPr="00A71B89" w:rsidRDefault="00460D8C" w:rsidP="5DE14D8B">
      <w:pPr>
        <w:rPr>
          <w:rFonts w:ascii="Calibri" w:eastAsia="Calibri" w:hAnsi="Calibri" w:cs="Calibri"/>
          <w:b/>
          <w:bCs/>
        </w:rPr>
      </w:pPr>
      <w:r w:rsidRPr="00460D8C">
        <w:rPr>
          <w:rFonts w:ascii="Calibri" w:eastAsia="Calibri" w:hAnsi="Calibri" w:cs="Calibri"/>
          <w:b/>
          <w:bCs/>
        </w:rPr>
        <w:t xml:space="preserve">Leveraging Digital: </w:t>
      </w:r>
      <w:r w:rsidR="00147F74">
        <w:rPr>
          <w:rFonts w:ascii="Calibri" w:eastAsia="Calibri" w:hAnsi="Calibri" w:cs="Calibri"/>
          <w:bCs/>
        </w:rPr>
        <w:t>There are significant improvements in this area with a large reduction of points in the red category (30% to 13%), and more points have moved from amber to green and blue (51% in amber2, 11% in green, and 0% in blue to 30% amber, 50% green and 7% in blue).</w:t>
      </w:r>
    </w:p>
    <w:p w14:paraId="654D38B8" w14:textId="6B55DF0F" w:rsidR="6FA32565" w:rsidRDefault="6FA32565" w:rsidP="6FA32565">
      <w:pPr>
        <w:rPr>
          <w:rFonts w:ascii="Calibri" w:eastAsia="Calibri" w:hAnsi="Calibri" w:cs="Calibri"/>
        </w:rPr>
      </w:pPr>
    </w:p>
    <w:p w14:paraId="212D0AE2" w14:textId="6B183A56" w:rsidR="6FA32565" w:rsidRDefault="6FA32565" w:rsidP="6FA32565">
      <w:pPr>
        <w:rPr>
          <w:rFonts w:ascii="Calibri" w:eastAsia="Calibri" w:hAnsi="Calibri" w:cs="Calibri"/>
        </w:rPr>
      </w:pPr>
    </w:p>
    <w:p w14:paraId="1B82F1ED" w14:textId="0987CE2B" w:rsidR="00EC7120" w:rsidRDefault="00EC7120" w:rsidP="6FA32565">
      <w:pPr>
        <w:rPr>
          <w:rFonts w:ascii="Calibri" w:eastAsia="Calibri" w:hAnsi="Calibri" w:cs="Calibri"/>
        </w:rPr>
      </w:pPr>
    </w:p>
    <w:p w14:paraId="39FCFC85" w14:textId="39705D4C" w:rsidR="00EC7120" w:rsidRDefault="00EC7120" w:rsidP="6FA32565">
      <w:pPr>
        <w:rPr>
          <w:rFonts w:ascii="Calibri" w:eastAsia="Calibri" w:hAnsi="Calibri" w:cs="Calibri"/>
        </w:rPr>
      </w:pPr>
    </w:p>
    <w:p w14:paraId="26B8046D" w14:textId="7C8E9EF0" w:rsidR="00EC7120" w:rsidRDefault="00EC7120" w:rsidP="6FA32565">
      <w:pPr>
        <w:rPr>
          <w:rFonts w:ascii="Calibri" w:eastAsia="Calibri" w:hAnsi="Calibri" w:cs="Calibri"/>
        </w:rPr>
      </w:pPr>
    </w:p>
    <w:p w14:paraId="0674591F" w14:textId="388BBE86" w:rsidR="00EC7120" w:rsidRDefault="00EC7120" w:rsidP="6FA32565">
      <w:pPr>
        <w:rPr>
          <w:rFonts w:ascii="Calibri" w:eastAsia="Calibri" w:hAnsi="Calibri" w:cs="Calibri"/>
        </w:rPr>
      </w:pPr>
    </w:p>
    <w:p w14:paraId="6418E05C" w14:textId="296426C7" w:rsidR="00EC7120" w:rsidRDefault="00EC7120" w:rsidP="6FA32565">
      <w:pPr>
        <w:rPr>
          <w:rFonts w:ascii="Calibri" w:eastAsia="Calibri" w:hAnsi="Calibri" w:cs="Calibri"/>
        </w:rPr>
      </w:pPr>
    </w:p>
    <w:p w14:paraId="023075B7" w14:textId="1820A3A8" w:rsidR="00EC7120" w:rsidRDefault="00EC7120" w:rsidP="6FA32565">
      <w:pPr>
        <w:rPr>
          <w:rFonts w:ascii="Calibri" w:eastAsia="Calibri" w:hAnsi="Calibri" w:cs="Calibri"/>
        </w:rPr>
      </w:pPr>
    </w:p>
    <w:p w14:paraId="37332406" w14:textId="3FF9C94E" w:rsidR="00EC7120" w:rsidRDefault="00EC7120" w:rsidP="6FA32565">
      <w:pPr>
        <w:rPr>
          <w:rFonts w:ascii="Calibri" w:eastAsia="Calibri" w:hAnsi="Calibri" w:cs="Calibri"/>
        </w:rPr>
      </w:pPr>
    </w:p>
    <w:p w14:paraId="6CAC87FB" w14:textId="31E98F70" w:rsidR="00EC7120" w:rsidRDefault="00EC7120" w:rsidP="6FA32565">
      <w:pPr>
        <w:rPr>
          <w:rFonts w:ascii="Calibri" w:eastAsia="Calibri" w:hAnsi="Calibri" w:cs="Calibri"/>
        </w:rPr>
      </w:pPr>
    </w:p>
    <w:p w14:paraId="68307ADA" w14:textId="26E5DBC2" w:rsidR="00EC7120" w:rsidRDefault="00EC7120" w:rsidP="6FA32565">
      <w:pPr>
        <w:rPr>
          <w:rFonts w:ascii="Calibri" w:eastAsia="Calibri" w:hAnsi="Calibri" w:cs="Calibri"/>
        </w:rPr>
      </w:pPr>
    </w:p>
    <w:p w14:paraId="5B2C5DCB" w14:textId="5017170D" w:rsidR="00EC7120" w:rsidRDefault="00EC7120" w:rsidP="6FA32565">
      <w:pPr>
        <w:rPr>
          <w:rFonts w:ascii="Calibri" w:eastAsia="Calibri" w:hAnsi="Calibri" w:cs="Calibri"/>
        </w:rPr>
      </w:pPr>
    </w:p>
    <w:p w14:paraId="20DC338D" w14:textId="3AB27C4B" w:rsidR="00EC7120" w:rsidRDefault="00EC7120" w:rsidP="6FA32565">
      <w:pPr>
        <w:rPr>
          <w:rFonts w:ascii="Calibri" w:eastAsia="Calibri" w:hAnsi="Calibri" w:cs="Calibri"/>
        </w:rPr>
      </w:pPr>
    </w:p>
    <w:p w14:paraId="6C571B71" w14:textId="64C4A1DA" w:rsidR="00EC7120" w:rsidRDefault="00EC7120" w:rsidP="6FA32565">
      <w:pPr>
        <w:rPr>
          <w:rFonts w:ascii="Calibri" w:eastAsia="Calibri" w:hAnsi="Calibri" w:cs="Calibri"/>
        </w:rPr>
      </w:pPr>
    </w:p>
    <w:p w14:paraId="6682264C" w14:textId="2A042659" w:rsidR="00EC7120" w:rsidRDefault="00EC7120" w:rsidP="6FA32565">
      <w:pPr>
        <w:rPr>
          <w:rFonts w:ascii="Calibri" w:eastAsia="Calibri" w:hAnsi="Calibri" w:cs="Calibri"/>
        </w:rPr>
      </w:pPr>
    </w:p>
    <w:p w14:paraId="7C3FFE05" w14:textId="3E00EFEA" w:rsidR="00EC7120" w:rsidRDefault="00EC7120" w:rsidP="6FA32565">
      <w:pPr>
        <w:rPr>
          <w:rFonts w:ascii="Calibri" w:eastAsia="Calibri" w:hAnsi="Calibri" w:cs="Calibri"/>
        </w:rPr>
      </w:pPr>
    </w:p>
    <w:p w14:paraId="4500C5A4" w14:textId="77777777" w:rsidR="00EC7120" w:rsidRDefault="00EC7120" w:rsidP="6FA32565">
      <w:pPr>
        <w:rPr>
          <w:rFonts w:ascii="Calibri" w:eastAsia="Calibri" w:hAnsi="Calibri" w:cs="Calibri"/>
        </w:rPr>
      </w:pPr>
    </w:p>
    <w:p w14:paraId="0EF2BD6A" w14:textId="26FB314C" w:rsidR="1A1ADD91" w:rsidRPr="00EC7120" w:rsidRDefault="1A1ADD91" w:rsidP="5DE14D8B">
      <w:pPr>
        <w:rPr>
          <w:rFonts w:ascii="Calibri" w:eastAsia="Calibri" w:hAnsi="Calibri" w:cs="Calibri"/>
          <w:b/>
          <w:bCs/>
          <w:u w:val="single"/>
        </w:rPr>
      </w:pPr>
      <w:r w:rsidRPr="00EC7120">
        <w:rPr>
          <w:rFonts w:ascii="Calibri" w:eastAsia="Calibri" w:hAnsi="Calibri" w:cs="Calibri"/>
          <w:b/>
          <w:bCs/>
          <w:u w:val="single"/>
        </w:rPr>
        <w:lastRenderedPageBreak/>
        <w:t>Next Steps:</w:t>
      </w:r>
    </w:p>
    <w:p w14:paraId="527C4C46" w14:textId="77777777" w:rsidR="00A35AA0" w:rsidRPr="00EC7120" w:rsidRDefault="00A35AA0" w:rsidP="00A35AA0">
      <w:pPr>
        <w:rPr>
          <w:rFonts w:ascii="Calibri" w:eastAsia="Calibri" w:hAnsi="Calibri" w:cs="Calibri"/>
          <w:bCs/>
        </w:rPr>
      </w:pPr>
      <w:r w:rsidRPr="00EC7120">
        <w:rPr>
          <w:rFonts w:ascii="Calibri" w:eastAsia="Calibri" w:hAnsi="Calibri" w:cs="Calibri"/>
          <w:bCs/>
        </w:rPr>
        <w:t>Based on the analysis, the next steps for improving staff confidence in Deep Learning elements should focus on areas where progress has been slower and where further development is needed. Here are the key recommendations for each area:</w:t>
      </w:r>
    </w:p>
    <w:p w14:paraId="0586EA6E" w14:textId="77777777" w:rsidR="00A35AA0" w:rsidRPr="00EC7120" w:rsidRDefault="00A35AA0" w:rsidP="00A35AA0">
      <w:pPr>
        <w:rPr>
          <w:rFonts w:ascii="Calibri" w:eastAsia="Calibri" w:hAnsi="Calibri" w:cs="Calibri"/>
          <w:bCs/>
        </w:rPr>
      </w:pPr>
    </w:p>
    <w:p w14:paraId="792AF3B5" w14:textId="77777777" w:rsidR="00EC7120" w:rsidRDefault="00EC7120" w:rsidP="00A35AA0">
      <w:pPr>
        <w:rPr>
          <w:rFonts w:ascii="Calibri" w:eastAsia="Calibri" w:hAnsi="Calibri" w:cs="Calibri"/>
          <w:bCs/>
        </w:rPr>
      </w:pPr>
      <w:r>
        <w:rPr>
          <w:rFonts w:ascii="Calibri" w:eastAsia="Calibri" w:hAnsi="Calibri" w:cs="Calibri"/>
          <w:bCs/>
        </w:rPr>
        <w:t>1. Learning Partnerships:</w:t>
      </w:r>
    </w:p>
    <w:p w14:paraId="188FEC06" w14:textId="74CD0AF9" w:rsidR="00A35AA0" w:rsidRPr="00EC7120" w:rsidRDefault="00EC7120" w:rsidP="00EC7120">
      <w:pPr>
        <w:pStyle w:val="ListParagraph"/>
        <w:numPr>
          <w:ilvl w:val="0"/>
          <w:numId w:val="3"/>
        </w:numPr>
        <w:rPr>
          <w:rFonts w:ascii="Calibri" w:eastAsia="Calibri" w:hAnsi="Calibri" w:cs="Calibri"/>
          <w:bCs/>
        </w:rPr>
      </w:pPr>
      <w:r w:rsidRPr="00EC7120">
        <w:rPr>
          <w:rFonts w:ascii="Calibri" w:eastAsia="Calibri" w:hAnsi="Calibri" w:cs="Calibri"/>
          <w:bCs/>
        </w:rPr>
        <w:t>Focus on ‘</w:t>
      </w:r>
      <w:r w:rsidR="00A35AA0" w:rsidRPr="00EC7120">
        <w:rPr>
          <w:rFonts w:ascii="Calibri" w:eastAsia="Calibri" w:hAnsi="Calibri" w:cs="Calibri"/>
          <w:bCs/>
        </w:rPr>
        <w:t xml:space="preserve">engaging parents as </w:t>
      </w:r>
      <w:r w:rsidRPr="00EC7120">
        <w:rPr>
          <w:rFonts w:ascii="Calibri" w:eastAsia="Calibri" w:hAnsi="Calibri" w:cs="Calibri"/>
          <w:bCs/>
        </w:rPr>
        <w:t xml:space="preserve">partners’ </w:t>
      </w:r>
      <w:r w:rsidR="00A35AA0" w:rsidRPr="00EC7120">
        <w:rPr>
          <w:rFonts w:ascii="Calibri" w:eastAsia="Calibri" w:hAnsi="Calibri" w:cs="Calibri"/>
          <w:bCs/>
        </w:rPr>
        <w:t>in the learning process, as this continues to be an area of concern for some staff. Provide professional development or resources on strategies for parental involvement.</w:t>
      </w:r>
    </w:p>
    <w:p w14:paraId="7EF147C1" w14:textId="7FF6304D" w:rsidR="00A35AA0" w:rsidRPr="00EC7120" w:rsidRDefault="00A35AA0" w:rsidP="00EC7120">
      <w:pPr>
        <w:pStyle w:val="ListParagraph"/>
        <w:numPr>
          <w:ilvl w:val="0"/>
          <w:numId w:val="3"/>
        </w:numPr>
        <w:rPr>
          <w:rFonts w:ascii="Calibri" w:eastAsia="Calibri" w:hAnsi="Calibri" w:cs="Calibri"/>
          <w:bCs/>
        </w:rPr>
      </w:pPr>
      <w:r w:rsidRPr="00EC7120">
        <w:rPr>
          <w:rFonts w:ascii="Calibri" w:eastAsia="Calibri" w:hAnsi="Calibri" w:cs="Calibri"/>
          <w:bCs/>
        </w:rPr>
        <w:t>Foster collaboration between staff to share best practices and successful appr</w:t>
      </w:r>
      <w:r w:rsidR="00EC7120" w:rsidRPr="00EC7120">
        <w:rPr>
          <w:rFonts w:ascii="Calibri" w:eastAsia="Calibri" w:hAnsi="Calibri" w:cs="Calibri"/>
          <w:bCs/>
        </w:rPr>
        <w:t>oaches to partnership building</w:t>
      </w:r>
      <w:r w:rsidR="00317E25">
        <w:rPr>
          <w:rFonts w:ascii="Calibri" w:eastAsia="Calibri" w:hAnsi="Calibri" w:cs="Calibri"/>
          <w:bCs/>
        </w:rPr>
        <w:t xml:space="preserve"> and to work with different stages.</w:t>
      </w:r>
    </w:p>
    <w:p w14:paraId="3EE09503" w14:textId="47048E6A" w:rsidR="00A35AA0" w:rsidRPr="00EC7120" w:rsidRDefault="00EC7120" w:rsidP="00A35AA0">
      <w:pPr>
        <w:rPr>
          <w:rFonts w:ascii="Calibri" w:eastAsia="Calibri" w:hAnsi="Calibri" w:cs="Calibri"/>
          <w:bCs/>
        </w:rPr>
      </w:pPr>
      <w:r>
        <w:rPr>
          <w:rFonts w:ascii="Calibri" w:eastAsia="Calibri" w:hAnsi="Calibri" w:cs="Calibri"/>
          <w:bCs/>
        </w:rPr>
        <w:t>2. Learning Environments:</w:t>
      </w:r>
    </w:p>
    <w:p w14:paraId="3D4D3008" w14:textId="227D1DCA" w:rsidR="00A35AA0" w:rsidRPr="00EC7120" w:rsidRDefault="00EC7120" w:rsidP="00EC7120">
      <w:pPr>
        <w:pStyle w:val="ListParagraph"/>
        <w:numPr>
          <w:ilvl w:val="0"/>
          <w:numId w:val="4"/>
        </w:numPr>
        <w:rPr>
          <w:rFonts w:ascii="Calibri" w:eastAsia="Calibri" w:hAnsi="Calibri" w:cs="Calibri"/>
          <w:bCs/>
        </w:rPr>
      </w:pPr>
      <w:r w:rsidRPr="00EC7120">
        <w:rPr>
          <w:rFonts w:ascii="Calibri" w:eastAsia="Calibri" w:hAnsi="Calibri" w:cs="Calibri"/>
          <w:bCs/>
        </w:rPr>
        <w:t>Encourage staff to ‘</w:t>
      </w:r>
      <w:r w:rsidR="00A35AA0" w:rsidRPr="00EC7120">
        <w:rPr>
          <w:rFonts w:ascii="Calibri" w:eastAsia="Calibri" w:hAnsi="Calibri" w:cs="Calibri"/>
          <w:bCs/>
        </w:rPr>
        <w:t>experiment with di</w:t>
      </w:r>
      <w:r w:rsidRPr="00EC7120">
        <w:rPr>
          <w:rFonts w:ascii="Calibri" w:eastAsia="Calibri" w:hAnsi="Calibri" w:cs="Calibri"/>
          <w:bCs/>
        </w:rPr>
        <w:t xml:space="preserve">fferent learning environments’ </w:t>
      </w:r>
      <w:r w:rsidR="00A35AA0" w:rsidRPr="00EC7120">
        <w:rPr>
          <w:rFonts w:ascii="Calibri" w:eastAsia="Calibri" w:hAnsi="Calibri" w:cs="Calibri"/>
          <w:bCs/>
        </w:rPr>
        <w:t>(e.g., flexible seating, outdoor classrooms, collaborative learning areas) to continue improving the varie</w:t>
      </w:r>
      <w:r w:rsidRPr="00EC7120">
        <w:rPr>
          <w:rFonts w:ascii="Calibri" w:eastAsia="Calibri" w:hAnsi="Calibri" w:cs="Calibri"/>
          <w:bCs/>
        </w:rPr>
        <w:t>ty and functionality of spaces.</w:t>
      </w:r>
    </w:p>
    <w:p w14:paraId="74FF2712" w14:textId="7FDBC611" w:rsidR="00A35AA0" w:rsidRPr="00EC7120" w:rsidRDefault="00EC7120" w:rsidP="00A35AA0">
      <w:pPr>
        <w:rPr>
          <w:rFonts w:ascii="Calibri" w:eastAsia="Calibri" w:hAnsi="Calibri" w:cs="Calibri"/>
          <w:bCs/>
        </w:rPr>
      </w:pPr>
      <w:r>
        <w:rPr>
          <w:rFonts w:ascii="Calibri" w:eastAsia="Calibri" w:hAnsi="Calibri" w:cs="Calibri"/>
          <w:bCs/>
        </w:rPr>
        <w:t>3. Pedagogical Practices</w:t>
      </w:r>
      <w:r w:rsidR="00A35AA0" w:rsidRPr="00EC7120">
        <w:rPr>
          <w:rFonts w:ascii="Calibri" w:eastAsia="Calibri" w:hAnsi="Calibri" w:cs="Calibri"/>
          <w:bCs/>
        </w:rPr>
        <w:t>:</w:t>
      </w:r>
    </w:p>
    <w:p w14:paraId="4548E8BD" w14:textId="77777777" w:rsidR="00EC7120" w:rsidRDefault="00EC7120" w:rsidP="00A35AA0">
      <w:pPr>
        <w:pStyle w:val="ListParagraph"/>
        <w:numPr>
          <w:ilvl w:val="0"/>
          <w:numId w:val="4"/>
        </w:numPr>
        <w:rPr>
          <w:rFonts w:ascii="Calibri" w:eastAsia="Calibri" w:hAnsi="Calibri" w:cs="Calibri"/>
          <w:bCs/>
        </w:rPr>
      </w:pPr>
      <w:r w:rsidRPr="00EC7120">
        <w:rPr>
          <w:rFonts w:ascii="Calibri" w:eastAsia="Calibri" w:hAnsi="Calibri" w:cs="Calibri"/>
          <w:bCs/>
        </w:rPr>
        <w:t>Focus on pupil led planning and lines of development</w:t>
      </w:r>
    </w:p>
    <w:p w14:paraId="1447BB41" w14:textId="06E18395" w:rsidR="00A35AA0" w:rsidRPr="00EC7120" w:rsidRDefault="00EC7120" w:rsidP="007041F0">
      <w:pPr>
        <w:pStyle w:val="ListParagraph"/>
        <w:numPr>
          <w:ilvl w:val="0"/>
          <w:numId w:val="4"/>
        </w:numPr>
        <w:rPr>
          <w:rFonts w:ascii="Calibri" w:eastAsia="Calibri" w:hAnsi="Calibri" w:cs="Calibri"/>
          <w:bCs/>
        </w:rPr>
      </w:pPr>
      <w:r w:rsidRPr="00EC7120">
        <w:rPr>
          <w:rFonts w:ascii="Calibri" w:eastAsia="Calibri" w:hAnsi="Calibri" w:cs="Calibri"/>
          <w:bCs/>
        </w:rPr>
        <w:t>P</w:t>
      </w:r>
      <w:r w:rsidR="00A35AA0" w:rsidRPr="00EC7120">
        <w:rPr>
          <w:rFonts w:ascii="Calibri" w:eastAsia="Calibri" w:hAnsi="Calibri" w:cs="Calibri"/>
          <w:bCs/>
        </w:rPr>
        <w:t xml:space="preserve">rofessional development on specific pedagogical models or frameworks </w:t>
      </w:r>
    </w:p>
    <w:p w14:paraId="49EDB0C6" w14:textId="77777777" w:rsidR="00EC7120" w:rsidRDefault="00EC7120" w:rsidP="00A35AA0">
      <w:pPr>
        <w:rPr>
          <w:rFonts w:ascii="Calibri" w:eastAsia="Calibri" w:hAnsi="Calibri" w:cs="Calibri"/>
          <w:bCs/>
        </w:rPr>
      </w:pPr>
      <w:r>
        <w:rPr>
          <w:rFonts w:ascii="Calibri" w:eastAsia="Calibri" w:hAnsi="Calibri" w:cs="Calibri"/>
          <w:bCs/>
        </w:rPr>
        <w:t>4. Leveraging Digital</w:t>
      </w:r>
      <w:r w:rsidR="00A35AA0" w:rsidRPr="00EC7120">
        <w:rPr>
          <w:rFonts w:ascii="Calibri" w:eastAsia="Calibri" w:hAnsi="Calibri" w:cs="Calibri"/>
          <w:bCs/>
        </w:rPr>
        <w:t>:</w:t>
      </w:r>
    </w:p>
    <w:p w14:paraId="20079D2F" w14:textId="5109BF59" w:rsidR="00A35AA0" w:rsidRPr="00317E25" w:rsidRDefault="00317E25" w:rsidP="00A35AA0">
      <w:pPr>
        <w:pStyle w:val="ListParagraph"/>
        <w:numPr>
          <w:ilvl w:val="0"/>
          <w:numId w:val="5"/>
        </w:numPr>
        <w:rPr>
          <w:rFonts w:ascii="Calibri" w:eastAsia="Calibri" w:hAnsi="Calibri" w:cs="Calibri"/>
          <w:bCs/>
        </w:rPr>
      </w:pPr>
      <w:r>
        <w:rPr>
          <w:rFonts w:ascii="Calibri" w:eastAsia="Calibri" w:hAnsi="Calibri" w:cs="Calibri"/>
          <w:bCs/>
        </w:rPr>
        <w:t>Continue to use the tools and skills learned</w:t>
      </w:r>
    </w:p>
    <w:p w14:paraId="3A6E800B" w14:textId="4A51D420" w:rsidR="5DE14D8B" w:rsidRPr="00EC7120" w:rsidRDefault="5DE14D8B" w:rsidP="5DE14D8B">
      <w:pPr>
        <w:ind w:left="720"/>
        <w:rPr>
          <w:rFonts w:ascii="Calibri" w:eastAsia="Calibri" w:hAnsi="Calibri" w:cs="Calibri"/>
        </w:rPr>
      </w:pPr>
    </w:p>
    <w:sectPr w:rsidR="5DE14D8B" w:rsidRPr="00EC7120" w:rsidSect="007717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6316"/>
    <w:multiLevelType w:val="hybridMultilevel"/>
    <w:tmpl w:val="3C54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C71B0"/>
    <w:multiLevelType w:val="hybridMultilevel"/>
    <w:tmpl w:val="09F0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2C36E"/>
    <w:multiLevelType w:val="hybridMultilevel"/>
    <w:tmpl w:val="601A3E10"/>
    <w:lvl w:ilvl="0" w:tplc="72941E5A">
      <w:start w:val="1"/>
      <w:numFmt w:val="bullet"/>
      <w:lvlText w:val=""/>
      <w:lvlJc w:val="left"/>
      <w:pPr>
        <w:ind w:left="720" w:hanging="360"/>
      </w:pPr>
      <w:rPr>
        <w:rFonts w:ascii="Symbol" w:hAnsi="Symbol" w:hint="default"/>
      </w:rPr>
    </w:lvl>
    <w:lvl w:ilvl="1" w:tplc="B7885328">
      <w:start w:val="1"/>
      <w:numFmt w:val="bullet"/>
      <w:lvlText w:val="o"/>
      <w:lvlJc w:val="left"/>
      <w:pPr>
        <w:ind w:left="1440" w:hanging="360"/>
      </w:pPr>
      <w:rPr>
        <w:rFonts w:ascii="Courier New" w:hAnsi="Courier New" w:hint="default"/>
      </w:rPr>
    </w:lvl>
    <w:lvl w:ilvl="2" w:tplc="75F010DA">
      <w:start w:val="1"/>
      <w:numFmt w:val="bullet"/>
      <w:lvlText w:val=""/>
      <w:lvlJc w:val="left"/>
      <w:pPr>
        <w:ind w:left="2160" w:hanging="360"/>
      </w:pPr>
      <w:rPr>
        <w:rFonts w:ascii="Wingdings" w:hAnsi="Wingdings" w:hint="default"/>
      </w:rPr>
    </w:lvl>
    <w:lvl w:ilvl="3" w:tplc="FBA8FE26">
      <w:start w:val="1"/>
      <w:numFmt w:val="bullet"/>
      <w:lvlText w:val=""/>
      <w:lvlJc w:val="left"/>
      <w:pPr>
        <w:ind w:left="2880" w:hanging="360"/>
      </w:pPr>
      <w:rPr>
        <w:rFonts w:ascii="Symbol" w:hAnsi="Symbol" w:hint="default"/>
      </w:rPr>
    </w:lvl>
    <w:lvl w:ilvl="4" w:tplc="C0644562">
      <w:start w:val="1"/>
      <w:numFmt w:val="bullet"/>
      <w:lvlText w:val="o"/>
      <w:lvlJc w:val="left"/>
      <w:pPr>
        <w:ind w:left="3600" w:hanging="360"/>
      </w:pPr>
      <w:rPr>
        <w:rFonts w:ascii="Courier New" w:hAnsi="Courier New" w:hint="default"/>
      </w:rPr>
    </w:lvl>
    <w:lvl w:ilvl="5" w:tplc="36C0C454">
      <w:start w:val="1"/>
      <w:numFmt w:val="bullet"/>
      <w:lvlText w:val=""/>
      <w:lvlJc w:val="left"/>
      <w:pPr>
        <w:ind w:left="4320" w:hanging="360"/>
      </w:pPr>
      <w:rPr>
        <w:rFonts w:ascii="Wingdings" w:hAnsi="Wingdings" w:hint="default"/>
      </w:rPr>
    </w:lvl>
    <w:lvl w:ilvl="6" w:tplc="79427B6E">
      <w:start w:val="1"/>
      <w:numFmt w:val="bullet"/>
      <w:lvlText w:val=""/>
      <w:lvlJc w:val="left"/>
      <w:pPr>
        <w:ind w:left="5040" w:hanging="360"/>
      </w:pPr>
      <w:rPr>
        <w:rFonts w:ascii="Symbol" w:hAnsi="Symbol" w:hint="default"/>
      </w:rPr>
    </w:lvl>
    <w:lvl w:ilvl="7" w:tplc="991E9876">
      <w:start w:val="1"/>
      <w:numFmt w:val="bullet"/>
      <w:lvlText w:val="o"/>
      <w:lvlJc w:val="left"/>
      <w:pPr>
        <w:ind w:left="5760" w:hanging="360"/>
      </w:pPr>
      <w:rPr>
        <w:rFonts w:ascii="Courier New" w:hAnsi="Courier New" w:hint="default"/>
      </w:rPr>
    </w:lvl>
    <w:lvl w:ilvl="8" w:tplc="6656773C">
      <w:start w:val="1"/>
      <w:numFmt w:val="bullet"/>
      <w:lvlText w:val=""/>
      <w:lvlJc w:val="left"/>
      <w:pPr>
        <w:ind w:left="6480" w:hanging="360"/>
      </w:pPr>
      <w:rPr>
        <w:rFonts w:ascii="Wingdings" w:hAnsi="Wingdings" w:hint="default"/>
      </w:rPr>
    </w:lvl>
  </w:abstractNum>
  <w:abstractNum w:abstractNumId="3" w15:restartNumberingAfterBreak="0">
    <w:nsid w:val="3EA32270"/>
    <w:multiLevelType w:val="hybridMultilevel"/>
    <w:tmpl w:val="A9F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251AC"/>
    <w:multiLevelType w:val="hybridMultilevel"/>
    <w:tmpl w:val="B18837CE"/>
    <w:lvl w:ilvl="0" w:tplc="2ACACC92">
      <w:start w:val="1"/>
      <w:numFmt w:val="bullet"/>
      <w:lvlText w:val=""/>
      <w:lvlJc w:val="left"/>
      <w:pPr>
        <w:ind w:left="720" w:hanging="360"/>
      </w:pPr>
      <w:rPr>
        <w:rFonts w:ascii="Symbol" w:hAnsi="Symbol" w:hint="default"/>
      </w:rPr>
    </w:lvl>
    <w:lvl w:ilvl="1" w:tplc="9EBC056C">
      <w:start w:val="1"/>
      <w:numFmt w:val="bullet"/>
      <w:lvlText w:val="o"/>
      <w:lvlJc w:val="left"/>
      <w:pPr>
        <w:ind w:left="1440" w:hanging="360"/>
      </w:pPr>
      <w:rPr>
        <w:rFonts w:ascii="Courier New" w:hAnsi="Courier New" w:hint="default"/>
      </w:rPr>
    </w:lvl>
    <w:lvl w:ilvl="2" w:tplc="7FCA0E92">
      <w:start w:val="1"/>
      <w:numFmt w:val="bullet"/>
      <w:lvlText w:val=""/>
      <w:lvlJc w:val="left"/>
      <w:pPr>
        <w:ind w:left="2160" w:hanging="360"/>
      </w:pPr>
      <w:rPr>
        <w:rFonts w:ascii="Wingdings" w:hAnsi="Wingdings" w:hint="default"/>
      </w:rPr>
    </w:lvl>
    <w:lvl w:ilvl="3" w:tplc="394C7AC6">
      <w:start w:val="1"/>
      <w:numFmt w:val="bullet"/>
      <w:lvlText w:val=""/>
      <w:lvlJc w:val="left"/>
      <w:pPr>
        <w:ind w:left="2880" w:hanging="360"/>
      </w:pPr>
      <w:rPr>
        <w:rFonts w:ascii="Symbol" w:hAnsi="Symbol" w:hint="default"/>
      </w:rPr>
    </w:lvl>
    <w:lvl w:ilvl="4" w:tplc="91D87C2C">
      <w:start w:val="1"/>
      <w:numFmt w:val="bullet"/>
      <w:lvlText w:val="o"/>
      <w:lvlJc w:val="left"/>
      <w:pPr>
        <w:ind w:left="3600" w:hanging="360"/>
      </w:pPr>
      <w:rPr>
        <w:rFonts w:ascii="Courier New" w:hAnsi="Courier New" w:hint="default"/>
      </w:rPr>
    </w:lvl>
    <w:lvl w:ilvl="5" w:tplc="03BA5B7C">
      <w:start w:val="1"/>
      <w:numFmt w:val="bullet"/>
      <w:lvlText w:val=""/>
      <w:lvlJc w:val="left"/>
      <w:pPr>
        <w:ind w:left="4320" w:hanging="360"/>
      </w:pPr>
      <w:rPr>
        <w:rFonts w:ascii="Wingdings" w:hAnsi="Wingdings" w:hint="default"/>
      </w:rPr>
    </w:lvl>
    <w:lvl w:ilvl="6" w:tplc="140C6E76">
      <w:start w:val="1"/>
      <w:numFmt w:val="bullet"/>
      <w:lvlText w:val=""/>
      <w:lvlJc w:val="left"/>
      <w:pPr>
        <w:ind w:left="5040" w:hanging="360"/>
      </w:pPr>
      <w:rPr>
        <w:rFonts w:ascii="Symbol" w:hAnsi="Symbol" w:hint="default"/>
      </w:rPr>
    </w:lvl>
    <w:lvl w:ilvl="7" w:tplc="23F8471C">
      <w:start w:val="1"/>
      <w:numFmt w:val="bullet"/>
      <w:lvlText w:val="o"/>
      <w:lvlJc w:val="left"/>
      <w:pPr>
        <w:ind w:left="5760" w:hanging="360"/>
      </w:pPr>
      <w:rPr>
        <w:rFonts w:ascii="Courier New" w:hAnsi="Courier New" w:hint="default"/>
      </w:rPr>
    </w:lvl>
    <w:lvl w:ilvl="8" w:tplc="9012AB6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7A2"/>
    <w:rsid w:val="00147F74"/>
    <w:rsid w:val="00217D08"/>
    <w:rsid w:val="00317E25"/>
    <w:rsid w:val="00460D8C"/>
    <w:rsid w:val="004F2293"/>
    <w:rsid w:val="00621333"/>
    <w:rsid w:val="006D6120"/>
    <w:rsid w:val="007717A2"/>
    <w:rsid w:val="00816F6D"/>
    <w:rsid w:val="009153F9"/>
    <w:rsid w:val="00961E45"/>
    <w:rsid w:val="00A0028D"/>
    <w:rsid w:val="00A35AA0"/>
    <w:rsid w:val="00A611C4"/>
    <w:rsid w:val="00A71B89"/>
    <w:rsid w:val="00A857A8"/>
    <w:rsid w:val="00AD6896"/>
    <w:rsid w:val="00C36576"/>
    <w:rsid w:val="00EC7120"/>
    <w:rsid w:val="02624859"/>
    <w:rsid w:val="028BE5EC"/>
    <w:rsid w:val="044062AF"/>
    <w:rsid w:val="04DD6284"/>
    <w:rsid w:val="04E30682"/>
    <w:rsid w:val="073BF506"/>
    <w:rsid w:val="0951ACC6"/>
    <w:rsid w:val="0AE8819C"/>
    <w:rsid w:val="0C5ABCE7"/>
    <w:rsid w:val="0CFA37FD"/>
    <w:rsid w:val="0D2F3009"/>
    <w:rsid w:val="0DCBFF1B"/>
    <w:rsid w:val="0E372916"/>
    <w:rsid w:val="0E8BEDFF"/>
    <w:rsid w:val="0EDFE2BF"/>
    <w:rsid w:val="10FFF154"/>
    <w:rsid w:val="11265B16"/>
    <w:rsid w:val="15EFD8D0"/>
    <w:rsid w:val="16167F6D"/>
    <w:rsid w:val="1980A980"/>
    <w:rsid w:val="1A1ADD91"/>
    <w:rsid w:val="1A49EEC9"/>
    <w:rsid w:val="1BB72D75"/>
    <w:rsid w:val="1D5BC066"/>
    <w:rsid w:val="1DD8EEE6"/>
    <w:rsid w:val="20657D5D"/>
    <w:rsid w:val="20EB7C1E"/>
    <w:rsid w:val="21FA735F"/>
    <w:rsid w:val="22E69561"/>
    <w:rsid w:val="237AF4D4"/>
    <w:rsid w:val="23EE77C1"/>
    <w:rsid w:val="259BE10D"/>
    <w:rsid w:val="2836924C"/>
    <w:rsid w:val="2A677850"/>
    <w:rsid w:val="2CD7EE61"/>
    <w:rsid w:val="2E5D58A0"/>
    <w:rsid w:val="2EAEF87C"/>
    <w:rsid w:val="2FCAD8FC"/>
    <w:rsid w:val="30D7932A"/>
    <w:rsid w:val="31022214"/>
    <w:rsid w:val="3329583D"/>
    <w:rsid w:val="3455827C"/>
    <w:rsid w:val="34D0E49D"/>
    <w:rsid w:val="36228066"/>
    <w:rsid w:val="37269176"/>
    <w:rsid w:val="37CF7EA8"/>
    <w:rsid w:val="381006C5"/>
    <w:rsid w:val="3B960437"/>
    <w:rsid w:val="3CBD9B74"/>
    <w:rsid w:val="3CC45682"/>
    <w:rsid w:val="3F149834"/>
    <w:rsid w:val="3FF7F029"/>
    <w:rsid w:val="4014CB9A"/>
    <w:rsid w:val="40644364"/>
    <w:rsid w:val="43B6A99C"/>
    <w:rsid w:val="4499DF7E"/>
    <w:rsid w:val="46DD5BC7"/>
    <w:rsid w:val="46F6A0DD"/>
    <w:rsid w:val="488F3BC8"/>
    <w:rsid w:val="48CF0757"/>
    <w:rsid w:val="4B0755AD"/>
    <w:rsid w:val="4CA00548"/>
    <w:rsid w:val="4D2798EC"/>
    <w:rsid w:val="4DD36DF1"/>
    <w:rsid w:val="4DD75241"/>
    <w:rsid w:val="4E8375D8"/>
    <w:rsid w:val="4E8CE92C"/>
    <w:rsid w:val="4F5E1584"/>
    <w:rsid w:val="500603A4"/>
    <w:rsid w:val="500B68C3"/>
    <w:rsid w:val="504E1271"/>
    <w:rsid w:val="515AF012"/>
    <w:rsid w:val="5224BB2D"/>
    <w:rsid w:val="535AE1A2"/>
    <w:rsid w:val="535DEB99"/>
    <w:rsid w:val="5836C65C"/>
    <w:rsid w:val="5A6AA84F"/>
    <w:rsid w:val="5C0CC548"/>
    <w:rsid w:val="5C2571E0"/>
    <w:rsid w:val="5D095F06"/>
    <w:rsid w:val="5DE14D8B"/>
    <w:rsid w:val="60FCBB90"/>
    <w:rsid w:val="613C3900"/>
    <w:rsid w:val="61864372"/>
    <w:rsid w:val="620E5F21"/>
    <w:rsid w:val="62D45BEF"/>
    <w:rsid w:val="639FC4B2"/>
    <w:rsid w:val="63C526C5"/>
    <w:rsid w:val="66A669A5"/>
    <w:rsid w:val="66DCECF8"/>
    <w:rsid w:val="684458EF"/>
    <w:rsid w:val="684C629D"/>
    <w:rsid w:val="690F2528"/>
    <w:rsid w:val="6BCD05AB"/>
    <w:rsid w:val="6C8F29AE"/>
    <w:rsid w:val="6F8222D6"/>
    <w:rsid w:val="6FA32565"/>
    <w:rsid w:val="7296C51C"/>
    <w:rsid w:val="74E6D42C"/>
    <w:rsid w:val="75B610CE"/>
    <w:rsid w:val="76397114"/>
    <w:rsid w:val="772F9711"/>
    <w:rsid w:val="7A5DD6BB"/>
    <w:rsid w:val="7E586162"/>
    <w:rsid w:val="7F48F20C"/>
    <w:rsid w:val="7FB128C4"/>
    <w:rsid w:val="7FE39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AE20"/>
  <w15:chartTrackingRefBased/>
  <w15:docId w15:val="{13197E65-A707-4724-B004-7E94C226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5DE14D8B"/>
    <w:pPr>
      <w:ind w:left="720"/>
      <w:contextualSpacing/>
    </w:pPr>
  </w:style>
  <w:style w:type="paragraph" w:styleId="BalloonText">
    <w:name w:val="Balloon Text"/>
    <w:basedOn w:val="Normal"/>
    <w:link w:val="BalloonTextChar"/>
    <w:uiPriority w:val="99"/>
    <w:semiHidden/>
    <w:unhideWhenUsed/>
    <w:rsid w:val="00317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2274">
      <w:bodyDiv w:val="1"/>
      <w:marLeft w:val="0"/>
      <w:marRight w:val="0"/>
      <w:marTop w:val="0"/>
      <w:marBottom w:val="0"/>
      <w:divBdr>
        <w:top w:val="none" w:sz="0" w:space="0" w:color="auto"/>
        <w:left w:val="none" w:sz="0" w:space="0" w:color="auto"/>
        <w:bottom w:val="none" w:sz="0" w:space="0" w:color="auto"/>
        <w:right w:val="none" w:sz="0" w:space="0" w:color="auto"/>
      </w:divBdr>
    </w:div>
    <w:div w:id="134415002">
      <w:bodyDiv w:val="1"/>
      <w:marLeft w:val="0"/>
      <w:marRight w:val="0"/>
      <w:marTop w:val="0"/>
      <w:marBottom w:val="0"/>
      <w:divBdr>
        <w:top w:val="none" w:sz="0" w:space="0" w:color="auto"/>
        <w:left w:val="none" w:sz="0" w:space="0" w:color="auto"/>
        <w:bottom w:val="none" w:sz="0" w:space="0" w:color="auto"/>
        <w:right w:val="none" w:sz="0" w:space="0" w:color="auto"/>
      </w:divBdr>
    </w:div>
    <w:div w:id="146747276">
      <w:bodyDiv w:val="1"/>
      <w:marLeft w:val="0"/>
      <w:marRight w:val="0"/>
      <w:marTop w:val="0"/>
      <w:marBottom w:val="0"/>
      <w:divBdr>
        <w:top w:val="none" w:sz="0" w:space="0" w:color="auto"/>
        <w:left w:val="none" w:sz="0" w:space="0" w:color="auto"/>
        <w:bottom w:val="none" w:sz="0" w:space="0" w:color="auto"/>
        <w:right w:val="none" w:sz="0" w:space="0" w:color="auto"/>
      </w:divBdr>
    </w:div>
    <w:div w:id="174543920">
      <w:bodyDiv w:val="1"/>
      <w:marLeft w:val="0"/>
      <w:marRight w:val="0"/>
      <w:marTop w:val="0"/>
      <w:marBottom w:val="0"/>
      <w:divBdr>
        <w:top w:val="none" w:sz="0" w:space="0" w:color="auto"/>
        <w:left w:val="none" w:sz="0" w:space="0" w:color="auto"/>
        <w:bottom w:val="none" w:sz="0" w:space="0" w:color="auto"/>
        <w:right w:val="none" w:sz="0" w:space="0" w:color="auto"/>
      </w:divBdr>
    </w:div>
    <w:div w:id="428893676">
      <w:bodyDiv w:val="1"/>
      <w:marLeft w:val="0"/>
      <w:marRight w:val="0"/>
      <w:marTop w:val="0"/>
      <w:marBottom w:val="0"/>
      <w:divBdr>
        <w:top w:val="none" w:sz="0" w:space="0" w:color="auto"/>
        <w:left w:val="none" w:sz="0" w:space="0" w:color="auto"/>
        <w:bottom w:val="none" w:sz="0" w:space="0" w:color="auto"/>
        <w:right w:val="none" w:sz="0" w:space="0" w:color="auto"/>
      </w:divBdr>
    </w:div>
    <w:div w:id="868226854">
      <w:bodyDiv w:val="1"/>
      <w:marLeft w:val="0"/>
      <w:marRight w:val="0"/>
      <w:marTop w:val="0"/>
      <w:marBottom w:val="0"/>
      <w:divBdr>
        <w:top w:val="none" w:sz="0" w:space="0" w:color="auto"/>
        <w:left w:val="none" w:sz="0" w:space="0" w:color="auto"/>
        <w:bottom w:val="none" w:sz="0" w:space="0" w:color="auto"/>
        <w:right w:val="none" w:sz="0" w:space="0" w:color="auto"/>
      </w:divBdr>
    </w:div>
    <w:div w:id="1171262320">
      <w:bodyDiv w:val="1"/>
      <w:marLeft w:val="0"/>
      <w:marRight w:val="0"/>
      <w:marTop w:val="0"/>
      <w:marBottom w:val="0"/>
      <w:divBdr>
        <w:top w:val="none" w:sz="0" w:space="0" w:color="auto"/>
        <w:left w:val="none" w:sz="0" w:space="0" w:color="auto"/>
        <w:bottom w:val="none" w:sz="0" w:space="0" w:color="auto"/>
        <w:right w:val="none" w:sz="0" w:space="0" w:color="auto"/>
      </w:divBdr>
    </w:div>
    <w:div w:id="1403329406">
      <w:bodyDiv w:val="1"/>
      <w:marLeft w:val="0"/>
      <w:marRight w:val="0"/>
      <w:marTop w:val="0"/>
      <w:marBottom w:val="0"/>
      <w:divBdr>
        <w:top w:val="none" w:sz="0" w:space="0" w:color="auto"/>
        <w:left w:val="none" w:sz="0" w:space="0" w:color="auto"/>
        <w:bottom w:val="none" w:sz="0" w:space="0" w:color="auto"/>
        <w:right w:val="none" w:sz="0" w:space="0" w:color="auto"/>
      </w:divBdr>
    </w:div>
    <w:div w:id="1591351175">
      <w:bodyDiv w:val="1"/>
      <w:marLeft w:val="0"/>
      <w:marRight w:val="0"/>
      <w:marTop w:val="0"/>
      <w:marBottom w:val="0"/>
      <w:divBdr>
        <w:top w:val="none" w:sz="0" w:space="0" w:color="auto"/>
        <w:left w:val="none" w:sz="0" w:space="0" w:color="auto"/>
        <w:bottom w:val="none" w:sz="0" w:space="0" w:color="auto"/>
        <w:right w:val="none" w:sz="0" w:space="0" w:color="auto"/>
      </w:divBdr>
    </w:div>
    <w:div w:id="1652831495">
      <w:bodyDiv w:val="1"/>
      <w:marLeft w:val="0"/>
      <w:marRight w:val="0"/>
      <w:marTop w:val="0"/>
      <w:marBottom w:val="0"/>
      <w:divBdr>
        <w:top w:val="none" w:sz="0" w:space="0" w:color="auto"/>
        <w:left w:val="none" w:sz="0" w:space="0" w:color="auto"/>
        <w:bottom w:val="none" w:sz="0" w:space="0" w:color="auto"/>
        <w:right w:val="none" w:sz="0" w:space="0" w:color="auto"/>
      </w:divBdr>
    </w:div>
    <w:div w:id="1683581766">
      <w:bodyDiv w:val="1"/>
      <w:marLeft w:val="0"/>
      <w:marRight w:val="0"/>
      <w:marTop w:val="0"/>
      <w:marBottom w:val="0"/>
      <w:divBdr>
        <w:top w:val="none" w:sz="0" w:space="0" w:color="auto"/>
        <w:left w:val="none" w:sz="0" w:space="0" w:color="auto"/>
        <w:bottom w:val="none" w:sz="0" w:space="0" w:color="auto"/>
        <w:right w:val="none" w:sz="0" w:space="0" w:color="auto"/>
      </w:divBdr>
    </w:div>
    <w:div w:id="1712532057">
      <w:bodyDiv w:val="1"/>
      <w:marLeft w:val="0"/>
      <w:marRight w:val="0"/>
      <w:marTop w:val="0"/>
      <w:marBottom w:val="0"/>
      <w:divBdr>
        <w:top w:val="none" w:sz="0" w:space="0" w:color="auto"/>
        <w:left w:val="none" w:sz="0" w:space="0" w:color="auto"/>
        <w:bottom w:val="none" w:sz="0" w:space="0" w:color="auto"/>
        <w:right w:val="none" w:sz="0" w:space="0" w:color="auto"/>
      </w:divBdr>
    </w:div>
    <w:div w:id="18906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English</dc:creator>
  <cp:keywords/>
  <dc:description/>
  <cp:lastModifiedBy>Mr English</cp:lastModifiedBy>
  <cp:revision>4</cp:revision>
  <cp:lastPrinted>2025-03-24T14:19:00Z</cp:lastPrinted>
  <dcterms:created xsi:type="dcterms:W3CDTF">2025-03-24T09:35:00Z</dcterms:created>
  <dcterms:modified xsi:type="dcterms:W3CDTF">2025-03-24T15:39:00Z</dcterms:modified>
</cp:coreProperties>
</file>