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17" w:rsidRPr="008E2B90" w:rsidRDefault="008E2B90" w:rsidP="008E2B90">
      <w:pPr>
        <w:jc w:val="center"/>
        <w:rPr>
          <w:rFonts w:cstheme="minorHAnsi"/>
          <w:b/>
          <w:sz w:val="24"/>
          <w:szCs w:val="24"/>
          <w:u w:val="single"/>
        </w:rPr>
      </w:pPr>
      <w:r w:rsidRPr="008E2B90">
        <w:rPr>
          <w:rFonts w:cstheme="minorHAnsi"/>
          <w:b/>
          <w:sz w:val="24"/>
          <w:szCs w:val="24"/>
          <w:u w:val="single"/>
        </w:rPr>
        <w:t>Higher PE Course Outline</w:t>
      </w:r>
    </w:p>
    <w:p w:rsidR="008E2B90" w:rsidRPr="008E2B90" w:rsidRDefault="008E2B90" w:rsidP="008E2B90">
      <w:pPr>
        <w:spacing w:line="480" w:lineRule="atLeast"/>
        <w:textAlignment w:val="center"/>
        <w:rPr>
          <w:rFonts w:eastAsia="Times New Roman" w:cstheme="minorHAnsi"/>
          <w:color w:val="222222"/>
          <w:sz w:val="24"/>
          <w:szCs w:val="24"/>
          <w:lang w:val="en" w:eastAsia="en-GB"/>
        </w:rPr>
      </w:pP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P</w:t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upils who select the Higher PE course 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will work through 3 main activities Badminton, Basketball and Volleyball.  Where possible we will try to teach the content of the course through activities that cater for everyone’s needs and ability levels. There are 2 elements of this Higher PE course</w:t>
      </w:r>
      <w:proofErr w:type="gramStart"/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:</w:t>
      </w:r>
      <w:proofErr w:type="gramEnd"/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br/>
        <w:t>1. Factors Impacting Performance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 (F.I.P)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br/>
        <w:t>2. Performance Skills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br/>
      </w:r>
    </w:p>
    <w:p w:rsidR="008E2B90" w:rsidRPr="008E2B90" w:rsidRDefault="008E2B90" w:rsidP="008E2B90">
      <w:pPr>
        <w:spacing w:line="480" w:lineRule="atLeast"/>
        <w:textAlignment w:val="center"/>
        <w:rPr>
          <w:rFonts w:eastAsia="Times New Roman" w:cstheme="minorHAnsi"/>
          <w:color w:val="222222"/>
          <w:sz w:val="24"/>
          <w:szCs w:val="24"/>
          <w:lang w:val="en" w:eastAsia="en-GB"/>
        </w:rPr>
      </w:pP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>The main coursework is taught through Factors Impacting Performance unit. This inv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olves two theory lessons and three</w:t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 practical le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ssons a week, where </w:t>
      </w:r>
      <w:proofErr w:type="gramStart"/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pupils</w:t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 understanding of the course is</w:t>
      </w:r>
      <w:proofErr w:type="gramEnd"/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 developed. </w:t>
      </w:r>
    </w:p>
    <w:p w:rsidR="008E2B90" w:rsidRPr="008E2B90" w:rsidRDefault="008E2B90" w:rsidP="008E2B90">
      <w:pPr>
        <w:spacing w:line="480" w:lineRule="atLeast"/>
        <w:textAlignment w:val="center"/>
        <w:rPr>
          <w:rFonts w:eastAsia="Times New Roman" w:cstheme="minorHAnsi"/>
          <w:color w:val="222222"/>
          <w:sz w:val="24"/>
          <w:szCs w:val="24"/>
          <w:lang w:val="en" w:eastAsia="en-GB"/>
        </w:rPr>
      </w:pP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br/>
        <w:t>Pupils final marks are determined by: 1. One off Performance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s x 2</w:t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 (60 Marks)</w:t>
      </w:r>
      <w:r>
        <w:rPr>
          <w:rFonts w:eastAsia="Times New Roman" w:cstheme="minorHAnsi"/>
          <w:color w:val="222222"/>
          <w:sz w:val="24"/>
          <w:szCs w:val="24"/>
          <w:lang w:val="en" w:eastAsia="en-GB"/>
        </w:rPr>
        <w:t>*</w:t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br/>
        <w:t xml:space="preserve">                                           </w:t>
      </w: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             2. External Written Exam – 2 ½ hours (6</w:t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>0 Marks)</w:t>
      </w:r>
    </w:p>
    <w:p w:rsidR="008E2B90" w:rsidRPr="008E2B90" w:rsidRDefault="008E2B90" w:rsidP="008E2B90">
      <w:pPr>
        <w:spacing w:line="480" w:lineRule="atLeast"/>
        <w:textAlignment w:val="center"/>
        <w:rPr>
          <w:rFonts w:eastAsia="Times New Roman" w:cstheme="minorHAnsi"/>
          <w:color w:val="222222"/>
          <w:sz w:val="24"/>
          <w:szCs w:val="24"/>
          <w:lang w:val="en" w:eastAsia="en-GB"/>
        </w:rPr>
      </w:pPr>
      <w:r w:rsidRPr="008E2B90">
        <w:rPr>
          <w:rFonts w:eastAsia="Times New Roman" w:cstheme="minorHAnsi"/>
          <w:color w:val="222222"/>
          <w:sz w:val="24"/>
          <w:szCs w:val="24"/>
          <w:lang w:val="en" w:eastAsia="en-GB"/>
        </w:rPr>
        <w:t>*Pupils will choose which 2 activities to be assessed in.  Each of these will be marked out of 30.</w:t>
      </w:r>
      <w:r>
        <w:rPr>
          <w:rFonts w:eastAsia="Times New Roman" w:cstheme="minorHAnsi"/>
          <w:color w:val="222222"/>
          <w:sz w:val="24"/>
          <w:szCs w:val="24"/>
          <w:lang w:val="en" w:eastAsia="en-GB"/>
        </w:rPr>
        <w:t>*</w:t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br/>
      </w:r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br/>
      </w:r>
      <w:proofErr w:type="gramStart"/>
      <w:r w:rsidR="007F2A88">
        <w:rPr>
          <w:rFonts w:eastAsia="Times New Roman" w:cstheme="minorHAnsi"/>
          <w:color w:val="222222"/>
          <w:sz w:val="24"/>
          <w:szCs w:val="24"/>
          <w:lang w:val="en" w:eastAsia="en-GB"/>
        </w:rPr>
        <w:t>Our</w:t>
      </w:r>
      <w:proofErr w:type="gramEnd"/>
      <w:r w:rsidRPr="00487C89">
        <w:rPr>
          <w:rFonts w:eastAsia="Times New Roman" w:cstheme="minorHAnsi"/>
          <w:color w:val="222222"/>
          <w:sz w:val="24"/>
          <w:szCs w:val="24"/>
          <w:lang w:val="en" w:eastAsia="en-GB"/>
        </w:rPr>
        <w:t xml:space="preserve"> department recommends that an internal activity is chosen, but if a pupil has a significant strength in an external activity that may be used.</w:t>
      </w:r>
    </w:p>
    <w:p w:rsidR="008E2B90" w:rsidRPr="008E2B90" w:rsidRDefault="008E2B90" w:rsidP="008E2B90">
      <w:pPr>
        <w:spacing w:line="480" w:lineRule="atLeast"/>
        <w:textAlignment w:val="center"/>
        <w:rPr>
          <w:rFonts w:eastAsia="Times New Roman" w:cstheme="minorHAnsi"/>
          <w:color w:val="222222"/>
          <w:sz w:val="24"/>
          <w:szCs w:val="24"/>
          <w:lang w:val="en" w:eastAsia="en-GB"/>
        </w:rPr>
      </w:pPr>
      <w:bookmarkStart w:id="0" w:name="_GoBack"/>
      <w:bookmarkEnd w:id="0"/>
    </w:p>
    <w:p w:rsidR="008E2B90" w:rsidRPr="008E2B90" w:rsidRDefault="008E2B90" w:rsidP="008E2B90">
      <w:pPr>
        <w:jc w:val="center"/>
        <w:rPr>
          <w:rFonts w:cstheme="minorHAnsi"/>
          <w:b/>
          <w:sz w:val="24"/>
          <w:szCs w:val="24"/>
          <w:u w:val="single"/>
        </w:rPr>
      </w:pPr>
    </w:p>
    <w:sectPr w:rsidR="008E2B90" w:rsidRPr="008E2B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90"/>
    <w:rsid w:val="007E3A17"/>
    <w:rsid w:val="007F2A88"/>
    <w:rsid w:val="008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2020-03-02T23:49:00Z</dcterms:created>
  <dcterms:modified xsi:type="dcterms:W3CDTF">2020-03-03T00:01:00Z</dcterms:modified>
</cp:coreProperties>
</file>