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103"/>
        <w:gridCol w:w="5583"/>
      </w:tblGrid>
      <w:tr w:rsidR="00E8399C" w:rsidTr="00E94995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9C" w:rsidRDefault="00E8399C" w:rsidP="00E9499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Maths and Numeracy</w:t>
            </w:r>
          </w:p>
          <w:p w:rsidR="00E8399C" w:rsidRDefault="00E8399C" w:rsidP="00E94995"/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Information Handling  and Data and analysis </w:t>
            </w:r>
          </w:p>
          <w:p w:rsidR="00E8399C" w:rsidRDefault="00E8399C" w:rsidP="00E94995">
            <w:r>
              <w:t xml:space="preserve">We will be learning how to gather data and organise it in a variety of ways – tallies, graphs etc. </w:t>
            </w:r>
          </w:p>
          <w:p w:rsidR="00E8399C" w:rsidRDefault="00E8399C" w:rsidP="00E94995"/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Numeracy skills </w:t>
            </w:r>
          </w:p>
          <w:p w:rsidR="00E8399C" w:rsidRDefault="00E8399C" w:rsidP="00E94995">
            <w:r>
              <w:t xml:space="preserve">Learners at Early and First level will be learning about fractions. </w:t>
            </w:r>
          </w:p>
          <w:p w:rsidR="00E8399C" w:rsidRDefault="00E8399C" w:rsidP="00E94995"/>
          <w:p w:rsidR="00E8399C" w:rsidRDefault="00E8399C" w:rsidP="00E94995">
            <w:r>
              <w:t xml:space="preserve">Learners at second level will learn how to calculate fractions, </w:t>
            </w:r>
            <w:proofErr w:type="gramStart"/>
            <w:r>
              <w:t>decimals ,</w:t>
            </w:r>
            <w:proofErr w:type="gramEnd"/>
            <w:r>
              <w:t xml:space="preserve"> percentages of amounts. </w:t>
            </w:r>
          </w:p>
          <w:p w:rsidR="00E8399C" w:rsidRDefault="00E8399C" w:rsidP="00E94995"/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9C" w:rsidRDefault="00E8399C" w:rsidP="00E9499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Languages</w:t>
            </w:r>
          </w:p>
          <w:p w:rsidR="00E8399C" w:rsidRDefault="00E8399C" w:rsidP="00E94995"/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Understanding , analysing and evaluating</w:t>
            </w:r>
          </w:p>
          <w:p w:rsidR="00E8399C" w:rsidRDefault="00E8399C" w:rsidP="00E94995">
            <w:r>
              <w:t xml:space="preserve">Through a variety of listening and reading activities, we will be learning skills to help us understand and evaluate what we hear/ read. </w:t>
            </w:r>
          </w:p>
          <w:p w:rsidR="00E8399C" w:rsidRDefault="00E8399C" w:rsidP="00E94995"/>
          <w:p w:rsidR="00E8399C" w:rsidRDefault="00E8399C" w:rsidP="00E94995">
            <w:r>
              <w:t xml:space="preserve">We will be learning about fact and opinion and learning how to ask a range of questions. </w:t>
            </w:r>
          </w:p>
          <w:p w:rsidR="00E8399C" w:rsidRDefault="00E8399C" w:rsidP="00E94995"/>
          <w:p w:rsidR="00E8399C" w:rsidRDefault="00E8399C" w:rsidP="00E94995">
            <w:r>
              <w:t xml:space="preserve">Writing lessons will focus on recounts, letters and newspaper articles. We will learn how to persuade and give an opinion.  </w:t>
            </w:r>
          </w:p>
          <w:p w:rsidR="00E8399C" w:rsidRDefault="00E8399C" w:rsidP="00E94995"/>
          <w:p w:rsidR="00E8399C" w:rsidRDefault="00E8399C" w:rsidP="00E949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French </w:t>
            </w:r>
          </w:p>
          <w:p w:rsidR="00E8399C" w:rsidRDefault="00E8399C" w:rsidP="00E94995">
            <w:r>
              <w:t>We will learn and revise conversational vocabulary.</w:t>
            </w:r>
          </w:p>
          <w:p w:rsidR="00E8399C" w:rsidRDefault="00E8399C" w:rsidP="00E94995"/>
          <w:p w:rsidR="00E8399C" w:rsidRDefault="00E8399C" w:rsidP="00E94995">
            <w:r>
              <w:t xml:space="preserve">We will learn how to describe the weather in different climate zones. </w:t>
            </w:r>
          </w:p>
        </w:tc>
        <w:tc>
          <w:tcPr>
            <w:tcW w:w="5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9C" w:rsidRDefault="00E8399C" w:rsidP="00E9499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Health and Wellbeing</w:t>
            </w:r>
          </w:p>
          <w:p w:rsidR="00E8399C" w:rsidRDefault="00E8399C" w:rsidP="00E94995"/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SHANARRI Indicators </w:t>
            </w:r>
          </w:p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Respect &amp; Responsible </w:t>
            </w:r>
          </w:p>
          <w:p w:rsidR="00E8399C" w:rsidRDefault="00E8399C" w:rsidP="00E94995">
            <w:r>
              <w:t xml:space="preserve">We will learn about the importance of respect, including respecting everyone’s uniqueness. We will also explore respect about differences in opinion and beliefs. </w:t>
            </w:r>
          </w:p>
          <w:p w:rsidR="00E8399C" w:rsidRDefault="00E8399C" w:rsidP="00E94995">
            <w:pPr>
              <w:rPr>
                <w:b/>
                <w:bCs/>
              </w:rPr>
            </w:pPr>
          </w:p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Relationships, sexual health and parenthood  </w:t>
            </w:r>
          </w:p>
          <w:p w:rsidR="00E8399C" w:rsidRDefault="00E8399C" w:rsidP="00E94995">
            <w:r>
              <w:t xml:space="preserve">We will learn about: </w:t>
            </w:r>
          </w:p>
          <w:p w:rsidR="00E8399C" w:rsidRDefault="00E8399C" w:rsidP="00E94995">
            <w:r>
              <w:t xml:space="preserve">Different kinds of relationships </w:t>
            </w:r>
          </w:p>
          <w:p w:rsidR="00E8399C" w:rsidRDefault="00E8399C" w:rsidP="00E94995">
            <w:r>
              <w:t>Similarities and differences between us</w:t>
            </w:r>
          </w:p>
          <w:p w:rsidR="00E8399C" w:rsidRDefault="00E8399C" w:rsidP="00E94995">
            <w:r>
              <w:t>How our bodies have grown since being a baby</w:t>
            </w:r>
          </w:p>
          <w:p w:rsidR="00E8399C" w:rsidRDefault="00E8399C" w:rsidP="00E94995">
            <w:r>
              <w:t>Locate and name body parts and describe how they are used(P6/7)</w:t>
            </w:r>
          </w:p>
          <w:p w:rsidR="00E8399C" w:rsidRDefault="00E8399C" w:rsidP="00E94995"/>
          <w:p w:rsidR="00E8399C" w:rsidRDefault="00E8399C" w:rsidP="00E949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contact me if you’d like more detail about the content of this learning. </w:t>
            </w:r>
          </w:p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PE </w:t>
            </w:r>
          </w:p>
          <w:p w:rsidR="00E8399C" w:rsidRDefault="00E8399C" w:rsidP="00E94995">
            <w:r>
              <w:t xml:space="preserve">Gymnastics/ Athletics skills Focus </w:t>
            </w:r>
          </w:p>
        </w:tc>
      </w:tr>
      <w:tr w:rsidR="00E8399C" w:rsidTr="00E94995">
        <w:trPr>
          <w:trHeight w:val="384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99C" w:rsidRDefault="00E8399C" w:rsidP="00E9499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People in place </w:t>
            </w:r>
          </w:p>
          <w:p w:rsidR="00E8399C" w:rsidRDefault="00E8399C" w:rsidP="00E94995">
            <w:pPr>
              <w:spacing w:after="160" w:line="252" w:lineRule="auto"/>
              <w:rPr>
                <w:color w:val="000000"/>
              </w:rPr>
            </w:pPr>
            <w:r>
              <w:t xml:space="preserve">We will </w:t>
            </w:r>
            <w:r>
              <w:rPr>
                <w:color w:val="000000"/>
              </w:rPr>
              <w:t>explore climate zones around the world and compare and describe how climate affects living things.      We will then discover how the physical features influence the variety of living things.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E8399C" w:rsidRDefault="00E8399C" w:rsidP="00E94995">
            <w:pPr>
              <w:rPr>
                <w:color w:val="000000"/>
              </w:rPr>
            </w:pPr>
            <w:r>
              <w:t xml:space="preserve">At second level, we will </w:t>
            </w:r>
            <w:r>
              <w:rPr>
                <w:color w:val="000000"/>
              </w:rPr>
              <w:t>consider the advantages and disadvantages of a proposed land use development (wind farm) and discuss the impact this may have on the community.    (This will link to our persuasive writing).                                        </w:t>
            </w:r>
          </w:p>
          <w:p w:rsidR="00E8399C" w:rsidRDefault="00E8399C" w:rsidP="00E94995">
            <w:pPr>
              <w:rPr>
                <w:color w:val="000000"/>
              </w:rPr>
            </w:pPr>
          </w:p>
          <w:p w:rsidR="00E8399C" w:rsidRDefault="00E8399C" w:rsidP="00E94995">
            <w:pPr>
              <w:rPr>
                <w:color w:val="000000"/>
              </w:rPr>
            </w:pPr>
          </w:p>
          <w:p w:rsidR="00E8399C" w:rsidRDefault="00E8399C" w:rsidP="00E94995">
            <w:bookmarkStart w:id="0" w:name="_GoBack"/>
            <w:bookmarkEnd w:id="0"/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9C" w:rsidRDefault="00E8399C" w:rsidP="00E94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Contexts for learning</w:t>
            </w:r>
          </w:p>
          <w:p w:rsidR="00E8399C" w:rsidRDefault="00E8399C" w:rsidP="00E94995">
            <w:pPr>
              <w:jc w:val="center"/>
            </w:pPr>
            <w:r>
              <w:t>(Ethos &amp;Life and work of the school, IDL, Opportunities for personal achievement)</w:t>
            </w:r>
          </w:p>
          <w:p w:rsidR="00E8399C" w:rsidRDefault="00E8399C" w:rsidP="00E94995"/>
          <w:p w:rsidR="00E8399C" w:rsidRDefault="00E8399C" w:rsidP="00E839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Shrove Tuesday</w:t>
            </w:r>
          </w:p>
          <w:p w:rsidR="00E8399C" w:rsidRDefault="00E8399C" w:rsidP="00E839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World Book Day </w:t>
            </w:r>
          </w:p>
          <w:p w:rsidR="00E8399C" w:rsidRDefault="00E8399C" w:rsidP="00E839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P4-7 P7 Newspaper competition </w:t>
            </w:r>
          </w:p>
          <w:p w:rsidR="00E8399C" w:rsidRDefault="00E8399C" w:rsidP="00E839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STEM Engineering Challenge </w:t>
            </w:r>
          </w:p>
          <w:p w:rsidR="00E8399C" w:rsidRDefault="00E8399C" w:rsidP="00E839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KNex</w:t>
            </w:r>
            <w:proofErr w:type="spellEnd"/>
            <w:r>
              <w:t xml:space="preserve"> Generation Sustainability workshops</w:t>
            </w:r>
          </w:p>
          <w:p w:rsidR="00E8399C" w:rsidRDefault="00E8399C" w:rsidP="00E839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Leadership Groups (Global, community and financial sustainability)</w:t>
            </w:r>
          </w:p>
          <w:p w:rsidR="00E8399C" w:rsidRDefault="00E8399C" w:rsidP="00E839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Cross Country Competitions </w:t>
            </w:r>
          </w:p>
          <w:p w:rsidR="00E8399C" w:rsidRDefault="00E8399C" w:rsidP="00E839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Wind farm proposal</w:t>
            </w:r>
          </w:p>
          <w:p w:rsidR="00E8399C" w:rsidRDefault="00E8399C" w:rsidP="00E839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Community food event - TBC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9C" w:rsidRDefault="00E8399C" w:rsidP="00E9499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E8399C" w:rsidRDefault="00E8399C" w:rsidP="00E94995">
            <w:r>
              <w:t xml:space="preserve">Revisit – Habitats learning from Term 1 </w:t>
            </w:r>
          </w:p>
          <w:p w:rsidR="00E8399C" w:rsidRDefault="00E8399C" w:rsidP="00E94995"/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Energy and sustainability</w:t>
            </w:r>
          </w:p>
          <w:p w:rsidR="00E8399C" w:rsidRDefault="00E8399C" w:rsidP="00E94995">
            <w:pPr>
              <w:rPr>
                <w:b/>
                <w:bCs/>
                <w:u w:val="single"/>
              </w:rPr>
            </w:pPr>
          </w:p>
          <w:p w:rsidR="00E8399C" w:rsidRDefault="00E8399C" w:rsidP="00E94995">
            <w:r>
              <w:t>We will develop our knowledge of different energy sources, for example, sun, food, fuel, wind and waves and discuss the importance of different types of energy for everyday life.</w:t>
            </w:r>
          </w:p>
          <w:p w:rsidR="00E8399C" w:rsidRDefault="00E8399C" w:rsidP="00E94995"/>
          <w:p w:rsidR="00E8399C" w:rsidRDefault="00E8399C" w:rsidP="00E94995">
            <w:pPr>
              <w:spacing w:line="240" w:lineRule="atLeast"/>
            </w:pPr>
            <w:r>
              <w:t>At second level, we will explore non-renewable energy sources, and</w:t>
            </w:r>
            <w:proofErr w:type="gramStart"/>
            <w:r>
              <w:t>  describe</w:t>
            </w:r>
            <w:proofErr w:type="gramEnd"/>
            <w:r>
              <w:t xml:space="preserve"> how they are used in Scotland today as well as express an informed view on the implications for their future use.</w:t>
            </w:r>
          </w:p>
        </w:tc>
      </w:tr>
      <w:tr w:rsidR="00E8399C" w:rsidTr="00E9499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9C" w:rsidRDefault="00E8399C" w:rsidP="00E9499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Technologies</w:t>
            </w:r>
          </w:p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Sustainability</w:t>
            </w:r>
          </w:p>
          <w:p w:rsidR="00E8399C" w:rsidRDefault="00E8399C" w:rsidP="00E94995">
            <w:pPr>
              <w:rPr>
                <w:b/>
                <w:bCs/>
                <w:u w:val="single"/>
              </w:rPr>
            </w:pPr>
          </w:p>
          <w:p w:rsidR="00E8399C" w:rsidRDefault="00E8399C" w:rsidP="00E94995">
            <w:r>
              <w:t>We will learn how technologies help provide for our needs and wants, and how they can affect the environment in which we live.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      </w:r>
          </w:p>
          <w:p w:rsidR="00E8399C" w:rsidRDefault="00E8399C" w:rsidP="00E94995"/>
          <w:p w:rsidR="00E8399C" w:rsidRDefault="00E8399C" w:rsidP="00E94995">
            <w:pPr>
              <w:rPr>
                <w:b/>
                <w:bCs/>
              </w:rPr>
            </w:pPr>
            <w:r>
              <w:t xml:space="preserve">We will learn how to design and construct models and extend and enhance our design skills to solve </w:t>
            </w:r>
            <w:proofErr w:type="gramStart"/>
            <w:r>
              <w:t>problems .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E8399C" w:rsidRDefault="00E8399C" w:rsidP="00E949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Practical tasks include: </w:t>
            </w:r>
          </w:p>
          <w:p w:rsidR="00E8399C" w:rsidRDefault="00E8399C" w:rsidP="00E9499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K’Next</w:t>
            </w:r>
            <w:proofErr w:type="spellEnd"/>
            <w:r>
              <w:rPr>
                <w:b/>
                <w:bCs/>
              </w:rPr>
              <w:t xml:space="preserve"> Generation workshop </w:t>
            </w:r>
          </w:p>
          <w:p w:rsidR="00E8399C" w:rsidRDefault="00E8399C" w:rsidP="00E94995">
            <w:r>
              <w:t xml:space="preserve">p1-4 </w:t>
            </w:r>
            <w:proofErr w:type="spellStart"/>
            <w:r>
              <w:t>K’nex</w:t>
            </w:r>
            <w:proofErr w:type="spellEnd"/>
            <w:r>
              <w:t xml:space="preserve"> Wind buggies </w:t>
            </w:r>
          </w:p>
          <w:p w:rsidR="00E8399C" w:rsidRDefault="00E8399C" w:rsidP="00E94995">
            <w:r>
              <w:t xml:space="preserve">p5-7 </w:t>
            </w:r>
            <w:proofErr w:type="spellStart"/>
            <w:r>
              <w:t>K’nex</w:t>
            </w:r>
            <w:proofErr w:type="spellEnd"/>
            <w:r>
              <w:t xml:space="preserve"> Solar Powered vehicles</w:t>
            </w:r>
          </w:p>
          <w:p w:rsidR="00E8399C" w:rsidRDefault="00E8399C" w:rsidP="00E949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STEM Engineering challenge </w:t>
            </w:r>
          </w:p>
          <w:p w:rsidR="00E8399C" w:rsidRDefault="00E8399C" w:rsidP="00E94995">
            <w:r>
              <w:t>Create a moving vehicle to meet a design brief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9C" w:rsidRDefault="00E8399C" w:rsidP="00E94995">
            <w:pPr>
              <w:jc w:val="center"/>
            </w:pPr>
            <w:r>
              <w:rPr>
                <w:b/>
                <w:bCs/>
                <w:u w:val="single"/>
              </w:rPr>
              <w:t>Expressive arts (Art, Music this term)</w:t>
            </w:r>
          </w:p>
          <w:p w:rsidR="00E8399C" w:rsidRDefault="00E8399C" w:rsidP="00E94995"/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Art and Design </w:t>
            </w:r>
          </w:p>
          <w:p w:rsidR="00E8399C" w:rsidRDefault="00E8399C" w:rsidP="00E94995">
            <w:r>
              <w:t xml:space="preserve">We will; develop our drawing skills, learning new skills and techniques, including shading. </w:t>
            </w:r>
          </w:p>
          <w:p w:rsidR="00E8399C" w:rsidRDefault="00E8399C" w:rsidP="00E94995"/>
          <w:p w:rsidR="00E8399C" w:rsidRDefault="00E8399C" w:rsidP="00E94995">
            <w:r>
              <w:t xml:space="preserve">We will develop our design skills- making and creating and finding solutions to design problems. </w:t>
            </w:r>
          </w:p>
          <w:p w:rsidR="00E8399C" w:rsidRDefault="00E8399C" w:rsidP="00E94995"/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Music </w:t>
            </w:r>
          </w:p>
          <w:p w:rsidR="00E8399C" w:rsidRDefault="00E8399C" w:rsidP="00E94995">
            <w:r>
              <w:t xml:space="preserve">Through group music and singing activities we will learn about dynamics.  </w:t>
            </w:r>
          </w:p>
          <w:p w:rsidR="00E8399C" w:rsidRDefault="00E8399C" w:rsidP="00E94995"/>
          <w:p w:rsidR="00E8399C" w:rsidRDefault="00E8399C" w:rsidP="00E94995">
            <w:r>
              <w:t xml:space="preserve">We will then explore and compose our own music using tuned percussion. </w:t>
            </w:r>
          </w:p>
          <w:p w:rsidR="00E8399C" w:rsidRDefault="00E8399C" w:rsidP="00E94995"/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1478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99C" w:rsidRDefault="00E8399C" w:rsidP="00E9499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RME</w:t>
            </w:r>
          </w:p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Shrove Tuesday learning </w:t>
            </w:r>
          </w:p>
          <w:p w:rsidR="00E8399C" w:rsidRDefault="00E8399C" w:rsidP="00E94995">
            <w:r>
              <w:t xml:space="preserve">We are developing our awareness of the ways followers of world religions celebrate different times of year and how these relate to our lives. </w:t>
            </w:r>
          </w:p>
          <w:p w:rsidR="00E8399C" w:rsidRDefault="00E8399C" w:rsidP="00E94995">
            <w:pPr>
              <w:rPr>
                <w:u w:val="single"/>
              </w:rPr>
            </w:pPr>
            <w:r>
              <w:t> </w:t>
            </w:r>
          </w:p>
          <w:p w:rsidR="00E8399C" w:rsidRDefault="00E8399C" w:rsidP="00E9499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Values/ beliefs / respect </w:t>
            </w:r>
          </w:p>
          <w:p w:rsidR="00E8399C" w:rsidRDefault="00E8399C" w:rsidP="00E94995">
            <w:r>
              <w:t>We are developing respect for others and understanding of their beliefs and values. We will learn that some</w:t>
            </w:r>
            <w:proofErr w:type="gramStart"/>
            <w:r>
              <w:t>  people</w:t>
            </w:r>
            <w:proofErr w:type="gramEnd"/>
            <w:r>
              <w:t xml:space="preserve"> have beliefs and values based upon religious or other positions. </w:t>
            </w:r>
          </w:p>
          <w:p w:rsidR="00E8399C" w:rsidRDefault="00E8399C" w:rsidP="00E94995">
            <w: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E8399C" w:rsidRDefault="00E8399C" w:rsidP="00E94995">
            <w:r>
              <w:t>We will learn about values such as honesty, respect and compassion are why these are important.  We will then develop an</w:t>
            </w:r>
            <w:proofErr w:type="gramStart"/>
            <w:r>
              <w:t>  understanding</w:t>
            </w:r>
            <w:proofErr w:type="gramEnd"/>
            <w:r>
              <w:t xml:space="preserve"> of how our own and other people’s beliefs and values affect their actions.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D7185E" w:rsidRDefault="00D7185E"/>
    <w:sectPr w:rsidR="00D7185E" w:rsidSect="00E83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7A94"/>
    <w:multiLevelType w:val="hybridMultilevel"/>
    <w:tmpl w:val="8B36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9C"/>
    <w:rsid w:val="008E50FA"/>
    <w:rsid w:val="00BB7348"/>
    <w:rsid w:val="00D7185E"/>
    <w:rsid w:val="00E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2B57-FDD4-48BE-BF24-90B6FFF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2019-03-13T10:31:00Z</dcterms:created>
  <dcterms:modified xsi:type="dcterms:W3CDTF">2019-03-13T10:33:00Z</dcterms:modified>
</cp:coreProperties>
</file>