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817" w:rsidRDefault="00D26817" w:rsidP="00796D56">
      <w:pPr>
        <w:spacing w:after="0" w:line="240" w:lineRule="auto"/>
        <w:jc w:val="center"/>
        <w:rPr>
          <w:sz w:val="10"/>
        </w:rPr>
      </w:pPr>
    </w:p>
    <w:tbl>
      <w:tblPr>
        <w:tblStyle w:val="TableGrid"/>
        <w:tblW w:w="15593" w:type="dxa"/>
        <w:tblInd w:w="-5" w:type="dxa"/>
        <w:tblLook w:val="04A0" w:firstRow="1" w:lastRow="0" w:firstColumn="1" w:lastColumn="0" w:noHBand="0" w:noVBand="1"/>
      </w:tblPr>
      <w:tblGrid>
        <w:gridCol w:w="15593"/>
      </w:tblGrid>
      <w:tr w:rsidR="001A0839" w:rsidRPr="001A0839" w:rsidTr="001A0839">
        <w:tc>
          <w:tcPr>
            <w:tcW w:w="15593" w:type="dxa"/>
            <w:tcBorders>
              <w:top w:val="single" w:sz="4" w:space="0" w:color="auto"/>
              <w:bottom w:val="nil"/>
            </w:tcBorders>
            <w:shd w:val="clear" w:color="auto" w:fill="000000" w:themeFill="text1"/>
          </w:tcPr>
          <w:p w:rsidR="00CA655F" w:rsidRPr="001A0839" w:rsidRDefault="00CA655F" w:rsidP="00A1164A">
            <w:pPr>
              <w:jc w:val="center"/>
              <w:rPr>
                <w:b/>
                <w:color w:val="FFFFFF" w:themeColor="background1"/>
                <w:sz w:val="32"/>
                <w:szCs w:val="24"/>
              </w:rPr>
            </w:pPr>
            <w:r w:rsidRPr="001A0839">
              <w:rPr>
                <w:b/>
                <w:color w:val="FFFFFF" w:themeColor="background1"/>
                <w:sz w:val="44"/>
                <w:szCs w:val="24"/>
              </w:rPr>
              <w:t>Context of the School</w:t>
            </w:r>
          </w:p>
        </w:tc>
      </w:tr>
      <w:tr w:rsidR="00CA655F" w:rsidRPr="00CA3833" w:rsidTr="001A0839">
        <w:trPr>
          <w:trHeight w:val="8959"/>
        </w:trPr>
        <w:tc>
          <w:tcPr>
            <w:tcW w:w="15593" w:type="dxa"/>
            <w:tcBorders>
              <w:top w:val="nil"/>
            </w:tcBorders>
            <w:shd w:val="clear" w:color="auto" w:fill="FFFFFF" w:themeFill="background1"/>
          </w:tcPr>
          <w:p w:rsidR="0065400A" w:rsidRDefault="004D00C2" w:rsidP="004D00C2">
            <w:pPr>
              <w:rPr>
                <w:rFonts w:cs="Arial"/>
                <w:sz w:val="24"/>
                <w:szCs w:val="24"/>
              </w:rPr>
            </w:pPr>
            <w:r w:rsidRPr="004D00C2">
              <w:rPr>
                <w:rFonts w:cs="Arial"/>
                <w:color w:val="000000"/>
                <w:spacing w:val="-3"/>
                <w:sz w:val="24"/>
                <w:szCs w:val="24"/>
              </w:rPr>
              <w:t xml:space="preserve">Alves Primary School provides a non-denominational education in a rural environment on the A96 between </w:t>
            </w:r>
            <w:proofErr w:type="spellStart"/>
            <w:r w:rsidRPr="004D00C2">
              <w:rPr>
                <w:rFonts w:cs="Arial"/>
                <w:color w:val="000000"/>
                <w:spacing w:val="-3"/>
                <w:sz w:val="24"/>
                <w:szCs w:val="24"/>
              </w:rPr>
              <w:t>Forres</w:t>
            </w:r>
            <w:proofErr w:type="spellEnd"/>
            <w:r w:rsidRPr="004D00C2">
              <w:rPr>
                <w:rFonts w:cs="Arial"/>
                <w:color w:val="000000"/>
                <w:spacing w:val="-3"/>
                <w:sz w:val="24"/>
                <w:szCs w:val="24"/>
              </w:rPr>
              <w:t xml:space="preserve"> and Elgin. The school currently has 4 composite classes </w:t>
            </w:r>
            <w:r w:rsidRPr="004D00C2">
              <w:rPr>
                <w:rFonts w:cs="Arial"/>
                <w:sz w:val="24"/>
                <w:szCs w:val="24"/>
              </w:rPr>
              <w:t xml:space="preserve">comprising of a P1/2, P3/4, P4/5 and P6/7. The staff </w:t>
            </w:r>
            <w:proofErr w:type="gramStart"/>
            <w:r w:rsidRPr="004D00C2">
              <w:rPr>
                <w:rFonts w:cs="Arial"/>
                <w:sz w:val="24"/>
                <w:szCs w:val="24"/>
              </w:rPr>
              <w:t>is made up</w:t>
            </w:r>
            <w:proofErr w:type="gramEnd"/>
            <w:r w:rsidRPr="004D00C2">
              <w:rPr>
                <w:rFonts w:cs="Arial"/>
                <w:sz w:val="24"/>
                <w:szCs w:val="24"/>
              </w:rPr>
              <w:t xml:space="preserve"> of a Head Teacher with </w:t>
            </w:r>
            <w:r w:rsidR="00DC194F" w:rsidRPr="004D00C2">
              <w:rPr>
                <w:rFonts w:cs="Arial"/>
                <w:sz w:val="24"/>
                <w:szCs w:val="24"/>
              </w:rPr>
              <w:t>1-day</w:t>
            </w:r>
            <w:r w:rsidRPr="004D00C2">
              <w:rPr>
                <w:rFonts w:cs="Arial"/>
                <w:sz w:val="24"/>
                <w:szCs w:val="24"/>
              </w:rPr>
              <w:t xml:space="preserve"> class commitment, 3 class teachers, part-time </w:t>
            </w:r>
            <w:proofErr w:type="spellStart"/>
            <w:r w:rsidRPr="004D00C2">
              <w:rPr>
                <w:rFonts w:cs="Arial"/>
                <w:sz w:val="24"/>
                <w:szCs w:val="24"/>
              </w:rPr>
              <w:t>SfL</w:t>
            </w:r>
            <w:proofErr w:type="spellEnd"/>
            <w:r w:rsidRPr="004D00C2">
              <w:rPr>
                <w:rFonts w:cs="Arial"/>
                <w:sz w:val="24"/>
                <w:szCs w:val="24"/>
              </w:rPr>
              <w:t xml:space="preserve"> teacher, probationer teacher, </w:t>
            </w:r>
            <w:r w:rsidR="005674F6">
              <w:rPr>
                <w:rFonts w:cs="Arial"/>
                <w:sz w:val="24"/>
                <w:szCs w:val="24"/>
              </w:rPr>
              <w:t>4</w:t>
            </w:r>
            <w:r w:rsidRPr="004D00C2">
              <w:rPr>
                <w:rFonts w:cs="Arial"/>
                <w:sz w:val="24"/>
                <w:szCs w:val="24"/>
              </w:rPr>
              <w:t xml:space="preserve"> part-time Pupil Support Assistants, part-time classroom assistant, part-time playground/children supervisor, and a part-time administrator. Alves Primary has a very strong learning community where everyone is involved and valued. There is a very active Parent Council and parent forum</w:t>
            </w:r>
            <w:r w:rsidR="00DC194F">
              <w:rPr>
                <w:rFonts w:cs="Arial"/>
                <w:sz w:val="24"/>
                <w:szCs w:val="24"/>
              </w:rPr>
              <w:t>,</w:t>
            </w:r>
            <w:r w:rsidRPr="004D00C2">
              <w:rPr>
                <w:rFonts w:cs="Arial"/>
                <w:sz w:val="24"/>
                <w:szCs w:val="24"/>
              </w:rPr>
              <w:t xml:space="preserve"> </w:t>
            </w:r>
            <w:r w:rsidR="00DC194F">
              <w:rPr>
                <w:rFonts w:cs="Arial"/>
                <w:sz w:val="24"/>
                <w:szCs w:val="24"/>
              </w:rPr>
              <w:t>which</w:t>
            </w:r>
            <w:r w:rsidRPr="004D00C2">
              <w:rPr>
                <w:rFonts w:cs="Arial"/>
                <w:sz w:val="24"/>
                <w:szCs w:val="24"/>
              </w:rPr>
              <w:t xml:space="preserve"> really engages in the lea</w:t>
            </w:r>
            <w:r w:rsidR="00E47B5A">
              <w:rPr>
                <w:rFonts w:cs="Arial"/>
                <w:sz w:val="24"/>
                <w:szCs w:val="24"/>
              </w:rPr>
              <w:t>rning experience of the pupils. The parent forum</w:t>
            </w:r>
            <w:r w:rsidR="00E84B9E">
              <w:rPr>
                <w:rFonts w:cs="Arial"/>
                <w:sz w:val="24"/>
                <w:szCs w:val="24"/>
              </w:rPr>
              <w:t xml:space="preserve"> continued their strong support</w:t>
            </w:r>
            <w:r w:rsidR="00E47B5A">
              <w:rPr>
                <w:rFonts w:cs="Arial"/>
                <w:sz w:val="24"/>
                <w:szCs w:val="24"/>
              </w:rPr>
              <w:t xml:space="preserve"> during covid-19 disruptions, lockdowns and remote learning</w:t>
            </w:r>
            <w:r w:rsidR="00E84B9E">
              <w:rPr>
                <w:rFonts w:cs="Arial"/>
                <w:sz w:val="24"/>
                <w:szCs w:val="24"/>
              </w:rPr>
              <w:t xml:space="preserve"> opportunities</w:t>
            </w:r>
            <w:r w:rsidR="00E47B5A">
              <w:rPr>
                <w:rFonts w:cs="Arial"/>
                <w:sz w:val="24"/>
                <w:szCs w:val="24"/>
              </w:rPr>
              <w:t xml:space="preserve">. </w:t>
            </w:r>
            <w:r w:rsidR="00E84B9E">
              <w:rPr>
                <w:rFonts w:cs="Arial"/>
                <w:sz w:val="24"/>
                <w:szCs w:val="24"/>
              </w:rPr>
              <w:t>Alves Primary is</w:t>
            </w:r>
            <w:r w:rsidRPr="004D00C2">
              <w:rPr>
                <w:rFonts w:cs="Arial"/>
                <w:sz w:val="24"/>
                <w:szCs w:val="24"/>
              </w:rPr>
              <w:t xml:space="preserve"> determined to provide high quality learning experiences with a priority of meeting all the needs of our pupils. </w:t>
            </w:r>
            <w:r w:rsidR="00E84B9E">
              <w:rPr>
                <w:rFonts w:cs="Arial"/>
                <w:sz w:val="24"/>
                <w:szCs w:val="24"/>
              </w:rPr>
              <w:t xml:space="preserve">This </w:t>
            </w:r>
            <w:proofErr w:type="gramStart"/>
            <w:r w:rsidR="00E84B9E">
              <w:rPr>
                <w:rFonts w:cs="Arial"/>
                <w:sz w:val="24"/>
                <w:szCs w:val="24"/>
              </w:rPr>
              <w:t>was clearly demonstrated</w:t>
            </w:r>
            <w:proofErr w:type="gramEnd"/>
            <w:r w:rsidR="00E84B9E">
              <w:rPr>
                <w:rFonts w:cs="Arial"/>
                <w:sz w:val="24"/>
                <w:szCs w:val="24"/>
              </w:rPr>
              <w:t xml:space="preserve"> by the dedication of all staff during the pandemic to ensure pupils were supported academically and emotionally using a variety </w:t>
            </w:r>
            <w:r w:rsidR="0065400A">
              <w:rPr>
                <w:rFonts w:cs="Arial"/>
                <w:sz w:val="24"/>
                <w:szCs w:val="24"/>
              </w:rPr>
              <w:t xml:space="preserve">of approaches to ensure continuous progression in learning and teaching. </w:t>
            </w:r>
          </w:p>
          <w:p w:rsidR="0065400A" w:rsidRDefault="0065400A" w:rsidP="004D00C2">
            <w:pPr>
              <w:rPr>
                <w:rFonts w:cs="Arial"/>
                <w:sz w:val="24"/>
                <w:szCs w:val="24"/>
              </w:rPr>
            </w:pPr>
          </w:p>
          <w:p w:rsidR="004D00C2" w:rsidRPr="004D00C2" w:rsidRDefault="0065400A" w:rsidP="004D00C2">
            <w:pPr>
              <w:rPr>
                <w:rFonts w:cs="Arial"/>
                <w:sz w:val="24"/>
                <w:szCs w:val="24"/>
              </w:rPr>
            </w:pPr>
            <w:r>
              <w:rPr>
                <w:rFonts w:cs="Arial"/>
                <w:sz w:val="24"/>
                <w:szCs w:val="24"/>
              </w:rPr>
              <w:t>Alves primary</w:t>
            </w:r>
            <w:r w:rsidR="004D00C2" w:rsidRPr="004D00C2">
              <w:rPr>
                <w:rFonts w:cs="Arial"/>
                <w:sz w:val="24"/>
                <w:szCs w:val="24"/>
              </w:rPr>
              <w:t xml:space="preserve"> has a main building for learning &amp; teaching and a hall building for PE and lunch. The hall building also contains our ASN room, Nurture room and positive behaviour area for enriched learning and rewards. On the school grounds, there is a fantastic outdoor learning area with a sensory garden, outdoor classroom, and bottled greenhouse to go with a very large playground and grass pitch.  </w:t>
            </w:r>
            <w:r>
              <w:rPr>
                <w:rFonts w:cs="Arial"/>
                <w:sz w:val="24"/>
                <w:szCs w:val="24"/>
              </w:rPr>
              <w:t xml:space="preserve">This learning environment was risk assessed throughout the school year to ensure the safety of everyone in the school community and in line with Scottish Government guidance for schools. </w:t>
            </w:r>
          </w:p>
          <w:p w:rsidR="004D00C2" w:rsidRPr="004D00C2" w:rsidRDefault="004D00C2" w:rsidP="004D00C2">
            <w:pPr>
              <w:rPr>
                <w:rFonts w:cs="Arial"/>
                <w:sz w:val="24"/>
                <w:szCs w:val="24"/>
              </w:rPr>
            </w:pPr>
          </w:p>
          <w:p w:rsidR="00CA655F" w:rsidRDefault="004D00C2" w:rsidP="004D00C2">
            <w:pPr>
              <w:rPr>
                <w:rFonts w:cs="Arial"/>
                <w:sz w:val="24"/>
                <w:szCs w:val="24"/>
              </w:rPr>
            </w:pPr>
            <w:r w:rsidRPr="004D00C2">
              <w:rPr>
                <w:rFonts w:cs="Arial"/>
                <w:sz w:val="24"/>
                <w:szCs w:val="24"/>
              </w:rPr>
              <w:t xml:space="preserve">The school’s curriculum design involved all </w:t>
            </w:r>
            <w:r w:rsidR="00DC194F" w:rsidRPr="004D00C2">
              <w:rPr>
                <w:rFonts w:cs="Arial"/>
                <w:sz w:val="24"/>
                <w:szCs w:val="24"/>
              </w:rPr>
              <w:t>stakeholders, which</w:t>
            </w:r>
            <w:r w:rsidRPr="004D00C2">
              <w:rPr>
                <w:rFonts w:cs="Arial"/>
                <w:sz w:val="24"/>
                <w:szCs w:val="24"/>
              </w:rPr>
              <w:t xml:space="preserve"> is reviewed and underpinned by the four capacities and entitlements of CFE. Through the self-evaluation process and involvement of all stakeholders, agreed improvements have been made which has led to 8 Moray Young Citizens Awards for Primary Schools, 2 Green Flag awards, Diabetes UK award, RRSA Silver and the </w:t>
            </w:r>
            <w:proofErr w:type="spellStart"/>
            <w:r w:rsidRPr="004D00C2">
              <w:rPr>
                <w:rFonts w:cs="Arial"/>
                <w:sz w:val="24"/>
                <w:szCs w:val="24"/>
              </w:rPr>
              <w:t>SportScotland</w:t>
            </w:r>
            <w:proofErr w:type="spellEnd"/>
            <w:r w:rsidRPr="004D00C2">
              <w:rPr>
                <w:rFonts w:cs="Arial"/>
                <w:sz w:val="24"/>
                <w:szCs w:val="24"/>
              </w:rPr>
              <w:t xml:space="preserve"> Gold Award.</w:t>
            </w:r>
          </w:p>
          <w:p w:rsidR="004D00C2" w:rsidRDefault="004D00C2" w:rsidP="004D00C2">
            <w:pPr>
              <w:rPr>
                <w:rFonts w:cs="Arial"/>
                <w:sz w:val="24"/>
                <w:szCs w:val="24"/>
              </w:rPr>
            </w:pPr>
          </w:p>
          <w:p w:rsidR="004D00C2" w:rsidRPr="004D00C2" w:rsidRDefault="00DB1B16" w:rsidP="004D00C2">
            <w:pPr>
              <w:rPr>
                <w:rFonts w:cs="Arial"/>
                <w:sz w:val="24"/>
                <w:szCs w:val="24"/>
              </w:rPr>
            </w:pPr>
            <w:proofErr w:type="spellStart"/>
            <w:r>
              <w:rPr>
                <w:rFonts w:cs="Arial"/>
                <w:sz w:val="24"/>
                <w:szCs w:val="24"/>
              </w:rPr>
              <w:t>HMIe</w:t>
            </w:r>
            <w:proofErr w:type="spellEnd"/>
            <w:r>
              <w:rPr>
                <w:rFonts w:cs="Arial"/>
                <w:sz w:val="24"/>
                <w:szCs w:val="24"/>
              </w:rPr>
              <w:t xml:space="preserve"> inspected the school</w:t>
            </w:r>
            <w:r w:rsidR="004D00C2">
              <w:rPr>
                <w:rFonts w:cs="Arial"/>
                <w:sz w:val="24"/>
                <w:szCs w:val="24"/>
              </w:rPr>
              <w:t xml:space="preserve"> during the week of March 9</w:t>
            </w:r>
            <w:r w:rsidR="004D00C2" w:rsidRPr="004D00C2">
              <w:rPr>
                <w:rFonts w:cs="Arial"/>
                <w:sz w:val="24"/>
                <w:szCs w:val="24"/>
                <w:vertAlign w:val="superscript"/>
              </w:rPr>
              <w:t>th</w:t>
            </w:r>
            <w:r w:rsidR="004D00C2">
              <w:rPr>
                <w:rFonts w:cs="Arial"/>
                <w:sz w:val="24"/>
                <w:szCs w:val="24"/>
              </w:rPr>
              <w:t xml:space="preserve"> 2020 prior to the Covid-19 </w:t>
            </w:r>
            <w:r>
              <w:rPr>
                <w:rFonts w:cs="Arial"/>
                <w:sz w:val="24"/>
                <w:szCs w:val="24"/>
              </w:rPr>
              <w:t>lockdown</w:t>
            </w:r>
            <w:r w:rsidR="004D00C2">
              <w:rPr>
                <w:rFonts w:cs="Arial"/>
                <w:sz w:val="24"/>
                <w:szCs w:val="24"/>
              </w:rPr>
              <w:t xml:space="preserve">. </w:t>
            </w:r>
            <w:r>
              <w:rPr>
                <w:rFonts w:cs="Arial"/>
                <w:sz w:val="24"/>
                <w:szCs w:val="24"/>
              </w:rPr>
              <w:t xml:space="preserve">The inspection findings report </w:t>
            </w:r>
            <w:r w:rsidR="006857E4">
              <w:rPr>
                <w:rFonts w:cs="Arial"/>
                <w:sz w:val="24"/>
                <w:szCs w:val="24"/>
              </w:rPr>
              <w:t>was published on July 14</w:t>
            </w:r>
            <w:r w:rsidR="006857E4" w:rsidRPr="006857E4">
              <w:rPr>
                <w:rFonts w:cs="Arial"/>
                <w:sz w:val="24"/>
                <w:szCs w:val="24"/>
                <w:vertAlign w:val="superscript"/>
              </w:rPr>
              <w:t>th</w:t>
            </w:r>
            <w:r w:rsidR="006857E4">
              <w:rPr>
                <w:rFonts w:cs="Arial"/>
                <w:sz w:val="24"/>
                <w:szCs w:val="24"/>
              </w:rPr>
              <w:t xml:space="preserve"> </w:t>
            </w:r>
            <w:r w:rsidR="002439B1">
              <w:rPr>
                <w:rFonts w:cs="Arial"/>
                <w:sz w:val="24"/>
                <w:szCs w:val="24"/>
              </w:rPr>
              <w:t>2020, which</w:t>
            </w:r>
            <w:r w:rsidR="006857E4">
              <w:rPr>
                <w:rFonts w:cs="Arial"/>
                <w:sz w:val="24"/>
                <w:szCs w:val="24"/>
              </w:rPr>
              <w:t xml:space="preserve"> </w:t>
            </w:r>
            <w:r>
              <w:rPr>
                <w:rFonts w:cs="Arial"/>
                <w:sz w:val="24"/>
                <w:szCs w:val="24"/>
              </w:rPr>
              <w:t xml:space="preserve">found the school “Very Good” across all </w:t>
            </w:r>
            <w:r w:rsidR="006857E4">
              <w:rPr>
                <w:rFonts w:cs="Arial"/>
                <w:sz w:val="24"/>
                <w:szCs w:val="24"/>
              </w:rPr>
              <w:t>aspects</w:t>
            </w:r>
            <w:r w:rsidR="002439B1">
              <w:rPr>
                <w:rFonts w:cs="Arial"/>
                <w:sz w:val="24"/>
                <w:szCs w:val="24"/>
              </w:rPr>
              <w:t xml:space="preserve">. The schools initial response to the lockdown was to support all the pupils using and blended approach of online learning using the Glow platform and some practical resources. Teachers used email, Teams conferences, </w:t>
            </w:r>
            <w:r w:rsidR="00DC194F">
              <w:rPr>
                <w:rFonts w:cs="Arial"/>
                <w:sz w:val="24"/>
                <w:szCs w:val="24"/>
              </w:rPr>
              <w:t>and phone</w:t>
            </w:r>
            <w:r w:rsidR="002439B1">
              <w:rPr>
                <w:rFonts w:cs="Arial"/>
                <w:sz w:val="24"/>
                <w:szCs w:val="24"/>
              </w:rPr>
              <w:t xml:space="preserve"> calls to support pupils academically, and </w:t>
            </w:r>
            <w:r w:rsidR="00DC194F">
              <w:rPr>
                <w:rFonts w:cs="Arial"/>
                <w:sz w:val="24"/>
                <w:szCs w:val="24"/>
              </w:rPr>
              <w:t xml:space="preserve">meet </w:t>
            </w:r>
            <w:r w:rsidR="002439B1">
              <w:rPr>
                <w:rFonts w:cs="Arial"/>
                <w:sz w:val="24"/>
                <w:szCs w:val="24"/>
              </w:rPr>
              <w:t xml:space="preserve">their wellbeing needs. </w:t>
            </w:r>
          </w:p>
          <w:p w:rsidR="004D00C2" w:rsidRPr="004D00C2" w:rsidRDefault="004D00C2" w:rsidP="004D00C2">
            <w:pPr>
              <w:rPr>
                <w:rFonts w:cs="Arial"/>
                <w:sz w:val="24"/>
                <w:szCs w:val="24"/>
              </w:rPr>
            </w:pPr>
          </w:p>
          <w:tbl>
            <w:tblPr>
              <w:tblStyle w:val="TableGrid"/>
              <w:tblW w:w="0" w:type="auto"/>
              <w:tblLook w:val="04A0" w:firstRow="1" w:lastRow="0" w:firstColumn="1" w:lastColumn="0" w:noHBand="0" w:noVBand="1"/>
            </w:tblPr>
            <w:tblGrid>
              <w:gridCol w:w="783"/>
              <w:gridCol w:w="1066"/>
              <w:gridCol w:w="1262"/>
              <w:gridCol w:w="1375"/>
              <w:gridCol w:w="1272"/>
              <w:gridCol w:w="802"/>
              <w:gridCol w:w="905"/>
              <w:gridCol w:w="919"/>
              <w:gridCol w:w="996"/>
              <w:gridCol w:w="1201"/>
            </w:tblGrid>
            <w:tr w:rsidR="004D00C2" w:rsidRPr="004D00C2" w:rsidTr="003E0CD6">
              <w:tc>
                <w:tcPr>
                  <w:tcW w:w="783" w:type="dxa"/>
                </w:tcPr>
                <w:p w:rsidR="004D00C2" w:rsidRPr="004D00C2" w:rsidRDefault="004D00C2" w:rsidP="004D00C2">
                  <w:pPr>
                    <w:rPr>
                      <w:rFonts w:cs="Arial"/>
                      <w:sz w:val="24"/>
                      <w:szCs w:val="24"/>
                    </w:rPr>
                  </w:pPr>
                  <w:r w:rsidRPr="004D00C2">
                    <w:rPr>
                      <w:rFonts w:cs="Arial"/>
                      <w:b/>
                      <w:sz w:val="24"/>
                      <w:szCs w:val="24"/>
                    </w:rPr>
                    <w:t>Roll</w:t>
                  </w:r>
                </w:p>
              </w:tc>
              <w:tc>
                <w:tcPr>
                  <w:tcW w:w="1050" w:type="dxa"/>
                </w:tcPr>
                <w:p w:rsidR="004D00C2" w:rsidRPr="004D00C2" w:rsidRDefault="004D00C2" w:rsidP="004D00C2">
                  <w:pPr>
                    <w:rPr>
                      <w:rFonts w:cs="Arial"/>
                      <w:sz w:val="24"/>
                      <w:szCs w:val="24"/>
                    </w:rPr>
                  </w:pPr>
                  <w:r w:rsidRPr="004D00C2">
                    <w:rPr>
                      <w:rFonts w:cs="Arial"/>
                      <w:b/>
                      <w:sz w:val="24"/>
                      <w:szCs w:val="24"/>
                    </w:rPr>
                    <w:t>Physical Capacity</w:t>
                  </w:r>
                </w:p>
              </w:tc>
              <w:tc>
                <w:tcPr>
                  <w:tcW w:w="1228" w:type="dxa"/>
                </w:tcPr>
                <w:p w:rsidR="004D00C2" w:rsidRPr="004D00C2" w:rsidRDefault="004D00C2" w:rsidP="004D00C2">
                  <w:pPr>
                    <w:rPr>
                      <w:rFonts w:cs="Arial"/>
                      <w:sz w:val="24"/>
                      <w:szCs w:val="24"/>
                    </w:rPr>
                  </w:pPr>
                  <w:r w:rsidRPr="004D00C2">
                    <w:rPr>
                      <w:rFonts w:cs="Arial"/>
                      <w:b/>
                      <w:sz w:val="24"/>
                      <w:szCs w:val="24"/>
                    </w:rPr>
                    <w:t>Functional Capacity</w:t>
                  </w:r>
                </w:p>
              </w:tc>
              <w:tc>
                <w:tcPr>
                  <w:tcW w:w="1306" w:type="dxa"/>
                </w:tcPr>
                <w:p w:rsidR="004D00C2" w:rsidRPr="004D00C2" w:rsidRDefault="004D00C2" w:rsidP="004D00C2">
                  <w:pPr>
                    <w:rPr>
                      <w:rFonts w:cs="Arial"/>
                      <w:sz w:val="24"/>
                      <w:szCs w:val="24"/>
                    </w:rPr>
                  </w:pPr>
                  <w:r w:rsidRPr="004D00C2">
                    <w:rPr>
                      <w:rFonts w:cs="Arial"/>
                      <w:b/>
                      <w:sz w:val="24"/>
                      <w:szCs w:val="24"/>
                    </w:rPr>
                    <w:t>Attendance</w:t>
                  </w:r>
                </w:p>
              </w:tc>
              <w:tc>
                <w:tcPr>
                  <w:tcW w:w="1272" w:type="dxa"/>
                </w:tcPr>
                <w:p w:rsidR="004D00C2" w:rsidRPr="004D00C2" w:rsidRDefault="004D00C2" w:rsidP="004D00C2">
                  <w:pPr>
                    <w:rPr>
                      <w:rFonts w:cs="Arial"/>
                      <w:sz w:val="24"/>
                      <w:szCs w:val="24"/>
                    </w:rPr>
                  </w:pPr>
                  <w:r w:rsidRPr="004D00C2">
                    <w:rPr>
                      <w:rFonts w:cs="Arial"/>
                      <w:b/>
                      <w:sz w:val="24"/>
                      <w:szCs w:val="24"/>
                    </w:rPr>
                    <w:t>Exclusions</w:t>
                  </w:r>
                </w:p>
              </w:tc>
              <w:tc>
                <w:tcPr>
                  <w:tcW w:w="802" w:type="dxa"/>
                </w:tcPr>
                <w:p w:rsidR="004D00C2" w:rsidRPr="004D00C2" w:rsidRDefault="004D00C2" w:rsidP="004D00C2">
                  <w:pPr>
                    <w:rPr>
                      <w:rFonts w:cs="Arial"/>
                      <w:sz w:val="24"/>
                      <w:szCs w:val="24"/>
                    </w:rPr>
                  </w:pPr>
                  <w:r w:rsidRPr="004D00C2">
                    <w:rPr>
                      <w:rFonts w:cs="Arial"/>
                      <w:b/>
                      <w:sz w:val="24"/>
                      <w:szCs w:val="24"/>
                    </w:rPr>
                    <w:t>LAC</w:t>
                  </w:r>
                </w:p>
              </w:tc>
              <w:tc>
                <w:tcPr>
                  <w:tcW w:w="905" w:type="dxa"/>
                </w:tcPr>
                <w:p w:rsidR="004D00C2" w:rsidRPr="004D00C2" w:rsidRDefault="004D00C2" w:rsidP="004D00C2">
                  <w:pPr>
                    <w:rPr>
                      <w:rFonts w:cs="Arial"/>
                      <w:sz w:val="24"/>
                      <w:szCs w:val="24"/>
                    </w:rPr>
                  </w:pPr>
                  <w:r w:rsidRPr="004D00C2">
                    <w:rPr>
                      <w:rFonts w:cs="Arial"/>
                      <w:b/>
                      <w:sz w:val="24"/>
                      <w:szCs w:val="24"/>
                    </w:rPr>
                    <w:t>ASN pupils</w:t>
                  </w:r>
                </w:p>
              </w:tc>
              <w:tc>
                <w:tcPr>
                  <w:tcW w:w="919" w:type="dxa"/>
                </w:tcPr>
                <w:p w:rsidR="004D00C2" w:rsidRPr="004D00C2" w:rsidRDefault="004D00C2" w:rsidP="004D00C2">
                  <w:pPr>
                    <w:rPr>
                      <w:rFonts w:cs="Arial"/>
                      <w:sz w:val="24"/>
                      <w:szCs w:val="24"/>
                    </w:rPr>
                  </w:pPr>
                  <w:r w:rsidRPr="004D00C2">
                    <w:rPr>
                      <w:rFonts w:cs="Arial"/>
                      <w:b/>
                      <w:sz w:val="24"/>
                      <w:szCs w:val="24"/>
                    </w:rPr>
                    <w:t>SIMD profile</w:t>
                  </w:r>
                </w:p>
              </w:tc>
              <w:tc>
                <w:tcPr>
                  <w:tcW w:w="996" w:type="dxa"/>
                </w:tcPr>
                <w:p w:rsidR="004D00C2" w:rsidRPr="004D00C2" w:rsidRDefault="004D00C2" w:rsidP="004D00C2">
                  <w:pPr>
                    <w:rPr>
                      <w:rFonts w:cs="Arial"/>
                      <w:sz w:val="24"/>
                      <w:szCs w:val="24"/>
                    </w:rPr>
                  </w:pPr>
                  <w:r w:rsidRPr="004D00C2">
                    <w:rPr>
                      <w:rFonts w:cs="Arial"/>
                      <w:b/>
                      <w:sz w:val="24"/>
                      <w:szCs w:val="24"/>
                    </w:rPr>
                    <w:t>Staffing</w:t>
                  </w:r>
                </w:p>
              </w:tc>
              <w:tc>
                <w:tcPr>
                  <w:tcW w:w="1195" w:type="dxa"/>
                </w:tcPr>
                <w:p w:rsidR="004D00C2" w:rsidRPr="004D00C2" w:rsidRDefault="004D00C2" w:rsidP="004D00C2">
                  <w:pPr>
                    <w:rPr>
                      <w:rFonts w:cs="Arial"/>
                      <w:sz w:val="24"/>
                      <w:szCs w:val="24"/>
                    </w:rPr>
                  </w:pPr>
                  <w:r w:rsidRPr="004D00C2">
                    <w:rPr>
                      <w:rFonts w:cs="Arial"/>
                      <w:b/>
                      <w:sz w:val="24"/>
                      <w:szCs w:val="24"/>
                    </w:rPr>
                    <w:t>Vacancies</w:t>
                  </w:r>
                </w:p>
              </w:tc>
            </w:tr>
            <w:tr w:rsidR="004D00C2" w:rsidRPr="004D00C2" w:rsidTr="003E0CD6">
              <w:tc>
                <w:tcPr>
                  <w:tcW w:w="783" w:type="dxa"/>
                </w:tcPr>
                <w:p w:rsidR="004D00C2" w:rsidRPr="005674F6" w:rsidRDefault="008F6C70" w:rsidP="005674F6">
                  <w:pPr>
                    <w:jc w:val="center"/>
                    <w:rPr>
                      <w:rFonts w:cs="Arial"/>
                      <w:sz w:val="24"/>
                      <w:szCs w:val="24"/>
                    </w:rPr>
                  </w:pPr>
                  <w:r w:rsidRPr="005674F6">
                    <w:rPr>
                      <w:rFonts w:cs="Arial"/>
                      <w:sz w:val="24"/>
                      <w:szCs w:val="24"/>
                    </w:rPr>
                    <w:t>8</w:t>
                  </w:r>
                  <w:r w:rsidR="005674F6" w:rsidRPr="005674F6">
                    <w:rPr>
                      <w:rFonts w:cs="Arial"/>
                      <w:sz w:val="24"/>
                      <w:szCs w:val="24"/>
                    </w:rPr>
                    <w:t>1</w:t>
                  </w:r>
                </w:p>
              </w:tc>
              <w:tc>
                <w:tcPr>
                  <w:tcW w:w="1050" w:type="dxa"/>
                </w:tcPr>
                <w:p w:rsidR="004D00C2" w:rsidRPr="005674F6" w:rsidRDefault="004D00C2" w:rsidP="004D00C2">
                  <w:pPr>
                    <w:jc w:val="center"/>
                    <w:rPr>
                      <w:rFonts w:cs="Arial"/>
                      <w:sz w:val="24"/>
                      <w:szCs w:val="24"/>
                    </w:rPr>
                  </w:pPr>
                  <w:r w:rsidRPr="005674F6">
                    <w:rPr>
                      <w:rFonts w:cs="Arial"/>
                      <w:sz w:val="24"/>
                      <w:szCs w:val="24"/>
                    </w:rPr>
                    <w:t>121</w:t>
                  </w:r>
                </w:p>
              </w:tc>
              <w:tc>
                <w:tcPr>
                  <w:tcW w:w="1228" w:type="dxa"/>
                </w:tcPr>
                <w:p w:rsidR="004D00C2" w:rsidRPr="005674F6" w:rsidRDefault="004D00C2" w:rsidP="004D00C2">
                  <w:pPr>
                    <w:jc w:val="center"/>
                    <w:rPr>
                      <w:rFonts w:cs="Arial"/>
                      <w:sz w:val="24"/>
                      <w:szCs w:val="24"/>
                    </w:rPr>
                  </w:pPr>
                  <w:r w:rsidRPr="005674F6">
                    <w:rPr>
                      <w:rFonts w:cs="Arial"/>
                      <w:sz w:val="24"/>
                      <w:szCs w:val="24"/>
                    </w:rPr>
                    <w:t>100</w:t>
                  </w:r>
                </w:p>
              </w:tc>
              <w:tc>
                <w:tcPr>
                  <w:tcW w:w="1306" w:type="dxa"/>
                </w:tcPr>
                <w:p w:rsidR="004D00C2" w:rsidRPr="005674F6" w:rsidRDefault="005674F6" w:rsidP="004D00C2">
                  <w:pPr>
                    <w:jc w:val="center"/>
                    <w:rPr>
                      <w:rFonts w:cs="Arial"/>
                      <w:sz w:val="24"/>
                      <w:szCs w:val="24"/>
                    </w:rPr>
                  </w:pPr>
                  <w:r w:rsidRPr="005674F6">
                    <w:rPr>
                      <w:rFonts w:cs="Arial"/>
                      <w:sz w:val="24"/>
                      <w:szCs w:val="24"/>
                    </w:rPr>
                    <w:t>97.36</w:t>
                  </w:r>
                </w:p>
              </w:tc>
              <w:tc>
                <w:tcPr>
                  <w:tcW w:w="1272" w:type="dxa"/>
                </w:tcPr>
                <w:p w:rsidR="004D00C2" w:rsidRPr="005674F6" w:rsidRDefault="004D00C2" w:rsidP="004D00C2">
                  <w:pPr>
                    <w:jc w:val="center"/>
                    <w:rPr>
                      <w:rFonts w:cs="Arial"/>
                      <w:sz w:val="24"/>
                      <w:szCs w:val="24"/>
                    </w:rPr>
                  </w:pPr>
                  <w:r w:rsidRPr="005674F6">
                    <w:rPr>
                      <w:rFonts w:cs="Arial"/>
                      <w:sz w:val="24"/>
                      <w:szCs w:val="24"/>
                    </w:rPr>
                    <w:t>0</w:t>
                  </w:r>
                </w:p>
              </w:tc>
              <w:tc>
                <w:tcPr>
                  <w:tcW w:w="802" w:type="dxa"/>
                </w:tcPr>
                <w:p w:rsidR="004D00C2" w:rsidRPr="005674F6" w:rsidRDefault="008F6C70" w:rsidP="004D00C2">
                  <w:pPr>
                    <w:jc w:val="center"/>
                    <w:rPr>
                      <w:rFonts w:cs="Arial"/>
                      <w:sz w:val="24"/>
                      <w:szCs w:val="24"/>
                    </w:rPr>
                  </w:pPr>
                  <w:r w:rsidRPr="005674F6">
                    <w:rPr>
                      <w:rFonts w:cs="Arial"/>
                      <w:sz w:val="24"/>
                      <w:szCs w:val="24"/>
                    </w:rPr>
                    <w:t>2</w:t>
                  </w:r>
                </w:p>
              </w:tc>
              <w:tc>
                <w:tcPr>
                  <w:tcW w:w="905" w:type="dxa"/>
                </w:tcPr>
                <w:p w:rsidR="004D00C2" w:rsidRPr="005674F6" w:rsidRDefault="005674F6" w:rsidP="004D00C2">
                  <w:pPr>
                    <w:jc w:val="center"/>
                    <w:rPr>
                      <w:rFonts w:cs="Arial"/>
                      <w:sz w:val="24"/>
                      <w:szCs w:val="24"/>
                    </w:rPr>
                  </w:pPr>
                  <w:r w:rsidRPr="005674F6">
                    <w:rPr>
                      <w:rFonts w:cs="Arial"/>
                      <w:sz w:val="24"/>
                      <w:szCs w:val="24"/>
                    </w:rPr>
                    <w:t>34</w:t>
                  </w:r>
                </w:p>
              </w:tc>
              <w:tc>
                <w:tcPr>
                  <w:tcW w:w="919" w:type="dxa"/>
                </w:tcPr>
                <w:p w:rsidR="004D00C2" w:rsidRPr="005674F6" w:rsidRDefault="004D00C2" w:rsidP="004D00C2">
                  <w:pPr>
                    <w:jc w:val="center"/>
                    <w:rPr>
                      <w:rFonts w:cs="Arial"/>
                      <w:sz w:val="24"/>
                      <w:szCs w:val="24"/>
                    </w:rPr>
                  </w:pPr>
                  <w:r w:rsidRPr="005674F6">
                    <w:rPr>
                      <w:rFonts w:cs="Arial"/>
                      <w:sz w:val="24"/>
                      <w:szCs w:val="24"/>
                    </w:rPr>
                    <w:t>7</w:t>
                  </w:r>
                </w:p>
              </w:tc>
              <w:tc>
                <w:tcPr>
                  <w:tcW w:w="996" w:type="dxa"/>
                </w:tcPr>
                <w:p w:rsidR="004D00C2" w:rsidRPr="005674F6" w:rsidRDefault="005674F6" w:rsidP="004D00C2">
                  <w:pPr>
                    <w:jc w:val="center"/>
                    <w:rPr>
                      <w:rFonts w:cs="Arial"/>
                      <w:sz w:val="24"/>
                      <w:szCs w:val="24"/>
                    </w:rPr>
                  </w:pPr>
                  <w:r w:rsidRPr="005674F6">
                    <w:rPr>
                      <w:rFonts w:cs="Arial"/>
                      <w:sz w:val="24"/>
                      <w:szCs w:val="24"/>
                    </w:rPr>
                    <w:t>13</w:t>
                  </w:r>
                </w:p>
              </w:tc>
              <w:tc>
                <w:tcPr>
                  <w:tcW w:w="1195" w:type="dxa"/>
                </w:tcPr>
                <w:p w:rsidR="004D00C2" w:rsidRPr="005674F6" w:rsidRDefault="004D00C2" w:rsidP="004D00C2">
                  <w:pPr>
                    <w:jc w:val="center"/>
                    <w:rPr>
                      <w:rFonts w:cs="Arial"/>
                      <w:sz w:val="24"/>
                      <w:szCs w:val="24"/>
                    </w:rPr>
                  </w:pPr>
                  <w:r w:rsidRPr="005674F6">
                    <w:rPr>
                      <w:rFonts w:cs="Arial"/>
                      <w:sz w:val="24"/>
                      <w:szCs w:val="24"/>
                    </w:rPr>
                    <w:t>1 filled by NQT</w:t>
                  </w:r>
                </w:p>
              </w:tc>
            </w:tr>
          </w:tbl>
          <w:p w:rsidR="004D00C2" w:rsidRPr="004D00C2" w:rsidRDefault="004D00C2" w:rsidP="004D00C2">
            <w:pPr>
              <w:rPr>
                <w:rFonts w:ascii="Bradley Hand ITC" w:hAnsi="Bradley Hand ITC"/>
                <w:b/>
                <w:color w:val="000000" w:themeColor="text1"/>
                <w:sz w:val="24"/>
                <w:szCs w:val="24"/>
              </w:rPr>
            </w:pPr>
          </w:p>
        </w:tc>
      </w:tr>
    </w:tbl>
    <w:p w:rsidR="00CA655F" w:rsidRDefault="00CA655F" w:rsidP="00796D56">
      <w:pPr>
        <w:spacing w:after="0" w:line="240" w:lineRule="auto"/>
        <w:jc w:val="center"/>
        <w:rPr>
          <w:sz w:val="10"/>
        </w:rPr>
      </w:pPr>
    </w:p>
    <w:p w:rsidR="00B24B61" w:rsidRPr="00D26817" w:rsidRDefault="00B24B61" w:rsidP="00796D56">
      <w:pPr>
        <w:spacing w:after="0" w:line="240" w:lineRule="auto"/>
        <w:jc w:val="center"/>
        <w:rPr>
          <w:sz w:val="10"/>
        </w:rPr>
      </w:pPr>
    </w:p>
    <w:p w:rsidR="001A0839" w:rsidRDefault="001A0839" w:rsidP="001A0839">
      <w:pPr>
        <w:spacing w:after="0" w:line="240" w:lineRule="auto"/>
      </w:pPr>
    </w:p>
    <w:tbl>
      <w:tblPr>
        <w:tblStyle w:val="TableGrid"/>
        <w:tblW w:w="15593" w:type="dxa"/>
        <w:tblInd w:w="-5" w:type="dxa"/>
        <w:tblLook w:val="04A0" w:firstRow="1" w:lastRow="0" w:firstColumn="1" w:lastColumn="0" w:noHBand="0" w:noVBand="1"/>
      </w:tblPr>
      <w:tblGrid>
        <w:gridCol w:w="3119"/>
        <w:gridCol w:w="12474"/>
      </w:tblGrid>
      <w:tr w:rsidR="001A0839" w:rsidRPr="001A0839" w:rsidTr="001A0839">
        <w:tc>
          <w:tcPr>
            <w:tcW w:w="15593" w:type="dxa"/>
            <w:gridSpan w:val="2"/>
            <w:tcBorders>
              <w:top w:val="single" w:sz="4" w:space="0" w:color="auto"/>
            </w:tcBorders>
            <w:shd w:val="clear" w:color="auto" w:fill="000000" w:themeFill="text1"/>
          </w:tcPr>
          <w:p w:rsidR="00CA655F" w:rsidRPr="001A0839" w:rsidRDefault="00CA655F" w:rsidP="00CA655F">
            <w:pPr>
              <w:jc w:val="center"/>
              <w:rPr>
                <w:b/>
                <w:color w:val="FFFFFF" w:themeColor="background1"/>
                <w:sz w:val="32"/>
                <w:szCs w:val="24"/>
              </w:rPr>
            </w:pPr>
            <w:r w:rsidRPr="001A0839">
              <w:rPr>
                <w:b/>
                <w:color w:val="FFFFFF" w:themeColor="background1"/>
                <w:sz w:val="44"/>
                <w:szCs w:val="24"/>
              </w:rPr>
              <w:t>Priority 1</w:t>
            </w:r>
          </w:p>
        </w:tc>
      </w:tr>
      <w:tr w:rsidR="00CA655F" w:rsidRPr="00CA3833" w:rsidTr="00CA655F">
        <w:trPr>
          <w:trHeight w:val="524"/>
        </w:trPr>
        <w:tc>
          <w:tcPr>
            <w:tcW w:w="15593" w:type="dxa"/>
            <w:gridSpan w:val="2"/>
            <w:shd w:val="clear" w:color="auto" w:fill="FFFFFF" w:themeFill="background1"/>
            <w:vAlign w:val="center"/>
          </w:tcPr>
          <w:p w:rsidR="00CA655F" w:rsidRPr="00CA655F" w:rsidRDefault="001A0839" w:rsidP="00CA655F">
            <w:pPr>
              <w:jc w:val="center"/>
              <w:rPr>
                <w:rFonts w:ascii="Bradley Hand ITC" w:hAnsi="Bradley Hand ITC"/>
                <w:b/>
                <w:color w:val="000000" w:themeColor="text1"/>
                <w:sz w:val="28"/>
              </w:rPr>
            </w:pPr>
            <w:r>
              <w:rPr>
                <w:rFonts w:ascii="Bradley Hand ITC" w:hAnsi="Bradley Hand ITC"/>
                <w:b/>
                <w:color w:val="000000" w:themeColor="text1"/>
                <w:sz w:val="28"/>
              </w:rPr>
              <w:t>Summary of Priority</w:t>
            </w:r>
          </w:p>
        </w:tc>
      </w:tr>
      <w:tr w:rsidR="00644A04" w:rsidRPr="00CA3833" w:rsidTr="00E852F2">
        <w:trPr>
          <w:trHeight w:val="862"/>
        </w:trPr>
        <w:tc>
          <w:tcPr>
            <w:tcW w:w="3119" w:type="dxa"/>
            <w:shd w:val="clear" w:color="auto" w:fill="000000" w:themeFill="text1"/>
            <w:vAlign w:val="center"/>
          </w:tcPr>
          <w:p w:rsidR="00CA655F" w:rsidRDefault="00944ED7" w:rsidP="00130311">
            <w:pPr>
              <w:jc w:val="center"/>
              <w:rPr>
                <w:b/>
                <w:sz w:val="24"/>
              </w:rPr>
            </w:pPr>
            <w:r>
              <w:rPr>
                <w:b/>
                <w:sz w:val="24"/>
              </w:rPr>
              <w:t>Key l</w:t>
            </w:r>
            <w:r w:rsidR="00644A04">
              <w:rPr>
                <w:b/>
                <w:sz w:val="24"/>
              </w:rPr>
              <w:t>ink</w:t>
            </w:r>
            <w:r>
              <w:rPr>
                <w:b/>
                <w:sz w:val="24"/>
              </w:rPr>
              <w:t>s</w:t>
            </w:r>
            <w:r w:rsidR="00644A04">
              <w:rPr>
                <w:b/>
                <w:sz w:val="24"/>
              </w:rPr>
              <w:t xml:space="preserve"> to </w:t>
            </w:r>
          </w:p>
          <w:p w:rsidR="00644A04" w:rsidRDefault="00CA655F" w:rsidP="00130311">
            <w:pPr>
              <w:jc w:val="center"/>
              <w:rPr>
                <w:b/>
                <w:sz w:val="24"/>
              </w:rPr>
            </w:pPr>
            <w:r>
              <w:rPr>
                <w:b/>
                <w:sz w:val="24"/>
              </w:rPr>
              <w:t>Moray Education</w:t>
            </w:r>
          </w:p>
          <w:p w:rsidR="00644A04" w:rsidRPr="00644A04" w:rsidRDefault="00644A04" w:rsidP="00130311">
            <w:pPr>
              <w:jc w:val="center"/>
              <w:rPr>
                <w:b/>
                <w:sz w:val="24"/>
              </w:rPr>
            </w:pPr>
            <w:r>
              <w:rPr>
                <w:b/>
                <w:sz w:val="24"/>
              </w:rPr>
              <w:t>Priority Area(s):</w:t>
            </w:r>
          </w:p>
        </w:tc>
        <w:tc>
          <w:tcPr>
            <w:tcW w:w="12474" w:type="dxa"/>
            <w:shd w:val="clear" w:color="auto" w:fill="FFFFFF" w:themeFill="background1"/>
            <w:vAlign w:val="center"/>
          </w:tcPr>
          <w:p w:rsidR="00644A04" w:rsidRPr="00944ED7" w:rsidRDefault="00F60592" w:rsidP="00944ED7">
            <w:pPr>
              <w:tabs>
                <w:tab w:val="left" w:pos="2018"/>
                <w:tab w:val="left" w:pos="6412"/>
              </w:tabs>
              <w:jc w:val="both"/>
              <w:rPr>
                <w:sz w:val="20"/>
              </w:rPr>
            </w:pPr>
            <w:r w:rsidRPr="00944ED7">
              <w:rPr>
                <w:sz w:val="20"/>
              </w:rPr>
              <w:tab/>
            </w:r>
            <w:sdt>
              <w:sdtPr>
                <w:rPr>
                  <w:sz w:val="20"/>
                </w:rPr>
                <w:id w:val="-1542357863"/>
                <w14:checkbox>
                  <w14:checked w14:val="1"/>
                  <w14:checkedState w14:val="2612" w14:font="MS Gothic"/>
                  <w14:uncheckedState w14:val="2610" w14:font="MS Gothic"/>
                </w14:checkbox>
              </w:sdtPr>
              <w:sdtEndPr/>
              <w:sdtContent>
                <w:r w:rsidR="006C1C59">
                  <w:rPr>
                    <w:rFonts w:ascii="MS Gothic" w:eastAsia="MS Gothic" w:hAnsi="MS Gothic" w:hint="eastAsia"/>
                    <w:sz w:val="20"/>
                  </w:rPr>
                  <w:t>☒</w:t>
                </w:r>
              </w:sdtContent>
            </w:sdt>
            <w:r w:rsidR="00644A04" w:rsidRPr="00944ED7">
              <w:rPr>
                <w:sz w:val="20"/>
              </w:rPr>
              <w:t xml:space="preserve"> </w:t>
            </w:r>
            <w:r w:rsidR="007D44A5" w:rsidRPr="00944ED7">
              <w:rPr>
                <w:sz w:val="20"/>
              </w:rPr>
              <w:t>Rais</w:t>
            </w:r>
            <w:r w:rsidR="009F378E">
              <w:rPr>
                <w:sz w:val="20"/>
              </w:rPr>
              <w:t>ing</w:t>
            </w:r>
            <w:r w:rsidR="007D44A5" w:rsidRPr="00944ED7">
              <w:rPr>
                <w:sz w:val="20"/>
              </w:rPr>
              <w:t xml:space="preserve"> </w:t>
            </w:r>
            <w:r w:rsidRPr="00944ED7">
              <w:rPr>
                <w:sz w:val="20"/>
              </w:rPr>
              <w:t>Attainment and A</w:t>
            </w:r>
            <w:r w:rsidR="007D44A5" w:rsidRPr="00944ED7">
              <w:rPr>
                <w:sz w:val="20"/>
              </w:rPr>
              <w:t>chievement</w:t>
            </w:r>
            <w:r w:rsidR="007D44A5" w:rsidRPr="00944ED7">
              <w:rPr>
                <w:sz w:val="20"/>
              </w:rPr>
              <w:tab/>
            </w:r>
            <w:sdt>
              <w:sdtPr>
                <w:rPr>
                  <w:sz w:val="20"/>
                </w:rPr>
                <w:id w:val="1386988370"/>
                <w14:checkbox>
                  <w14:checked w14:val="1"/>
                  <w14:checkedState w14:val="2612" w14:font="MS Gothic"/>
                  <w14:uncheckedState w14:val="2610" w14:font="MS Gothic"/>
                </w14:checkbox>
              </w:sdtPr>
              <w:sdtEndPr/>
              <w:sdtContent>
                <w:r w:rsidR="006C1C59">
                  <w:rPr>
                    <w:rFonts w:ascii="MS Gothic" w:eastAsia="MS Gothic" w:hAnsi="MS Gothic" w:hint="eastAsia"/>
                    <w:sz w:val="20"/>
                  </w:rPr>
                  <w:t>☒</w:t>
                </w:r>
              </w:sdtContent>
            </w:sdt>
            <w:r w:rsidR="007D44A5" w:rsidRPr="00944ED7">
              <w:rPr>
                <w:sz w:val="20"/>
              </w:rPr>
              <w:t xml:space="preserve"> </w:t>
            </w:r>
            <w:r w:rsidRPr="00944ED7">
              <w:rPr>
                <w:sz w:val="20"/>
              </w:rPr>
              <w:t>Self-evaluation for Self-improvement</w:t>
            </w:r>
          </w:p>
          <w:p w:rsidR="00644A04" w:rsidRPr="00944ED7" w:rsidRDefault="00F60592" w:rsidP="00944ED7">
            <w:pPr>
              <w:tabs>
                <w:tab w:val="left" w:pos="2018"/>
                <w:tab w:val="left" w:pos="6412"/>
              </w:tabs>
              <w:jc w:val="both"/>
              <w:rPr>
                <w:sz w:val="20"/>
              </w:rPr>
            </w:pPr>
            <w:r w:rsidRPr="00944ED7">
              <w:rPr>
                <w:sz w:val="20"/>
              </w:rPr>
              <w:tab/>
            </w:r>
            <w:sdt>
              <w:sdtPr>
                <w:rPr>
                  <w:sz w:val="20"/>
                </w:rPr>
                <w:id w:val="-1657608757"/>
                <w14:checkbox>
                  <w14:checked w14:val="1"/>
                  <w14:checkedState w14:val="2612" w14:font="MS Gothic"/>
                  <w14:uncheckedState w14:val="2610" w14:font="MS Gothic"/>
                </w14:checkbox>
              </w:sdtPr>
              <w:sdtEndPr/>
              <w:sdtContent>
                <w:r w:rsidR="006C1C59">
                  <w:rPr>
                    <w:rFonts w:ascii="MS Gothic" w:eastAsia="MS Gothic" w:hAnsi="MS Gothic" w:hint="eastAsia"/>
                    <w:sz w:val="20"/>
                  </w:rPr>
                  <w:t>☒</w:t>
                </w:r>
              </w:sdtContent>
            </w:sdt>
            <w:r w:rsidR="00644A04" w:rsidRPr="00944ED7">
              <w:rPr>
                <w:sz w:val="20"/>
              </w:rPr>
              <w:t xml:space="preserve"> </w:t>
            </w:r>
            <w:r w:rsidR="00005323">
              <w:rPr>
                <w:sz w:val="20"/>
              </w:rPr>
              <w:t xml:space="preserve">Learning, </w:t>
            </w:r>
            <w:r w:rsidRPr="00944ED7">
              <w:rPr>
                <w:sz w:val="20"/>
              </w:rPr>
              <w:t>T</w:t>
            </w:r>
            <w:r w:rsidR="007D44A5" w:rsidRPr="00944ED7">
              <w:rPr>
                <w:sz w:val="20"/>
              </w:rPr>
              <w:t>eaching</w:t>
            </w:r>
            <w:r w:rsidR="00005323">
              <w:rPr>
                <w:sz w:val="20"/>
              </w:rPr>
              <w:t xml:space="preserve"> and Assessment</w:t>
            </w:r>
            <w:r w:rsidR="007D44A5" w:rsidRPr="00944ED7">
              <w:rPr>
                <w:sz w:val="20"/>
              </w:rPr>
              <w:tab/>
            </w:r>
            <w:sdt>
              <w:sdtPr>
                <w:rPr>
                  <w:sz w:val="20"/>
                </w:rPr>
                <w:id w:val="1880127537"/>
                <w14:checkbox>
                  <w14:checked w14:val="1"/>
                  <w14:checkedState w14:val="2612" w14:font="MS Gothic"/>
                  <w14:uncheckedState w14:val="2610" w14:font="MS Gothic"/>
                </w14:checkbox>
              </w:sdtPr>
              <w:sdtEndPr/>
              <w:sdtContent>
                <w:r w:rsidR="006C1C59">
                  <w:rPr>
                    <w:rFonts w:ascii="MS Gothic" w:eastAsia="MS Gothic" w:hAnsi="MS Gothic" w:hint="eastAsia"/>
                    <w:sz w:val="20"/>
                  </w:rPr>
                  <w:t>☒</w:t>
                </w:r>
              </w:sdtContent>
            </w:sdt>
            <w:r w:rsidR="007D44A5" w:rsidRPr="00944ED7">
              <w:rPr>
                <w:sz w:val="20"/>
              </w:rPr>
              <w:t xml:space="preserve"> </w:t>
            </w:r>
            <w:r w:rsidRPr="00944ED7">
              <w:rPr>
                <w:sz w:val="20"/>
              </w:rPr>
              <w:t>Supporting</w:t>
            </w:r>
            <w:r w:rsidR="00005323">
              <w:rPr>
                <w:sz w:val="20"/>
              </w:rPr>
              <w:t xml:space="preserve"> All</w:t>
            </w:r>
            <w:r w:rsidRPr="00944ED7">
              <w:rPr>
                <w:sz w:val="20"/>
              </w:rPr>
              <w:t xml:space="preserve"> Learners</w:t>
            </w:r>
          </w:p>
          <w:p w:rsidR="00644A04" w:rsidRPr="00944ED7" w:rsidRDefault="00F60592" w:rsidP="00944ED7">
            <w:pPr>
              <w:tabs>
                <w:tab w:val="left" w:pos="2018"/>
                <w:tab w:val="left" w:pos="6412"/>
              </w:tabs>
              <w:jc w:val="both"/>
              <w:rPr>
                <w:sz w:val="20"/>
              </w:rPr>
            </w:pPr>
            <w:r w:rsidRPr="00944ED7">
              <w:rPr>
                <w:sz w:val="20"/>
              </w:rPr>
              <w:tab/>
            </w:r>
            <w:sdt>
              <w:sdtPr>
                <w:rPr>
                  <w:sz w:val="20"/>
                </w:rPr>
                <w:id w:val="441495812"/>
                <w14:checkbox>
                  <w14:checked w14:val="1"/>
                  <w14:checkedState w14:val="2612" w14:font="MS Gothic"/>
                  <w14:uncheckedState w14:val="2610" w14:font="MS Gothic"/>
                </w14:checkbox>
              </w:sdtPr>
              <w:sdtEndPr/>
              <w:sdtContent>
                <w:r w:rsidR="006C1C59">
                  <w:rPr>
                    <w:rFonts w:ascii="MS Gothic" w:eastAsia="MS Gothic" w:hAnsi="MS Gothic" w:hint="eastAsia"/>
                    <w:sz w:val="20"/>
                  </w:rPr>
                  <w:t>☒</w:t>
                </w:r>
              </w:sdtContent>
            </w:sdt>
            <w:r w:rsidR="00644A04" w:rsidRPr="00944ED7">
              <w:rPr>
                <w:sz w:val="20"/>
              </w:rPr>
              <w:t xml:space="preserve"> </w:t>
            </w:r>
            <w:r w:rsidR="007D44A5" w:rsidRPr="00944ED7">
              <w:rPr>
                <w:sz w:val="20"/>
              </w:rPr>
              <w:t>Curriculum</w:t>
            </w:r>
            <w:r w:rsidR="007D44A5" w:rsidRPr="00944ED7">
              <w:rPr>
                <w:sz w:val="20"/>
              </w:rPr>
              <w:tab/>
            </w:r>
            <w:sdt>
              <w:sdtPr>
                <w:rPr>
                  <w:sz w:val="20"/>
                </w:rPr>
                <w:id w:val="1082414564"/>
                <w14:checkbox>
                  <w14:checked w14:val="1"/>
                  <w14:checkedState w14:val="2612" w14:font="MS Gothic"/>
                  <w14:uncheckedState w14:val="2610" w14:font="MS Gothic"/>
                </w14:checkbox>
              </w:sdtPr>
              <w:sdtEndPr/>
              <w:sdtContent>
                <w:r w:rsidR="006C1C59">
                  <w:rPr>
                    <w:rFonts w:ascii="MS Gothic" w:eastAsia="MS Gothic" w:hAnsi="MS Gothic" w:hint="eastAsia"/>
                    <w:sz w:val="20"/>
                  </w:rPr>
                  <w:t>☒</w:t>
                </w:r>
              </w:sdtContent>
            </w:sdt>
            <w:r w:rsidR="007D44A5" w:rsidRPr="00944ED7">
              <w:rPr>
                <w:sz w:val="20"/>
              </w:rPr>
              <w:t xml:space="preserve"> </w:t>
            </w:r>
            <w:r w:rsidRPr="00944ED7">
              <w:rPr>
                <w:sz w:val="20"/>
              </w:rPr>
              <w:t>Leadership at all Levels</w:t>
            </w:r>
          </w:p>
        </w:tc>
      </w:tr>
    </w:tbl>
    <w:p w:rsidR="00796D56" w:rsidRPr="00130311" w:rsidRDefault="00796D56" w:rsidP="00796D56">
      <w:pPr>
        <w:spacing w:after="0" w:line="240" w:lineRule="auto"/>
        <w:rPr>
          <w:sz w:val="8"/>
        </w:rPr>
      </w:pPr>
    </w:p>
    <w:tbl>
      <w:tblPr>
        <w:tblStyle w:val="TableGrid"/>
        <w:tblW w:w="15650" w:type="dxa"/>
        <w:tblLook w:val="04A0" w:firstRow="1" w:lastRow="0" w:firstColumn="1" w:lastColumn="0" w:noHBand="0" w:noVBand="1"/>
      </w:tblPr>
      <w:tblGrid>
        <w:gridCol w:w="6374"/>
        <w:gridCol w:w="142"/>
        <w:gridCol w:w="2835"/>
        <w:gridCol w:w="142"/>
        <w:gridCol w:w="3685"/>
        <w:gridCol w:w="142"/>
        <w:gridCol w:w="760"/>
        <w:gridCol w:w="799"/>
        <w:gridCol w:w="771"/>
      </w:tblGrid>
      <w:tr w:rsidR="00F1352F" w:rsidRPr="00130311" w:rsidTr="00F1352F">
        <w:tc>
          <w:tcPr>
            <w:tcW w:w="6374" w:type="dxa"/>
            <w:shd w:val="clear" w:color="auto" w:fill="000000" w:themeFill="text1"/>
          </w:tcPr>
          <w:p w:rsidR="00130311" w:rsidRPr="00130311" w:rsidRDefault="00F729EB" w:rsidP="00130311">
            <w:pPr>
              <w:jc w:val="center"/>
              <w:rPr>
                <w:b/>
                <w:sz w:val="24"/>
                <w:szCs w:val="24"/>
              </w:rPr>
            </w:pPr>
            <w:r>
              <w:rPr>
                <w:b/>
                <w:sz w:val="24"/>
                <w:szCs w:val="24"/>
              </w:rPr>
              <w:t>NIF Priorities</w:t>
            </w:r>
            <w:r w:rsidR="00CA0479">
              <w:rPr>
                <w:b/>
                <w:sz w:val="24"/>
                <w:szCs w:val="24"/>
              </w:rPr>
              <w:t>:</w:t>
            </w:r>
          </w:p>
        </w:tc>
        <w:tc>
          <w:tcPr>
            <w:tcW w:w="2977" w:type="dxa"/>
            <w:gridSpan w:val="2"/>
            <w:shd w:val="clear" w:color="auto" w:fill="000000" w:themeFill="text1"/>
          </w:tcPr>
          <w:p w:rsidR="00130311" w:rsidRPr="00130311" w:rsidRDefault="00F729EB" w:rsidP="00130311">
            <w:pPr>
              <w:jc w:val="center"/>
              <w:rPr>
                <w:b/>
                <w:sz w:val="24"/>
                <w:szCs w:val="24"/>
              </w:rPr>
            </w:pPr>
            <w:r>
              <w:rPr>
                <w:b/>
                <w:sz w:val="24"/>
                <w:szCs w:val="24"/>
              </w:rPr>
              <w:t>NIF Drivers</w:t>
            </w:r>
            <w:r w:rsidR="00CA0479">
              <w:rPr>
                <w:b/>
                <w:sz w:val="24"/>
                <w:szCs w:val="24"/>
              </w:rPr>
              <w:t>:</w:t>
            </w:r>
          </w:p>
        </w:tc>
        <w:tc>
          <w:tcPr>
            <w:tcW w:w="3827" w:type="dxa"/>
            <w:gridSpan w:val="2"/>
            <w:shd w:val="clear" w:color="auto" w:fill="000000" w:themeFill="text1"/>
          </w:tcPr>
          <w:p w:rsidR="00130311" w:rsidRPr="00130311" w:rsidRDefault="004208A1" w:rsidP="00130311">
            <w:pPr>
              <w:jc w:val="center"/>
              <w:rPr>
                <w:b/>
                <w:sz w:val="24"/>
                <w:szCs w:val="24"/>
              </w:rPr>
            </w:pPr>
            <w:r>
              <w:rPr>
                <w:b/>
                <w:sz w:val="24"/>
                <w:szCs w:val="24"/>
              </w:rPr>
              <w:t>Children’s Services Plan</w:t>
            </w:r>
            <w:r w:rsidR="00CA0479">
              <w:rPr>
                <w:b/>
                <w:sz w:val="24"/>
                <w:szCs w:val="24"/>
              </w:rPr>
              <w:t>:</w:t>
            </w:r>
          </w:p>
        </w:tc>
        <w:tc>
          <w:tcPr>
            <w:tcW w:w="2472" w:type="dxa"/>
            <w:gridSpan w:val="4"/>
            <w:shd w:val="clear" w:color="auto" w:fill="000000" w:themeFill="text1"/>
          </w:tcPr>
          <w:p w:rsidR="00130311" w:rsidRPr="00130311" w:rsidRDefault="004208A1" w:rsidP="00130311">
            <w:pPr>
              <w:jc w:val="center"/>
              <w:rPr>
                <w:b/>
                <w:sz w:val="24"/>
                <w:szCs w:val="24"/>
              </w:rPr>
            </w:pPr>
            <w:r>
              <w:rPr>
                <w:b/>
                <w:sz w:val="24"/>
                <w:szCs w:val="24"/>
              </w:rPr>
              <w:t>HGIOS?4 QIs</w:t>
            </w:r>
            <w:r w:rsidR="00CA0479">
              <w:rPr>
                <w:b/>
                <w:sz w:val="24"/>
                <w:szCs w:val="24"/>
              </w:rPr>
              <w:t>:</w:t>
            </w:r>
          </w:p>
        </w:tc>
      </w:tr>
      <w:tr w:rsidR="008754A6" w:rsidRPr="004208A1" w:rsidTr="001A0839">
        <w:trPr>
          <w:trHeight w:val="1450"/>
        </w:trPr>
        <w:tc>
          <w:tcPr>
            <w:tcW w:w="6516" w:type="dxa"/>
            <w:gridSpan w:val="2"/>
            <w:vAlign w:val="center"/>
          </w:tcPr>
          <w:p w:rsidR="008754A6" w:rsidRPr="00F1352F" w:rsidRDefault="001D4C03" w:rsidP="004208A1">
            <w:pPr>
              <w:tabs>
                <w:tab w:val="left" w:pos="313"/>
              </w:tabs>
              <w:rPr>
                <w:sz w:val="18"/>
                <w:szCs w:val="24"/>
              </w:rPr>
            </w:pPr>
            <w:sdt>
              <w:sdtPr>
                <w:rPr>
                  <w:sz w:val="18"/>
                  <w:szCs w:val="24"/>
                </w:rPr>
                <w:id w:val="1206213931"/>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8754A6" w:rsidRPr="004208A1">
              <w:rPr>
                <w:sz w:val="18"/>
                <w:szCs w:val="24"/>
              </w:rPr>
              <w:tab/>
            </w:r>
            <w:r w:rsidR="00F729EB" w:rsidRPr="00F1352F">
              <w:rPr>
                <w:sz w:val="18"/>
                <w:szCs w:val="24"/>
              </w:rPr>
              <w:t xml:space="preserve">Improvements in attainment, </w:t>
            </w:r>
            <w:r w:rsidR="008754A6" w:rsidRPr="00F1352F">
              <w:rPr>
                <w:sz w:val="18"/>
                <w:szCs w:val="24"/>
              </w:rPr>
              <w:t xml:space="preserve">particularly </w:t>
            </w:r>
            <w:r w:rsidR="00F729EB" w:rsidRPr="00F1352F">
              <w:rPr>
                <w:sz w:val="18"/>
                <w:szCs w:val="24"/>
              </w:rPr>
              <w:t>in Literacy and</w:t>
            </w:r>
            <w:r w:rsidR="008754A6" w:rsidRPr="00F1352F">
              <w:rPr>
                <w:sz w:val="18"/>
                <w:szCs w:val="24"/>
              </w:rPr>
              <w:t xml:space="preserve"> Numeracy</w:t>
            </w:r>
          </w:p>
          <w:p w:rsidR="008754A6" w:rsidRPr="00F1352F" w:rsidRDefault="001D4C03" w:rsidP="004208A1">
            <w:pPr>
              <w:tabs>
                <w:tab w:val="left" w:pos="313"/>
              </w:tabs>
              <w:rPr>
                <w:sz w:val="18"/>
                <w:szCs w:val="24"/>
              </w:rPr>
            </w:pPr>
            <w:sdt>
              <w:sdtPr>
                <w:rPr>
                  <w:sz w:val="18"/>
                  <w:szCs w:val="24"/>
                </w:rPr>
                <w:id w:val="-1364211654"/>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8754A6" w:rsidRPr="00F1352F">
              <w:rPr>
                <w:sz w:val="18"/>
                <w:szCs w:val="24"/>
              </w:rPr>
              <w:tab/>
            </w:r>
            <w:r w:rsidR="00F729EB" w:rsidRPr="00F1352F">
              <w:rPr>
                <w:sz w:val="18"/>
                <w:szCs w:val="24"/>
              </w:rPr>
              <w:t>Closing</w:t>
            </w:r>
            <w:r w:rsidR="008754A6" w:rsidRPr="00F1352F">
              <w:rPr>
                <w:sz w:val="18"/>
                <w:szCs w:val="24"/>
              </w:rPr>
              <w:t xml:space="preserve"> the attainment gap between </w:t>
            </w:r>
            <w:r w:rsidR="00F729EB" w:rsidRPr="00F1352F">
              <w:rPr>
                <w:sz w:val="18"/>
                <w:szCs w:val="24"/>
              </w:rPr>
              <w:t xml:space="preserve">the </w:t>
            </w:r>
            <w:r w:rsidR="008754A6" w:rsidRPr="00F1352F">
              <w:rPr>
                <w:sz w:val="18"/>
                <w:szCs w:val="24"/>
              </w:rPr>
              <w:t>most and least disadvantaged children</w:t>
            </w:r>
          </w:p>
          <w:p w:rsidR="008754A6" w:rsidRPr="00F1352F" w:rsidRDefault="001D4C03" w:rsidP="004208A1">
            <w:pPr>
              <w:tabs>
                <w:tab w:val="left" w:pos="313"/>
              </w:tabs>
              <w:rPr>
                <w:sz w:val="18"/>
                <w:szCs w:val="24"/>
              </w:rPr>
            </w:pPr>
            <w:sdt>
              <w:sdtPr>
                <w:rPr>
                  <w:sz w:val="18"/>
                  <w:szCs w:val="24"/>
                </w:rPr>
                <w:id w:val="-812947009"/>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8754A6" w:rsidRPr="00F1352F">
              <w:rPr>
                <w:sz w:val="18"/>
                <w:szCs w:val="24"/>
              </w:rPr>
              <w:tab/>
            </w:r>
            <w:r w:rsidR="00F729EB" w:rsidRPr="00F1352F">
              <w:rPr>
                <w:sz w:val="18"/>
                <w:szCs w:val="24"/>
              </w:rPr>
              <w:t>Improvement in c</w:t>
            </w:r>
            <w:r w:rsidR="008754A6" w:rsidRPr="00F1352F">
              <w:rPr>
                <w:sz w:val="18"/>
                <w:szCs w:val="24"/>
              </w:rPr>
              <w:t xml:space="preserve">hildren </w:t>
            </w:r>
            <w:r w:rsidR="00F729EB" w:rsidRPr="00F1352F">
              <w:rPr>
                <w:sz w:val="18"/>
                <w:szCs w:val="24"/>
              </w:rPr>
              <w:t>and young p</w:t>
            </w:r>
            <w:r w:rsidR="008754A6" w:rsidRPr="00F1352F">
              <w:rPr>
                <w:sz w:val="18"/>
                <w:szCs w:val="24"/>
              </w:rPr>
              <w:t xml:space="preserve">eople’s </w:t>
            </w:r>
            <w:r w:rsidR="00F729EB" w:rsidRPr="00F1352F">
              <w:rPr>
                <w:sz w:val="18"/>
                <w:szCs w:val="24"/>
              </w:rPr>
              <w:t>health and wellbeing</w:t>
            </w:r>
          </w:p>
          <w:p w:rsidR="008754A6" w:rsidRPr="004208A1" w:rsidRDefault="001D4C03" w:rsidP="004208A1">
            <w:pPr>
              <w:tabs>
                <w:tab w:val="left" w:pos="313"/>
              </w:tabs>
              <w:rPr>
                <w:sz w:val="16"/>
                <w:szCs w:val="24"/>
              </w:rPr>
            </w:pPr>
            <w:sdt>
              <w:sdtPr>
                <w:rPr>
                  <w:sz w:val="18"/>
                  <w:szCs w:val="24"/>
                </w:rPr>
                <w:id w:val="591364648"/>
                <w14:checkbox>
                  <w14:checked w14:val="0"/>
                  <w14:checkedState w14:val="2612" w14:font="MS Gothic"/>
                  <w14:uncheckedState w14:val="2610" w14:font="MS Gothic"/>
                </w14:checkbox>
              </w:sdtPr>
              <w:sdtEndPr/>
              <w:sdtContent>
                <w:r w:rsidR="00CA655F">
                  <w:rPr>
                    <w:rFonts w:ascii="MS Gothic" w:eastAsia="MS Gothic" w:hAnsi="MS Gothic" w:hint="eastAsia"/>
                    <w:sz w:val="18"/>
                    <w:szCs w:val="24"/>
                  </w:rPr>
                  <w:t>☐</w:t>
                </w:r>
              </w:sdtContent>
            </w:sdt>
            <w:r w:rsidR="008754A6" w:rsidRPr="00F1352F">
              <w:rPr>
                <w:sz w:val="18"/>
                <w:szCs w:val="24"/>
              </w:rPr>
              <w:tab/>
            </w:r>
            <w:r w:rsidR="00F729EB" w:rsidRPr="00F1352F">
              <w:rPr>
                <w:sz w:val="18"/>
                <w:szCs w:val="24"/>
              </w:rPr>
              <w:t>Improvement</w:t>
            </w:r>
            <w:r w:rsidR="008754A6" w:rsidRPr="00F1352F">
              <w:rPr>
                <w:sz w:val="18"/>
                <w:szCs w:val="24"/>
              </w:rPr>
              <w:t xml:space="preserve"> in employability skills and sustained, positive school leaver </w:t>
            </w:r>
            <w:r w:rsidR="008754A6" w:rsidRPr="00F1352F">
              <w:rPr>
                <w:sz w:val="18"/>
                <w:szCs w:val="24"/>
              </w:rPr>
              <w:tab/>
              <w:t>destinations for all young people</w:t>
            </w:r>
          </w:p>
        </w:tc>
        <w:tc>
          <w:tcPr>
            <w:tcW w:w="2977" w:type="dxa"/>
            <w:gridSpan w:val="2"/>
            <w:vAlign w:val="center"/>
          </w:tcPr>
          <w:p w:rsidR="008754A6" w:rsidRPr="00F729EB" w:rsidRDefault="001D4C03" w:rsidP="00707C57">
            <w:pPr>
              <w:rPr>
                <w:sz w:val="18"/>
                <w:szCs w:val="24"/>
              </w:rPr>
            </w:pPr>
            <w:sdt>
              <w:sdtPr>
                <w:rPr>
                  <w:sz w:val="18"/>
                  <w:szCs w:val="24"/>
                </w:rPr>
                <w:id w:val="-2071266110"/>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8754A6" w:rsidRPr="00F729EB">
              <w:rPr>
                <w:sz w:val="18"/>
                <w:szCs w:val="24"/>
              </w:rPr>
              <w:t xml:space="preserve"> School Leadership</w:t>
            </w:r>
          </w:p>
          <w:p w:rsidR="008754A6" w:rsidRPr="00F729EB" w:rsidRDefault="001D4C03" w:rsidP="00707C57">
            <w:pPr>
              <w:rPr>
                <w:sz w:val="18"/>
                <w:szCs w:val="24"/>
              </w:rPr>
            </w:pPr>
            <w:sdt>
              <w:sdtPr>
                <w:rPr>
                  <w:sz w:val="18"/>
                  <w:szCs w:val="24"/>
                </w:rPr>
                <w:id w:val="233816919"/>
                <w14:checkbox>
                  <w14:checked w14:val="0"/>
                  <w14:checkedState w14:val="2612" w14:font="MS Gothic"/>
                  <w14:uncheckedState w14:val="2610" w14:font="MS Gothic"/>
                </w14:checkbox>
              </w:sdtPr>
              <w:sdtEndPr/>
              <w:sdtContent>
                <w:r w:rsidR="001A0839">
                  <w:rPr>
                    <w:rFonts w:ascii="MS Gothic" w:eastAsia="MS Gothic" w:hAnsi="MS Gothic" w:hint="eastAsia"/>
                    <w:sz w:val="18"/>
                    <w:szCs w:val="24"/>
                  </w:rPr>
                  <w:t>☐</w:t>
                </w:r>
              </w:sdtContent>
            </w:sdt>
            <w:r w:rsidR="008754A6" w:rsidRPr="00F729EB">
              <w:rPr>
                <w:sz w:val="18"/>
                <w:szCs w:val="24"/>
              </w:rPr>
              <w:t xml:space="preserve"> Teacher Professionalism</w:t>
            </w:r>
          </w:p>
          <w:p w:rsidR="008754A6" w:rsidRPr="00F729EB" w:rsidRDefault="001D4C03" w:rsidP="00707C57">
            <w:pPr>
              <w:rPr>
                <w:sz w:val="18"/>
                <w:szCs w:val="24"/>
              </w:rPr>
            </w:pPr>
            <w:sdt>
              <w:sdtPr>
                <w:rPr>
                  <w:sz w:val="18"/>
                  <w:szCs w:val="24"/>
                </w:rPr>
                <w:id w:val="1045647276"/>
                <w14:checkbox>
                  <w14:checked w14:val="0"/>
                  <w14:checkedState w14:val="2612" w14:font="MS Gothic"/>
                  <w14:uncheckedState w14:val="2610" w14:font="MS Gothic"/>
                </w14:checkbox>
              </w:sdtPr>
              <w:sdtEndPr/>
              <w:sdtContent>
                <w:r w:rsidR="007C09E1">
                  <w:rPr>
                    <w:rFonts w:ascii="MS Gothic" w:eastAsia="MS Gothic" w:hAnsi="MS Gothic" w:hint="eastAsia"/>
                    <w:sz w:val="18"/>
                    <w:szCs w:val="24"/>
                  </w:rPr>
                  <w:t>☐</w:t>
                </w:r>
              </w:sdtContent>
            </w:sdt>
            <w:r w:rsidR="008754A6" w:rsidRPr="00F729EB">
              <w:rPr>
                <w:sz w:val="18"/>
                <w:szCs w:val="24"/>
              </w:rPr>
              <w:t xml:space="preserve"> Parental Engagement</w:t>
            </w:r>
          </w:p>
          <w:p w:rsidR="008754A6" w:rsidRPr="00F729EB" w:rsidRDefault="001D4C03" w:rsidP="00707C57">
            <w:pPr>
              <w:rPr>
                <w:sz w:val="18"/>
                <w:szCs w:val="24"/>
              </w:rPr>
            </w:pPr>
            <w:sdt>
              <w:sdtPr>
                <w:rPr>
                  <w:sz w:val="18"/>
                  <w:szCs w:val="24"/>
                </w:rPr>
                <w:id w:val="-810084852"/>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8754A6" w:rsidRPr="00F729EB">
              <w:rPr>
                <w:sz w:val="18"/>
                <w:szCs w:val="24"/>
              </w:rPr>
              <w:t xml:space="preserve"> Assessment of Children’s Progress</w:t>
            </w:r>
          </w:p>
          <w:p w:rsidR="008754A6" w:rsidRPr="00F729EB" w:rsidRDefault="001D4C03" w:rsidP="00707C57">
            <w:pPr>
              <w:rPr>
                <w:sz w:val="18"/>
                <w:szCs w:val="24"/>
              </w:rPr>
            </w:pPr>
            <w:sdt>
              <w:sdtPr>
                <w:rPr>
                  <w:sz w:val="18"/>
                  <w:szCs w:val="24"/>
                </w:rPr>
                <w:id w:val="499324643"/>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8754A6" w:rsidRPr="00F729EB">
              <w:rPr>
                <w:sz w:val="18"/>
                <w:szCs w:val="24"/>
              </w:rPr>
              <w:t xml:space="preserve"> School Improvement</w:t>
            </w:r>
          </w:p>
          <w:p w:rsidR="008754A6" w:rsidRPr="004208A1" w:rsidRDefault="001D4C03" w:rsidP="00707C57">
            <w:pPr>
              <w:rPr>
                <w:sz w:val="16"/>
                <w:szCs w:val="24"/>
              </w:rPr>
            </w:pPr>
            <w:sdt>
              <w:sdtPr>
                <w:rPr>
                  <w:sz w:val="18"/>
                  <w:szCs w:val="24"/>
                </w:rPr>
                <w:id w:val="1201673878"/>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8754A6" w:rsidRPr="00F729EB">
              <w:rPr>
                <w:sz w:val="18"/>
                <w:szCs w:val="24"/>
              </w:rPr>
              <w:t xml:space="preserve"> Performance Information</w:t>
            </w:r>
          </w:p>
        </w:tc>
        <w:tc>
          <w:tcPr>
            <w:tcW w:w="3827" w:type="dxa"/>
            <w:gridSpan w:val="2"/>
            <w:vAlign w:val="center"/>
          </w:tcPr>
          <w:p w:rsidR="008754A6" w:rsidRPr="00F1352F" w:rsidRDefault="001D4C03" w:rsidP="00707C57">
            <w:pPr>
              <w:rPr>
                <w:sz w:val="18"/>
                <w:szCs w:val="24"/>
              </w:rPr>
            </w:pPr>
            <w:sdt>
              <w:sdtPr>
                <w:rPr>
                  <w:sz w:val="18"/>
                  <w:szCs w:val="24"/>
                </w:rPr>
                <w:id w:val="-709336122"/>
                <w14:checkbox>
                  <w14:checked w14:val="1"/>
                  <w14:checkedState w14:val="2612" w14:font="MS Gothic"/>
                  <w14:uncheckedState w14:val="2610" w14:font="MS Gothic"/>
                </w14:checkbox>
              </w:sdtPr>
              <w:sdtEndPr/>
              <w:sdtContent>
                <w:r w:rsidR="006C1C59">
                  <w:rPr>
                    <w:rFonts w:ascii="MS Gothic" w:eastAsia="MS Gothic" w:hAnsi="MS Gothic" w:hint="eastAsia"/>
                    <w:sz w:val="18"/>
                    <w:szCs w:val="24"/>
                  </w:rPr>
                  <w:t>☒</w:t>
                </w:r>
              </w:sdtContent>
            </w:sdt>
            <w:r w:rsidR="00F1352F">
              <w:rPr>
                <w:sz w:val="18"/>
                <w:szCs w:val="24"/>
              </w:rPr>
              <w:t xml:space="preserve"> </w:t>
            </w:r>
            <w:r w:rsidR="00F1352F" w:rsidRPr="00F1352F">
              <w:rPr>
                <w:sz w:val="18"/>
                <w:szCs w:val="24"/>
                <w:u w:val="single"/>
              </w:rPr>
              <w:t>Priority 1</w:t>
            </w:r>
            <w:r w:rsidR="00F1352F" w:rsidRPr="00F1352F">
              <w:rPr>
                <w:sz w:val="18"/>
                <w:szCs w:val="24"/>
              </w:rPr>
              <w:t xml:space="preserve"> – </w:t>
            </w:r>
            <w:r w:rsidR="00005323">
              <w:rPr>
                <w:sz w:val="18"/>
                <w:szCs w:val="24"/>
              </w:rPr>
              <w:t>Improve Wellbeing</w:t>
            </w:r>
          </w:p>
          <w:p w:rsidR="00F1352F" w:rsidRPr="00F1352F" w:rsidRDefault="001D4C03" w:rsidP="00707C57">
            <w:pPr>
              <w:rPr>
                <w:sz w:val="18"/>
                <w:szCs w:val="24"/>
              </w:rPr>
            </w:pPr>
            <w:sdt>
              <w:sdtPr>
                <w:rPr>
                  <w:sz w:val="18"/>
                  <w:szCs w:val="24"/>
                </w:rPr>
                <w:id w:val="-103042808"/>
                <w14:checkbox>
                  <w14:checked w14:val="1"/>
                  <w14:checkedState w14:val="2612" w14:font="MS Gothic"/>
                  <w14:uncheckedState w14:val="2610" w14:font="MS Gothic"/>
                </w14:checkbox>
              </w:sdtPr>
              <w:sdtEndPr/>
              <w:sdtContent>
                <w:r w:rsidR="004116A1">
                  <w:rPr>
                    <w:rFonts w:ascii="MS Gothic" w:eastAsia="MS Gothic" w:hAnsi="MS Gothic" w:hint="eastAsia"/>
                    <w:sz w:val="18"/>
                    <w:szCs w:val="24"/>
                  </w:rPr>
                  <w:t>☒</w:t>
                </w:r>
              </w:sdtContent>
            </w:sdt>
            <w:r w:rsidR="00F1352F" w:rsidRPr="00F1352F">
              <w:rPr>
                <w:sz w:val="18"/>
                <w:szCs w:val="24"/>
              </w:rPr>
              <w:t xml:space="preserve"> </w:t>
            </w:r>
            <w:r w:rsidR="00F1352F" w:rsidRPr="00F1352F">
              <w:rPr>
                <w:sz w:val="18"/>
                <w:szCs w:val="24"/>
                <w:u w:val="single"/>
              </w:rPr>
              <w:t>Priority 2</w:t>
            </w:r>
            <w:r w:rsidR="00F1352F" w:rsidRPr="00F1352F">
              <w:rPr>
                <w:sz w:val="18"/>
                <w:szCs w:val="24"/>
              </w:rPr>
              <w:t xml:space="preserve"> – </w:t>
            </w:r>
            <w:r w:rsidR="00005323">
              <w:rPr>
                <w:sz w:val="18"/>
                <w:szCs w:val="24"/>
              </w:rPr>
              <w:t>Safeguarding</w:t>
            </w:r>
          </w:p>
          <w:p w:rsidR="00F1352F" w:rsidRDefault="001D4C03" w:rsidP="00005323">
            <w:pPr>
              <w:rPr>
                <w:sz w:val="18"/>
                <w:szCs w:val="24"/>
              </w:rPr>
            </w:pPr>
            <w:sdt>
              <w:sdtPr>
                <w:rPr>
                  <w:sz w:val="18"/>
                  <w:szCs w:val="24"/>
                </w:rPr>
                <w:id w:val="-385019551"/>
                <w14:checkbox>
                  <w14:checked w14:val="1"/>
                  <w14:checkedState w14:val="2612" w14:font="MS Gothic"/>
                  <w14:uncheckedState w14:val="2610" w14:font="MS Gothic"/>
                </w14:checkbox>
              </w:sdtPr>
              <w:sdtEndPr/>
              <w:sdtContent>
                <w:r w:rsidR="004116A1">
                  <w:rPr>
                    <w:rFonts w:ascii="MS Gothic" w:eastAsia="MS Gothic" w:hAnsi="MS Gothic" w:hint="eastAsia"/>
                    <w:sz w:val="18"/>
                    <w:szCs w:val="24"/>
                  </w:rPr>
                  <w:t>☒</w:t>
                </w:r>
              </w:sdtContent>
            </w:sdt>
            <w:r w:rsidR="00F1352F" w:rsidRPr="00F1352F">
              <w:rPr>
                <w:sz w:val="18"/>
                <w:szCs w:val="24"/>
              </w:rPr>
              <w:t xml:space="preserve"> </w:t>
            </w:r>
            <w:r w:rsidR="00F1352F" w:rsidRPr="00F1352F">
              <w:rPr>
                <w:sz w:val="18"/>
                <w:szCs w:val="24"/>
                <w:u w:val="single"/>
              </w:rPr>
              <w:t>Priority 3</w:t>
            </w:r>
            <w:r w:rsidR="00F1352F" w:rsidRPr="00F1352F">
              <w:rPr>
                <w:sz w:val="18"/>
                <w:szCs w:val="24"/>
              </w:rPr>
              <w:t xml:space="preserve"> – </w:t>
            </w:r>
            <w:r w:rsidR="00005323">
              <w:rPr>
                <w:sz w:val="18"/>
                <w:szCs w:val="24"/>
              </w:rPr>
              <w:t>Poverty</w:t>
            </w:r>
          </w:p>
          <w:p w:rsidR="00005323" w:rsidRDefault="001D4C03" w:rsidP="00005323">
            <w:pPr>
              <w:rPr>
                <w:sz w:val="18"/>
                <w:szCs w:val="24"/>
              </w:rPr>
            </w:pPr>
            <w:sdt>
              <w:sdtPr>
                <w:rPr>
                  <w:sz w:val="18"/>
                  <w:szCs w:val="24"/>
                </w:rPr>
                <w:id w:val="295804157"/>
                <w14:checkbox>
                  <w14:checked w14:val="1"/>
                  <w14:checkedState w14:val="2612" w14:font="MS Gothic"/>
                  <w14:uncheckedState w14:val="2610" w14:font="MS Gothic"/>
                </w14:checkbox>
              </w:sdtPr>
              <w:sdtEndPr/>
              <w:sdtContent>
                <w:r w:rsidR="004116A1">
                  <w:rPr>
                    <w:rFonts w:ascii="MS Gothic" w:eastAsia="MS Gothic" w:hAnsi="MS Gothic" w:hint="eastAsia"/>
                    <w:sz w:val="18"/>
                    <w:szCs w:val="24"/>
                  </w:rPr>
                  <w:t>☒</w:t>
                </w:r>
              </w:sdtContent>
            </w:sdt>
            <w:r w:rsidR="00005323" w:rsidRPr="00F1352F">
              <w:rPr>
                <w:sz w:val="18"/>
                <w:szCs w:val="24"/>
              </w:rPr>
              <w:t xml:space="preserve"> </w:t>
            </w:r>
            <w:r w:rsidR="00005323" w:rsidRPr="00F1352F">
              <w:rPr>
                <w:sz w:val="18"/>
                <w:szCs w:val="24"/>
                <w:u w:val="single"/>
              </w:rPr>
              <w:t>Priority</w:t>
            </w:r>
            <w:r w:rsidR="00005323">
              <w:rPr>
                <w:sz w:val="18"/>
                <w:szCs w:val="24"/>
                <w:u w:val="single"/>
              </w:rPr>
              <w:t xml:space="preserve"> 4</w:t>
            </w:r>
            <w:r w:rsidR="00005323" w:rsidRPr="00F1352F">
              <w:rPr>
                <w:sz w:val="18"/>
                <w:szCs w:val="24"/>
              </w:rPr>
              <w:t xml:space="preserve"> – </w:t>
            </w:r>
            <w:r w:rsidR="00005323">
              <w:rPr>
                <w:sz w:val="18"/>
                <w:szCs w:val="24"/>
              </w:rPr>
              <w:t>Corporate Parenting</w:t>
            </w:r>
          </w:p>
          <w:p w:rsidR="00005323" w:rsidRPr="00005323" w:rsidRDefault="00005323" w:rsidP="00005323">
            <w:pPr>
              <w:jc w:val="right"/>
              <w:rPr>
                <w:i/>
                <w:sz w:val="16"/>
                <w:szCs w:val="24"/>
              </w:rPr>
            </w:pPr>
          </w:p>
        </w:tc>
        <w:tc>
          <w:tcPr>
            <w:tcW w:w="760" w:type="dxa"/>
            <w:vAlign w:val="center"/>
          </w:tcPr>
          <w:p w:rsidR="008754A6" w:rsidRPr="00F729EB" w:rsidRDefault="001D4C03" w:rsidP="00F729EB">
            <w:pPr>
              <w:jc w:val="center"/>
              <w:rPr>
                <w:sz w:val="18"/>
                <w:szCs w:val="24"/>
              </w:rPr>
            </w:pPr>
            <w:sdt>
              <w:sdtPr>
                <w:rPr>
                  <w:sz w:val="18"/>
                  <w:szCs w:val="24"/>
                </w:rPr>
                <w:id w:val="1743913461"/>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8754A6" w:rsidRPr="00F729EB">
              <w:rPr>
                <w:sz w:val="18"/>
                <w:szCs w:val="24"/>
              </w:rPr>
              <w:t xml:space="preserve"> 1.1</w:t>
            </w:r>
          </w:p>
          <w:p w:rsidR="008754A6" w:rsidRPr="00F729EB" w:rsidRDefault="001D4C03" w:rsidP="00F729EB">
            <w:pPr>
              <w:jc w:val="center"/>
              <w:rPr>
                <w:sz w:val="18"/>
                <w:szCs w:val="24"/>
              </w:rPr>
            </w:pPr>
            <w:sdt>
              <w:sdtPr>
                <w:rPr>
                  <w:sz w:val="18"/>
                  <w:szCs w:val="24"/>
                </w:rPr>
                <w:id w:val="1639844196"/>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8754A6" w:rsidRPr="00F729EB">
              <w:rPr>
                <w:sz w:val="18"/>
                <w:szCs w:val="24"/>
              </w:rPr>
              <w:t xml:space="preserve"> 1.2</w:t>
            </w:r>
          </w:p>
          <w:p w:rsidR="008754A6" w:rsidRPr="00F729EB" w:rsidRDefault="001D4C03" w:rsidP="00F729EB">
            <w:pPr>
              <w:jc w:val="center"/>
              <w:rPr>
                <w:sz w:val="18"/>
                <w:szCs w:val="24"/>
              </w:rPr>
            </w:pPr>
            <w:sdt>
              <w:sdtPr>
                <w:rPr>
                  <w:sz w:val="18"/>
                  <w:szCs w:val="24"/>
                </w:rPr>
                <w:id w:val="320394682"/>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8754A6" w:rsidRPr="00F729EB">
              <w:rPr>
                <w:sz w:val="18"/>
                <w:szCs w:val="24"/>
              </w:rPr>
              <w:t xml:space="preserve"> 1.3</w:t>
            </w:r>
          </w:p>
          <w:p w:rsidR="008754A6" w:rsidRPr="00F729EB" w:rsidRDefault="001D4C03" w:rsidP="00F729EB">
            <w:pPr>
              <w:jc w:val="center"/>
              <w:rPr>
                <w:sz w:val="18"/>
                <w:szCs w:val="24"/>
              </w:rPr>
            </w:pPr>
            <w:sdt>
              <w:sdtPr>
                <w:rPr>
                  <w:sz w:val="18"/>
                  <w:szCs w:val="24"/>
                </w:rPr>
                <w:id w:val="-1732917260"/>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8754A6" w:rsidRPr="00F729EB">
              <w:rPr>
                <w:sz w:val="18"/>
                <w:szCs w:val="24"/>
              </w:rPr>
              <w:t xml:space="preserve"> 1.4</w:t>
            </w:r>
          </w:p>
          <w:p w:rsidR="008754A6" w:rsidRPr="00F729EB" w:rsidRDefault="001D4C03" w:rsidP="00F729EB">
            <w:pPr>
              <w:jc w:val="center"/>
              <w:rPr>
                <w:sz w:val="18"/>
                <w:szCs w:val="24"/>
              </w:rPr>
            </w:pPr>
            <w:sdt>
              <w:sdtPr>
                <w:rPr>
                  <w:sz w:val="18"/>
                  <w:szCs w:val="24"/>
                </w:rPr>
                <w:id w:val="951051331"/>
                <w14:checkbox>
                  <w14:checked w14:val="0"/>
                  <w14:checkedState w14:val="2612" w14:font="MS Gothic"/>
                  <w14:uncheckedState w14:val="2610" w14:font="MS Gothic"/>
                </w14:checkbox>
              </w:sdtPr>
              <w:sdtEndPr/>
              <w:sdtContent>
                <w:r w:rsidR="008754A6" w:rsidRPr="00F729EB">
                  <w:rPr>
                    <w:rFonts w:ascii="MS Gothic" w:eastAsia="MS Gothic" w:hAnsi="MS Gothic" w:hint="eastAsia"/>
                    <w:sz w:val="18"/>
                    <w:szCs w:val="24"/>
                  </w:rPr>
                  <w:t>☐</w:t>
                </w:r>
              </w:sdtContent>
            </w:sdt>
            <w:r w:rsidR="008754A6" w:rsidRPr="00F729EB">
              <w:rPr>
                <w:sz w:val="18"/>
                <w:szCs w:val="24"/>
              </w:rPr>
              <w:t xml:space="preserve"> 1.5</w:t>
            </w:r>
          </w:p>
        </w:tc>
        <w:tc>
          <w:tcPr>
            <w:tcW w:w="799" w:type="dxa"/>
            <w:vAlign w:val="center"/>
          </w:tcPr>
          <w:p w:rsidR="008754A6" w:rsidRPr="00F729EB" w:rsidRDefault="001D4C03" w:rsidP="00F729EB">
            <w:pPr>
              <w:jc w:val="center"/>
              <w:rPr>
                <w:sz w:val="18"/>
                <w:szCs w:val="24"/>
              </w:rPr>
            </w:pPr>
            <w:sdt>
              <w:sdtPr>
                <w:rPr>
                  <w:sz w:val="18"/>
                  <w:szCs w:val="24"/>
                </w:rPr>
                <w:id w:val="-249270855"/>
                <w14:checkbox>
                  <w14:checked w14:val="0"/>
                  <w14:checkedState w14:val="2612" w14:font="MS Gothic"/>
                  <w14:uncheckedState w14:val="2610" w14:font="MS Gothic"/>
                </w14:checkbox>
              </w:sdtPr>
              <w:sdtEndPr/>
              <w:sdtContent>
                <w:r w:rsidR="008754A6" w:rsidRPr="00F729EB">
                  <w:rPr>
                    <w:rFonts w:ascii="MS Gothic" w:eastAsia="MS Gothic" w:hAnsi="MS Gothic" w:hint="eastAsia"/>
                    <w:sz w:val="18"/>
                    <w:szCs w:val="24"/>
                  </w:rPr>
                  <w:t>☐</w:t>
                </w:r>
              </w:sdtContent>
            </w:sdt>
            <w:r w:rsidR="008754A6" w:rsidRPr="00F729EB">
              <w:rPr>
                <w:sz w:val="18"/>
                <w:szCs w:val="24"/>
              </w:rPr>
              <w:t xml:space="preserve"> 2.1</w:t>
            </w:r>
          </w:p>
          <w:p w:rsidR="008754A6" w:rsidRPr="00F729EB" w:rsidRDefault="001D4C03" w:rsidP="00F729EB">
            <w:pPr>
              <w:jc w:val="center"/>
              <w:rPr>
                <w:sz w:val="18"/>
                <w:szCs w:val="24"/>
              </w:rPr>
            </w:pPr>
            <w:sdt>
              <w:sdtPr>
                <w:rPr>
                  <w:sz w:val="18"/>
                  <w:szCs w:val="24"/>
                </w:rPr>
                <w:id w:val="-1203862094"/>
                <w14:checkbox>
                  <w14:checked w14:val="0"/>
                  <w14:checkedState w14:val="2612" w14:font="MS Gothic"/>
                  <w14:uncheckedState w14:val="2610" w14:font="MS Gothic"/>
                </w14:checkbox>
              </w:sdtPr>
              <w:sdtEndPr/>
              <w:sdtContent>
                <w:r w:rsidR="008754A6" w:rsidRPr="00F729EB">
                  <w:rPr>
                    <w:rFonts w:ascii="MS Gothic" w:eastAsia="MS Gothic" w:hAnsi="MS Gothic" w:hint="eastAsia"/>
                    <w:sz w:val="18"/>
                    <w:szCs w:val="24"/>
                  </w:rPr>
                  <w:t>☐</w:t>
                </w:r>
              </w:sdtContent>
            </w:sdt>
            <w:r w:rsidR="008754A6" w:rsidRPr="00F729EB">
              <w:rPr>
                <w:sz w:val="18"/>
                <w:szCs w:val="24"/>
              </w:rPr>
              <w:t xml:space="preserve"> 2.2</w:t>
            </w:r>
          </w:p>
          <w:p w:rsidR="008754A6" w:rsidRPr="00F729EB" w:rsidRDefault="001D4C03" w:rsidP="00F729EB">
            <w:pPr>
              <w:jc w:val="center"/>
              <w:rPr>
                <w:sz w:val="18"/>
                <w:szCs w:val="24"/>
              </w:rPr>
            </w:pPr>
            <w:sdt>
              <w:sdtPr>
                <w:rPr>
                  <w:sz w:val="18"/>
                  <w:szCs w:val="24"/>
                </w:rPr>
                <w:id w:val="1839814088"/>
                <w14:checkbox>
                  <w14:checked w14:val="0"/>
                  <w14:checkedState w14:val="2612" w14:font="MS Gothic"/>
                  <w14:uncheckedState w14:val="2610" w14:font="MS Gothic"/>
                </w14:checkbox>
              </w:sdtPr>
              <w:sdtEndPr/>
              <w:sdtContent>
                <w:r w:rsidR="00644A04">
                  <w:rPr>
                    <w:rFonts w:ascii="MS Gothic" w:eastAsia="MS Gothic" w:hAnsi="MS Gothic" w:hint="eastAsia"/>
                    <w:sz w:val="18"/>
                    <w:szCs w:val="24"/>
                  </w:rPr>
                  <w:t>☐</w:t>
                </w:r>
              </w:sdtContent>
            </w:sdt>
            <w:r w:rsidR="008754A6" w:rsidRPr="00F729EB">
              <w:rPr>
                <w:sz w:val="18"/>
                <w:szCs w:val="24"/>
              </w:rPr>
              <w:t xml:space="preserve"> 2.3</w:t>
            </w:r>
          </w:p>
          <w:p w:rsidR="008754A6" w:rsidRPr="00F729EB" w:rsidRDefault="001D4C03" w:rsidP="00F729EB">
            <w:pPr>
              <w:jc w:val="center"/>
              <w:rPr>
                <w:sz w:val="18"/>
                <w:szCs w:val="24"/>
              </w:rPr>
            </w:pPr>
            <w:sdt>
              <w:sdtPr>
                <w:rPr>
                  <w:sz w:val="18"/>
                  <w:szCs w:val="24"/>
                </w:rPr>
                <w:id w:val="548726605"/>
                <w14:checkbox>
                  <w14:checked w14:val="0"/>
                  <w14:checkedState w14:val="2612" w14:font="MS Gothic"/>
                  <w14:uncheckedState w14:val="2610" w14:font="MS Gothic"/>
                </w14:checkbox>
              </w:sdtPr>
              <w:sdtEndPr/>
              <w:sdtContent>
                <w:r w:rsidR="001A0839">
                  <w:rPr>
                    <w:rFonts w:ascii="MS Gothic" w:eastAsia="MS Gothic" w:hAnsi="MS Gothic" w:hint="eastAsia"/>
                    <w:sz w:val="18"/>
                    <w:szCs w:val="24"/>
                  </w:rPr>
                  <w:t>☐</w:t>
                </w:r>
              </w:sdtContent>
            </w:sdt>
            <w:r w:rsidR="008754A6" w:rsidRPr="00F729EB">
              <w:rPr>
                <w:sz w:val="18"/>
                <w:szCs w:val="24"/>
              </w:rPr>
              <w:t xml:space="preserve"> 2.4</w:t>
            </w:r>
          </w:p>
          <w:p w:rsidR="008754A6" w:rsidRPr="00F729EB" w:rsidRDefault="001D4C03" w:rsidP="00F729EB">
            <w:pPr>
              <w:jc w:val="center"/>
              <w:rPr>
                <w:sz w:val="18"/>
                <w:szCs w:val="24"/>
              </w:rPr>
            </w:pPr>
            <w:sdt>
              <w:sdtPr>
                <w:rPr>
                  <w:sz w:val="18"/>
                  <w:szCs w:val="24"/>
                </w:rPr>
                <w:id w:val="-274947732"/>
                <w14:checkbox>
                  <w14:checked w14:val="0"/>
                  <w14:checkedState w14:val="2612" w14:font="MS Gothic"/>
                  <w14:uncheckedState w14:val="2610" w14:font="MS Gothic"/>
                </w14:checkbox>
              </w:sdtPr>
              <w:sdtEndPr/>
              <w:sdtContent>
                <w:r w:rsidR="008754A6" w:rsidRPr="00F729EB">
                  <w:rPr>
                    <w:rFonts w:ascii="MS Gothic" w:eastAsia="MS Gothic" w:hAnsi="MS Gothic" w:hint="eastAsia"/>
                    <w:sz w:val="18"/>
                    <w:szCs w:val="24"/>
                  </w:rPr>
                  <w:t>☐</w:t>
                </w:r>
              </w:sdtContent>
            </w:sdt>
            <w:r w:rsidR="008754A6" w:rsidRPr="00F729EB">
              <w:rPr>
                <w:sz w:val="18"/>
                <w:szCs w:val="24"/>
              </w:rPr>
              <w:t xml:space="preserve"> 2.5</w:t>
            </w:r>
          </w:p>
          <w:p w:rsidR="008754A6" w:rsidRPr="00F729EB" w:rsidRDefault="001D4C03" w:rsidP="00F729EB">
            <w:pPr>
              <w:jc w:val="center"/>
              <w:rPr>
                <w:sz w:val="18"/>
                <w:szCs w:val="24"/>
              </w:rPr>
            </w:pPr>
            <w:sdt>
              <w:sdtPr>
                <w:rPr>
                  <w:sz w:val="18"/>
                  <w:szCs w:val="24"/>
                </w:rPr>
                <w:id w:val="-601883182"/>
                <w14:checkbox>
                  <w14:checked w14:val="0"/>
                  <w14:checkedState w14:val="2612" w14:font="MS Gothic"/>
                  <w14:uncheckedState w14:val="2610" w14:font="MS Gothic"/>
                </w14:checkbox>
              </w:sdtPr>
              <w:sdtEndPr/>
              <w:sdtContent>
                <w:r w:rsidR="00644A04">
                  <w:rPr>
                    <w:rFonts w:ascii="MS Gothic" w:eastAsia="MS Gothic" w:hAnsi="MS Gothic" w:hint="eastAsia"/>
                    <w:sz w:val="18"/>
                    <w:szCs w:val="24"/>
                  </w:rPr>
                  <w:t>☐</w:t>
                </w:r>
              </w:sdtContent>
            </w:sdt>
            <w:r w:rsidR="008754A6" w:rsidRPr="00F729EB">
              <w:rPr>
                <w:sz w:val="18"/>
                <w:szCs w:val="24"/>
              </w:rPr>
              <w:t xml:space="preserve"> </w:t>
            </w:r>
            <w:r w:rsidR="00CA3833" w:rsidRPr="00F729EB">
              <w:rPr>
                <w:sz w:val="18"/>
                <w:szCs w:val="24"/>
              </w:rPr>
              <w:t>2.6</w:t>
            </w:r>
          </w:p>
          <w:p w:rsidR="008754A6" w:rsidRPr="00F729EB" w:rsidRDefault="001D4C03" w:rsidP="00F729EB">
            <w:pPr>
              <w:jc w:val="center"/>
              <w:rPr>
                <w:sz w:val="18"/>
                <w:szCs w:val="24"/>
              </w:rPr>
            </w:pPr>
            <w:sdt>
              <w:sdtPr>
                <w:rPr>
                  <w:sz w:val="18"/>
                  <w:szCs w:val="24"/>
                </w:rPr>
                <w:id w:val="-1039276987"/>
                <w14:checkbox>
                  <w14:checked w14:val="0"/>
                  <w14:checkedState w14:val="2612" w14:font="MS Gothic"/>
                  <w14:uncheckedState w14:val="2610" w14:font="MS Gothic"/>
                </w14:checkbox>
              </w:sdtPr>
              <w:sdtEndPr/>
              <w:sdtContent>
                <w:r w:rsidR="00644A04">
                  <w:rPr>
                    <w:rFonts w:ascii="MS Gothic" w:eastAsia="MS Gothic" w:hAnsi="MS Gothic" w:hint="eastAsia"/>
                    <w:sz w:val="18"/>
                    <w:szCs w:val="24"/>
                  </w:rPr>
                  <w:t>☐</w:t>
                </w:r>
              </w:sdtContent>
            </w:sdt>
            <w:r w:rsidR="008754A6" w:rsidRPr="00F729EB">
              <w:rPr>
                <w:sz w:val="18"/>
                <w:szCs w:val="24"/>
              </w:rPr>
              <w:t xml:space="preserve"> </w:t>
            </w:r>
            <w:r w:rsidR="00CA3833" w:rsidRPr="00F729EB">
              <w:rPr>
                <w:sz w:val="18"/>
                <w:szCs w:val="24"/>
              </w:rPr>
              <w:t>2.7</w:t>
            </w:r>
          </w:p>
        </w:tc>
        <w:tc>
          <w:tcPr>
            <w:tcW w:w="771" w:type="dxa"/>
            <w:vAlign w:val="center"/>
          </w:tcPr>
          <w:p w:rsidR="008754A6" w:rsidRPr="00F729EB" w:rsidRDefault="001D4C03" w:rsidP="00F729EB">
            <w:pPr>
              <w:jc w:val="center"/>
              <w:rPr>
                <w:sz w:val="18"/>
                <w:szCs w:val="24"/>
              </w:rPr>
            </w:pPr>
            <w:sdt>
              <w:sdtPr>
                <w:rPr>
                  <w:sz w:val="18"/>
                  <w:szCs w:val="24"/>
                </w:rPr>
                <w:id w:val="-89166866"/>
                <w14:checkbox>
                  <w14:checked w14:val="0"/>
                  <w14:checkedState w14:val="2612" w14:font="MS Gothic"/>
                  <w14:uncheckedState w14:val="2610" w14:font="MS Gothic"/>
                </w14:checkbox>
              </w:sdtPr>
              <w:sdtEndPr/>
              <w:sdtContent>
                <w:r w:rsidR="00F729EB">
                  <w:rPr>
                    <w:rFonts w:ascii="MS Gothic" w:eastAsia="MS Gothic" w:hAnsi="MS Gothic" w:hint="eastAsia"/>
                    <w:sz w:val="18"/>
                    <w:szCs w:val="24"/>
                  </w:rPr>
                  <w:t>☐</w:t>
                </w:r>
              </w:sdtContent>
            </w:sdt>
            <w:r w:rsidR="008754A6" w:rsidRPr="00F729EB">
              <w:rPr>
                <w:sz w:val="18"/>
                <w:szCs w:val="24"/>
              </w:rPr>
              <w:t xml:space="preserve"> </w:t>
            </w:r>
            <w:r w:rsidR="00CA3833" w:rsidRPr="00F729EB">
              <w:rPr>
                <w:sz w:val="18"/>
                <w:szCs w:val="24"/>
              </w:rPr>
              <w:t>3</w:t>
            </w:r>
            <w:r w:rsidR="008754A6" w:rsidRPr="00F729EB">
              <w:rPr>
                <w:sz w:val="18"/>
                <w:szCs w:val="24"/>
              </w:rPr>
              <w:t>.1</w:t>
            </w:r>
          </w:p>
          <w:p w:rsidR="008754A6" w:rsidRPr="00F729EB" w:rsidRDefault="001D4C03" w:rsidP="00F729EB">
            <w:pPr>
              <w:jc w:val="center"/>
              <w:rPr>
                <w:sz w:val="18"/>
                <w:szCs w:val="24"/>
              </w:rPr>
            </w:pPr>
            <w:sdt>
              <w:sdtPr>
                <w:rPr>
                  <w:sz w:val="18"/>
                  <w:szCs w:val="24"/>
                </w:rPr>
                <w:id w:val="-633323537"/>
                <w14:checkbox>
                  <w14:checked w14:val="0"/>
                  <w14:checkedState w14:val="2612" w14:font="MS Gothic"/>
                  <w14:uncheckedState w14:val="2610" w14:font="MS Gothic"/>
                </w14:checkbox>
              </w:sdtPr>
              <w:sdtEndPr/>
              <w:sdtContent>
                <w:r w:rsidR="008754A6" w:rsidRPr="00F729EB">
                  <w:rPr>
                    <w:rFonts w:ascii="MS Gothic" w:eastAsia="MS Gothic" w:hAnsi="MS Gothic" w:hint="eastAsia"/>
                    <w:sz w:val="18"/>
                    <w:szCs w:val="24"/>
                  </w:rPr>
                  <w:t>☐</w:t>
                </w:r>
              </w:sdtContent>
            </w:sdt>
            <w:r w:rsidR="008754A6" w:rsidRPr="00F729EB">
              <w:rPr>
                <w:sz w:val="18"/>
                <w:szCs w:val="24"/>
              </w:rPr>
              <w:t xml:space="preserve"> </w:t>
            </w:r>
            <w:r w:rsidR="00CA3833" w:rsidRPr="00F729EB">
              <w:rPr>
                <w:sz w:val="18"/>
                <w:szCs w:val="24"/>
              </w:rPr>
              <w:t>3</w:t>
            </w:r>
            <w:r w:rsidR="008754A6" w:rsidRPr="00F729EB">
              <w:rPr>
                <w:sz w:val="18"/>
                <w:szCs w:val="24"/>
              </w:rPr>
              <w:t>.2</w:t>
            </w:r>
          </w:p>
          <w:p w:rsidR="008754A6" w:rsidRPr="00F729EB" w:rsidRDefault="001D4C03" w:rsidP="00F729EB">
            <w:pPr>
              <w:jc w:val="center"/>
              <w:rPr>
                <w:sz w:val="18"/>
                <w:szCs w:val="24"/>
              </w:rPr>
            </w:pPr>
            <w:sdt>
              <w:sdtPr>
                <w:rPr>
                  <w:sz w:val="18"/>
                  <w:szCs w:val="24"/>
                </w:rPr>
                <w:id w:val="-164329719"/>
                <w14:checkbox>
                  <w14:checked w14:val="0"/>
                  <w14:checkedState w14:val="2612" w14:font="MS Gothic"/>
                  <w14:uncheckedState w14:val="2610" w14:font="MS Gothic"/>
                </w14:checkbox>
              </w:sdtPr>
              <w:sdtEndPr/>
              <w:sdtContent>
                <w:r w:rsidR="001A0839">
                  <w:rPr>
                    <w:rFonts w:ascii="MS Gothic" w:eastAsia="MS Gothic" w:hAnsi="MS Gothic" w:hint="eastAsia"/>
                    <w:sz w:val="18"/>
                    <w:szCs w:val="24"/>
                  </w:rPr>
                  <w:t>☐</w:t>
                </w:r>
              </w:sdtContent>
            </w:sdt>
            <w:r w:rsidR="008754A6" w:rsidRPr="00F729EB">
              <w:rPr>
                <w:sz w:val="18"/>
                <w:szCs w:val="24"/>
              </w:rPr>
              <w:t xml:space="preserve"> </w:t>
            </w:r>
            <w:r w:rsidR="00CA3833" w:rsidRPr="00F729EB">
              <w:rPr>
                <w:sz w:val="18"/>
                <w:szCs w:val="24"/>
              </w:rPr>
              <w:t>3</w:t>
            </w:r>
            <w:r w:rsidR="008754A6" w:rsidRPr="00F729EB">
              <w:rPr>
                <w:sz w:val="18"/>
                <w:szCs w:val="24"/>
              </w:rPr>
              <w:t>.3</w:t>
            </w:r>
          </w:p>
        </w:tc>
      </w:tr>
    </w:tbl>
    <w:p w:rsidR="00796D56" w:rsidRPr="001A0839" w:rsidRDefault="00796D56" w:rsidP="00796D56">
      <w:pPr>
        <w:spacing w:after="0" w:line="240" w:lineRule="auto"/>
        <w:rPr>
          <w:sz w:val="8"/>
        </w:rPr>
      </w:pPr>
    </w:p>
    <w:tbl>
      <w:tblPr>
        <w:tblStyle w:val="TableGrid"/>
        <w:tblW w:w="15593" w:type="dxa"/>
        <w:tblLook w:val="04A0" w:firstRow="1" w:lastRow="0" w:firstColumn="1" w:lastColumn="0" w:noHBand="0" w:noVBand="1"/>
      </w:tblPr>
      <w:tblGrid>
        <w:gridCol w:w="15593"/>
      </w:tblGrid>
      <w:tr w:rsidR="00CA655F" w:rsidRPr="00CA655F" w:rsidTr="00CA655F">
        <w:trPr>
          <w:trHeight w:val="426"/>
        </w:trPr>
        <w:tc>
          <w:tcPr>
            <w:tcW w:w="15593" w:type="dxa"/>
            <w:tcBorders>
              <w:top w:val="single" w:sz="4" w:space="0" w:color="auto"/>
              <w:bottom w:val="single" w:sz="4" w:space="0" w:color="auto"/>
            </w:tcBorders>
            <w:shd w:val="clear" w:color="auto" w:fill="000000" w:themeFill="text1"/>
            <w:vAlign w:val="center"/>
          </w:tcPr>
          <w:p w:rsidR="00CA655F" w:rsidRPr="00CA655F" w:rsidRDefault="00CA655F" w:rsidP="00CA655F">
            <w:pPr>
              <w:jc w:val="center"/>
              <w:rPr>
                <w:b/>
                <w:color w:val="FFFFFF" w:themeColor="background1"/>
                <w:sz w:val="32"/>
                <w:szCs w:val="32"/>
              </w:rPr>
            </w:pPr>
            <w:r w:rsidRPr="00CA655F">
              <w:rPr>
                <w:b/>
                <w:color w:val="FFFFFF" w:themeColor="background1"/>
                <w:sz w:val="32"/>
                <w:szCs w:val="32"/>
              </w:rPr>
              <w:t>Progress and Impact</w:t>
            </w:r>
          </w:p>
        </w:tc>
      </w:tr>
      <w:tr w:rsidR="00CA655F" w:rsidRPr="00CA655F" w:rsidTr="001A0839">
        <w:trPr>
          <w:trHeight w:val="2786"/>
        </w:trPr>
        <w:tc>
          <w:tcPr>
            <w:tcW w:w="15593" w:type="dxa"/>
            <w:tcBorders>
              <w:top w:val="single" w:sz="4" w:space="0" w:color="auto"/>
              <w:bottom w:val="single" w:sz="4" w:space="0" w:color="auto"/>
            </w:tcBorders>
          </w:tcPr>
          <w:p w:rsidR="007037F2" w:rsidRPr="000C04DF" w:rsidRDefault="007037F2" w:rsidP="007037F2">
            <w:pPr>
              <w:rPr>
                <w:rFonts w:cstheme="minorHAnsi"/>
              </w:rPr>
            </w:pPr>
            <w:r w:rsidRPr="007037F2">
              <w:rPr>
                <w:rFonts w:cs="Arial"/>
                <w:color w:val="000000"/>
              </w:rPr>
              <w:t xml:space="preserve">Self-evaluation process uses a wide range of quantitative and qualitative evidence to support improvement decisions, </w:t>
            </w:r>
            <w:r w:rsidRPr="007037F2">
              <w:rPr>
                <w:rFonts w:cs="Arial"/>
              </w:rPr>
              <w:t xml:space="preserve">academically and socially, and </w:t>
            </w:r>
            <w:proofErr w:type="gramStart"/>
            <w:r w:rsidRPr="007037F2">
              <w:rPr>
                <w:rFonts w:cs="Arial"/>
              </w:rPr>
              <w:t>is linked</w:t>
            </w:r>
            <w:proofErr w:type="gramEnd"/>
            <w:r w:rsidRPr="007037F2">
              <w:rPr>
                <w:rFonts w:cs="Arial"/>
              </w:rPr>
              <w:t xml:space="preserve"> to local and national </w:t>
            </w:r>
            <w:r w:rsidR="000C04DF">
              <w:rPr>
                <w:rFonts w:cs="Arial"/>
              </w:rPr>
              <w:t>improvements. The use</w:t>
            </w:r>
            <w:r w:rsidRPr="007037F2">
              <w:rPr>
                <w:rFonts w:cs="Arial"/>
              </w:rPr>
              <w:t xml:space="preserve"> of the Moray Tracker</w:t>
            </w:r>
            <w:r w:rsidR="0065400A">
              <w:rPr>
                <w:rFonts w:cs="Arial"/>
              </w:rPr>
              <w:t>, One note,</w:t>
            </w:r>
            <w:r w:rsidRPr="007037F2">
              <w:rPr>
                <w:rFonts w:cs="Arial"/>
              </w:rPr>
              <w:t xml:space="preserve"> and </w:t>
            </w:r>
            <w:r w:rsidR="0065400A">
              <w:rPr>
                <w:rFonts w:cs="Arial"/>
              </w:rPr>
              <w:t xml:space="preserve">tracking folders </w:t>
            </w:r>
            <w:r w:rsidR="000C04DF">
              <w:rPr>
                <w:rFonts w:cs="Arial"/>
              </w:rPr>
              <w:t xml:space="preserve">through a collaborative approach </w:t>
            </w:r>
            <w:r w:rsidR="0065400A">
              <w:rPr>
                <w:rFonts w:cs="Arial"/>
              </w:rPr>
              <w:t>inform</w:t>
            </w:r>
            <w:r w:rsidR="000C04DF">
              <w:rPr>
                <w:rFonts w:cs="Arial"/>
              </w:rPr>
              <w:t xml:space="preserve">ed us how to </w:t>
            </w:r>
            <w:r w:rsidR="000C04DF" w:rsidRPr="000C04DF">
              <w:rPr>
                <w:rFonts w:cstheme="minorHAnsi"/>
              </w:rPr>
              <w:t xml:space="preserve">address </w:t>
            </w:r>
            <w:r w:rsidR="000C04DF">
              <w:rPr>
                <w:rFonts w:cstheme="minorHAnsi"/>
              </w:rPr>
              <w:t xml:space="preserve">the </w:t>
            </w:r>
            <w:r w:rsidR="000C04DF" w:rsidRPr="000C04DF">
              <w:rPr>
                <w:rFonts w:cstheme="minorHAnsi"/>
              </w:rPr>
              <w:t>impact of lockdown and review home learning strategies for blended learning approach</w:t>
            </w:r>
            <w:r w:rsidR="000C04DF">
              <w:rPr>
                <w:rFonts w:cstheme="minorHAnsi"/>
              </w:rPr>
              <w:t>es. This ensured the identification of</w:t>
            </w:r>
            <w:r w:rsidR="000C04DF">
              <w:rPr>
                <w:rFonts w:ascii="Arial" w:hAnsi="Arial" w:cs="Arial"/>
              </w:rPr>
              <w:t xml:space="preserve"> </w:t>
            </w:r>
            <w:r w:rsidR="000C04DF" w:rsidRPr="000C04DF">
              <w:rPr>
                <w:rFonts w:cstheme="minorHAnsi"/>
              </w:rPr>
              <w:t xml:space="preserve">emergent need and </w:t>
            </w:r>
            <w:r w:rsidR="000C04DF">
              <w:rPr>
                <w:rFonts w:cstheme="minorHAnsi"/>
              </w:rPr>
              <w:t xml:space="preserve">the ability to </w:t>
            </w:r>
            <w:r w:rsidR="000C04DF" w:rsidRPr="000C04DF">
              <w:rPr>
                <w:rFonts w:cstheme="minorHAnsi"/>
              </w:rPr>
              <w:t xml:space="preserve">prioritise improvements </w:t>
            </w:r>
            <w:r w:rsidR="000C04DF">
              <w:rPr>
                <w:rFonts w:cstheme="minorHAnsi"/>
              </w:rPr>
              <w:t>for a</w:t>
            </w:r>
            <w:r w:rsidR="000C04DF" w:rsidRPr="000C04DF">
              <w:rPr>
                <w:rFonts w:cstheme="minorHAnsi"/>
              </w:rPr>
              <w:t xml:space="preserve"> seamless transition</w:t>
            </w:r>
            <w:r w:rsidR="000C04DF">
              <w:rPr>
                <w:rFonts w:cstheme="minorHAnsi"/>
              </w:rPr>
              <w:t xml:space="preserve"> between remote learning and classroom learning. </w:t>
            </w:r>
            <w:r w:rsidR="000C04DF" w:rsidRPr="000C04DF">
              <w:rPr>
                <w:rFonts w:cstheme="minorHAnsi"/>
              </w:rPr>
              <w:t xml:space="preserve"> </w:t>
            </w:r>
            <w:r w:rsidRPr="000C04DF">
              <w:rPr>
                <w:rFonts w:cstheme="minorHAnsi"/>
              </w:rPr>
              <w:t>PEF and ASN pupil</w:t>
            </w:r>
            <w:r w:rsidRPr="007037F2">
              <w:rPr>
                <w:rFonts w:cs="Arial"/>
              </w:rPr>
              <w:t>s</w:t>
            </w:r>
            <w:r w:rsidR="00E2739E">
              <w:rPr>
                <w:rFonts w:cs="Arial"/>
              </w:rPr>
              <w:t xml:space="preserve"> </w:t>
            </w:r>
            <w:proofErr w:type="gramStart"/>
            <w:r w:rsidR="00E2739E">
              <w:rPr>
                <w:rFonts w:cs="Arial"/>
              </w:rPr>
              <w:t>were supported</w:t>
            </w:r>
            <w:proofErr w:type="gramEnd"/>
            <w:r w:rsidRPr="007037F2">
              <w:rPr>
                <w:rFonts w:cs="Arial"/>
              </w:rPr>
              <w:t xml:space="preserve"> through targeted interventions, identifying barriers to learning, and use of partner agencies where appropriate. Improved use of data has supported qualitative evidence for </w:t>
            </w:r>
            <w:r w:rsidR="001E4969" w:rsidRPr="007037F2">
              <w:rPr>
                <w:rFonts w:cs="Arial"/>
              </w:rPr>
              <w:t>high-level</w:t>
            </w:r>
            <w:r w:rsidRPr="007037F2">
              <w:rPr>
                <w:rFonts w:cs="Arial"/>
              </w:rPr>
              <w:t xml:space="preserve"> discussions around improvements. This data includes trends locally and nationally to ensure we are making informed decisions. Endowment fund, Education Scotland and Staged intervention resources have supported planning for interventions.</w:t>
            </w:r>
          </w:p>
          <w:p w:rsidR="007037F2" w:rsidRPr="00795895" w:rsidRDefault="007037F2" w:rsidP="00795895">
            <w:pPr>
              <w:rPr>
                <w:rFonts w:ascii="Arial" w:hAnsi="Arial" w:cs="Arial"/>
              </w:rPr>
            </w:pPr>
            <w:r w:rsidRPr="007037F2">
              <w:rPr>
                <w:rFonts w:cs="Arial"/>
              </w:rPr>
              <w:t xml:space="preserve">The development of enquiry based Teacher Learning community (TLC) provides a collaborative approach to ensure staff </w:t>
            </w:r>
            <w:r w:rsidR="00545C29">
              <w:rPr>
                <w:rFonts w:cs="Arial"/>
              </w:rPr>
              <w:t xml:space="preserve">actively engaged in </w:t>
            </w:r>
            <w:r w:rsidRPr="007037F2">
              <w:rPr>
                <w:rFonts w:cs="Arial"/>
              </w:rPr>
              <w:t xml:space="preserve">developments </w:t>
            </w:r>
            <w:r w:rsidR="00545C29">
              <w:rPr>
                <w:rFonts w:cs="Arial"/>
              </w:rPr>
              <w:t>in the use of digital technologies to support remote learning. This provided a flexible approach to meet the needs of all families during lockdown</w:t>
            </w:r>
            <w:r w:rsidRPr="007037F2">
              <w:rPr>
                <w:rFonts w:cs="Arial"/>
              </w:rPr>
              <w:t xml:space="preserve">. All staff share and reflect on practice through these meetings to ensure high-level discussion around opportunities for different approaches to L&amp;T can be made. This has led to improved professional judgement to eliminate potential errors through moderation and tracking records, which inform planning of next steps. This provides consistency across the school and ensures equality and equity for all. Enquiry based approach to school improvements ensures current research is used to inform decisions and pupil voice. Feedback of impact, Pupil surveys, pupil involvement in enquiry supported the development </w:t>
            </w:r>
            <w:r w:rsidR="00545C29">
              <w:rPr>
                <w:rFonts w:cs="Arial"/>
              </w:rPr>
              <w:t>and use of Glow, Google Classroom and other digital platforms to support learning</w:t>
            </w:r>
            <w:r w:rsidRPr="007037F2">
              <w:rPr>
                <w:rFonts w:cs="Arial"/>
              </w:rPr>
              <w:t xml:space="preserve">. </w:t>
            </w:r>
          </w:p>
          <w:p w:rsidR="007037F2" w:rsidRPr="007037F2" w:rsidRDefault="007037F2" w:rsidP="007037F2">
            <w:pPr>
              <w:rPr>
                <w:rFonts w:ascii="Calibri" w:hAnsi="Calibri"/>
              </w:rPr>
            </w:pPr>
            <w:r w:rsidRPr="007037F2">
              <w:rPr>
                <w:rFonts w:cs="Arial"/>
              </w:rPr>
              <w:t>Everyone within our school community works together to improve the school for the betterment of the children based on these principles. Our V</w:t>
            </w:r>
            <w:r w:rsidR="00545C29">
              <w:rPr>
                <w:rFonts w:cs="Arial"/>
              </w:rPr>
              <w:t xml:space="preserve">ision, </w:t>
            </w:r>
            <w:r w:rsidRPr="007037F2">
              <w:rPr>
                <w:rFonts w:cs="Arial"/>
              </w:rPr>
              <w:t>V</w:t>
            </w:r>
            <w:r w:rsidR="00545C29">
              <w:rPr>
                <w:rFonts w:cs="Arial"/>
              </w:rPr>
              <w:t>alues, and Aims</w:t>
            </w:r>
            <w:r w:rsidRPr="007037F2">
              <w:rPr>
                <w:rFonts w:cs="Arial"/>
              </w:rPr>
              <w:t xml:space="preserve"> can be seen and felt throughout the whole school environment. </w:t>
            </w:r>
          </w:p>
          <w:p w:rsidR="00CA655F" w:rsidRPr="007037F2" w:rsidRDefault="007037F2" w:rsidP="007037F2">
            <w:pPr>
              <w:jc w:val="both"/>
              <w:rPr>
                <w:rFonts w:cs="Arial"/>
              </w:rPr>
            </w:pPr>
            <w:r w:rsidRPr="007037F2">
              <w:rPr>
                <w:rFonts w:cs="Arial"/>
              </w:rPr>
              <w:t xml:space="preserve">The Pupil Council and Business Groups have reviewed the schools Vision, Values and Aims to ensure they are relevant. From this, these groups have developed an improvement plan to lead school initiatives, which </w:t>
            </w:r>
            <w:proofErr w:type="gramStart"/>
            <w:r w:rsidRPr="007037F2">
              <w:rPr>
                <w:rFonts w:cs="Arial"/>
              </w:rPr>
              <w:t>have been recognised</w:t>
            </w:r>
            <w:proofErr w:type="gramEnd"/>
            <w:r w:rsidRPr="007037F2">
              <w:rPr>
                <w:rFonts w:cs="Arial"/>
              </w:rPr>
              <w:t xml:space="preserve"> by </w:t>
            </w:r>
            <w:r w:rsidR="00E2739E">
              <w:rPr>
                <w:rFonts w:cs="Arial"/>
              </w:rPr>
              <w:t xml:space="preserve">9 </w:t>
            </w:r>
            <w:r w:rsidRPr="007037F2">
              <w:rPr>
                <w:rFonts w:cs="Arial"/>
              </w:rPr>
              <w:t>M</w:t>
            </w:r>
            <w:r w:rsidR="00E2739E">
              <w:rPr>
                <w:rFonts w:cs="Arial"/>
              </w:rPr>
              <w:t>oray Young Citizens Awards</w:t>
            </w:r>
            <w:r w:rsidRPr="007037F2">
              <w:rPr>
                <w:rFonts w:cs="Arial"/>
              </w:rPr>
              <w:t>, 2</w:t>
            </w:r>
            <w:r w:rsidRPr="007037F2">
              <w:rPr>
                <w:rFonts w:cs="Arial"/>
                <w:vertAlign w:val="superscript"/>
              </w:rPr>
              <w:t>nd</w:t>
            </w:r>
            <w:r w:rsidRPr="007037F2">
              <w:rPr>
                <w:rFonts w:cs="Arial"/>
              </w:rPr>
              <w:t xml:space="preserve"> Green Flag, RRSA silver, </w:t>
            </w:r>
            <w:proofErr w:type="spellStart"/>
            <w:r w:rsidRPr="007037F2">
              <w:rPr>
                <w:rFonts w:cs="Arial"/>
              </w:rPr>
              <w:t>SportScotland</w:t>
            </w:r>
            <w:proofErr w:type="spellEnd"/>
            <w:r w:rsidRPr="007037F2">
              <w:rPr>
                <w:rFonts w:cs="Arial"/>
              </w:rPr>
              <w:t xml:space="preserve"> Gold award and within the </w:t>
            </w:r>
            <w:proofErr w:type="spellStart"/>
            <w:r w:rsidRPr="007037F2">
              <w:rPr>
                <w:rFonts w:cs="Arial"/>
              </w:rPr>
              <w:t>HMIe</w:t>
            </w:r>
            <w:proofErr w:type="spellEnd"/>
            <w:r w:rsidRPr="007037F2">
              <w:rPr>
                <w:rFonts w:cs="Arial"/>
              </w:rPr>
              <w:t xml:space="preserve"> report. This supports pupils to self –evaluate and self-regulate their learning.</w:t>
            </w:r>
          </w:p>
          <w:p w:rsidR="007037F2" w:rsidRPr="001A0839" w:rsidRDefault="007037F2" w:rsidP="007037F2">
            <w:pPr>
              <w:jc w:val="both"/>
              <w:rPr>
                <w:rFonts w:ascii="Bradley Hand ITC" w:hAnsi="Bradley Hand ITC"/>
                <w:color w:val="000000" w:themeColor="text1"/>
              </w:rPr>
            </w:pPr>
          </w:p>
        </w:tc>
      </w:tr>
      <w:tr w:rsidR="00CA655F" w:rsidRPr="00CA655F" w:rsidTr="00CA655F">
        <w:trPr>
          <w:trHeight w:val="513"/>
        </w:trPr>
        <w:tc>
          <w:tcPr>
            <w:tcW w:w="15593" w:type="dxa"/>
            <w:tcBorders>
              <w:top w:val="single" w:sz="4" w:space="0" w:color="auto"/>
              <w:bottom w:val="single" w:sz="4" w:space="0" w:color="auto"/>
            </w:tcBorders>
            <w:shd w:val="clear" w:color="auto" w:fill="000000" w:themeFill="text1"/>
            <w:vAlign w:val="center"/>
          </w:tcPr>
          <w:p w:rsidR="00CA655F" w:rsidRPr="00CA655F" w:rsidRDefault="00CA655F" w:rsidP="00CA655F">
            <w:pPr>
              <w:jc w:val="center"/>
              <w:rPr>
                <w:b/>
                <w:color w:val="FFFFFF" w:themeColor="background1"/>
                <w:sz w:val="32"/>
                <w:szCs w:val="32"/>
              </w:rPr>
            </w:pPr>
            <w:r w:rsidRPr="00CA655F">
              <w:rPr>
                <w:b/>
                <w:color w:val="FFFFFF" w:themeColor="background1"/>
                <w:sz w:val="32"/>
                <w:szCs w:val="32"/>
              </w:rPr>
              <w:lastRenderedPageBreak/>
              <w:t>Next Steps</w:t>
            </w:r>
          </w:p>
        </w:tc>
      </w:tr>
      <w:tr w:rsidR="00CA655F" w:rsidRPr="00CA655F" w:rsidTr="001A0839">
        <w:trPr>
          <w:trHeight w:val="1456"/>
        </w:trPr>
        <w:tc>
          <w:tcPr>
            <w:tcW w:w="15593" w:type="dxa"/>
            <w:tcBorders>
              <w:top w:val="single" w:sz="4" w:space="0" w:color="auto"/>
              <w:bottom w:val="single" w:sz="4" w:space="0" w:color="auto"/>
            </w:tcBorders>
          </w:tcPr>
          <w:p w:rsidR="00CA655F" w:rsidRDefault="00D252DD" w:rsidP="00D252DD">
            <w:pPr>
              <w:pStyle w:val="ListParagraph"/>
              <w:numPr>
                <w:ilvl w:val="0"/>
                <w:numId w:val="4"/>
              </w:numPr>
              <w:jc w:val="both"/>
              <w:rPr>
                <w:rFonts w:ascii="Bradley Hand ITC" w:hAnsi="Bradley Hand ITC"/>
                <w:color w:val="000000" w:themeColor="text1"/>
              </w:rPr>
            </w:pPr>
            <w:r>
              <w:rPr>
                <w:rFonts w:ascii="Bradley Hand ITC" w:hAnsi="Bradley Hand ITC"/>
                <w:color w:val="000000" w:themeColor="text1"/>
              </w:rPr>
              <w:t>Continue to use enquiry based approaches to develop learning and teaching across the curriculum especially in music</w:t>
            </w:r>
            <w:r w:rsidR="005B5FAA">
              <w:rPr>
                <w:rFonts w:ascii="Bradley Hand ITC" w:hAnsi="Bradley Hand ITC"/>
                <w:color w:val="000000" w:themeColor="text1"/>
              </w:rPr>
              <w:t>, geography</w:t>
            </w:r>
            <w:r>
              <w:rPr>
                <w:rFonts w:ascii="Bradley Hand ITC" w:hAnsi="Bradley Hand ITC"/>
                <w:color w:val="000000" w:themeColor="text1"/>
              </w:rPr>
              <w:t xml:space="preserve"> and RME</w:t>
            </w:r>
          </w:p>
          <w:p w:rsidR="00D252DD" w:rsidRDefault="00D252DD" w:rsidP="00D252DD">
            <w:pPr>
              <w:pStyle w:val="ListParagraph"/>
              <w:numPr>
                <w:ilvl w:val="0"/>
                <w:numId w:val="4"/>
              </w:numPr>
              <w:jc w:val="both"/>
              <w:rPr>
                <w:rFonts w:ascii="Bradley Hand ITC" w:hAnsi="Bradley Hand ITC"/>
                <w:color w:val="000000" w:themeColor="text1"/>
              </w:rPr>
            </w:pPr>
            <w:r>
              <w:rPr>
                <w:rFonts w:ascii="Bradley Hand ITC" w:hAnsi="Bradley Hand ITC"/>
                <w:color w:val="000000" w:themeColor="text1"/>
              </w:rPr>
              <w:t>Busines</w:t>
            </w:r>
            <w:r w:rsidR="005B5FAA">
              <w:rPr>
                <w:rFonts w:ascii="Bradley Hand ITC" w:hAnsi="Bradley Hand ITC"/>
                <w:color w:val="000000" w:themeColor="text1"/>
              </w:rPr>
              <w:t>s groups – review remit to improve P1-3 engagement</w:t>
            </w:r>
            <w:r>
              <w:rPr>
                <w:rFonts w:ascii="Bradley Hand ITC" w:hAnsi="Bradley Hand ITC"/>
                <w:color w:val="000000" w:themeColor="text1"/>
              </w:rPr>
              <w:t>. Taking into account restrictions with covid-19</w:t>
            </w:r>
          </w:p>
          <w:p w:rsidR="00D252DD" w:rsidRDefault="00D252DD" w:rsidP="00D252DD">
            <w:pPr>
              <w:pStyle w:val="ListParagraph"/>
              <w:numPr>
                <w:ilvl w:val="0"/>
                <w:numId w:val="4"/>
              </w:numPr>
              <w:jc w:val="both"/>
              <w:rPr>
                <w:rFonts w:ascii="Bradley Hand ITC" w:hAnsi="Bradley Hand ITC"/>
                <w:color w:val="000000" w:themeColor="text1"/>
              </w:rPr>
            </w:pPr>
            <w:r>
              <w:rPr>
                <w:rFonts w:ascii="Bradley Hand ITC" w:hAnsi="Bradley Hand ITC"/>
                <w:color w:val="000000" w:themeColor="text1"/>
              </w:rPr>
              <w:t>Teacher learning communities – actively engage other schools in enquiry based approaches</w:t>
            </w:r>
          </w:p>
          <w:p w:rsidR="00D252DD" w:rsidRPr="005B5FAA" w:rsidRDefault="00D252DD" w:rsidP="005B5FAA">
            <w:pPr>
              <w:pStyle w:val="ListParagraph"/>
              <w:numPr>
                <w:ilvl w:val="0"/>
                <w:numId w:val="4"/>
              </w:numPr>
              <w:jc w:val="both"/>
              <w:rPr>
                <w:rFonts w:ascii="Bradley Hand ITC" w:hAnsi="Bradley Hand ITC"/>
                <w:color w:val="000000" w:themeColor="text1"/>
              </w:rPr>
            </w:pPr>
            <w:r>
              <w:rPr>
                <w:rFonts w:ascii="Bradley Hand ITC" w:hAnsi="Bradley Hand ITC"/>
                <w:color w:val="000000" w:themeColor="text1"/>
              </w:rPr>
              <w:t>Master our collaborative approaches using our OneNote and assessment/ tracking approach to embed across the curriculum</w:t>
            </w:r>
          </w:p>
          <w:p w:rsidR="00D252DD" w:rsidRPr="00D252DD" w:rsidRDefault="005B5FAA" w:rsidP="00D252DD">
            <w:pPr>
              <w:pStyle w:val="ListParagraph"/>
              <w:numPr>
                <w:ilvl w:val="0"/>
                <w:numId w:val="4"/>
              </w:numPr>
              <w:jc w:val="both"/>
              <w:rPr>
                <w:rFonts w:ascii="Bradley Hand ITC" w:hAnsi="Bradley Hand ITC"/>
                <w:color w:val="000000" w:themeColor="text1"/>
              </w:rPr>
            </w:pPr>
            <w:r>
              <w:rPr>
                <w:rFonts w:ascii="Bradley Hand ITC" w:hAnsi="Bradley Hand ITC"/>
                <w:color w:val="000000" w:themeColor="text1"/>
              </w:rPr>
              <w:t>Continue to review and improve the use of digital technologies for learning and school processes</w:t>
            </w:r>
          </w:p>
        </w:tc>
      </w:tr>
    </w:tbl>
    <w:p w:rsidR="004E508D" w:rsidRDefault="004E508D" w:rsidP="004E508D">
      <w:pPr>
        <w:spacing w:after="0" w:line="240" w:lineRule="auto"/>
        <w:jc w:val="center"/>
        <w:rPr>
          <w:sz w:val="10"/>
        </w:rPr>
      </w:pPr>
    </w:p>
    <w:p w:rsidR="007D44A5" w:rsidRDefault="007D44A5">
      <w:pPr>
        <w:rPr>
          <w:sz w:val="10"/>
        </w:rPr>
      </w:pPr>
      <w:r>
        <w:rPr>
          <w:sz w:val="10"/>
        </w:rPr>
        <w:br w:type="page"/>
      </w:r>
    </w:p>
    <w:p w:rsidR="001A0839" w:rsidRDefault="001A0839" w:rsidP="001A0839">
      <w:pPr>
        <w:spacing w:after="0" w:line="240" w:lineRule="auto"/>
        <w:rPr>
          <w:sz w:val="10"/>
        </w:rPr>
      </w:pPr>
    </w:p>
    <w:p w:rsidR="001A0839" w:rsidRDefault="001A0839" w:rsidP="001A0839">
      <w:pPr>
        <w:spacing w:after="0" w:line="240" w:lineRule="auto"/>
        <w:rPr>
          <w:sz w:val="10"/>
        </w:rPr>
      </w:pPr>
    </w:p>
    <w:tbl>
      <w:tblPr>
        <w:tblStyle w:val="TableGrid"/>
        <w:tblW w:w="15593" w:type="dxa"/>
        <w:tblInd w:w="-5" w:type="dxa"/>
        <w:tblLook w:val="04A0" w:firstRow="1" w:lastRow="0" w:firstColumn="1" w:lastColumn="0" w:noHBand="0" w:noVBand="1"/>
      </w:tblPr>
      <w:tblGrid>
        <w:gridCol w:w="3119"/>
        <w:gridCol w:w="12474"/>
      </w:tblGrid>
      <w:tr w:rsidR="001A0839" w:rsidRPr="001A0839" w:rsidTr="00A1164A">
        <w:tc>
          <w:tcPr>
            <w:tcW w:w="15593" w:type="dxa"/>
            <w:gridSpan w:val="2"/>
            <w:tcBorders>
              <w:top w:val="single" w:sz="4" w:space="0" w:color="auto"/>
            </w:tcBorders>
            <w:shd w:val="clear" w:color="auto" w:fill="000000" w:themeFill="text1"/>
          </w:tcPr>
          <w:p w:rsidR="001A0839" w:rsidRPr="001A0839" w:rsidRDefault="001A0839" w:rsidP="001A0839">
            <w:pPr>
              <w:jc w:val="center"/>
              <w:rPr>
                <w:b/>
                <w:color w:val="FFFFFF" w:themeColor="background1"/>
                <w:sz w:val="32"/>
                <w:szCs w:val="24"/>
              </w:rPr>
            </w:pPr>
            <w:r w:rsidRPr="001A0839">
              <w:rPr>
                <w:b/>
                <w:color w:val="FFFFFF" w:themeColor="background1"/>
                <w:sz w:val="44"/>
                <w:szCs w:val="24"/>
              </w:rPr>
              <w:t xml:space="preserve">Priority </w:t>
            </w:r>
            <w:r>
              <w:rPr>
                <w:b/>
                <w:color w:val="FFFFFF" w:themeColor="background1"/>
                <w:sz w:val="44"/>
                <w:szCs w:val="24"/>
              </w:rPr>
              <w:t>2</w:t>
            </w:r>
          </w:p>
        </w:tc>
      </w:tr>
      <w:tr w:rsidR="001A0839" w:rsidRPr="00CA3833" w:rsidTr="00A1164A">
        <w:trPr>
          <w:trHeight w:val="524"/>
        </w:trPr>
        <w:tc>
          <w:tcPr>
            <w:tcW w:w="15593" w:type="dxa"/>
            <w:gridSpan w:val="2"/>
            <w:shd w:val="clear" w:color="auto" w:fill="FFFFFF" w:themeFill="background1"/>
            <w:vAlign w:val="center"/>
          </w:tcPr>
          <w:p w:rsidR="001A0839" w:rsidRPr="00CA655F" w:rsidRDefault="001A0839" w:rsidP="00A1164A">
            <w:pPr>
              <w:jc w:val="center"/>
              <w:rPr>
                <w:rFonts w:ascii="Bradley Hand ITC" w:hAnsi="Bradley Hand ITC"/>
                <w:b/>
                <w:color w:val="000000" w:themeColor="text1"/>
                <w:sz w:val="28"/>
              </w:rPr>
            </w:pPr>
            <w:r>
              <w:rPr>
                <w:rFonts w:ascii="Bradley Hand ITC" w:hAnsi="Bradley Hand ITC"/>
                <w:b/>
                <w:color w:val="000000" w:themeColor="text1"/>
                <w:sz w:val="28"/>
              </w:rPr>
              <w:t>Summary of Priority</w:t>
            </w:r>
          </w:p>
        </w:tc>
      </w:tr>
      <w:tr w:rsidR="001A0839" w:rsidRPr="00CA3833" w:rsidTr="00A1164A">
        <w:trPr>
          <w:trHeight w:val="862"/>
        </w:trPr>
        <w:tc>
          <w:tcPr>
            <w:tcW w:w="3119" w:type="dxa"/>
            <w:shd w:val="clear" w:color="auto" w:fill="000000" w:themeFill="text1"/>
            <w:vAlign w:val="center"/>
          </w:tcPr>
          <w:p w:rsidR="001A0839" w:rsidRDefault="001A0839" w:rsidP="00A1164A">
            <w:pPr>
              <w:jc w:val="center"/>
              <w:rPr>
                <w:b/>
                <w:sz w:val="24"/>
              </w:rPr>
            </w:pPr>
            <w:r>
              <w:rPr>
                <w:b/>
                <w:sz w:val="24"/>
              </w:rPr>
              <w:t xml:space="preserve">Key links to </w:t>
            </w:r>
          </w:p>
          <w:p w:rsidR="001A0839" w:rsidRDefault="001A0839" w:rsidP="00A1164A">
            <w:pPr>
              <w:jc w:val="center"/>
              <w:rPr>
                <w:b/>
                <w:sz w:val="24"/>
              </w:rPr>
            </w:pPr>
            <w:r>
              <w:rPr>
                <w:b/>
                <w:sz w:val="24"/>
              </w:rPr>
              <w:t>Moray Education</w:t>
            </w:r>
          </w:p>
          <w:p w:rsidR="001A0839" w:rsidRPr="00644A04" w:rsidRDefault="001A0839" w:rsidP="00A1164A">
            <w:pPr>
              <w:jc w:val="center"/>
              <w:rPr>
                <w:b/>
                <w:sz w:val="24"/>
              </w:rPr>
            </w:pPr>
            <w:r>
              <w:rPr>
                <w:b/>
                <w:sz w:val="24"/>
              </w:rPr>
              <w:t>Priority Area(s):</w:t>
            </w:r>
          </w:p>
        </w:tc>
        <w:tc>
          <w:tcPr>
            <w:tcW w:w="12474" w:type="dxa"/>
            <w:shd w:val="clear" w:color="auto" w:fill="FFFFFF" w:themeFill="background1"/>
            <w:vAlign w:val="center"/>
          </w:tcPr>
          <w:p w:rsidR="001A0839" w:rsidRPr="00944ED7" w:rsidRDefault="001A0839" w:rsidP="00A1164A">
            <w:pPr>
              <w:tabs>
                <w:tab w:val="left" w:pos="2018"/>
                <w:tab w:val="left" w:pos="6412"/>
              </w:tabs>
              <w:jc w:val="both"/>
              <w:rPr>
                <w:sz w:val="20"/>
              </w:rPr>
            </w:pPr>
            <w:r w:rsidRPr="00944ED7">
              <w:rPr>
                <w:sz w:val="20"/>
              </w:rPr>
              <w:tab/>
            </w:r>
            <w:sdt>
              <w:sdtPr>
                <w:rPr>
                  <w:sz w:val="20"/>
                </w:rPr>
                <w:id w:val="-7065766"/>
                <w14:checkbox>
                  <w14:checked w14:val="1"/>
                  <w14:checkedState w14:val="2612" w14:font="MS Gothic"/>
                  <w14:uncheckedState w14:val="2610" w14:font="MS Gothic"/>
                </w14:checkbox>
              </w:sdtPr>
              <w:sdtEndPr/>
              <w:sdtContent>
                <w:r w:rsidR="006C1C59">
                  <w:rPr>
                    <w:rFonts w:ascii="MS Gothic" w:eastAsia="MS Gothic" w:hAnsi="MS Gothic" w:hint="eastAsia"/>
                    <w:sz w:val="20"/>
                  </w:rPr>
                  <w:t>☒</w:t>
                </w:r>
              </w:sdtContent>
            </w:sdt>
            <w:r w:rsidRPr="00944ED7">
              <w:rPr>
                <w:sz w:val="20"/>
              </w:rPr>
              <w:t xml:space="preserve"> Rais</w:t>
            </w:r>
            <w:r>
              <w:rPr>
                <w:sz w:val="20"/>
              </w:rPr>
              <w:t>ing</w:t>
            </w:r>
            <w:r w:rsidRPr="00944ED7">
              <w:rPr>
                <w:sz w:val="20"/>
              </w:rPr>
              <w:t xml:space="preserve"> Attainment and Achievement</w:t>
            </w:r>
            <w:r w:rsidRPr="00944ED7">
              <w:rPr>
                <w:sz w:val="20"/>
              </w:rPr>
              <w:tab/>
            </w:r>
            <w:sdt>
              <w:sdtPr>
                <w:rPr>
                  <w:sz w:val="20"/>
                </w:rPr>
                <w:id w:val="-60064718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944ED7">
              <w:rPr>
                <w:sz w:val="20"/>
              </w:rPr>
              <w:t xml:space="preserve"> Self-evaluation for Self-improvement</w:t>
            </w:r>
          </w:p>
          <w:p w:rsidR="001A0839" w:rsidRPr="00944ED7" w:rsidRDefault="001A0839" w:rsidP="00A1164A">
            <w:pPr>
              <w:tabs>
                <w:tab w:val="left" w:pos="2018"/>
                <w:tab w:val="left" w:pos="6412"/>
              </w:tabs>
              <w:jc w:val="both"/>
              <w:rPr>
                <w:sz w:val="20"/>
              </w:rPr>
            </w:pPr>
            <w:r w:rsidRPr="00944ED7">
              <w:rPr>
                <w:sz w:val="20"/>
              </w:rPr>
              <w:tab/>
            </w:r>
            <w:sdt>
              <w:sdtPr>
                <w:rPr>
                  <w:sz w:val="20"/>
                </w:rPr>
                <w:id w:val="1935553116"/>
                <w14:checkbox>
                  <w14:checked w14:val="1"/>
                  <w14:checkedState w14:val="2612" w14:font="MS Gothic"/>
                  <w14:uncheckedState w14:val="2610" w14:font="MS Gothic"/>
                </w14:checkbox>
              </w:sdtPr>
              <w:sdtEndPr/>
              <w:sdtContent>
                <w:r w:rsidR="006C1C59">
                  <w:rPr>
                    <w:rFonts w:ascii="MS Gothic" w:eastAsia="MS Gothic" w:hAnsi="MS Gothic" w:hint="eastAsia"/>
                    <w:sz w:val="20"/>
                  </w:rPr>
                  <w:t>☒</w:t>
                </w:r>
              </w:sdtContent>
            </w:sdt>
            <w:r w:rsidRPr="00944ED7">
              <w:rPr>
                <w:sz w:val="20"/>
              </w:rPr>
              <w:t xml:space="preserve"> </w:t>
            </w:r>
            <w:r>
              <w:rPr>
                <w:sz w:val="20"/>
              </w:rPr>
              <w:t xml:space="preserve">Learning, </w:t>
            </w:r>
            <w:r w:rsidRPr="00944ED7">
              <w:rPr>
                <w:sz w:val="20"/>
              </w:rPr>
              <w:t>Teaching</w:t>
            </w:r>
            <w:r>
              <w:rPr>
                <w:sz w:val="20"/>
              </w:rPr>
              <w:t xml:space="preserve"> and Assessment</w:t>
            </w:r>
            <w:r w:rsidRPr="00944ED7">
              <w:rPr>
                <w:sz w:val="20"/>
              </w:rPr>
              <w:tab/>
            </w:r>
            <w:sdt>
              <w:sdtPr>
                <w:rPr>
                  <w:sz w:val="20"/>
                </w:rPr>
                <w:id w:val="1046330773"/>
                <w14:checkbox>
                  <w14:checked w14:val="1"/>
                  <w14:checkedState w14:val="2612" w14:font="MS Gothic"/>
                  <w14:uncheckedState w14:val="2610" w14:font="MS Gothic"/>
                </w14:checkbox>
              </w:sdtPr>
              <w:sdtEndPr/>
              <w:sdtContent>
                <w:r w:rsidR="006C1C59">
                  <w:rPr>
                    <w:rFonts w:ascii="MS Gothic" w:eastAsia="MS Gothic" w:hAnsi="MS Gothic" w:hint="eastAsia"/>
                    <w:sz w:val="20"/>
                  </w:rPr>
                  <w:t>☒</w:t>
                </w:r>
              </w:sdtContent>
            </w:sdt>
            <w:r w:rsidRPr="00944ED7">
              <w:rPr>
                <w:sz w:val="20"/>
              </w:rPr>
              <w:t xml:space="preserve"> Supporting</w:t>
            </w:r>
            <w:r>
              <w:rPr>
                <w:sz w:val="20"/>
              </w:rPr>
              <w:t xml:space="preserve"> All</w:t>
            </w:r>
            <w:r w:rsidRPr="00944ED7">
              <w:rPr>
                <w:sz w:val="20"/>
              </w:rPr>
              <w:t xml:space="preserve"> Learners</w:t>
            </w:r>
          </w:p>
          <w:p w:rsidR="001A0839" w:rsidRPr="00944ED7" w:rsidRDefault="001A0839" w:rsidP="00A1164A">
            <w:pPr>
              <w:tabs>
                <w:tab w:val="left" w:pos="2018"/>
                <w:tab w:val="left" w:pos="6412"/>
              </w:tabs>
              <w:jc w:val="both"/>
              <w:rPr>
                <w:sz w:val="20"/>
              </w:rPr>
            </w:pPr>
            <w:r w:rsidRPr="00944ED7">
              <w:rPr>
                <w:sz w:val="20"/>
              </w:rPr>
              <w:tab/>
            </w:r>
            <w:sdt>
              <w:sdtPr>
                <w:rPr>
                  <w:sz w:val="20"/>
                </w:rPr>
                <w:id w:val="1821306603"/>
                <w14:checkbox>
                  <w14:checked w14:val="1"/>
                  <w14:checkedState w14:val="2612" w14:font="MS Gothic"/>
                  <w14:uncheckedState w14:val="2610" w14:font="MS Gothic"/>
                </w14:checkbox>
              </w:sdtPr>
              <w:sdtEndPr/>
              <w:sdtContent>
                <w:r w:rsidR="006C1C59">
                  <w:rPr>
                    <w:rFonts w:ascii="MS Gothic" w:eastAsia="MS Gothic" w:hAnsi="MS Gothic" w:hint="eastAsia"/>
                    <w:sz w:val="20"/>
                  </w:rPr>
                  <w:t>☒</w:t>
                </w:r>
              </w:sdtContent>
            </w:sdt>
            <w:r w:rsidRPr="00944ED7">
              <w:rPr>
                <w:sz w:val="20"/>
              </w:rPr>
              <w:t xml:space="preserve"> Curriculum</w:t>
            </w:r>
            <w:r w:rsidRPr="00944ED7">
              <w:rPr>
                <w:sz w:val="20"/>
              </w:rPr>
              <w:tab/>
            </w:r>
            <w:sdt>
              <w:sdtPr>
                <w:rPr>
                  <w:sz w:val="20"/>
                </w:rPr>
                <w:id w:val="55080746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944ED7">
              <w:rPr>
                <w:sz w:val="20"/>
              </w:rPr>
              <w:t xml:space="preserve"> Leadership at all Levels</w:t>
            </w:r>
          </w:p>
        </w:tc>
      </w:tr>
    </w:tbl>
    <w:p w:rsidR="001A0839" w:rsidRPr="00130311" w:rsidRDefault="001A0839" w:rsidP="001A0839">
      <w:pPr>
        <w:spacing w:after="0" w:line="240" w:lineRule="auto"/>
        <w:rPr>
          <w:sz w:val="8"/>
        </w:rPr>
      </w:pPr>
    </w:p>
    <w:tbl>
      <w:tblPr>
        <w:tblStyle w:val="TableGrid"/>
        <w:tblW w:w="15650" w:type="dxa"/>
        <w:tblLook w:val="04A0" w:firstRow="1" w:lastRow="0" w:firstColumn="1" w:lastColumn="0" w:noHBand="0" w:noVBand="1"/>
      </w:tblPr>
      <w:tblGrid>
        <w:gridCol w:w="6374"/>
        <w:gridCol w:w="142"/>
        <w:gridCol w:w="2835"/>
        <w:gridCol w:w="142"/>
        <w:gridCol w:w="3685"/>
        <w:gridCol w:w="142"/>
        <w:gridCol w:w="760"/>
        <w:gridCol w:w="799"/>
        <w:gridCol w:w="771"/>
      </w:tblGrid>
      <w:tr w:rsidR="001A0839" w:rsidRPr="00130311" w:rsidTr="00A1164A">
        <w:tc>
          <w:tcPr>
            <w:tcW w:w="6374" w:type="dxa"/>
            <w:shd w:val="clear" w:color="auto" w:fill="000000" w:themeFill="text1"/>
          </w:tcPr>
          <w:p w:rsidR="001A0839" w:rsidRPr="00130311" w:rsidRDefault="001A0839" w:rsidP="00A1164A">
            <w:pPr>
              <w:jc w:val="center"/>
              <w:rPr>
                <w:b/>
                <w:sz w:val="24"/>
                <w:szCs w:val="24"/>
              </w:rPr>
            </w:pPr>
            <w:r>
              <w:rPr>
                <w:b/>
                <w:sz w:val="24"/>
                <w:szCs w:val="24"/>
              </w:rPr>
              <w:t>NIF Priorities:</w:t>
            </w:r>
          </w:p>
        </w:tc>
        <w:tc>
          <w:tcPr>
            <w:tcW w:w="2977" w:type="dxa"/>
            <w:gridSpan w:val="2"/>
            <w:shd w:val="clear" w:color="auto" w:fill="000000" w:themeFill="text1"/>
          </w:tcPr>
          <w:p w:rsidR="001A0839" w:rsidRPr="00130311" w:rsidRDefault="001A0839" w:rsidP="00A1164A">
            <w:pPr>
              <w:jc w:val="center"/>
              <w:rPr>
                <w:b/>
                <w:sz w:val="24"/>
                <w:szCs w:val="24"/>
              </w:rPr>
            </w:pPr>
            <w:r>
              <w:rPr>
                <w:b/>
                <w:sz w:val="24"/>
                <w:szCs w:val="24"/>
              </w:rPr>
              <w:t>NIF Drivers:</w:t>
            </w:r>
          </w:p>
        </w:tc>
        <w:tc>
          <w:tcPr>
            <w:tcW w:w="3827" w:type="dxa"/>
            <w:gridSpan w:val="2"/>
            <w:shd w:val="clear" w:color="auto" w:fill="000000" w:themeFill="text1"/>
          </w:tcPr>
          <w:p w:rsidR="001A0839" w:rsidRPr="00130311" w:rsidRDefault="001A0839" w:rsidP="00A1164A">
            <w:pPr>
              <w:jc w:val="center"/>
              <w:rPr>
                <w:b/>
                <w:sz w:val="24"/>
                <w:szCs w:val="24"/>
              </w:rPr>
            </w:pPr>
            <w:r>
              <w:rPr>
                <w:b/>
                <w:sz w:val="24"/>
                <w:szCs w:val="24"/>
              </w:rPr>
              <w:t>Children’s Services Plan:</w:t>
            </w:r>
          </w:p>
        </w:tc>
        <w:tc>
          <w:tcPr>
            <w:tcW w:w="2472" w:type="dxa"/>
            <w:gridSpan w:val="4"/>
            <w:shd w:val="clear" w:color="auto" w:fill="000000" w:themeFill="text1"/>
          </w:tcPr>
          <w:p w:rsidR="001A0839" w:rsidRPr="00130311" w:rsidRDefault="001A0839" w:rsidP="00A1164A">
            <w:pPr>
              <w:jc w:val="center"/>
              <w:rPr>
                <w:b/>
                <w:sz w:val="24"/>
                <w:szCs w:val="24"/>
              </w:rPr>
            </w:pPr>
            <w:r>
              <w:rPr>
                <w:b/>
                <w:sz w:val="24"/>
                <w:szCs w:val="24"/>
              </w:rPr>
              <w:t>HGIOS?4 QIs:</w:t>
            </w:r>
          </w:p>
        </w:tc>
      </w:tr>
      <w:tr w:rsidR="001A0839" w:rsidRPr="004208A1" w:rsidTr="00A1164A">
        <w:trPr>
          <w:trHeight w:val="1450"/>
        </w:trPr>
        <w:tc>
          <w:tcPr>
            <w:tcW w:w="6516" w:type="dxa"/>
            <w:gridSpan w:val="2"/>
            <w:vAlign w:val="center"/>
          </w:tcPr>
          <w:p w:rsidR="001A0839" w:rsidRPr="00F1352F" w:rsidRDefault="001D4C03" w:rsidP="00A1164A">
            <w:pPr>
              <w:tabs>
                <w:tab w:val="left" w:pos="313"/>
              </w:tabs>
              <w:rPr>
                <w:sz w:val="18"/>
                <w:szCs w:val="24"/>
              </w:rPr>
            </w:pPr>
            <w:sdt>
              <w:sdtPr>
                <w:rPr>
                  <w:sz w:val="18"/>
                  <w:szCs w:val="24"/>
                </w:rPr>
                <w:id w:val="1977407936"/>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1A0839" w:rsidRPr="004208A1">
              <w:rPr>
                <w:sz w:val="18"/>
                <w:szCs w:val="24"/>
              </w:rPr>
              <w:tab/>
            </w:r>
            <w:r w:rsidR="001A0839" w:rsidRPr="00F1352F">
              <w:rPr>
                <w:sz w:val="18"/>
                <w:szCs w:val="24"/>
              </w:rPr>
              <w:t>Improvements in attainment, particularly in Literacy and Numeracy</w:t>
            </w:r>
          </w:p>
          <w:p w:rsidR="001A0839" w:rsidRPr="00F1352F" w:rsidRDefault="001D4C03" w:rsidP="00A1164A">
            <w:pPr>
              <w:tabs>
                <w:tab w:val="left" w:pos="313"/>
              </w:tabs>
              <w:rPr>
                <w:sz w:val="18"/>
                <w:szCs w:val="24"/>
              </w:rPr>
            </w:pPr>
            <w:sdt>
              <w:sdtPr>
                <w:rPr>
                  <w:sz w:val="18"/>
                  <w:szCs w:val="24"/>
                </w:rPr>
                <w:id w:val="157430815"/>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1A0839" w:rsidRPr="00F1352F">
              <w:rPr>
                <w:sz w:val="18"/>
                <w:szCs w:val="24"/>
              </w:rPr>
              <w:tab/>
              <w:t>Closing the attainment gap between the most and least disadvantaged children</w:t>
            </w:r>
          </w:p>
          <w:p w:rsidR="001A0839" w:rsidRPr="00F1352F" w:rsidRDefault="001D4C03" w:rsidP="00A1164A">
            <w:pPr>
              <w:tabs>
                <w:tab w:val="left" w:pos="313"/>
              </w:tabs>
              <w:rPr>
                <w:sz w:val="18"/>
                <w:szCs w:val="24"/>
              </w:rPr>
            </w:pPr>
            <w:sdt>
              <w:sdtPr>
                <w:rPr>
                  <w:sz w:val="18"/>
                  <w:szCs w:val="24"/>
                </w:rPr>
                <w:id w:val="-474527692"/>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1A0839" w:rsidRPr="00F1352F">
              <w:rPr>
                <w:sz w:val="18"/>
                <w:szCs w:val="24"/>
              </w:rPr>
              <w:tab/>
              <w:t>Improvement in children and young people’s health and wellbeing</w:t>
            </w:r>
          </w:p>
          <w:p w:rsidR="001A0839" w:rsidRPr="004208A1" w:rsidRDefault="001D4C03" w:rsidP="00A1164A">
            <w:pPr>
              <w:tabs>
                <w:tab w:val="left" w:pos="313"/>
              </w:tabs>
              <w:rPr>
                <w:sz w:val="16"/>
                <w:szCs w:val="24"/>
              </w:rPr>
            </w:pPr>
            <w:sdt>
              <w:sdtPr>
                <w:rPr>
                  <w:sz w:val="18"/>
                  <w:szCs w:val="24"/>
                </w:rPr>
                <w:id w:val="1502313937"/>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1A0839" w:rsidRPr="00F1352F">
              <w:rPr>
                <w:sz w:val="18"/>
                <w:szCs w:val="24"/>
              </w:rPr>
              <w:tab/>
              <w:t xml:space="preserve">Improvement in employability skills and sustained, positive school leaver </w:t>
            </w:r>
            <w:r w:rsidR="001A0839" w:rsidRPr="00F1352F">
              <w:rPr>
                <w:sz w:val="18"/>
                <w:szCs w:val="24"/>
              </w:rPr>
              <w:tab/>
              <w:t>destinations for all young people</w:t>
            </w:r>
          </w:p>
        </w:tc>
        <w:tc>
          <w:tcPr>
            <w:tcW w:w="2977" w:type="dxa"/>
            <w:gridSpan w:val="2"/>
            <w:vAlign w:val="center"/>
          </w:tcPr>
          <w:p w:rsidR="001A0839" w:rsidRPr="00F729EB" w:rsidRDefault="001D4C03" w:rsidP="00A1164A">
            <w:pPr>
              <w:rPr>
                <w:sz w:val="18"/>
                <w:szCs w:val="24"/>
              </w:rPr>
            </w:pPr>
            <w:sdt>
              <w:sdtPr>
                <w:rPr>
                  <w:sz w:val="18"/>
                  <w:szCs w:val="24"/>
                </w:rPr>
                <w:id w:val="373279590"/>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1A0839" w:rsidRPr="00F729EB">
              <w:rPr>
                <w:sz w:val="18"/>
                <w:szCs w:val="24"/>
              </w:rPr>
              <w:t xml:space="preserve"> School Leadership</w:t>
            </w:r>
          </w:p>
          <w:p w:rsidR="001A0839" w:rsidRPr="00F729EB" w:rsidRDefault="001D4C03" w:rsidP="00A1164A">
            <w:pPr>
              <w:rPr>
                <w:sz w:val="18"/>
                <w:szCs w:val="24"/>
              </w:rPr>
            </w:pPr>
            <w:sdt>
              <w:sdtPr>
                <w:rPr>
                  <w:sz w:val="18"/>
                  <w:szCs w:val="24"/>
                </w:rPr>
                <w:id w:val="1824231851"/>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1A0839" w:rsidRPr="00F729EB">
              <w:rPr>
                <w:sz w:val="18"/>
                <w:szCs w:val="24"/>
              </w:rPr>
              <w:t xml:space="preserve"> Teacher Professionalism</w:t>
            </w:r>
          </w:p>
          <w:p w:rsidR="001A0839" w:rsidRPr="00F729EB" w:rsidRDefault="001D4C03" w:rsidP="00A1164A">
            <w:pPr>
              <w:rPr>
                <w:sz w:val="18"/>
                <w:szCs w:val="24"/>
              </w:rPr>
            </w:pPr>
            <w:sdt>
              <w:sdtPr>
                <w:rPr>
                  <w:sz w:val="18"/>
                  <w:szCs w:val="24"/>
                </w:rPr>
                <w:id w:val="2053875059"/>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1A0839" w:rsidRPr="00F729EB">
              <w:rPr>
                <w:sz w:val="18"/>
                <w:szCs w:val="24"/>
              </w:rPr>
              <w:t xml:space="preserve"> Parental Engagement</w:t>
            </w:r>
          </w:p>
          <w:p w:rsidR="001A0839" w:rsidRPr="00F729EB" w:rsidRDefault="001D4C03" w:rsidP="00A1164A">
            <w:pPr>
              <w:rPr>
                <w:sz w:val="18"/>
                <w:szCs w:val="24"/>
              </w:rPr>
            </w:pPr>
            <w:sdt>
              <w:sdtPr>
                <w:rPr>
                  <w:sz w:val="18"/>
                  <w:szCs w:val="24"/>
                </w:rPr>
                <w:id w:val="-1720890611"/>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1A0839" w:rsidRPr="00F729EB">
              <w:rPr>
                <w:sz w:val="18"/>
                <w:szCs w:val="24"/>
              </w:rPr>
              <w:t xml:space="preserve"> Assessment of Children’s Progress</w:t>
            </w:r>
          </w:p>
          <w:p w:rsidR="001A0839" w:rsidRPr="00F729EB" w:rsidRDefault="001D4C03" w:rsidP="00A1164A">
            <w:pPr>
              <w:rPr>
                <w:sz w:val="18"/>
                <w:szCs w:val="24"/>
              </w:rPr>
            </w:pPr>
            <w:sdt>
              <w:sdtPr>
                <w:rPr>
                  <w:sz w:val="18"/>
                  <w:szCs w:val="24"/>
                </w:rPr>
                <w:id w:val="-2056461682"/>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1A0839" w:rsidRPr="00F729EB">
              <w:rPr>
                <w:sz w:val="18"/>
                <w:szCs w:val="24"/>
              </w:rPr>
              <w:t xml:space="preserve"> School Improvement</w:t>
            </w:r>
          </w:p>
          <w:p w:rsidR="001A0839" w:rsidRPr="004208A1" w:rsidRDefault="001D4C03" w:rsidP="00A1164A">
            <w:pPr>
              <w:rPr>
                <w:sz w:val="16"/>
                <w:szCs w:val="24"/>
              </w:rPr>
            </w:pPr>
            <w:sdt>
              <w:sdtPr>
                <w:rPr>
                  <w:sz w:val="18"/>
                  <w:szCs w:val="24"/>
                </w:rPr>
                <w:id w:val="-1029487440"/>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1A0839" w:rsidRPr="00F729EB">
              <w:rPr>
                <w:sz w:val="18"/>
                <w:szCs w:val="24"/>
              </w:rPr>
              <w:t xml:space="preserve"> Performance Information</w:t>
            </w:r>
          </w:p>
        </w:tc>
        <w:tc>
          <w:tcPr>
            <w:tcW w:w="3827" w:type="dxa"/>
            <w:gridSpan w:val="2"/>
            <w:vAlign w:val="center"/>
          </w:tcPr>
          <w:p w:rsidR="001A0839" w:rsidRPr="00F1352F" w:rsidRDefault="001D4C03" w:rsidP="00A1164A">
            <w:pPr>
              <w:rPr>
                <w:sz w:val="18"/>
                <w:szCs w:val="24"/>
              </w:rPr>
            </w:pPr>
            <w:sdt>
              <w:sdtPr>
                <w:rPr>
                  <w:sz w:val="18"/>
                  <w:szCs w:val="24"/>
                </w:rPr>
                <w:id w:val="1491221553"/>
                <w14:checkbox>
                  <w14:checked w14:val="1"/>
                  <w14:checkedState w14:val="2612" w14:font="MS Gothic"/>
                  <w14:uncheckedState w14:val="2610" w14:font="MS Gothic"/>
                </w14:checkbox>
              </w:sdtPr>
              <w:sdtEndPr/>
              <w:sdtContent>
                <w:r w:rsidR="004116A1">
                  <w:rPr>
                    <w:rFonts w:ascii="MS Gothic" w:eastAsia="MS Gothic" w:hAnsi="MS Gothic" w:hint="eastAsia"/>
                    <w:sz w:val="18"/>
                    <w:szCs w:val="24"/>
                  </w:rPr>
                  <w:t>☒</w:t>
                </w:r>
              </w:sdtContent>
            </w:sdt>
            <w:r w:rsidR="001A0839">
              <w:rPr>
                <w:sz w:val="18"/>
                <w:szCs w:val="24"/>
              </w:rPr>
              <w:t xml:space="preserve"> </w:t>
            </w:r>
            <w:r w:rsidR="001A0839" w:rsidRPr="00F1352F">
              <w:rPr>
                <w:sz w:val="18"/>
                <w:szCs w:val="24"/>
                <w:u w:val="single"/>
              </w:rPr>
              <w:t>Priority 1</w:t>
            </w:r>
            <w:r w:rsidR="001A0839" w:rsidRPr="00F1352F">
              <w:rPr>
                <w:sz w:val="18"/>
                <w:szCs w:val="24"/>
              </w:rPr>
              <w:t xml:space="preserve"> – </w:t>
            </w:r>
            <w:r w:rsidR="001A0839">
              <w:rPr>
                <w:sz w:val="18"/>
                <w:szCs w:val="24"/>
              </w:rPr>
              <w:t>Improve Wellbeing</w:t>
            </w:r>
          </w:p>
          <w:p w:rsidR="001A0839" w:rsidRPr="00F1352F" w:rsidRDefault="001D4C03" w:rsidP="00A1164A">
            <w:pPr>
              <w:rPr>
                <w:sz w:val="18"/>
                <w:szCs w:val="24"/>
              </w:rPr>
            </w:pPr>
            <w:sdt>
              <w:sdtPr>
                <w:rPr>
                  <w:sz w:val="18"/>
                  <w:szCs w:val="24"/>
                </w:rPr>
                <w:id w:val="1852293118"/>
                <w14:checkbox>
                  <w14:checked w14:val="0"/>
                  <w14:checkedState w14:val="2612" w14:font="MS Gothic"/>
                  <w14:uncheckedState w14:val="2610" w14:font="MS Gothic"/>
                </w14:checkbox>
              </w:sdtPr>
              <w:sdtEndPr/>
              <w:sdtContent>
                <w:r w:rsidR="001A0839">
                  <w:rPr>
                    <w:rFonts w:ascii="MS Gothic" w:eastAsia="MS Gothic" w:hAnsi="MS Gothic" w:hint="eastAsia"/>
                    <w:sz w:val="18"/>
                    <w:szCs w:val="24"/>
                  </w:rPr>
                  <w:t>☐</w:t>
                </w:r>
              </w:sdtContent>
            </w:sdt>
            <w:r w:rsidR="001A0839" w:rsidRPr="00F1352F">
              <w:rPr>
                <w:sz w:val="18"/>
                <w:szCs w:val="24"/>
              </w:rPr>
              <w:t xml:space="preserve"> </w:t>
            </w:r>
            <w:r w:rsidR="001A0839" w:rsidRPr="00F1352F">
              <w:rPr>
                <w:sz w:val="18"/>
                <w:szCs w:val="24"/>
                <w:u w:val="single"/>
              </w:rPr>
              <w:t>Priority 2</w:t>
            </w:r>
            <w:r w:rsidR="001A0839" w:rsidRPr="00F1352F">
              <w:rPr>
                <w:sz w:val="18"/>
                <w:szCs w:val="24"/>
              </w:rPr>
              <w:t xml:space="preserve"> – </w:t>
            </w:r>
            <w:r w:rsidR="001A0839">
              <w:rPr>
                <w:sz w:val="18"/>
                <w:szCs w:val="24"/>
              </w:rPr>
              <w:t>Safeguarding</w:t>
            </w:r>
          </w:p>
          <w:p w:rsidR="001A0839" w:rsidRDefault="001D4C03" w:rsidP="00A1164A">
            <w:pPr>
              <w:rPr>
                <w:sz w:val="18"/>
                <w:szCs w:val="24"/>
              </w:rPr>
            </w:pPr>
            <w:sdt>
              <w:sdtPr>
                <w:rPr>
                  <w:sz w:val="18"/>
                  <w:szCs w:val="24"/>
                </w:rPr>
                <w:id w:val="-609435864"/>
                <w14:checkbox>
                  <w14:checked w14:val="1"/>
                  <w14:checkedState w14:val="2612" w14:font="MS Gothic"/>
                  <w14:uncheckedState w14:val="2610" w14:font="MS Gothic"/>
                </w14:checkbox>
              </w:sdtPr>
              <w:sdtEndPr/>
              <w:sdtContent>
                <w:r w:rsidR="004116A1">
                  <w:rPr>
                    <w:rFonts w:ascii="MS Gothic" w:eastAsia="MS Gothic" w:hAnsi="MS Gothic" w:hint="eastAsia"/>
                    <w:sz w:val="18"/>
                    <w:szCs w:val="24"/>
                  </w:rPr>
                  <w:t>☒</w:t>
                </w:r>
              </w:sdtContent>
            </w:sdt>
            <w:r w:rsidR="001A0839" w:rsidRPr="00F1352F">
              <w:rPr>
                <w:sz w:val="18"/>
                <w:szCs w:val="24"/>
              </w:rPr>
              <w:t xml:space="preserve"> </w:t>
            </w:r>
            <w:r w:rsidR="001A0839" w:rsidRPr="00F1352F">
              <w:rPr>
                <w:sz w:val="18"/>
                <w:szCs w:val="24"/>
                <w:u w:val="single"/>
              </w:rPr>
              <w:t>Priority 3</w:t>
            </w:r>
            <w:r w:rsidR="001A0839" w:rsidRPr="00F1352F">
              <w:rPr>
                <w:sz w:val="18"/>
                <w:szCs w:val="24"/>
              </w:rPr>
              <w:t xml:space="preserve"> – </w:t>
            </w:r>
            <w:r w:rsidR="001A0839">
              <w:rPr>
                <w:sz w:val="18"/>
                <w:szCs w:val="24"/>
              </w:rPr>
              <w:t>Poverty</w:t>
            </w:r>
          </w:p>
          <w:p w:rsidR="001A0839" w:rsidRDefault="001D4C03" w:rsidP="00A1164A">
            <w:pPr>
              <w:rPr>
                <w:sz w:val="18"/>
                <w:szCs w:val="24"/>
              </w:rPr>
            </w:pPr>
            <w:sdt>
              <w:sdtPr>
                <w:rPr>
                  <w:sz w:val="18"/>
                  <w:szCs w:val="24"/>
                </w:rPr>
                <w:id w:val="-953100093"/>
                <w14:checkbox>
                  <w14:checked w14:val="0"/>
                  <w14:checkedState w14:val="2612" w14:font="MS Gothic"/>
                  <w14:uncheckedState w14:val="2610" w14:font="MS Gothic"/>
                </w14:checkbox>
              </w:sdtPr>
              <w:sdtEndPr/>
              <w:sdtContent>
                <w:r w:rsidR="001A0839">
                  <w:rPr>
                    <w:rFonts w:ascii="MS Gothic" w:eastAsia="MS Gothic" w:hAnsi="MS Gothic" w:hint="eastAsia"/>
                    <w:sz w:val="18"/>
                    <w:szCs w:val="24"/>
                  </w:rPr>
                  <w:t>☐</w:t>
                </w:r>
              </w:sdtContent>
            </w:sdt>
            <w:r w:rsidR="001A0839" w:rsidRPr="00F1352F">
              <w:rPr>
                <w:sz w:val="18"/>
                <w:szCs w:val="24"/>
              </w:rPr>
              <w:t xml:space="preserve"> </w:t>
            </w:r>
            <w:r w:rsidR="001A0839" w:rsidRPr="00F1352F">
              <w:rPr>
                <w:sz w:val="18"/>
                <w:szCs w:val="24"/>
                <w:u w:val="single"/>
              </w:rPr>
              <w:t>Priority</w:t>
            </w:r>
            <w:r w:rsidR="001A0839">
              <w:rPr>
                <w:sz w:val="18"/>
                <w:szCs w:val="24"/>
                <w:u w:val="single"/>
              </w:rPr>
              <w:t xml:space="preserve"> 4</w:t>
            </w:r>
            <w:r w:rsidR="001A0839" w:rsidRPr="00F1352F">
              <w:rPr>
                <w:sz w:val="18"/>
                <w:szCs w:val="24"/>
              </w:rPr>
              <w:t xml:space="preserve"> – </w:t>
            </w:r>
            <w:r w:rsidR="001A0839">
              <w:rPr>
                <w:sz w:val="18"/>
                <w:szCs w:val="24"/>
              </w:rPr>
              <w:t>Corporate Parenting</w:t>
            </w:r>
          </w:p>
          <w:p w:rsidR="001A0839" w:rsidRPr="00005323" w:rsidRDefault="001A0839" w:rsidP="00A1164A">
            <w:pPr>
              <w:jc w:val="right"/>
              <w:rPr>
                <w:i/>
                <w:sz w:val="16"/>
                <w:szCs w:val="24"/>
              </w:rPr>
            </w:pPr>
          </w:p>
        </w:tc>
        <w:tc>
          <w:tcPr>
            <w:tcW w:w="760" w:type="dxa"/>
            <w:vAlign w:val="center"/>
          </w:tcPr>
          <w:p w:rsidR="001A0839" w:rsidRPr="00F729EB" w:rsidRDefault="001D4C03" w:rsidP="00A1164A">
            <w:pPr>
              <w:jc w:val="center"/>
              <w:rPr>
                <w:sz w:val="18"/>
                <w:szCs w:val="24"/>
              </w:rPr>
            </w:pPr>
            <w:sdt>
              <w:sdtPr>
                <w:rPr>
                  <w:sz w:val="18"/>
                  <w:szCs w:val="24"/>
                </w:rPr>
                <w:id w:val="698744739"/>
                <w14:checkbox>
                  <w14:checked w14:val="0"/>
                  <w14:checkedState w14:val="2612" w14:font="MS Gothic"/>
                  <w14:uncheckedState w14:val="2610" w14:font="MS Gothic"/>
                </w14:checkbox>
              </w:sdtPr>
              <w:sdtEndPr/>
              <w:sdtContent>
                <w:r w:rsidR="001A0839">
                  <w:rPr>
                    <w:rFonts w:ascii="MS Gothic" w:eastAsia="MS Gothic" w:hAnsi="MS Gothic" w:hint="eastAsia"/>
                    <w:sz w:val="18"/>
                    <w:szCs w:val="24"/>
                  </w:rPr>
                  <w:t>☐</w:t>
                </w:r>
              </w:sdtContent>
            </w:sdt>
            <w:r w:rsidR="001A0839" w:rsidRPr="00F729EB">
              <w:rPr>
                <w:sz w:val="18"/>
                <w:szCs w:val="24"/>
              </w:rPr>
              <w:t xml:space="preserve"> 1.1</w:t>
            </w:r>
          </w:p>
          <w:p w:rsidR="001A0839" w:rsidRPr="00F729EB" w:rsidRDefault="001D4C03" w:rsidP="00A1164A">
            <w:pPr>
              <w:jc w:val="center"/>
              <w:rPr>
                <w:sz w:val="18"/>
                <w:szCs w:val="24"/>
              </w:rPr>
            </w:pPr>
            <w:sdt>
              <w:sdtPr>
                <w:rPr>
                  <w:sz w:val="18"/>
                  <w:szCs w:val="24"/>
                </w:rPr>
                <w:id w:val="1960915843"/>
                <w14:checkbox>
                  <w14:checked w14:val="0"/>
                  <w14:checkedState w14:val="2612" w14:font="MS Gothic"/>
                  <w14:uncheckedState w14:val="2610" w14:font="MS Gothic"/>
                </w14:checkbox>
              </w:sdtPr>
              <w:sdtEndPr/>
              <w:sdtContent>
                <w:r w:rsidR="001A0839">
                  <w:rPr>
                    <w:rFonts w:ascii="MS Gothic" w:eastAsia="MS Gothic" w:hAnsi="MS Gothic" w:hint="eastAsia"/>
                    <w:sz w:val="18"/>
                    <w:szCs w:val="24"/>
                  </w:rPr>
                  <w:t>☐</w:t>
                </w:r>
              </w:sdtContent>
            </w:sdt>
            <w:r w:rsidR="001A0839" w:rsidRPr="00F729EB">
              <w:rPr>
                <w:sz w:val="18"/>
                <w:szCs w:val="24"/>
              </w:rPr>
              <w:t xml:space="preserve"> 1.2</w:t>
            </w:r>
          </w:p>
          <w:p w:rsidR="001A0839" w:rsidRPr="00F729EB" w:rsidRDefault="001D4C03" w:rsidP="00A1164A">
            <w:pPr>
              <w:jc w:val="center"/>
              <w:rPr>
                <w:sz w:val="18"/>
                <w:szCs w:val="24"/>
              </w:rPr>
            </w:pPr>
            <w:sdt>
              <w:sdtPr>
                <w:rPr>
                  <w:sz w:val="18"/>
                  <w:szCs w:val="24"/>
                </w:rPr>
                <w:id w:val="-1999871943"/>
                <w14:checkbox>
                  <w14:checked w14:val="0"/>
                  <w14:checkedState w14:val="2612" w14:font="MS Gothic"/>
                  <w14:uncheckedState w14:val="2610" w14:font="MS Gothic"/>
                </w14:checkbox>
              </w:sdtPr>
              <w:sdtEndPr/>
              <w:sdtContent>
                <w:r w:rsidR="001A0839">
                  <w:rPr>
                    <w:rFonts w:ascii="MS Gothic" w:eastAsia="MS Gothic" w:hAnsi="MS Gothic" w:hint="eastAsia"/>
                    <w:sz w:val="18"/>
                    <w:szCs w:val="24"/>
                  </w:rPr>
                  <w:t>☐</w:t>
                </w:r>
              </w:sdtContent>
            </w:sdt>
            <w:r w:rsidR="001A0839" w:rsidRPr="00F729EB">
              <w:rPr>
                <w:sz w:val="18"/>
                <w:szCs w:val="24"/>
              </w:rPr>
              <w:t xml:space="preserve"> 1.3</w:t>
            </w:r>
          </w:p>
          <w:p w:rsidR="001A0839" w:rsidRPr="00F729EB" w:rsidRDefault="001D4C03" w:rsidP="00A1164A">
            <w:pPr>
              <w:jc w:val="center"/>
              <w:rPr>
                <w:sz w:val="18"/>
                <w:szCs w:val="24"/>
              </w:rPr>
            </w:pPr>
            <w:sdt>
              <w:sdtPr>
                <w:rPr>
                  <w:sz w:val="18"/>
                  <w:szCs w:val="24"/>
                </w:rPr>
                <w:id w:val="-1074431256"/>
                <w14:checkbox>
                  <w14:checked w14:val="0"/>
                  <w14:checkedState w14:val="2612" w14:font="MS Gothic"/>
                  <w14:uncheckedState w14:val="2610" w14:font="MS Gothic"/>
                </w14:checkbox>
              </w:sdtPr>
              <w:sdtEndPr/>
              <w:sdtContent>
                <w:r w:rsidR="001A0839" w:rsidRPr="00F729EB">
                  <w:rPr>
                    <w:rFonts w:ascii="MS Gothic" w:eastAsia="MS Gothic" w:hAnsi="MS Gothic" w:hint="eastAsia"/>
                    <w:sz w:val="18"/>
                    <w:szCs w:val="24"/>
                  </w:rPr>
                  <w:t>☐</w:t>
                </w:r>
              </w:sdtContent>
            </w:sdt>
            <w:r w:rsidR="001A0839" w:rsidRPr="00F729EB">
              <w:rPr>
                <w:sz w:val="18"/>
                <w:szCs w:val="24"/>
              </w:rPr>
              <w:t xml:space="preserve"> 1.4</w:t>
            </w:r>
          </w:p>
          <w:p w:rsidR="001A0839" w:rsidRPr="00F729EB" w:rsidRDefault="001D4C03" w:rsidP="00A1164A">
            <w:pPr>
              <w:jc w:val="center"/>
              <w:rPr>
                <w:sz w:val="18"/>
                <w:szCs w:val="24"/>
              </w:rPr>
            </w:pPr>
            <w:sdt>
              <w:sdtPr>
                <w:rPr>
                  <w:sz w:val="18"/>
                  <w:szCs w:val="24"/>
                </w:rPr>
                <w:id w:val="1901479494"/>
                <w14:checkbox>
                  <w14:checked w14:val="0"/>
                  <w14:checkedState w14:val="2612" w14:font="MS Gothic"/>
                  <w14:uncheckedState w14:val="2610" w14:font="MS Gothic"/>
                </w14:checkbox>
              </w:sdtPr>
              <w:sdtEndPr/>
              <w:sdtContent>
                <w:r w:rsidR="001A0839" w:rsidRPr="00F729EB">
                  <w:rPr>
                    <w:rFonts w:ascii="MS Gothic" w:eastAsia="MS Gothic" w:hAnsi="MS Gothic" w:hint="eastAsia"/>
                    <w:sz w:val="18"/>
                    <w:szCs w:val="24"/>
                  </w:rPr>
                  <w:t>☐</w:t>
                </w:r>
              </w:sdtContent>
            </w:sdt>
            <w:r w:rsidR="001A0839" w:rsidRPr="00F729EB">
              <w:rPr>
                <w:sz w:val="18"/>
                <w:szCs w:val="24"/>
              </w:rPr>
              <w:t xml:space="preserve"> 1.5</w:t>
            </w:r>
          </w:p>
        </w:tc>
        <w:tc>
          <w:tcPr>
            <w:tcW w:w="799" w:type="dxa"/>
            <w:vAlign w:val="center"/>
          </w:tcPr>
          <w:p w:rsidR="001A0839" w:rsidRPr="00F729EB" w:rsidRDefault="001D4C03" w:rsidP="00A1164A">
            <w:pPr>
              <w:jc w:val="center"/>
              <w:rPr>
                <w:sz w:val="18"/>
                <w:szCs w:val="24"/>
              </w:rPr>
            </w:pPr>
            <w:sdt>
              <w:sdtPr>
                <w:rPr>
                  <w:sz w:val="18"/>
                  <w:szCs w:val="24"/>
                </w:rPr>
                <w:id w:val="1285611379"/>
                <w14:checkbox>
                  <w14:checked w14:val="0"/>
                  <w14:checkedState w14:val="2612" w14:font="MS Gothic"/>
                  <w14:uncheckedState w14:val="2610" w14:font="MS Gothic"/>
                </w14:checkbox>
              </w:sdtPr>
              <w:sdtEndPr/>
              <w:sdtContent>
                <w:r w:rsidR="001A0839" w:rsidRPr="00F729EB">
                  <w:rPr>
                    <w:rFonts w:ascii="MS Gothic" w:eastAsia="MS Gothic" w:hAnsi="MS Gothic" w:hint="eastAsia"/>
                    <w:sz w:val="18"/>
                    <w:szCs w:val="24"/>
                  </w:rPr>
                  <w:t>☐</w:t>
                </w:r>
              </w:sdtContent>
            </w:sdt>
            <w:r w:rsidR="001A0839" w:rsidRPr="00F729EB">
              <w:rPr>
                <w:sz w:val="18"/>
                <w:szCs w:val="24"/>
              </w:rPr>
              <w:t xml:space="preserve"> 2.1</w:t>
            </w:r>
          </w:p>
          <w:p w:rsidR="001A0839" w:rsidRPr="00F729EB" w:rsidRDefault="001D4C03" w:rsidP="00A1164A">
            <w:pPr>
              <w:jc w:val="center"/>
              <w:rPr>
                <w:sz w:val="18"/>
                <w:szCs w:val="24"/>
              </w:rPr>
            </w:pPr>
            <w:sdt>
              <w:sdtPr>
                <w:rPr>
                  <w:sz w:val="18"/>
                  <w:szCs w:val="24"/>
                </w:rPr>
                <w:id w:val="-1735232159"/>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1A0839" w:rsidRPr="00F729EB">
              <w:rPr>
                <w:sz w:val="18"/>
                <w:szCs w:val="24"/>
              </w:rPr>
              <w:t xml:space="preserve"> 2.2</w:t>
            </w:r>
          </w:p>
          <w:p w:rsidR="001A0839" w:rsidRPr="00F729EB" w:rsidRDefault="001D4C03" w:rsidP="00A1164A">
            <w:pPr>
              <w:jc w:val="center"/>
              <w:rPr>
                <w:sz w:val="18"/>
                <w:szCs w:val="24"/>
              </w:rPr>
            </w:pPr>
            <w:sdt>
              <w:sdtPr>
                <w:rPr>
                  <w:sz w:val="18"/>
                  <w:szCs w:val="24"/>
                </w:rPr>
                <w:id w:val="1940025359"/>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1A0839" w:rsidRPr="00F729EB">
              <w:rPr>
                <w:sz w:val="18"/>
                <w:szCs w:val="24"/>
              </w:rPr>
              <w:t xml:space="preserve"> 2.3</w:t>
            </w:r>
          </w:p>
          <w:p w:rsidR="001A0839" w:rsidRPr="00F729EB" w:rsidRDefault="001D4C03" w:rsidP="00A1164A">
            <w:pPr>
              <w:jc w:val="center"/>
              <w:rPr>
                <w:sz w:val="18"/>
                <w:szCs w:val="24"/>
              </w:rPr>
            </w:pPr>
            <w:sdt>
              <w:sdtPr>
                <w:rPr>
                  <w:sz w:val="18"/>
                  <w:szCs w:val="24"/>
                </w:rPr>
                <w:id w:val="917599959"/>
                <w14:checkbox>
                  <w14:checked w14:val="0"/>
                  <w14:checkedState w14:val="2612" w14:font="MS Gothic"/>
                  <w14:uncheckedState w14:val="2610" w14:font="MS Gothic"/>
                </w14:checkbox>
              </w:sdtPr>
              <w:sdtEndPr/>
              <w:sdtContent>
                <w:r w:rsidR="001A0839">
                  <w:rPr>
                    <w:rFonts w:ascii="MS Gothic" w:eastAsia="MS Gothic" w:hAnsi="MS Gothic" w:hint="eastAsia"/>
                    <w:sz w:val="18"/>
                    <w:szCs w:val="24"/>
                  </w:rPr>
                  <w:t>☐</w:t>
                </w:r>
              </w:sdtContent>
            </w:sdt>
            <w:r w:rsidR="001A0839" w:rsidRPr="00F729EB">
              <w:rPr>
                <w:sz w:val="18"/>
                <w:szCs w:val="24"/>
              </w:rPr>
              <w:t xml:space="preserve"> 2.4</w:t>
            </w:r>
          </w:p>
          <w:p w:rsidR="001A0839" w:rsidRPr="00F729EB" w:rsidRDefault="001D4C03" w:rsidP="00A1164A">
            <w:pPr>
              <w:jc w:val="center"/>
              <w:rPr>
                <w:sz w:val="18"/>
                <w:szCs w:val="24"/>
              </w:rPr>
            </w:pPr>
            <w:sdt>
              <w:sdtPr>
                <w:rPr>
                  <w:sz w:val="18"/>
                  <w:szCs w:val="24"/>
                </w:rPr>
                <w:id w:val="1940638571"/>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1A0839" w:rsidRPr="00F729EB">
              <w:rPr>
                <w:sz w:val="18"/>
                <w:szCs w:val="24"/>
              </w:rPr>
              <w:t xml:space="preserve"> 2.5</w:t>
            </w:r>
          </w:p>
          <w:p w:rsidR="001A0839" w:rsidRPr="00F729EB" w:rsidRDefault="001D4C03" w:rsidP="00A1164A">
            <w:pPr>
              <w:jc w:val="center"/>
              <w:rPr>
                <w:sz w:val="18"/>
                <w:szCs w:val="24"/>
              </w:rPr>
            </w:pPr>
            <w:sdt>
              <w:sdtPr>
                <w:rPr>
                  <w:sz w:val="18"/>
                  <w:szCs w:val="24"/>
                </w:rPr>
                <w:id w:val="862245976"/>
                <w14:checkbox>
                  <w14:checked w14:val="0"/>
                  <w14:checkedState w14:val="2612" w14:font="MS Gothic"/>
                  <w14:uncheckedState w14:val="2610" w14:font="MS Gothic"/>
                </w14:checkbox>
              </w:sdtPr>
              <w:sdtEndPr/>
              <w:sdtContent>
                <w:r w:rsidR="001A0839">
                  <w:rPr>
                    <w:rFonts w:ascii="MS Gothic" w:eastAsia="MS Gothic" w:hAnsi="MS Gothic" w:hint="eastAsia"/>
                    <w:sz w:val="18"/>
                    <w:szCs w:val="24"/>
                  </w:rPr>
                  <w:t>☐</w:t>
                </w:r>
              </w:sdtContent>
            </w:sdt>
            <w:r w:rsidR="001A0839" w:rsidRPr="00F729EB">
              <w:rPr>
                <w:sz w:val="18"/>
                <w:szCs w:val="24"/>
              </w:rPr>
              <w:t xml:space="preserve"> 2.6</w:t>
            </w:r>
          </w:p>
          <w:p w:rsidR="001A0839" w:rsidRPr="00F729EB" w:rsidRDefault="001D4C03" w:rsidP="00A1164A">
            <w:pPr>
              <w:jc w:val="center"/>
              <w:rPr>
                <w:sz w:val="18"/>
                <w:szCs w:val="24"/>
              </w:rPr>
            </w:pPr>
            <w:sdt>
              <w:sdtPr>
                <w:rPr>
                  <w:sz w:val="18"/>
                  <w:szCs w:val="24"/>
                </w:rPr>
                <w:id w:val="-1370677688"/>
                <w14:checkbox>
                  <w14:checked w14:val="0"/>
                  <w14:checkedState w14:val="2612" w14:font="MS Gothic"/>
                  <w14:uncheckedState w14:val="2610" w14:font="MS Gothic"/>
                </w14:checkbox>
              </w:sdtPr>
              <w:sdtEndPr/>
              <w:sdtContent>
                <w:r w:rsidR="001A0839">
                  <w:rPr>
                    <w:rFonts w:ascii="MS Gothic" w:eastAsia="MS Gothic" w:hAnsi="MS Gothic" w:hint="eastAsia"/>
                    <w:sz w:val="18"/>
                    <w:szCs w:val="24"/>
                  </w:rPr>
                  <w:t>☐</w:t>
                </w:r>
              </w:sdtContent>
            </w:sdt>
            <w:r w:rsidR="001A0839" w:rsidRPr="00F729EB">
              <w:rPr>
                <w:sz w:val="18"/>
                <w:szCs w:val="24"/>
              </w:rPr>
              <w:t xml:space="preserve"> 2.7</w:t>
            </w:r>
          </w:p>
        </w:tc>
        <w:tc>
          <w:tcPr>
            <w:tcW w:w="771" w:type="dxa"/>
            <w:vAlign w:val="center"/>
          </w:tcPr>
          <w:p w:rsidR="001A0839" w:rsidRPr="00F729EB" w:rsidRDefault="001D4C03" w:rsidP="00A1164A">
            <w:pPr>
              <w:jc w:val="center"/>
              <w:rPr>
                <w:sz w:val="18"/>
                <w:szCs w:val="24"/>
              </w:rPr>
            </w:pPr>
            <w:sdt>
              <w:sdtPr>
                <w:rPr>
                  <w:sz w:val="18"/>
                  <w:szCs w:val="24"/>
                </w:rPr>
                <w:id w:val="22838429"/>
                <w14:checkbox>
                  <w14:checked w14:val="0"/>
                  <w14:checkedState w14:val="2612" w14:font="MS Gothic"/>
                  <w14:uncheckedState w14:val="2610" w14:font="MS Gothic"/>
                </w14:checkbox>
              </w:sdtPr>
              <w:sdtEndPr/>
              <w:sdtContent>
                <w:r w:rsidR="001A0839">
                  <w:rPr>
                    <w:rFonts w:ascii="MS Gothic" w:eastAsia="MS Gothic" w:hAnsi="MS Gothic" w:hint="eastAsia"/>
                    <w:sz w:val="18"/>
                    <w:szCs w:val="24"/>
                  </w:rPr>
                  <w:t>☐</w:t>
                </w:r>
              </w:sdtContent>
            </w:sdt>
            <w:r w:rsidR="001A0839" w:rsidRPr="00F729EB">
              <w:rPr>
                <w:sz w:val="18"/>
                <w:szCs w:val="24"/>
              </w:rPr>
              <w:t xml:space="preserve"> 3.1</w:t>
            </w:r>
          </w:p>
          <w:p w:rsidR="001A0839" w:rsidRPr="00F729EB" w:rsidRDefault="001D4C03" w:rsidP="00A1164A">
            <w:pPr>
              <w:jc w:val="center"/>
              <w:rPr>
                <w:sz w:val="18"/>
                <w:szCs w:val="24"/>
              </w:rPr>
            </w:pPr>
            <w:sdt>
              <w:sdtPr>
                <w:rPr>
                  <w:sz w:val="18"/>
                  <w:szCs w:val="24"/>
                </w:rPr>
                <w:id w:val="-549464262"/>
                <w14:checkbox>
                  <w14:checked w14:val="0"/>
                  <w14:checkedState w14:val="2612" w14:font="MS Gothic"/>
                  <w14:uncheckedState w14:val="2610" w14:font="MS Gothic"/>
                </w14:checkbox>
              </w:sdtPr>
              <w:sdtEndPr/>
              <w:sdtContent>
                <w:r w:rsidR="001A0839" w:rsidRPr="00F729EB">
                  <w:rPr>
                    <w:rFonts w:ascii="MS Gothic" w:eastAsia="MS Gothic" w:hAnsi="MS Gothic" w:hint="eastAsia"/>
                    <w:sz w:val="18"/>
                    <w:szCs w:val="24"/>
                  </w:rPr>
                  <w:t>☐</w:t>
                </w:r>
              </w:sdtContent>
            </w:sdt>
            <w:r w:rsidR="001A0839" w:rsidRPr="00F729EB">
              <w:rPr>
                <w:sz w:val="18"/>
                <w:szCs w:val="24"/>
              </w:rPr>
              <w:t xml:space="preserve"> 3.2</w:t>
            </w:r>
          </w:p>
          <w:p w:rsidR="001A0839" w:rsidRPr="00F729EB" w:rsidRDefault="001D4C03" w:rsidP="00A1164A">
            <w:pPr>
              <w:jc w:val="center"/>
              <w:rPr>
                <w:sz w:val="18"/>
                <w:szCs w:val="24"/>
              </w:rPr>
            </w:pPr>
            <w:sdt>
              <w:sdtPr>
                <w:rPr>
                  <w:sz w:val="18"/>
                  <w:szCs w:val="24"/>
                </w:rPr>
                <w:id w:val="935170009"/>
                <w14:checkbox>
                  <w14:checked w14:val="0"/>
                  <w14:checkedState w14:val="2612" w14:font="MS Gothic"/>
                  <w14:uncheckedState w14:val="2610" w14:font="MS Gothic"/>
                </w14:checkbox>
              </w:sdtPr>
              <w:sdtEndPr/>
              <w:sdtContent>
                <w:r w:rsidR="001A0839">
                  <w:rPr>
                    <w:rFonts w:ascii="MS Gothic" w:eastAsia="MS Gothic" w:hAnsi="MS Gothic" w:hint="eastAsia"/>
                    <w:sz w:val="18"/>
                    <w:szCs w:val="24"/>
                  </w:rPr>
                  <w:t>☐</w:t>
                </w:r>
              </w:sdtContent>
            </w:sdt>
            <w:r w:rsidR="001A0839" w:rsidRPr="00F729EB">
              <w:rPr>
                <w:sz w:val="18"/>
                <w:szCs w:val="24"/>
              </w:rPr>
              <w:t xml:space="preserve"> 3.3</w:t>
            </w:r>
          </w:p>
        </w:tc>
      </w:tr>
    </w:tbl>
    <w:p w:rsidR="001A0839" w:rsidRPr="001A0839" w:rsidRDefault="001A0839" w:rsidP="001A0839">
      <w:pPr>
        <w:spacing w:after="0" w:line="240" w:lineRule="auto"/>
        <w:rPr>
          <w:sz w:val="8"/>
        </w:rPr>
      </w:pPr>
    </w:p>
    <w:tbl>
      <w:tblPr>
        <w:tblStyle w:val="TableGrid"/>
        <w:tblW w:w="15593" w:type="dxa"/>
        <w:tblLook w:val="04A0" w:firstRow="1" w:lastRow="0" w:firstColumn="1" w:lastColumn="0" w:noHBand="0" w:noVBand="1"/>
      </w:tblPr>
      <w:tblGrid>
        <w:gridCol w:w="15593"/>
      </w:tblGrid>
      <w:tr w:rsidR="001A0839" w:rsidRPr="00CA655F" w:rsidTr="00A1164A">
        <w:trPr>
          <w:trHeight w:val="426"/>
        </w:trPr>
        <w:tc>
          <w:tcPr>
            <w:tcW w:w="15593" w:type="dxa"/>
            <w:tcBorders>
              <w:top w:val="single" w:sz="4" w:space="0" w:color="auto"/>
              <w:bottom w:val="single" w:sz="4" w:space="0" w:color="auto"/>
            </w:tcBorders>
            <w:shd w:val="clear" w:color="auto" w:fill="000000" w:themeFill="text1"/>
            <w:vAlign w:val="center"/>
          </w:tcPr>
          <w:p w:rsidR="001A0839" w:rsidRPr="00CA655F" w:rsidRDefault="001A0839" w:rsidP="00A1164A">
            <w:pPr>
              <w:jc w:val="center"/>
              <w:rPr>
                <w:b/>
                <w:color w:val="FFFFFF" w:themeColor="background1"/>
                <w:sz w:val="32"/>
                <w:szCs w:val="32"/>
              </w:rPr>
            </w:pPr>
            <w:r w:rsidRPr="00CA655F">
              <w:rPr>
                <w:b/>
                <w:color w:val="FFFFFF" w:themeColor="background1"/>
                <w:sz w:val="32"/>
                <w:szCs w:val="32"/>
              </w:rPr>
              <w:t>Progress and Impact</w:t>
            </w:r>
          </w:p>
        </w:tc>
      </w:tr>
      <w:tr w:rsidR="001A0839" w:rsidRPr="00CA655F" w:rsidTr="001A0839">
        <w:trPr>
          <w:trHeight w:val="2786"/>
        </w:trPr>
        <w:tc>
          <w:tcPr>
            <w:tcW w:w="15593" w:type="dxa"/>
            <w:tcBorders>
              <w:top w:val="single" w:sz="4" w:space="0" w:color="auto"/>
              <w:bottom w:val="single" w:sz="4" w:space="0" w:color="auto"/>
            </w:tcBorders>
          </w:tcPr>
          <w:p w:rsidR="008F35D1" w:rsidRDefault="00795895" w:rsidP="00795895">
            <w:pPr>
              <w:rPr>
                <w:rFonts w:cstheme="minorHAnsi"/>
                <w:color w:val="595959"/>
                <w:szCs w:val="24"/>
              </w:rPr>
            </w:pPr>
            <w:r w:rsidRPr="00BB19F7">
              <w:rPr>
                <w:rFonts w:cstheme="minorHAnsi"/>
              </w:rPr>
              <w:t xml:space="preserve">The development of a literacy and numeracy programme focusing on teaching points and supported by research has created a progression of learning across the school to ensure consistency to our approaches. As a result of this work, a </w:t>
            </w:r>
            <w:r w:rsidRPr="00BB19F7">
              <w:rPr>
                <w:rFonts w:cstheme="minorHAnsi"/>
                <w:color w:val="595959"/>
                <w:szCs w:val="24"/>
              </w:rPr>
              <w:t xml:space="preserve">Learning and teaching folder has been created to ensure consistency across the school for planning guidance, teaching approaches in literacy and numeracy, effective feedback, tracking guidance, report writing, pupil self-evaluation, </w:t>
            </w:r>
            <w:r w:rsidR="00E2739E">
              <w:rPr>
                <w:rFonts w:cstheme="minorHAnsi"/>
                <w:color w:val="595959"/>
                <w:szCs w:val="24"/>
              </w:rPr>
              <w:t xml:space="preserve">enhancing achievement and closing the attainment gap, </w:t>
            </w:r>
            <w:r w:rsidRPr="00BB19F7">
              <w:rPr>
                <w:rFonts w:cstheme="minorHAnsi"/>
                <w:color w:val="595959"/>
                <w:szCs w:val="24"/>
              </w:rPr>
              <w:t xml:space="preserve">homework guidance, and use of digital learning. This has provide new staff members </w:t>
            </w:r>
            <w:proofErr w:type="gramStart"/>
            <w:r w:rsidRPr="00BB19F7">
              <w:rPr>
                <w:rFonts w:cstheme="minorHAnsi"/>
                <w:color w:val="595959"/>
                <w:szCs w:val="24"/>
              </w:rPr>
              <w:t>an</w:t>
            </w:r>
            <w:proofErr w:type="gramEnd"/>
            <w:r w:rsidRPr="00BB19F7">
              <w:rPr>
                <w:rFonts w:cstheme="minorHAnsi"/>
                <w:color w:val="595959"/>
                <w:szCs w:val="24"/>
              </w:rPr>
              <w:t xml:space="preserve"> understanding of the schools expectations and high standards for Learning and Teaching along with guidance for existing staff. </w:t>
            </w:r>
            <w:r w:rsidR="008F35D1">
              <w:rPr>
                <w:rFonts w:cstheme="minorHAnsi"/>
                <w:color w:val="595959"/>
                <w:szCs w:val="24"/>
              </w:rPr>
              <w:t xml:space="preserve">This approach is being developed throughout other curricular areas to ensure progression and consistency throughout the school for a curriculum rich programme. The focused teaching points </w:t>
            </w:r>
            <w:proofErr w:type="gramStart"/>
            <w:r w:rsidR="008F35D1">
              <w:rPr>
                <w:rFonts w:cstheme="minorHAnsi"/>
                <w:color w:val="595959"/>
                <w:szCs w:val="24"/>
              </w:rPr>
              <w:t>was easily transferred</w:t>
            </w:r>
            <w:proofErr w:type="gramEnd"/>
            <w:r w:rsidR="008F35D1">
              <w:rPr>
                <w:rFonts w:cstheme="minorHAnsi"/>
                <w:color w:val="595959"/>
                <w:szCs w:val="24"/>
              </w:rPr>
              <w:t xml:space="preserve"> to our remote learning approaches for continued tracking of progression in literacy and numeracy. </w:t>
            </w:r>
            <w:r w:rsidR="00546C6B">
              <w:rPr>
                <w:rFonts w:cstheme="minorHAnsi"/>
                <w:color w:val="595959"/>
                <w:szCs w:val="24"/>
              </w:rPr>
              <w:t>High-level</w:t>
            </w:r>
            <w:r w:rsidR="008F35D1">
              <w:rPr>
                <w:rFonts w:cstheme="minorHAnsi"/>
                <w:color w:val="595959"/>
                <w:szCs w:val="24"/>
              </w:rPr>
              <w:t xml:space="preserve"> discussions around RME and Music has led to </w:t>
            </w:r>
            <w:r w:rsidR="00546C6B">
              <w:rPr>
                <w:rFonts w:cstheme="minorHAnsi"/>
                <w:color w:val="595959"/>
                <w:szCs w:val="24"/>
              </w:rPr>
              <w:t>enquiry-based</w:t>
            </w:r>
            <w:r w:rsidR="008F35D1">
              <w:rPr>
                <w:rFonts w:cstheme="minorHAnsi"/>
                <w:color w:val="595959"/>
                <w:szCs w:val="24"/>
              </w:rPr>
              <w:t xml:space="preserve"> approaches to be trialled in 2021-22 session. </w:t>
            </w:r>
          </w:p>
          <w:p w:rsidR="001D4C03" w:rsidRDefault="00795895" w:rsidP="00795895">
            <w:pPr>
              <w:rPr>
                <w:rFonts w:cstheme="minorHAnsi"/>
                <w:color w:val="000000"/>
              </w:rPr>
            </w:pPr>
            <w:r w:rsidRPr="00BB19F7">
              <w:rPr>
                <w:rFonts w:cstheme="minorHAnsi"/>
                <w:color w:val="000000"/>
                <w:szCs w:val="24"/>
              </w:rPr>
              <w:t>Peer observations have provided opportunities for teachers to have high-level discussions about pupil engagement in the assessment process and improve their approaches</w:t>
            </w:r>
            <w:r w:rsidR="008F35D1">
              <w:rPr>
                <w:rFonts w:cstheme="minorHAnsi"/>
                <w:color w:val="000000"/>
                <w:szCs w:val="24"/>
              </w:rPr>
              <w:t xml:space="preserve"> using the Leuven scale</w:t>
            </w:r>
            <w:r w:rsidRPr="00BB19F7">
              <w:rPr>
                <w:rFonts w:cstheme="minorHAnsi"/>
                <w:color w:val="000000"/>
                <w:szCs w:val="24"/>
              </w:rPr>
              <w:t xml:space="preserve">. </w:t>
            </w:r>
            <w:r w:rsidRPr="00BB19F7">
              <w:rPr>
                <w:rFonts w:cstheme="minorHAnsi"/>
                <w:color w:val="000000"/>
              </w:rPr>
              <w:t>Split planning focusing on Knowledge and skills is evident in our Learning Intentions and Success Criteria while focusing on social vs academic (Knowledge &amp; skills) and attributes. These are linked to STEM, DYW, rights, Sustainability and Scotland through plenaries and class discussions. This supports pupils’ engagement to identify and engage with assessment process and feedback for self-regulation of learning.</w:t>
            </w:r>
          </w:p>
          <w:p w:rsidR="00546C6B" w:rsidRPr="001D4C03" w:rsidRDefault="00795895" w:rsidP="00795895">
            <w:pPr>
              <w:rPr>
                <w:rFonts w:cstheme="minorHAnsi"/>
                <w:color w:val="000000"/>
                <w:szCs w:val="24"/>
              </w:rPr>
            </w:pPr>
            <w:r w:rsidRPr="00BB19F7">
              <w:rPr>
                <w:rFonts w:cstheme="minorHAnsi"/>
              </w:rPr>
              <w:t xml:space="preserve">Embedding a </w:t>
            </w:r>
            <w:r w:rsidRPr="008F35D1">
              <w:rPr>
                <w:rFonts w:cstheme="minorHAnsi"/>
                <w:szCs w:val="24"/>
              </w:rPr>
              <w:t>range of assessment</w:t>
            </w:r>
            <w:r w:rsidR="008F35D1">
              <w:rPr>
                <w:rFonts w:cstheme="minorHAnsi"/>
                <w:szCs w:val="24"/>
              </w:rPr>
              <w:t xml:space="preserve"> approaches and use of data</w:t>
            </w:r>
            <w:r w:rsidRPr="008F35D1">
              <w:rPr>
                <w:rFonts w:cstheme="minorHAnsi"/>
                <w:szCs w:val="24"/>
              </w:rPr>
              <w:t xml:space="preserve"> using mobile tec</w:t>
            </w:r>
            <w:r w:rsidR="008F35D1">
              <w:rPr>
                <w:rFonts w:cstheme="minorHAnsi"/>
                <w:szCs w:val="24"/>
              </w:rPr>
              <w:t xml:space="preserve">hnology, allowed for a seamless transition to remote learning and gathering of assessment information. </w:t>
            </w:r>
            <w:r w:rsidR="00546C6B">
              <w:rPr>
                <w:rFonts w:cstheme="minorHAnsi"/>
                <w:szCs w:val="24"/>
              </w:rPr>
              <w:t xml:space="preserve">This has supported a </w:t>
            </w:r>
            <w:r w:rsidRPr="008F35D1">
              <w:rPr>
                <w:rFonts w:cstheme="minorHAnsi"/>
                <w:szCs w:val="24"/>
              </w:rPr>
              <w:t xml:space="preserve">holistic </w:t>
            </w:r>
            <w:r w:rsidR="00546C6B">
              <w:rPr>
                <w:rFonts w:cstheme="minorHAnsi"/>
                <w:szCs w:val="24"/>
              </w:rPr>
              <w:t xml:space="preserve">approach to planning by </w:t>
            </w:r>
            <w:r w:rsidRPr="008F35D1">
              <w:rPr>
                <w:rFonts w:cstheme="minorHAnsi"/>
                <w:szCs w:val="24"/>
              </w:rPr>
              <w:t xml:space="preserve">capturing real-time formative assessment, summative assessment and diagnostic assessments for effective feedback and self-regulation of learning. </w:t>
            </w:r>
          </w:p>
          <w:p w:rsidR="001D4C03" w:rsidRDefault="00795895" w:rsidP="0072511E">
            <w:pPr>
              <w:rPr>
                <w:rFonts w:cstheme="minorHAnsi"/>
                <w:color w:val="000000"/>
              </w:rPr>
            </w:pPr>
            <w:r w:rsidRPr="00BB19F7">
              <w:rPr>
                <w:rFonts w:cstheme="minorHAnsi"/>
              </w:rPr>
              <w:t>Tablets and OneNote software is used to capture formative assessment for effective feedback and our Smarty Pants wall displays support this dialogue with pupils</w:t>
            </w:r>
            <w:r w:rsidR="00546C6B">
              <w:rPr>
                <w:rFonts w:cstheme="minorHAnsi"/>
              </w:rPr>
              <w:t xml:space="preserve"> to develop assessment literacy</w:t>
            </w:r>
            <w:r w:rsidRPr="00BB19F7">
              <w:rPr>
                <w:rFonts w:cstheme="minorHAnsi"/>
              </w:rPr>
              <w:t>. Our tracking folders are</w:t>
            </w:r>
            <w:r w:rsidRPr="00BB19F7">
              <w:rPr>
                <w:rFonts w:cstheme="minorHAnsi"/>
                <w:color w:val="000000"/>
              </w:rPr>
              <w:t xml:space="preserve"> in line with benchmarks and understanding goals, which are linked to the Experience and Outcomes of CFE and our planning documents. This ensures tracking of pupil progress across all curricular areas.</w:t>
            </w:r>
          </w:p>
          <w:p w:rsidR="001D4C03" w:rsidRPr="0072511E" w:rsidRDefault="00795895" w:rsidP="0072511E">
            <w:pPr>
              <w:rPr>
                <w:rFonts w:cstheme="minorHAnsi"/>
              </w:rPr>
            </w:pPr>
            <w:r w:rsidRPr="00BB19F7">
              <w:rPr>
                <w:rFonts w:cstheme="minorHAnsi"/>
              </w:rPr>
              <w:t xml:space="preserve">Family learning and engagement opportunities </w:t>
            </w:r>
            <w:r w:rsidR="00546C6B">
              <w:rPr>
                <w:rFonts w:cstheme="minorHAnsi"/>
              </w:rPr>
              <w:t xml:space="preserve">were supported using the development of Glow and Google Classroom. These platforms provided a flexible and consistent approach to support remote learning. </w:t>
            </w:r>
          </w:p>
        </w:tc>
      </w:tr>
      <w:tr w:rsidR="001A0839" w:rsidRPr="00CA655F" w:rsidTr="00A1164A">
        <w:trPr>
          <w:trHeight w:val="513"/>
        </w:trPr>
        <w:tc>
          <w:tcPr>
            <w:tcW w:w="15593" w:type="dxa"/>
            <w:tcBorders>
              <w:top w:val="single" w:sz="4" w:space="0" w:color="auto"/>
              <w:bottom w:val="single" w:sz="4" w:space="0" w:color="auto"/>
            </w:tcBorders>
            <w:shd w:val="clear" w:color="auto" w:fill="000000" w:themeFill="text1"/>
            <w:vAlign w:val="center"/>
          </w:tcPr>
          <w:p w:rsidR="001A0839" w:rsidRPr="00CA655F" w:rsidRDefault="001A0839" w:rsidP="00A1164A">
            <w:pPr>
              <w:jc w:val="center"/>
              <w:rPr>
                <w:b/>
                <w:color w:val="FFFFFF" w:themeColor="background1"/>
                <w:sz w:val="32"/>
                <w:szCs w:val="32"/>
              </w:rPr>
            </w:pPr>
            <w:r w:rsidRPr="00CA655F">
              <w:rPr>
                <w:b/>
                <w:color w:val="FFFFFF" w:themeColor="background1"/>
                <w:sz w:val="32"/>
                <w:szCs w:val="32"/>
              </w:rPr>
              <w:lastRenderedPageBreak/>
              <w:t>Next Steps</w:t>
            </w:r>
          </w:p>
        </w:tc>
      </w:tr>
      <w:tr w:rsidR="001A0839" w:rsidRPr="00CA655F" w:rsidTr="001A0839">
        <w:trPr>
          <w:trHeight w:val="1456"/>
        </w:trPr>
        <w:tc>
          <w:tcPr>
            <w:tcW w:w="15593" w:type="dxa"/>
            <w:tcBorders>
              <w:top w:val="single" w:sz="4" w:space="0" w:color="auto"/>
              <w:bottom w:val="single" w:sz="4" w:space="0" w:color="auto"/>
            </w:tcBorders>
          </w:tcPr>
          <w:p w:rsidR="001A0839" w:rsidRDefault="00D252DD" w:rsidP="00D252DD">
            <w:pPr>
              <w:pStyle w:val="ListParagraph"/>
              <w:numPr>
                <w:ilvl w:val="0"/>
                <w:numId w:val="5"/>
              </w:numPr>
              <w:jc w:val="both"/>
              <w:rPr>
                <w:rFonts w:ascii="Bradley Hand ITC" w:hAnsi="Bradley Hand ITC"/>
                <w:color w:val="000000" w:themeColor="text1"/>
              </w:rPr>
            </w:pPr>
            <w:r>
              <w:rPr>
                <w:rFonts w:ascii="Bradley Hand ITC" w:hAnsi="Bradley Hand ITC"/>
                <w:color w:val="000000" w:themeColor="text1"/>
              </w:rPr>
              <w:t>Develop</w:t>
            </w:r>
            <w:r w:rsidR="005B5FAA">
              <w:rPr>
                <w:rFonts w:ascii="Bradley Hand ITC" w:hAnsi="Bradley Hand ITC"/>
                <w:color w:val="000000" w:themeColor="text1"/>
              </w:rPr>
              <w:t xml:space="preserve"> a curriculum rich</w:t>
            </w:r>
            <w:r>
              <w:rPr>
                <w:rFonts w:ascii="Bradley Hand ITC" w:hAnsi="Bradley Hand ITC"/>
                <w:color w:val="000000" w:themeColor="text1"/>
              </w:rPr>
              <w:t xml:space="preserve"> music</w:t>
            </w:r>
            <w:r w:rsidR="005B5FAA">
              <w:rPr>
                <w:rFonts w:ascii="Bradley Hand ITC" w:hAnsi="Bradley Hand ITC"/>
                <w:color w:val="000000" w:themeColor="text1"/>
              </w:rPr>
              <w:t>, geography</w:t>
            </w:r>
            <w:r>
              <w:rPr>
                <w:rFonts w:ascii="Bradley Hand ITC" w:hAnsi="Bradley Hand ITC"/>
                <w:color w:val="000000" w:themeColor="text1"/>
              </w:rPr>
              <w:t xml:space="preserve"> and RME programmes in line with CFE and research from P1 to P7 focusing on teaching points</w:t>
            </w:r>
          </w:p>
          <w:p w:rsidR="00D252DD" w:rsidRDefault="005B5FAA" w:rsidP="00D252DD">
            <w:pPr>
              <w:pStyle w:val="ListParagraph"/>
              <w:numPr>
                <w:ilvl w:val="0"/>
                <w:numId w:val="5"/>
              </w:numPr>
              <w:jc w:val="both"/>
              <w:rPr>
                <w:rFonts w:ascii="Bradley Hand ITC" w:hAnsi="Bradley Hand ITC"/>
                <w:color w:val="000000" w:themeColor="text1"/>
              </w:rPr>
            </w:pPr>
            <w:r>
              <w:rPr>
                <w:rFonts w:ascii="Bradley Hand ITC" w:hAnsi="Bradley Hand ITC"/>
                <w:color w:val="000000" w:themeColor="text1"/>
              </w:rPr>
              <w:t>Continued focus on embedding</w:t>
            </w:r>
            <w:r w:rsidR="00D252DD">
              <w:rPr>
                <w:rFonts w:ascii="Bradley Hand ITC" w:hAnsi="Bradley Hand ITC"/>
                <w:color w:val="000000" w:themeColor="text1"/>
              </w:rPr>
              <w:t xml:space="preserve"> data handling across the school using Business Group opportunities</w:t>
            </w:r>
          </w:p>
          <w:p w:rsidR="00012F63" w:rsidRDefault="00012F63" w:rsidP="00D252DD">
            <w:pPr>
              <w:pStyle w:val="ListParagraph"/>
              <w:numPr>
                <w:ilvl w:val="0"/>
                <w:numId w:val="5"/>
              </w:numPr>
              <w:jc w:val="both"/>
              <w:rPr>
                <w:rFonts w:ascii="Bradley Hand ITC" w:hAnsi="Bradley Hand ITC"/>
                <w:color w:val="000000" w:themeColor="text1"/>
              </w:rPr>
            </w:pPr>
            <w:r>
              <w:rPr>
                <w:rFonts w:ascii="Bradley Hand ITC" w:hAnsi="Bradley Hand ITC"/>
                <w:color w:val="000000" w:themeColor="text1"/>
              </w:rPr>
              <w:t>Continue to develop skills pathways in line with the Career Education Standard</w:t>
            </w:r>
          </w:p>
          <w:p w:rsidR="00012F63" w:rsidRDefault="005B5FAA" w:rsidP="00D252DD">
            <w:pPr>
              <w:pStyle w:val="ListParagraph"/>
              <w:numPr>
                <w:ilvl w:val="0"/>
                <w:numId w:val="5"/>
              </w:numPr>
              <w:jc w:val="both"/>
              <w:rPr>
                <w:rFonts w:ascii="Bradley Hand ITC" w:hAnsi="Bradley Hand ITC"/>
                <w:color w:val="000000" w:themeColor="text1"/>
              </w:rPr>
            </w:pPr>
            <w:r>
              <w:rPr>
                <w:rFonts w:ascii="Bradley Hand ITC" w:hAnsi="Bradley Hand ITC"/>
                <w:color w:val="000000" w:themeColor="text1"/>
              </w:rPr>
              <w:t>Continue to e</w:t>
            </w:r>
            <w:r w:rsidR="00012F63">
              <w:rPr>
                <w:rFonts w:ascii="Bradley Hand ITC" w:hAnsi="Bradley Hand ITC"/>
                <w:color w:val="000000" w:themeColor="text1"/>
              </w:rPr>
              <w:t>mbed and master our assessment approaches across the curriculum – OneNote</w:t>
            </w:r>
          </w:p>
          <w:p w:rsidR="005B5FAA" w:rsidRDefault="005B5FAA" w:rsidP="00D252DD">
            <w:pPr>
              <w:pStyle w:val="ListParagraph"/>
              <w:numPr>
                <w:ilvl w:val="0"/>
                <w:numId w:val="5"/>
              </w:numPr>
              <w:jc w:val="both"/>
              <w:rPr>
                <w:rFonts w:ascii="Bradley Hand ITC" w:hAnsi="Bradley Hand ITC"/>
                <w:color w:val="000000" w:themeColor="text1"/>
              </w:rPr>
            </w:pPr>
            <w:r>
              <w:rPr>
                <w:rFonts w:ascii="Bradley Hand ITC" w:hAnsi="Bradley Hand ITC"/>
                <w:color w:val="000000" w:themeColor="text1"/>
              </w:rPr>
              <w:t>Develop the use of Glow and Google classroom for homework and sharing the learning</w:t>
            </w:r>
          </w:p>
          <w:p w:rsidR="005B5FAA" w:rsidRDefault="005B5FAA" w:rsidP="00D252DD">
            <w:pPr>
              <w:pStyle w:val="ListParagraph"/>
              <w:numPr>
                <w:ilvl w:val="0"/>
                <w:numId w:val="5"/>
              </w:numPr>
              <w:jc w:val="both"/>
              <w:rPr>
                <w:rFonts w:ascii="Bradley Hand ITC" w:hAnsi="Bradley Hand ITC"/>
                <w:color w:val="000000" w:themeColor="text1"/>
              </w:rPr>
            </w:pPr>
            <w:r>
              <w:rPr>
                <w:rFonts w:ascii="Bradley Hand ITC" w:hAnsi="Bradley Hand ITC"/>
                <w:color w:val="000000" w:themeColor="text1"/>
              </w:rPr>
              <w:t>Support families with online learning</w:t>
            </w:r>
            <w:r w:rsidR="00684B7A">
              <w:rPr>
                <w:rFonts w:ascii="Bradley Hand ITC" w:hAnsi="Bradley Hand ITC"/>
                <w:color w:val="000000" w:themeColor="text1"/>
              </w:rPr>
              <w:t xml:space="preserve"> and use of Glow</w:t>
            </w:r>
          </w:p>
          <w:p w:rsidR="00012F63" w:rsidRDefault="00012F63" w:rsidP="00012F63">
            <w:pPr>
              <w:ind w:left="360"/>
              <w:jc w:val="both"/>
              <w:rPr>
                <w:rFonts w:ascii="Bradley Hand ITC" w:hAnsi="Bradley Hand ITC"/>
                <w:color w:val="000000" w:themeColor="text1"/>
              </w:rPr>
            </w:pPr>
          </w:p>
          <w:p w:rsidR="001D4C03" w:rsidRPr="00012F63" w:rsidRDefault="001D4C03" w:rsidP="001D4C03">
            <w:pPr>
              <w:jc w:val="both"/>
              <w:rPr>
                <w:rFonts w:ascii="Bradley Hand ITC" w:hAnsi="Bradley Hand ITC"/>
                <w:color w:val="000000" w:themeColor="text1"/>
              </w:rPr>
            </w:pPr>
          </w:p>
        </w:tc>
      </w:tr>
    </w:tbl>
    <w:p w:rsidR="001A0839" w:rsidRDefault="001A0839" w:rsidP="001A0839">
      <w:pPr>
        <w:spacing w:after="0" w:line="240" w:lineRule="auto"/>
        <w:jc w:val="center"/>
        <w:rPr>
          <w:sz w:val="10"/>
        </w:rPr>
      </w:pPr>
    </w:p>
    <w:p w:rsidR="001A0839" w:rsidRDefault="001A0839" w:rsidP="001A0839">
      <w:pPr>
        <w:spacing w:after="0" w:line="240" w:lineRule="auto"/>
        <w:rPr>
          <w:sz w:val="10"/>
        </w:rPr>
      </w:pPr>
    </w:p>
    <w:p w:rsidR="001A0839" w:rsidRDefault="001A0839" w:rsidP="001A0839">
      <w:pPr>
        <w:spacing w:after="0" w:line="240" w:lineRule="auto"/>
        <w:rPr>
          <w:sz w:val="10"/>
        </w:rPr>
      </w:pPr>
    </w:p>
    <w:p w:rsidR="001D4C03" w:rsidRDefault="001D4C03" w:rsidP="001A0839">
      <w:pPr>
        <w:spacing w:after="0" w:line="240" w:lineRule="auto"/>
        <w:rPr>
          <w:sz w:val="10"/>
        </w:rPr>
      </w:pPr>
    </w:p>
    <w:p w:rsidR="001D4C03" w:rsidRDefault="001D4C03" w:rsidP="001A0839">
      <w:pPr>
        <w:spacing w:after="0" w:line="240" w:lineRule="auto"/>
        <w:rPr>
          <w:sz w:val="10"/>
        </w:rPr>
      </w:pPr>
    </w:p>
    <w:p w:rsidR="001D4C03" w:rsidRDefault="001D4C03" w:rsidP="001A0839">
      <w:pPr>
        <w:spacing w:after="0" w:line="240" w:lineRule="auto"/>
        <w:rPr>
          <w:sz w:val="10"/>
        </w:rPr>
      </w:pPr>
    </w:p>
    <w:p w:rsidR="001D4C03" w:rsidRDefault="001D4C03" w:rsidP="001A0839">
      <w:pPr>
        <w:spacing w:after="0" w:line="240" w:lineRule="auto"/>
        <w:rPr>
          <w:sz w:val="10"/>
        </w:rPr>
      </w:pPr>
    </w:p>
    <w:p w:rsidR="001D4C03" w:rsidRDefault="001D4C03" w:rsidP="001A0839">
      <w:pPr>
        <w:spacing w:after="0" w:line="240" w:lineRule="auto"/>
        <w:rPr>
          <w:sz w:val="10"/>
        </w:rPr>
      </w:pPr>
    </w:p>
    <w:p w:rsidR="001D4C03" w:rsidRDefault="001D4C03" w:rsidP="001A0839">
      <w:pPr>
        <w:spacing w:after="0" w:line="240" w:lineRule="auto"/>
        <w:rPr>
          <w:sz w:val="10"/>
        </w:rPr>
      </w:pPr>
    </w:p>
    <w:p w:rsidR="001D4C03" w:rsidRDefault="001D4C03" w:rsidP="001A0839">
      <w:pPr>
        <w:spacing w:after="0" w:line="240" w:lineRule="auto"/>
        <w:rPr>
          <w:sz w:val="10"/>
        </w:rPr>
      </w:pPr>
    </w:p>
    <w:p w:rsidR="001D4C03" w:rsidRDefault="001D4C03" w:rsidP="001A0839">
      <w:pPr>
        <w:spacing w:after="0" w:line="240" w:lineRule="auto"/>
        <w:rPr>
          <w:sz w:val="10"/>
        </w:rPr>
      </w:pPr>
    </w:p>
    <w:p w:rsidR="001D4C03" w:rsidRDefault="001D4C03" w:rsidP="001A0839">
      <w:pPr>
        <w:spacing w:after="0" w:line="240" w:lineRule="auto"/>
        <w:rPr>
          <w:sz w:val="10"/>
        </w:rPr>
      </w:pPr>
    </w:p>
    <w:p w:rsidR="001D4C03" w:rsidRDefault="001D4C03" w:rsidP="001A0839">
      <w:pPr>
        <w:spacing w:after="0" w:line="240" w:lineRule="auto"/>
        <w:rPr>
          <w:sz w:val="10"/>
        </w:rPr>
      </w:pPr>
    </w:p>
    <w:p w:rsidR="001D4C03" w:rsidRDefault="001D4C03" w:rsidP="001A0839">
      <w:pPr>
        <w:spacing w:after="0" w:line="240" w:lineRule="auto"/>
        <w:rPr>
          <w:sz w:val="10"/>
        </w:rPr>
      </w:pPr>
    </w:p>
    <w:p w:rsidR="001D4C03" w:rsidRDefault="001D4C03" w:rsidP="001A0839">
      <w:pPr>
        <w:spacing w:after="0" w:line="240" w:lineRule="auto"/>
        <w:rPr>
          <w:sz w:val="10"/>
        </w:rPr>
      </w:pPr>
    </w:p>
    <w:p w:rsidR="001D4C03" w:rsidRDefault="001D4C03" w:rsidP="001A0839">
      <w:pPr>
        <w:spacing w:after="0" w:line="240" w:lineRule="auto"/>
        <w:rPr>
          <w:sz w:val="10"/>
        </w:rPr>
      </w:pPr>
    </w:p>
    <w:p w:rsidR="001D4C03" w:rsidRDefault="001D4C03" w:rsidP="001A0839">
      <w:pPr>
        <w:spacing w:after="0" w:line="240" w:lineRule="auto"/>
        <w:rPr>
          <w:sz w:val="10"/>
        </w:rPr>
      </w:pPr>
    </w:p>
    <w:p w:rsidR="001D4C03" w:rsidRDefault="001D4C03" w:rsidP="001A0839">
      <w:pPr>
        <w:spacing w:after="0" w:line="240" w:lineRule="auto"/>
        <w:rPr>
          <w:sz w:val="10"/>
        </w:rPr>
      </w:pPr>
    </w:p>
    <w:p w:rsidR="001D4C03" w:rsidRDefault="001D4C03" w:rsidP="001A0839">
      <w:pPr>
        <w:spacing w:after="0" w:line="240" w:lineRule="auto"/>
        <w:rPr>
          <w:sz w:val="10"/>
        </w:rPr>
      </w:pPr>
    </w:p>
    <w:p w:rsidR="001D4C03" w:rsidRDefault="001D4C03" w:rsidP="001A0839">
      <w:pPr>
        <w:spacing w:after="0" w:line="240" w:lineRule="auto"/>
        <w:rPr>
          <w:sz w:val="10"/>
        </w:rPr>
      </w:pPr>
    </w:p>
    <w:p w:rsidR="001D4C03" w:rsidRDefault="001D4C03" w:rsidP="001A0839">
      <w:pPr>
        <w:spacing w:after="0" w:line="240" w:lineRule="auto"/>
        <w:rPr>
          <w:sz w:val="10"/>
        </w:rPr>
      </w:pPr>
    </w:p>
    <w:p w:rsidR="001D4C03" w:rsidRDefault="001D4C03" w:rsidP="001A0839">
      <w:pPr>
        <w:spacing w:after="0" w:line="240" w:lineRule="auto"/>
        <w:rPr>
          <w:sz w:val="10"/>
        </w:rPr>
      </w:pPr>
    </w:p>
    <w:p w:rsidR="001D4C03" w:rsidRDefault="001D4C03" w:rsidP="001A0839">
      <w:pPr>
        <w:spacing w:after="0" w:line="240" w:lineRule="auto"/>
        <w:rPr>
          <w:sz w:val="10"/>
        </w:rPr>
      </w:pPr>
    </w:p>
    <w:p w:rsidR="001D4C03" w:rsidRDefault="001D4C03" w:rsidP="001A0839">
      <w:pPr>
        <w:spacing w:after="0" w:line="240" w:lineRule="auto"/>
        <w:rPr>
          <w:sz w:val="10"/>
        </w:rPr>
      </w:pPr>
    </w:p>
    <w:p w:rsidR="001D4C03" w:rsidRDefault="001D4C03" w:rsidP="001A0839">
      <w:pPr>
        <w:spacing w:after="0" w:line="240" w:lineRule="auto"/>
        <w:rPr>
          <w:sz w:val="10"/>
        </w:rPr>
      </w:pPr>
    </w:p>
    <w:p w:rsidR="001D4C03" w:rsidRDefault="001D4C03" w:rsidP="001A0839">
      <w:pPr>
        <w:spacing w:after="0" w:line="240" w:lineRule="auto"/>
        <w:rPr>
          <w:sz w:val="10"/>
        </w:rPr>
      </w:pPr>
    </w:p>
    <w:p w:rsidR="001D4C03" w:rsidRDefault="001D4C03" w:rsidP="001A0839">
      <w:pPr>
        <w:spacing w:after="0" w:line="240" w:lineRule="auto"/>
        <w:rPr>
          <w:sz w:val="10"/>
        </w:rPr>
      </w:pPr>
    </w:p>
    <w:p w:rsidR="001D4C03" w:rsidRDefault="001D4C03" w:rsidP="001A0839">
      <w:pPr>
        <w:spacing w:after="0" w:line="240" w:lineRule="auto"/>
        <w:rPr>
          <w:sz w:val="10"/>
        </w:rPr>
      </w:pPr>
    </w:p>
    <w:p w:rsidR="001D4C03" w:rsidRDefault="001D4C03" w:rsidP="001A0839">
      <w:pPr>
        <w:spacing w:after="0" w:line="240" w:lineRule="auto"/>
        <w:rPr>
          <w:sz w:val="10"/>
        </w:rPr>
      </w:pPr>
    </w:p>
    <w:p w:rsidR="001D4C03" w:rsidRDefault="001D4C03" w:rsidP="001A0839">
      <w:pPr>
        <w:spacing w:after="0" w:line="240" w:lineRule="auto"/>
        <w:rPr>
          <w:sz w:val="10"/>
        </w:rPr>
      </w:pPr>
    </w:p>
    <w:p w:rsidR="001D4C03" w:rsidRDefault="001D4C03" w:rsidP="001A0839">
      <w:pPr>
        <w:spacing w:after="0" w:line="240" w:lineRule="auto"/>
        <w:rPr>
          <w:sz w:val="10"/>
        </w:rPr>
      </w:pPr>
    </w:p>
    <w:p w:rsidR="001D4C03" w:rsidRDefault="001D4C03" w:rsidP="001A0839">
      <w:pPr>
        <w:spacing w:after="0" w:line="240" w:lineRule="auto"/>
        <w:rPr>
          <w:sz w:val="10"/>
        </w:rPr>
      </w:pPr>
    </w:p>
    <w:p w:rsidR="001D4C03" w:rsidRDefault="001D4C03" w:rsidP="001A0839">
      <w:pPr>
        <w:spacing w:after="0" w:line="240" w:lineRule="auto"/>
        <w:rPr>
          <w:sz w:val="10"/>
        </w:rPr>
      </w:pPr>
    </w:p>
    <w:p w:rsidR="001D4C03" w:rsidRDefault="001D4C03" w:rsidP="001A0839">
      <w:pPr>
        <w:spacing w:after="0" w:line="240" w:lineRule="auto"/>
        <w:rPr>
          <w:sz w:val="10"/>
        </w:rPr>
      </w:pPr>
    </w:p>
    <w:p w:rsidR="001D4C03" w:rsidRDefault="001D4C03" w:rsidP="001A0839">
      <w:pPr>
        <w:spacing w:after="0" w:line="240" w:lineRule="auto"/>
        <w:rPr>
          <w:sz w:val="10"/>
        </w:rPr>
      </w:pPr>
    </w:p>
    <w:p w:rsidR="001D4C03" w:rsidRDefault="001D4C03" w:rsidP="001A0839">
      <w:pPr>
        <w:spacing w:after="0" w:line="240" w:lineRule="auto"/>
        <w:rPr>
          <w:sz w:val="10"/>
        </w:rPr>
      </w:pPr>
    </w:p>
    <w:p w:rsidR="001D4C03" w:rsidRDefault="001D4C03" w:rsidP="001A0839">
      <w:pPr>
        <w:spacing w:after="0" w:line="240" w:lineRule="auto"/>
        <w:rPr>
          <w:sz w:val="10"/>
        </w:rPr>
      </w:pPr>
    </w:p>
    <w:p w:rsidR="001D4C03" w:rsidRDefault="001D4C03" w:rsidP="001A0839">
      <w:pPr>
        <w:spacing w:after="0" w:line="240" w:lineRule="auto"/>
        <w:rPr>
          <w:sz w:val="10"/>
        </w:rPr>
      </w:pPr>
    </w:p>
    <w:p w:rsidR="001D4C03" w:rsidRDefault="001D4C03" w:rsidP="001A0839">
      <w:pPr>
        <w:spacing w:after="0" w:line="240" w:lineRule="auto"/>
        <w:rPr>
          <w:sz w:val="10"/>
        </w:rPr>
      </w:pPr>
    </w:p>
    <w:p w:rsidR="001D4C03" w:rsidRDefault="001D4C03" w:rsidP="001A0839">
      <w:pPr>
        <w:spacing w:after="0" w:line="240" w:lineRule="auto"/>
        <w:rPr>
          <w:sz w:val="10"/>
        </w:rPr>
      </w:pPr>
    </w:p>
    <w:p w:rsidR="001D4C03" w:rsidRDefault="001D4C03" w:rsidP="001A0839">
      <w:pPr>
        <w:spacing w:after="0" w:line="240" w:lineRule="auto"/>
        <w:rPr>
          <w:sz w:val="10"/>
        </w:rPr>
      </w:pPr>
    </w:p>
    <w:p w:rsidR="001D4C03" w:rsidRDefault="001D4C03" w:rsidP="001A0839">
      <w:pPr>
        <w:spacing w:after="0" w:line="240" w:lineRule="auto"/>
        <w:rPr>
          <w:sz w:val="10"/>
        </w:rPr>
      </w:pPr>
    </w:p>
    <w:p w:rsidR="001D4C03" w:rsidRDefault="001D4C03" w:rsidP="001A0839">
      <w:pPr>
        <w:spacing w:after="0" w:line="240" w:lineRule="auto"/>
        <w:rPr>
          <w:sz w:val="10"/>
        </w:rPr>
      </w:pPr>
    </w:p>
    <w:p w:rsidR="001D4C03" w:rsidRDefault="001D4C03" w:rsidP="001A0839">
      <w:pPr>
        <w:spacing w:after="0" w:line="240" w:lineRule="auto"/>
        <w:rPr>
          <w:sz w:val="10"/>
        </w:rPr>
      </w:pPr>
    </w:p>
    <w:p w:rsidR="001D4C03" w:rsidRDefault="001D4C03" w:rsidP="001A0839">
      <w:pPr>
        <w:spacing w:after="0" w:line="240" w:lineRule="auto"/>
        <w:rPr>
          <w:sz w:val="10"/>
        </w:rPr>
      </w:pPr>
    </w:p>
    <w:p w:rsidR="001D4C03" w:rsidRDefault="001D4C03" w:rsidP="001A0839">
      <w:pPr>
        <w:spacing w:after="0" w:line="240" w:lineRule="auto"/>
        <w:rPr>
          <w:sz w:val="10"/>
        </w:rPr>
      </w:pPr>
    </w:p>
    <w:p w:rsidR="001D4C03" w:rsidRDefault="001D4C03" w:rsidP="001A0839">
      <w:pPr>
        <w:spacing w:after="0" w:line="240" w:lineRule="auto"/>
        <w:rPr>
          <w:sz w:val="10"/>
        </w:rPr>
      </w:pPr>
    </w:p>
    <w:p w:rsidR="001D4C03" w:rsidRDefault="001D4C03" w:rsidP="001A0839">
      <w:pPr>
        <w:spacing w:after="0" w:line="240" w:lineRule="auto"/>
        <w:rPr>
          <w:sz w:val="10"/>
        </w:rPr>
      </w:pPr>
    </w:p>
    <w:p w:rsidR="001D4C03" w:rsidRDefault="001D4C03" w:rsidP="001A0839">
      <w:pPr>
        <w:spacing w:after="0" w:line="240" w:lineRule="auto"/>
        <w:rPr>
          <w:sz w:val="10"/>
        </w:rPr>
      </w:pPr>
    </w:p>
    <w:p w:rsidR="001D4C03" w:rsidRDefault="001D4C03" w:rsidP="001A0839">
      <w:pPr>
        <w:spacing w:after="0" w:line="240" w:lineRule="auto"/>
        <w:rPr>
          <w:sz w:val="10"/>
        </w:rPr>
      </w:pPr>
    </w:p>
    <w:p w:rsidR="001D4C03" w:rsidRDefault="001D4C03" w:rsidP="001A0839">
      <w:pPr>
        <w:spacing w:after="0" w:line="240" w:lineRule="auto"/>
        <w:rPr>
          <w:sz w:val="10"/>
        </w:rPr>
      </w:pPr>
    </w:p>
    <w:p w:rsidR="001D4C03" w:rsidRDefault="001D4C03" w:rsidP="001A0839">
      <w:pPr>
        <w:spacing w:after="0" w:line="240" w:lineRule="auto"/>
        <w:rPr>
          <w:sz w:val="10"/>
        </w:rPr>
      </w:pPr>
    </w:p>
    <w:p w:rsidR="001D4C03" w:rsidRDefault="001D4C03" w:rsidP="001A0839">
      <w:pPr>
        <w:spacing w:after="0" w:line="240" w:lineRule="auto"/>
        <w:rPr>
          <w:sz w:val="10"/>
        </w:rPr>
      </w:pPr>
    </w:p>
    <w:p w:rsidR="001D4C03" w:rsidRDefault="001D4C03" w:rsidP="001A0839">
      <w:pPr>
        <w:spacing w:after="0" w:line="240" w:lineRule="auto"/>
        <w:rPr>
          <w:sz w:val="10"/>
        </w:rPr>
      </w:pPr>
    </w:p>
    <w:p w:rsidR="001D4C03" w:rsidRDefault="001D4C03" w:rsidP="001A0839">
      <w:pPr>
        <w:spacing w:after="0" w:line="240" w:lineRule="auto"/>
        <w:rPr>
          <w:sz w:val="10"/>
        </w:rPr>
      </w:pPr>
    </w:p>
    <w:p w:rsidR="001D4C03" w:rsidRDefault="001D4C03" w:rsidP="001A0839">
      <w:pPr>
        <w:spacing w:after="0" w:line="240" w:lineRule="auto"/>
        <w:rPr>
          <w:sz w:val="10"/>
        </w:rPr>
      </w:pPr>
    </w:p>
    <w:p w:rsidR="001D4C03" w:rsidRDefault="001D4C03" w:rsidP="001A0839">
      <w:pPr>
        <w:spacing w:after="0" w:line="240" w:lineRule="auto"/>
        <w:rPr>
          <w:sz w:val="10"/>
        </w:rPr>
      </w:pPr>
    </w:p>
    <w:p w:rsidR="001D4C03" w:rsidRDefault="001D4C03" w:rsidP="001A0839">
      <w:pPr>
        <w:spacing w:after="0" w:line="240" w:lineRule="auto"/>
        <w:rPr>
          <w:sz w:val="10"/>
        </w:rPr>
      </w:pPr>
    </w:p>
    <w:p w:rsidR="001A0839" w:rsidRDefault="001A0839" w:rsidP="001A0839">
      <w:pPr>
        <w:spacing w:after="0" w:line="240" w:lineRule="auto"/>
        <w:rPr>
          <w:sz w:val="10"/>
        </w:rPr>
      </w:pPr>
    </w:p>
    <w:p w:rsidR="001A0839" w:rsidRDefault="001A0839" w:rsidP="001A0839">
      <w:pPr>
        <w:spacing w:after="0" w:line="240" w:lineRule="auto"/>
        <w:rPr>
          <w:sz w:val="10"/>
        </w:rPr>
      </w:pPr>
    </w:p>
    <w:tbl>
      <w:tblPr>
        <w:tblStyle w:val="TableGrid"/>
        <w:tblW w:w="15593" w:type="dxa"/>
        <w:tblInd w:w="-5" w:type="dxa"/>
        <w:tblLook w:val="04A0" w:firstRow="1" w:lastRow="0" w:firstColumn="1" w:lastColumn="0" w:noHBand="0" w:noVBand="1"/>
      </w:tblPr>
      <w:tblGrid>
        <w:gridCol w:w="3119"/>
        <w:gridCol w:w="12474"/>
      </w:tblGrid>
      <w:tr w:rsidR="001A0839" w:rsidRPr="001A0839" w:rsidTr="00A1164A">
        <w:tc>
          <w:tcPr>
            <w:tcW w:w="15593" w:type="dxa"/>
            <w:gridSpan w:val="2"/>
            <w:tcBorders>
              <w:top w:val="single" w:sz="4" w:space="0" w:color="auto"/>
            </w:tcBorders>
            <w:shd w:val="clear" w:color="auto" w:fill="000000" w:themeFill="text1"/>
          </w:tcPr>
          <w:p w:rsidR="001A0839" w:rsidRPr="001A0839" w:rsidRDefault="001A0839" w:rsidP="001A0839">
            <w:pPr>
              <w:jc w:val="center"/>
              <w:rPr>
                <w:b/>
                <w:color w:val="FFFFFF" w:themeColor="background1"/>
                <w:sz w:val="32"/>
                <w:szCs w:val="24"/>
              </w:rPr>
            </w:pPr>
            <w:r w:rsidRPr="001A0839">
              <w:rPr>
                <w:b/>
                <w:color w:val="FFFFFF" w:themeColor="background1"/>
                <w:sz w:val="44"/>
                <w:szCs w:val="24"/>
              </w:rPr>
              <w:t xml:space="preserve">Priority </w:t>
            </w:r>
            <w:r>
              <w:rPr>
                <w:b/>
                <w:color w:val="FFFFFF" w:themeColor="background1"/>
                <w:sz w:val="44"/>
                <w:szCs w:val="24"/>
              </w:rPr>
              <w:t>3</w:t>
            </w:r>
          </w:p>
        </w:tc>
      </w:tr>
      <w:tr w:rsidR="001A0839" w:rsidRPr="00CA3833" w:rsidTr="00A1164A">
        <w:trPr>
          <w:trHeight w:val="524"/>
        </w:trPr>
        <w:tc>
          <w:tcPr>
            <w:tcW w:w="15593" w:type="dxa"/>
            <w:gridSpan w:val="2"/>
            <w:shd w:val="clear" w:color="auto" w:fill="FFFFFF" w:themeFill="background1"/>
            <w:vAlign w:val="center"/>
          </w:tcPr>
          <w:p w:rsidR="001A0839" w:rsidRPr="00CA655F" w:rsidRDefault="001A0839" w:rsidP="00A1164A">
            <w:pPr>
              <w:jc w:val="center"/>
              <w:rPr>
                <w:rFonts w:ascii="Bradley Hand ITC" w:hAnsi="Bradley Hand ITC"/>
                <w:b/>
                <w:color w:val="000000" w:themeColor="text1"/>
                <w:sz w:val="28"/>
              </w:rPr>
            </w:pPr>
            <w:r>
              <w:rPr>
                <w:rFonts w:ascii="Bradley Hand ITC" w:hAnsi="Bradley Hand ITC"/>
                <w:b/>
                <w:color w:val="000000" w:themeColor="text1"/>
                <w:sz w:val="28"/>
              </w:rPr>
              <w:t>Summary of Priority</w:t>
            </w:r>
          </w:p>
        </w:tc>
      </w:tr>
      <w:tr w:rsidR="001A0839" w:rsidRPr="00CA3833" w:rsidTr="00A1164A">
        <w:trPr>
          <w:trHeight w:val="862"/>
        </w:trPr>
        <w:tc>
          <w:tcPr>
            <w:tcW w:w="3119" w:type="dxa"/>
            <w:shd w:val="clear" w:color="auto" w:fill="000000" w:themeFill="text1"/>
            <w:vAlign w:val="center"/>
          </w:tcPr>
          <w:p w:rsidR="001A0839" w:rsidRDefault="001A0839" w:rsidP="00A1164A">
            <w:pPr>
              <w:jc w:val="center"/>
              <w:rPr>
                <w:b/>
                <w:sz w:val="24"/>
              </w:rPr>
            </w:pPr>
            <w:r>
              <w:rPr>
                <w:b/>
                <w:sz w:val="24"/>
              </w:rPr>
              <w:t xml:space="preserve">Key links to </w:t>
            </w:r>
          </w:p>
          <w:p w:rsidR="001A0839" w:rsidRDefault="001A0839" w:rsidP="00A1164A">
            <w:pPr>
              <w:jc w:val="center"/>
              <w:rPr>
                <w:b/>
                <w:sz w:val="24"/>
              </w:rPr>
            </w:pPr>
            <w:r>
              <w:rPr>
                <w:b/>
                <w:sz w:val="24"/>
              </w:rPr>
              <w:t>Moray Education</w:t>
            </w:r>
          </w:p>
          <w:p w:rsidR="001A0839" w:rsidRPr="00644A04" w:rsidRDefault="001A0839" w:rsidP="00A1164A">
            <w:pPr>
              <w:jc w:val="center"/>
              <w:rPr>
                <w:b/>
                <w:sz w:val="24"/>
              </w:rPr>
            </w:pPr>
            <w:r>
              <w:rPr>
                <w:b/>
                <w:sz w:val="24"/>
              </w:rPr>
              <w:t>Priority Area(s):</w:t>
            </w:r>
          </w:p>
        </w:tc>
        <w:tc>
          <w:tcPr>
            <w:tcW w:w="12474" w:type="dxa"/>
            <w:shd w:val="clear" w:color="auto" w:fill="FFFFFF" w:themeFill="background1"/>
            <w:vAlign w:val="center"/>
          </w:tcPr>
          <w:p w:rsidR="001A0839" w:rsidRPr="00944ED7" w:rsidRDefault="001A0839" w:rsidP="00A1164A">
            <w:pPr>
              <w:tabs>
                <w:tab w:val="left" w:pos="2018"/>
                <w:tab w:val="left" w:pos="6412"/>
              </w:tabs>
              <w:jc w:val="both"/>
              <w:rPr>
                <w:sz w:val="20"/>
              </w:rPr>
            </w:pPr>
            <w:r w:rsidRPr="00944ED7">
              <w:rPr>
                <w:sz w:val="20"/>
              </w:rPr>
              <w:tab/>
            </w:r>
            <w:sdt>
              <w:sdtPr>
                <w:rPr>
                  <w:sz w:val="20"/>
                </w:rPr>
                <w:id w:val="-1182665574"/>
                <w14:checkbox>
                  <w14:checked w14:val="1"/>
                  <w14:checkedState w14:val="2612" w14:font="MS Gothic"/>
                  <w14:uncheckedState w14:val="2610" w14:font="MS Gothic"/>
                </w14:checkbox>
              </w:sdtPr>
              <w:sdtEndPr/>
              <w:sdtContent>
                <w:r w:rsidR="006C1C59">
                  <w:rPr>
                    <w:rFonts w:ascii="MS Gothic" w:eastAsia="MS Gothic" w:hAnsi="MS Gothic" w:hint="eastAsia"/>
                    <w:sz w:val="20"/>
                  </w:rPr>
                  <w:t>☒</w:t>
                </w:r>
              </w:sdtContent>
            </w:sdt>
            <w:r w:rsidRPr="00944ED7">
              <w:rPr>
                <w:sz w:val="20"/>
              </w:rPr>
              <w:t xml:space="preserve"> Rais</w:t>
            </w:r>
            <w:r>
              <w:rPr>
                <w:sz w:val="20"/>
              </w:rPr>
              <w:t>ing</w:t>
            </w:r>
            <w:r w:rsidRPr="00944ED7">
              <w:rPr>
                <w:sz w:val="20"/>
              </w:rPr>
              <w:t xml:space="preserve"> Attainment and Achievement</w:t>
            </w:r>
            <w:r w:rsidRPr="00944ED7">
              <w:rPr>
                <w:sz w:val="20"/>
              </w:rPr>
              <w:tab/>
            </w:r>
            <w:sdt>
              <w:sdtPr>
                <w:rPr>
                  <w:sz w:val="20"/>
                </w:rPr>
                <w:id w:val="55403942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944ED7">
              <w:rPr>
                <w:sz w:val="20"/>
              </w:rPr>
              <w:t xml:space="preserve"> Self-evaluation for Self-improvement</w:t>
            </w:r>
          </w:p>
          <w:p w:rsidR="001A0839" w:rsidRPr="00944ED7" w:rsidRDefault="001A0839" w:rsidP="00A1164A">
            <w:pPr>
              <w:tabs>
                <w:tab w:val="left" w:pos="2018"/>
                <w:tab w:val="left" w:pos="6412"/>
              </w:tabs>
              <w:jc w:val="both"/>
              <w:rPr>
                <w:sz w:val="20"/>
              </w:rPr>
            </w:pPr>
            <w:r w:rsidRPr="00944ED7">
              <w:rPr>
                <w:sz w:val="20"/>
              </w:rPr>
              <w:tab/>
            </w:r>
            <w:sdt>
              <w:sdtPr>
                <w:rPr>
                  <w:sz w:val="20"/>
                </w:rPr>
                <w:id w:val="-1745786357"/>
                <w14:checkbox>
                  <w14:checked w14:val="1"/>
                  <w14:checkedState w14:val="2612" w14:font="MS Gothic"/>
                  <w14:uncheckedState w14:val="2610" w14:font="MS Gothic"/>
                </w14:checkbox>
              </w:sdtPr>
              <w:sdtEndPr/>
              <w:sdtContent>
                <w:r w:rsidR="006C1C59">
                  <w:rPr>
                    <w:rFonts w:ascii="MS Gothic" w:eastAsia="MS Gothic" w:hAnsi="MS Gothic" w:hint="eastAsia"/>
                    <w:sz w:val="20"/>
                  </w:rPr>
                  <w:t>☒</w:t>
                </w:r>
              </w:sdtContent>
            </w:sdt>
            <w:r w:rsidRPr="00944ED7">
              <w:rPr>
                <w:sz w:val="20"/>
              </w:rPr>
              <w:t xml:space="preserve"> </w:t>
            </w:r>
            <w:r>
              <w:rPr>
                <w:sz w:val="20"/>
              </w:rPr>
              <w:t xml:space="preserve">Learning, </w:t>
            </w:r>
            <w:r w:rsidRPr="00944ED7">
              <w:rPr>
                <w:sz w:val="20"/>
              </w:rPr>
              <w:t>Teaching</w:t>
            </w:r>
            <w:r>
              <w:rPr>
                <w:sz w:val="20"/>
              </w:rPr>
              <w:t xml:space="preserve"> and Assessment</w:t>
            </w:r>
            <w:r w:rsidRPr="00944ED7">
              <w:rPr>
                <w:sz w:val="20"/>
              </w:rPr>
              <w:tab/>
            </w:r>
            <w:sdt>
              <w:sdtPr>
                <w:rPr>
                  <w:sz w:val="20"/>
                </w:rPr>
                <w:id w:val="1941411940"/>
                <w14:checkbox>
                  <w14:checked w14:val="1"/>
                  <w14:checkedState w14:val="2612" w14:font="MS Gothic"/>
                  <w14:uncheckedState w14:val="2610" w14:font="MS Gothic"/>
                </w14:checkbox>
              </w:sdtPr>
              <w:sdtEndPr/>
              <w:sdtContent>
                <w:r w:rsidR="006C1C59">
                  <w:rPr>
                    <w:rFonts w:ascii="MS Gothic" w:eastAsia="MS Gothic" w:hAnsi="MS Gothic" w:hint="eastAsia"/>
                    <w:sz w:val="20"/>
                  </w:rPr>
                  <w:t>☒</w:t>
                </w:r>
              </w:sdtContent>
            </w:sdt>
            <w:r w:rsidRPr="00944ED7">
              <w:rPr>
                <w:sz w:val="20"/>
              </w:rPr>
              <w:t xml:space="preserve"> Supporting</w:t>
            </w:r>
            <w:r>
              <w:rPr>
                <w:sz w:val="20"/>
              </w:rPr>
              <w:t xml:space="preserve"> All</w:t>
            </w:r>
            <w:r w:rsidRPr="00944ED7">
              <w:rPr>
                <w:sz w:val="20"/>
              </w:rPr>
              <w:t xml:space="preserve"> Learners</w:t>
            </w:r>
          </w:p>
          <w:p w:rsidR="001A0839" w:rsidRPr="00944ED7" w:rsidRDefault="001A0839" w:rsidP="00A1164A">
            <w:pPr>
              <w:tabs>
                <w:tab w:val="left" w:pos="2018"/>
                <w:tab w:val="left" w:pos="6412"/>
              </w:tabs>
              <w:jc w:val="both"/>
              <w:rPr>
                <w:sz w:val="20"/>
              </w:rPr>
            </w:pPr>
            <w:r w:rsidRPr="00944ED7">
              <w:rPr>
                <w:sz w:val="20"/>
              </w:rPr>
              <w:tab/>
            </w:r>
            <w:sdt>
              <w:sdtPr>
                <w:rPr>
                  <w:sz w:val="20"/>
                </w:rPr>
                <w:id w:val="-205137279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944ED7">
              <w:rPr>
                <w:sz w:val="20"/>
              </w:rPr>
              <w:t xml:space="preserve"> Curriculum</w:t>
            </w:r>
            <w:r w:rsidRPr="00944ED7">
              <w:rPr>
                <w:sz w:val="20"/>
              </w:rPr>
              <w:tab/>
            </w:r>
            <w:sdt>
              <w:sdtPr>
                <w:rPr>
                  <w:sz w:val="20"/>
                </w:rPr>
                <w:id w:val="88422720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944ED7">
              <w:rPr>
                <w:sz w:val="20"/>
              </w:rPr>
              <w:t xml:space="preserve"> Leadership at all Levels</w:t>
            </w:r>
          </w:p>
        </w:tc>
      </w:tr>
    </w:tbl>
    <w:p w:rsidR="001A0839" w:rsidRPr="00130311" w:rsidRDefault="001A0839" w:rsidP="001A0839">
      <w:pPr>
        <w:spacing w:after="0" w:line="240" w:lineRule="auto"/>
        <w:rPr>
          <w:sz w:val="8"/>
        </w:rPr>
      </w:pPr>
    </w:p>
    <w:tbl>
      <w:tblPr>
        <w:tblStyle w:val="TableGrid"/>
        <w:tblW w:w="15650" w:type="dxa"/>
        <w:tblLook w:val="04A0" w:firstRow="1" w:lastRow="0" w:firstColumn="1" w:lastColumn="0" w:noHBand="0" w:noVBand="1"/>
      </w:tblPr>
      <w:tblGrid>
        <w:gridCol w:w="6374"/>
        <w:gridCol w:w="142"/>
        <w:gridCol w:w="2835"/>
        <w:gridCol w:w="142"/>
        <w:gridCol w:w="3685"/>
        <w:gridCol w:w="142"/>
        <w:gridCol w:w="760"/>
        <w:gridCol w:w="799"/>
        <w:gridCol w:w="771"/>
      </w:tblGrid>
      <w:tr w:rsidR="001A0839" w:rsidRPr="00130311" w:rsidTr="00A1164A">
        <w:tc>
          <w:tcPr>
            <w:tcW w:w="6374" w:type="dxa"/>
            <w:shd w:val="clear" w:color="auto" w:fill="000000" w:themeFill="text1"/>
          </w:tcPr>
          <w:p w:rsidR="001A0839" w:rsidRPr="00130311" w:rsidRDefault="001A0839" w:rsidP="00A1164A">
            <w:pPr>
              <w:jc w:val="center"/>
              <w:rPr>
                <w:b/>
                <w:sz w:val="24"/>
                <w:szCs w:val="24"/>
              </w:rPr>
            </w:pPr>
            <w:r>
              <w:rPr>
                <w:b/>
                <w:sz w:val="24"/>
                <w:szCs w:val="24"/>
              </w:rPr>
              <w:t>NIF Priorities:</w:t>
            </w:r>
          </w:p>
        </w:tc>
        <w:tc>
          <w:tcPr>
            <w:tcW w:w="2977" w:type="dxa"/>
            <w:gridSpan w:val="2"/>
            <w:shd w:val="clear" w:color="auto" w:fill="000000" w:themeFill="text1"/>
          </w:tcPr>
          <w:p w:rsidR="001A0839" w:rsidRPr="00130311" w:rsidRDefault="001A0839" w:rsidP="00A1164A">
            <w:pPr>
              <w:jc w:val="center"/>
              <w:rPr>
                <w:b/>
                <w:sz w:val="24"/>
                <w:szCs w:val="24"/>
              </w:rPr>
            </w:pPr>
            <w:r>
              <w:rPr>
                <w:b/>
                <w:sz w:val="24"/>
                <w:szCs w:val="24"/>
              </w:rPr>
              <w:t>NIF Drivers:</w:t>
            </w:r>
          </w:p>
        </w:tc>
        <w:tc>
          <w:tcPr>
            <w:tcW w:w="3827" w:type="dxa"/>
            <w:gridSpan w:val="2"/>
            <w:shd w:val="clear" w:color="auto" w:fill="000000" w:themeFill="text1"/>
          </w:tcPr>
          <w:p w:rsidR="001A0839" w:rsidRPr="00130311" w:rsidRDefault="001A0839" w:rsidP="00A1164A">
            <w:pPr>
              <w:jc w:val="center"/>
              <w:rPr>
                <w:b/>
                <w:sz w:val="24"/>
                <w:szCs w:val="24"/>
              </w:rPr>
            </w:pPr>
            <w:r>
              <w:rPr>
                <w:b/>
                <w:sz w:val="24"/>
                <w:szCs w:val="24"/>
              </w:rPr>
              <w:t>Children’s Services Plan:</w:t>
            </w:r>
          </w:p>
        </w:tc>
        <w:tc>
          <w:tcPr>
            <w:tcW w:w="2472" w:type="dxa"/>
            <w:gridSpan w:val="4"/>
            <w:shd w:val="clear" w:color="auto" w:fill="000000" w:themeFill="text1"/>
          </w:tcPr>
          <w:p w:rsidR="001A0839" w:rsidRPr="00130311" w:rsidRDefault="001A0839" w:rsidP="00A1164A">
            <w:pPr>
              <w:jc w:val="center"/>
              <w:rPr>
                <w:b/>
                <w:sz w:val="24"/>
                <w:szCs w:val="24"/>
              </w:rPr>
            </w:pPr>
            <w:r>
              <w:rPr>
                <w:b/>
                <w:sz w:val="24"/>
                <w:szCs w:val="24"/>
              </w:rPr>
              <w:t>HGIOS?4 QIs:</w:t>
            </w:r>
          </w:p>
        </w:tc>
      </w:tr>
      <w:tr w:rsidR="001A0839" w:rsidRPr="004208A1" w:rsidTr="00A1164A">
        <w:trPr>
          <w:trHeight w:val="1450"/>
        </w:trPr>
        <w:tc>
          <w:tcPr>
            <w:tcW w:w="6516" w:type="dxa"/>
            <w:gridSpan w:val="2"/>
            <w:vAlign w:val="center"/>
          </w:tcPr>
          <w:p w:rsidR="001A0839" w:rsidRPr="00F1352F" w:rsidRDefault="001D4C03" w:rsidP="00A1164A">
            <w:pPr>
              <w:tabs>
                <w:tab w:val="left" w:pos="313"/>
              </w:tabs>
              <w:rPr>
                <w:sz w:val="18"/>
                <w:szCs w:val="24"/>
              </w:rPr>
            </w:pPr>
            <w:sdt>
              <w:sdtPr>
                <w:rPr>
                  <w:sz w:val="18"/>
                  <w:szCs w:val="24"/>
                </w:rPr>
                <w:id w:val="558369931"/>
                <w14:checkbox>
                  <w14:checked w14:val="0"/>
                  <w14:checkedState w14:val="2612" w14:font="MS Gothic"/>
                  <w14:uncheckedState w14:val="2610" w14:font="MS Gothic"/>
                </w14:checkbox>
              </w:sdtPr>
              <w:sdtEndPr/>
              <w:sdtContent>
                <w:r w:rsidR="001A0839">
                  <w:rPr>
                    <w:rFonts w:ascii="MS Gothic" w:eastAsia="MS Gothic" w:hAnsi="MS Gothic" w:hint="eastAsia"/>
                    <w:sz w:val="18"/>
                    <w:szCs w:val="24"/>
                  </w:rPr>
                  <w:t>☐</w:t>
                </w:r>
              </w:sdtContent>
            </w:sdt>
            <w:r w:rsidR="001A0839" w:rsidRPr="004208A1">
              <w:rPr>
                <w:sz w:val="18"/>
                <w:szCs w:val="24"/>
              </w:rPr>
              <w:tab/>
            </w:r>
            <w:r w:rsidR="001A0839" w:rsidRPr="00F1352F">
              <w:rPr>
                <w:sz w:val="18"/>
                <w:szCs w:val="24"/>
              </w:rPr>
              <w:t>Improvements in attainment, particularly in Literacy and Numeracy</w:t>
            </w:r>
          </w:p>
          <w:p w:rsidR="001A0839" w:rsidRPr="00F1352F" w:rsidRDefault="001D4C03" w:rsidP="00A1164A">
            <w:pPr>
              <w:tabs>
                <w:tab w:val="left" w:pos="313"/>
              </w:tabs>
              <w:rPr>
                <w:sz w:val="18"/>
                <w:szCs w:val="24"/>
              </w:rPr>
            </w:pPr>
            <w:sdt>
              <w:sdtPr>
                <w:rPr>
                  <w:sz w:val="18"/>
                  <w:szCs w:val="24"/>
                </w:rPr>
                <w:id w:val="-2050749234"/>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1A0839" w:rsidRPr="00F1352F">
              <w:rPr>
                <w:sz w:val="18"/>
                <w:szCs w:val="24"/>
              </w:rPr>
              <w:tab/>
              <w:t>Closing the attainment gap between the most and least disadvantaged children</w:t>
            </w:r>
          </w:p>
          <w:p w:rsidR="001A0839" w:rsidRPr="00F1352F" w:rsidRDefault="001D4C03" w:rsidP="00A1164A">
            <w:pPr>
              <w:tabs>
                <w:tab w:val="left" w:pos="313"/>
              </w:tabs>
              <w:rPr>
                <w:sz w:val="18"/>
                <w:szCs w:val="24"/>
              </w:rPr>
            </w:pPr>
            <w:sdt>
              <w:sdtPr>
                <w:rPr>
                  <w:sz w:val="18"/>
                  <w:szCs w:val="24"/>
                </w:rPr>
                <w:id w:val="-1739384455"/>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1A0839" w:rsidRPr="00F1352F">
              <w:rPr>
                <w:sz w:val="18"/>
                <w:szCs w:val="24"/>
              </w:rPr>
              <w:tab/>
              <w:t>Improvement in children and young people’s health and wellbeing</w:t>
            </w:r>
          </w:p>
          <w:p w:rsidR="001A0839" w:rsidRPr="004208A1" w:rsidRDefault="001D4C03" w:rsidP="00A1164A">
            <w:pPr>
              <w:tabs>
                <w:tab w:val="left" w:pos="313"/>
              </w:tabs>
              <w:rPr>
                <w:sz w:val="16"/>
                <w:szCs w:val="24"/>
              </w:rPr>
            </w:pPr>
            <w:sdt>
              <w:sdtPr>
                <w:rPr>
                  <w:sz w:val="18"/>
                  <w:szCs w:val="24"/>
                </w:rPr>
                <w:id w:val="1894466154"/>
                <w14:checkbox>
                  <w14:checked w14:val="0"/>
                  <w14:checkedState w14:val="2612" w14:font="MS Gothic"/>
                  <w14:uncheckedState w14:val="2610" w14:font="MS Gothic"/>
                </w14:checkbox>
              </w:sdtPr>
              <w:sdtEndPr/>
              <w:sdtContent>
                <w:r w:rsidR="001A0839">
                  <w:rPr>
                    <w:rFonts w:ascii="MS Gothic" w:eastAsia="MS Gothic" w:hAnsi="MS Gothic" w:hint="eastAsia"/>
                    <w:sz w:val="18"/>
                    <w:szCs w:val="24"/>
                  </w:rPr>
                  <w:t>☐</w:t>
                </w:r>
              </w:sdtContent>
            </w:sdt>
            <w:r w:rsidR="001A0839" w:rsidRPr="00F1352F">
              <w:rPr>
                <w:sz w:val="18"/>
                <w:szCs w:val="24"/>
              </w:rPr>
              <w:tab/>
              <w:t xml:space="preserve">Improvement in employability skills and sustained, positive school leaver </w:t>
            </w:r>
            <w:r w:rsidR="001A0839" w:rsidRPr="00F1352F">
              <w:rPr>
                <w:sz w:val="18"/>
                <w:szCs w:val="24"/>
              </w:rPr>
              <w:tab/>
              <w:t>destinations for all young people</w:t>
            </w:r>
          </w:p>
        </w:tc>
        <w:tc>
          <w:tcPr>
            <w:tcW w:w="2977" w:type="dxa"/>
            <w:gridSpan w:val="2"/>
            <w:vAlign w:val="center"/>
          </w:tcPr>
          <w:p w:rsidR="001A0839" w:rsidRPr="00F729EB" w:rsidRDefault="001D4C03" w:rsidP="00A1164A">
            <w:pPr>
              <w:rPr>
                <w:sz w:val="18"/>
                <w:szCs w:val="24"/>
              </w:rPr>
            </w:pPr>
            <w:sdt>
              <w:sdtPr>
                <w:rPr>
                  <w:sz w:val="18"/>
                  <w:szCs w:val="24"/>
                </w:rPr>
                <w:id w:val="653498248"/>
                <w14:checkbox>
                  <w14:checked w14:val="0"/>
                  <w14:checkedState w14:val="2612" w14:font="MS Gothic"/>
                  <w14:uncheckedState w14:val="2610" w14:font="MS Gothic"/>
                </w14:checkbox>
              </w:sdtPr>
              <w:sdtEndPr/>
              <w:sdtContent>
                <w:r w:rsidR="001A0839">
                  <w:rPr>
                    <w:rFonts w:ascii="MS Gothic" w:eastAsia="MS Gothic" w:hAnsi="MS Gothic" w:hint="eastAsia"/>
                    <w:sz w:val="18"/>
                    <w:szCs w:val="24"/>
                  </w:rPr>
                  <w:t>☐</w:t>
                </w:r>
              </w:sdtContent>
            </w:sdt>
            <w:r w:rsidR="001A0839" w:rsidRPr="00F729EB">
              <w:rPr>
                <w:sz w:val="18"/>
                <w:szCs w:val="24"/>
              </w:rPr>
              <w:t xml:space="preserve"> School Leadership</w:t>
            </w:r>
          </w:p>
          <w:p w:rsidR="001A0839" w:rsidRPr="00F729EB" w:rsidRDefault="001D4C03" w:rsidP="00A1164A">
            <w:pPr>
              <w:rPr>
                <w:sz w:val="18"/>
                <w:szCs w:val="24"/>
              </w:rPr>
            </w:pPr>
            <w:sdt>
              <w:sdtPr>
                <w:rPr>
                  <w:sz w:val="18"/>
                  <w:szCs w:val="24"/>
                </w:rPr>
                <w:id w:val="-1816170234"/>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1A0839" w:rsidRPr="00F729EB">
              <w:rPr>
                <w:sz w:val="18"/>
                <w:szCs w:val="24"/>
              </w:rPr>
              <w:t xml:space="preserve"> Teacher Professionalism</w:t>
            </w:r>
          </w:p>
          <w:p w:rsidR="001A0839" w:rsidRPr="00F729EB" w:rsidRDefault="001D4C03" w:rsidP="00A1164A">
            <w:pPr>
              <w:rPr>
                <w:sz w:val="18"/>
                <w:szCs w:val="24"/>
              </w:rPr>
            </w:pPr>
            <w:sdt>
              <w:sdtPr>
                <w:rPr>
                  <w:sz w:val="18"/>
                  <w:szCs w:val="24"/>
                </w:rPr>
                <w:id w:val="1090279002"/>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1A0839" w:rsidRPr="00F729EB">
              <w:rPr>
                <w:sz w:val="18"/>
                <w:szCs w:val="24"/>
              </w:rPr>
              <w:t xml:space="preserve"> Parental Engagement</w:t>
            </w:r>
          </w:p>
          <w:p w:rsidR="001A0839" w:rsidRPr="00F729EB" w:rsidRDefault="001D4C03" w:rsidP="00A1164A">
            <w:pPr>
              <w:rPr>
                <w:sz w:val="18"/>
                <w:szCs w:val="24"/>
              </w:rPr>
            </w:pPr>
            <w:sdt>
              <w:sdtPr>
                <w:rPr>
                  <w:sz w:val="18"/>
                  <w:szCs w:val="24"/>
                </w:rPr>
                <w:id w:val="-33201425"/>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1A0839" w:rsidRPr="00F729EB">
              <w:rPr>
                <w:sz w:val="18"/>
                <w:szCs w:val="24"/>
              </w:rPr>
              <w:t xml:space="preserve"> Assessment of Children’s Progress</w:t>
            </w:r>
          </w:p>
          <w:p w:rsidR="001A0839" w:rsidRPr="00F729EB" w:rsidRDefault="001D4C03" w:rsidP="00A1164A">
            <w:pPr>
              <w:rPr>
                <w:sz w:val="18"/>
                <w:szCs w:val="24"/>
              </w:rPr>
            </w:pPr>
            <w:sdt>
              <w:sdtPr>
                <w:rPr>
                  <w:sz w:val="18"/>
                  <w:szCs w:val="24"/>
                </w:rPr>
                <w:id w:val="-806005601"/>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1A0839" w:rsidRPr="00F729EB">
              <w:rPr>
                <w:sz w:val="18"/>
                <w:szCs w:val="24"/>
              </w:rPr>
              <w:t xml:space="preserve"> School Improvement</w:t>
            </w:r>
          </w:p>
          <w:p w:rsidR="001A0839" w:rsidRPr="004208A1" w:rsidRDefault="001D4C03" w:rsidP="00A1164A">
            <w:pPr>
              <w:rPr>
                <w:sz w:val="16"/>
                <w:szCs w:val="24"/>
              </w:rPr>
            </w:pPr>
            <w:sdt>
              <w:sdtPr>
                <w:rPr>
                  <w:sz w:val="18"/>
                  <w:szCs w:val="24"/>
                </w:rPr>
                <w:id w:val="-1670714240"/>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1A0839" w:rsidRPr="00F729EB">
              <w:rPr>
                <w:sz w:val="18"/>
                <w:szCs w:val="24"/>
              </w:rPr>
              <w:t xml:space="preserve"> Performance Information</w:t>
            </w:r>
          </w:p>
        </w:tc>
        <w:tc>
          <w:tcPr>
            <w:tcW w:w="3827" w:type="dxa"/>
            <w:gridSpan w:val="2"/>
            <w:vAlign w:val="center"/>
          </w:tcPr>
          <w:p w:rsidR="001A0839" w:rsidRPr="00F1352F" w:rsidRDefault="001D4C03" w:rsidP="00A1164A">
            <w:pPr>
              <w:rPr>
                <w:sz w:val="18"/>
                <w:szCs w:val="24"/>
              </w:rPr>
            </w:pPr>
            <w:sdt>
              <w:sdtPr>
                <w:rPr>
                  <w:sz w:val="18"/>
                  <w:szCs w:val="24"/>
                </w:rPr>
                <w:id w:val="1253859292"/>
                <w14:checkbox>
                  <w14:checked w14:val="1"/>
                  <w14:checkedState w14:val="2612" w14:font="MS Gothic"/>
                  <w14:uncheckedState w14:val="2610" w14:font="MS Gothic"/>
                </w14:checkbox>
              </w:sdtPr>
              <w:sdtEndPr/>
              <w:sdtContent>
                <w:r w:rsidR="004116A1">
                  <w:rPr>
                    <w:rFonts w:ascii="MS Gothic" w:eastAsia="MS Gothic" w:hAnsi="MS Gothic" w:hint="eastAsia"/>
                    <w:sz w:val="18"/>
                    <w:szCs w:val="24"/>
                  </w:rPr>
                  <w:t>☒</w:t>
                </w:r>
              </w:sdtContent>
            </w:sdt>
            <w:r w:rsidR="001A0839">
              <w:rPr>
                <w:sz w:val="18"/>
                <w:szCs w:val="24"/>
              </w:rPr>
              <w:t xml:space="preserve"> </w:t>
            </w:r>
            <w:r w:rsidR="001A0839" w:rsidRPr="00F1352F">
              <w:rPr>
                <w:sz w:val="18"/>
                <w:szCs w:val="24"/>
                <w:u w:val="single"/>
              </w:rPr>
              <w:t>Priority 1</w:t>
            </w:r>
            <w:r w:rsidR="001A0839" w:rsidRPr="00F1352F">
              <w:rPr>
                <w:sz w:val="18"/>
                <w:szCs w:val="24"/>
              </w:rPr>
              <w:t xml:space="preserve"> – </w:t>
            </w:r>
            <w:r w:rsidR="001A0839">
              <w:rPr>
                <w:sz w:val="18"/>
                <w:szCs w:val="24"/>
              </w:rPr>
              <w:t>Improve Wellbeing</w:t>
            </w:r>
          </w:p>
          <w:p w:rsidR="001A0839" w:rsidRPr="00F1352F" w:rsidRDefault="001D4C03" w:rsidP="00A1164A">
            <w:pPr>
              <w:rPr>
                <w:sz w:val="18"/>
                <w:szCs w:val="24"/>
              </w:rPr>
            </w:pPr>
            <w:sdt>
              <w:sdtPr>
                <w:rPr>
                  <w:sz w:val="18"/>
                  <w:szCs w:val="24"/>
                </w:rPr>
                <w:id w:val="-742411567"/>
                <w14:checkbox>
                  <w14:checked w14:val="1"/>
                  <w14:checkedState w14:val="2612" w14:font="MS Gothic"/>
                  <w14:uncheckedState w14:val="2610" w14:font="MS Gothic"/>
                </w14:checkbox>
              </w:sdtPr>
              <w:sdtEndPr/>
              <w:sdtContent>
                <w:r w:rsidR="004116A1">
                  <w:rPr>
                    <w:rFonts w:ascii="MS Gothic" w:eastAsia="MS Gothic" w:hAnsi="MS Gothic" w:hint="eastAsia"/>
                    <w:sz w:val="18"/>
                    <w:szCs w:val="24"/>
                  </w:rPr>
                  <w:t>☒</w:t>
                </w:r>
              </w:sdtContent>
            </w:sdt>
            <w:r w:rsidR="001A0839" w:rsidRPr="00F1352F">
              <w:rPr>
                <w:sz w:val="18"/>
                <w:szCs w:val="24"/>
              </w:rPr>
              <w:t xml:space="preserve"> </w:t>
            </w:r>
            <w:r w:rsidR="001A0839" w:rsidRPr="00F1352F">
              <w:rPr>
                <w:sz w:val="18"/>
                <w:szCs w:val="24"/>
                <w:u w:val="single"/>
              </w:rPr>
              <w:t>Priority 2</w:t>
            </w:r>
            <w:r w:rsidR="001A0839" w:rsidRPr="00F1352F">
              <w:rPr>
                <w:sz w:val="18"/>
                <w:szCs w:val="24"/>
              </w:rPr>
              <w:t xml:space="preserve"> – </w:t>
            </w:r>
            <w:r w:rsidR="001A0839">
              <w:rPr>
                <w:sz w:val="18"/>
                <w:szCs w:val="24"/>
              </w:rPr>
              <w:t>Safeguarding</w:t>
            </w:r>
          </w:p>
          <w:p w:rsidR="001A0839" w:rsidRDefault="001D4C03" w:rsidP="00A1164A">
            <w:pPr>
              <w:rPr>
                <w:sz w:val="18"/>
                <w:szCs w:val="24"/>
              </w:rPr>
            </w:pPr>
            <w:sdt>
              <w:sdtPr>
                <w:rPr>
                  <w:sz w:val="18"/>
                  <w:szCs w:val="24"/>
                </w:rPr>
                <w:id w:val="1585191597"/>
                <w14:checkbox>
                  <w14:checked w14:val="1"/>
                  <w14:checkedState w14:val="2612" w14:font="MS Gothic"/>
                  <w14:uncheckedState w14:val="2610" w14:font="MS Gothic"/>
                </w14:checkbox>
              </w:sdtPr>
              <w:sdtEndPr/>
              <w:sdtContent>
                <w:r w:rsidR="004116A1">
                  <w:rPr>
                    <w:rFonts w:ascii="MS Gothic" w:eastAsia="MS Gothic" w:hAnsi="MS Gothic" w:hint="eastAsia"/>
                    <w:sz w:val="18"/>
                    <w:szCs w:val="24"/>
                  </w:rPr>
                  <w:t>☒</w:t>
                </w:r>
              </w:sdtContent>
            </w:sdt>
            <w:r w:rsidR="001A0839" w:rsidRPr="00F1352F">
              <w:rPr>
                <w:sz w:val="18"/>
                <w:szCs w:val="24"/>
              </w:rPr>
              <w:t xml:space="preserve"> </w:t>
            </w:r>
            <w:r w:rsidR="001A0839" w:rsidRPr="00F1352F">
              <w:rPr>
                <w:sz w:val="18"/>
                <w:szCs w:val="24"/>
                <w:u w:val="single"/>
              </w:rPr>
              <w:t>Priority 3</w:t>
            </w:r>
            <w:r w:rsidR="001A0839" w:rsidRPr="00F1352F">
              <w:rPr>
                <w:sz w:val="18"/>
                <w:szCs w:val="24"/>
              </w:rPr>
              <w:t xml:space="preserve"> – </w:t>
            </w:r>
            <w:r w:rsidR="001A0839">
              <w:rPr>
                <w:sz w:val="18"/>
                <w:szCs w:val="24"/>
              </w:rPr>
              <w:t>Poverty</w:t>
            </w:r>
          </w:p>
          <w:p w:rsidR="001A0839" w:rsidRDefault="001D4C03" w:rsidP="00A1164A">
            <w:pPr>
              <w:rPr>
                <w:sz w:val="18"/>
                <w:szCs w:val="24"/>
              </w:rPr>
            </w:pPr>
            <w:sdt>
              <w:sdtPr>
                <w:rPr>
                  <w:sz w:val="18"/>
                  <w:szCs w:val="24"/>
                </w:rPr>
                <w:id w:val="-1117294822"/>
                <w14:checkbox>
                  <w14:checked w14:val="1"/>
                  <w14:checkedState w14:val="2612" w14:font="MS Gothic"/>
                  <w14:uncheckedState w14:val="2610" w14:font="MS Gothic"/>
                </w14:checkbox>
              </w:sdtPr>
              <w:sdtEndPr/>
              <w:sdtContent>
                <w:r w:rsidR="004116A1">
                  <w:rPr>
                    <w:rFonts w:ascii="MS Gothic" w:eastAsia="MS Gothic" w:hAnsi="MS Gothic" w:hint="eastAsia"/>
                    <w:sz w:val="18"/>
                    <w:szCs w:val="24"/>
                  </w:rPr>
                  <w:t>☒</w:t>
                </w:r>
              </w:sdtContent>
            </w:sdt>
            <w:r w:rsidR="001A0839" w:rsidRPr="00F1352F">
              <w:rPr>
                <w:sz w:val="18"/>
                <w:szCs w:val="24"/>
              </w:rPr>
              <w:t xml:space="preserve"> </w:t>
            </w:r>
            <w:r w:rsidR="001A0839" w:rsidRPr="00F1352F">
              <w:rPr>
                <w:sz w:val="18"/>
                <w:szCs w:val="24"/>
                <w:u w:val="single"/>
              </w:rPr>
              <w:t>Priority</w:t>
            </w:r>
            <w:r w:rsidR="001A0839">
              <w:rPr>
                <w:sz w:val="18"/>
                <w:szCs w:val="24"/>
                <w:u w:val="single"/>
              </w:rPr>
              <w:t xml:space="preserve"> 4</w:t>
            </w:r>
            <w:r w:rsidR="001A0839" w:rsidRPr="00F1352F">
              <w:rPr>
                <w:sz w:val="18"/>
                <w:szCs w:val="24"/>
              </w:rPr>
              <w:t xml:space="preserve"> – </w:t>
            </w:r>
            <w:r w:rsidR="001A0839">
              <w:rPr>
                <w:sz w:val="18"/>
                <w:szCs w:val="24"/>
              </w:rPr>
              <w:t>Corporate Parenting</w:t>
            </w:r>
          </w:p>
          <w:p w:rsidR="001A0839" w:rsidRPr="00005323" w:rsidRDefault="001A0839" w:rsidP="00A1164A">
            <w:pPr>
              <w:jc w:val="right"/>
              <w:rPr>
                <w:i/>
                <w:sz w:val="16"/>
                <w:szCs w:val="24"/>
              </w:rPr>
            </w:pPr>
          </w:p>
        </w:tc>
        <w:tc>
          <w:tcPr>
            <w:tcW w:w="760" w:type="dxa"/>
            <w:vAlign w:val="center"/>
          </w:tcPr>
          <w:p w:rsidR="001A0839" w:rsidRPr="00F729EB" w:rsidRDefault="001D4C03" w:rsidP="00A1164A">
            <w:pPr>
              <w:jc w:val="center"/>
              <w:rPr>
                <w:sz w:val="18"/>
                <w:szCs w:val="24"/>
              </w:rPr>
            </w:pPr>
            <w:sdt>
              <w:sdtPr>
                <w:rPr>
                  <w:sz w:val="18"/>
                  <w:szCs w:val="24"/>
                </w:rPr>
                <w:id w:val="-1730915925"/>
                <w14:checkbox>
                  <w14:checked w14:val="0"/>
                  <w14:checkedState w14:val="2612" w14:font="MS Gothic"/>
                  <w14:uncheckedState w14:val="2610" w14:font="MS Gothic"/>
                </w14:checkbox>
              </w:sdtPr>
              <w:sdtEndPr/>
              <w:sdtContent>
                <w:r w:rsidR="001A0839">
                  <w:rPr>
                    <w:rFonts w:ascii="MS Gothic" w:eastAsia="MS Gothic" w:hAnsi="MS Gothic" w:hint="eastAsia"/>
                    <w:sz w:val="18"/>
                    <w:szCs w:val="24"/>
                  </w:rPr>
                  <w:t>☐</w:t>
                </w:r>
              </w:sdtContent>
            </w:sdt>
            <w:r w:rsidR="001A0839" w:rsidRPr="00F729EB">
              <w:rPr>
                <w:sz w:val="18"/>
                <w:szCs w:val="24"/>
              </w:rPr>
              <w:t xml:space="preserve"> 1.1</w:t>
            </w:r>
          </w:p>
          <w:p w:rsidR="001A0839" w:rsidRPr="00F729EB" w:rsidRDefault="001D4C03" w:rsidP="00A1164A">
            <w:pPr>
              <w:jc w:val="center"/>
              <w:rPr>
                <w:sz w:val="18"/>
                <w:szCs w:val="24"/>
              </w:rPr>
            </w:pPr>
            <w:sdt>
              <w:sdtPr>
                <w:rPr>
                  <w:sz w:val="18"/>
                  <w:szCs w:val="24"/>
                </w:rPr>
                <w:id w:val="1724947055"/>
                <w14:checkbox>
                  <w14:checked w14:val="0"/>
                  <w14:checkedState w14:val="2612" w14:font="MS Gothic"/>
                  <w14:uncheckedState w14:val="2610" w14:font="MS Gothic"/>
                </w14:checkbox>
              </w:sdtPr>
              <w:sdtEndPr/>
              <w:sdtContent>
                <w:r w:rsidR="001A0839">
                  <w:rPr>
                    <w:rFonts w:ascii="MS Gothic" w:eastAsia="MS Gothic" w:hAnsi="MS Gothic" w:hint="eastAsia"/>
                    <w:sz w:val="18"/>
                    <w:szCs w:val="24"/>
                  </w:rPr>
                  <w:t>☐</w:t>
                </w:r>
              </w:sdtContent>
            </w:sdt>
            <w:r w:rsidR="001A0839" w:rsidRPr="00F729EB">
              <w:rPr>
                <w:sz w:val="18"/>
                <w:szCs w:val="24"/>
              </w:rPr>
              <w:t xml:space="preserve"> 1.2</w:t>
            </w:r>
          </w:p>
          <w:p w:rsidR="001A0839" w:rsidRPr="00F729EB" w:rsidRDefault="001D4C03" w:rsidP="00A1164A">
            <w:pPr>
              <w:jc w:val="center"/>
              <w:rPr>
                <w:sz w:val="18"/>
                <w:szCs w:val="24"/>
              </w:rPr>
            </w:pPr>
            <w:sdt>
              <w:sdtPr>
                <w:rPr>
                  <w:sz w:val="18"/>
                  <w:szCs w:val="24"/>
                </w:rPr>
                <w:id w:val="71713381"/>
                <w14:checkbox>
                  <w14:checked w14:val="0"/>
                  <w14:checkedState w14:val="2612" w14:font="MS Gothic"/>
                  <w14:uncheckedState w14:val="2610" w14:font="MS Gothic"/>
                </w14:checkbox>
              </w:sdtPr>
              <w:sdtEndPr/>
              <w:sdtContent>
                <w:r w:rsidR="001A0839">
                  <w:rPr>
                    <w:rFonts w:ascii="MS Gothic" w:eastAsia="MS Gothic" w:hAnsi="MS Gothic" w:hint="eastAsia"/>
                    <w:sz w:val="18"/>
                    <w:szCs w:val="24"/>
                  </w:rPr>
                  <w:t>☐</w:t>
                </w:r>
              </w:sdtContent>
            </w:sdt>
            <w:r w:rsidR="001A0839" w:rsidRPr="00F729EB">
              <w:rPr>
                <w:sz w:val="18"/>
                <w:szCs w:val="24"/>
              </w:rPr>
              <w:t xml:space="preserve"> 1.3</w:t>
            </w:r>
          </w:p>
          <w:p w:rsidR="001A0839" w:rsidRPr="00F729EB" w:rsidRDefault="001D4C03" w:rsidP="00A1164A">
            <w:pPr>
              <w:jc w:val="center"/>
              <w:rPr>
                <w:sz w:val="18"/>
                <w:szCs w:val="24"/>
              </w:rPr>
            </w:pPr>
            <w:sdt>
              <w:sdtPr>
                <w:rPr>
                  <w:sz w:val="18"/>
                  <w:szCs w:val="24"/>
                </w:rPr>
                <w:id w:val="2034149501"/>
                <w14:checkbox>
                  <w14:checked w14:val="0"/>
                  <w14:checkedState w14:val="2612" w14:font="MS Gothic"/>
                  <w14:uncheckedState w14:val="2610" w14:font="MS Gothic"/>
                </w14:checkbox>
              </w:sdtPr>
              <w:sdtEndPr/>
              <w:sdtContent>
                <w:r w:rsidR="001A0839" w:rsidRPr="00F729EB">
                  <w:rPr>
                    <w:rFonts w:ascii="MS Gothic" w:eastAsia="MS Gothic" w:hAnsi="MS Gothic" w:hint="eastAsia"/>
                    <w:sz w:val="18"/>
                    <w:szCs w:val="24"/>
                  </w:rPr>
                  <w:t>☐</w:t>
                </w:r>
              </w:sdtContent>
            </w:sdt>
            <w:r w:rsidR="001A0839" w:rsidRPr="00F729EB">
              <w:rPr>
                <w:sz w:val="18"/>
                <w:szCs w:val="24"/>
              </w:rPr>
              <w:t xml:space="preserve"> 1.4</w:t>
            </w:r>
          </w:p>
          <w:p w:rsidR="001A0839" w:rsidRPr="00F729EB" w:rsidRDefault="001D4C03" w:rsidP="00A1164A">
            <w:pPr>
              <w:jc w:val="center"/>
              <w:rPr>
                <w:sz w:val="18"/>
                <w:szCs w:val="24"/>
              </w:rPr>
            </w:pPr>
            <w:sdt>
              <w:sdtPr>
                <w:rPr>
                  <w:sz w:val="18"/>
                  <w:szCs w:val="24"/>
                </w:rPr>
                <w:id w:val="467248779"/>
                <w14:checkbox>
                  <w14:checked w14:val="0"/>
                  <w14:checkedState w14:val="2612" w14:font="MS Gothic"/>
                  <w14:uncheckedState w14:val="2610" w14:font="MS Gothic"/>
                </w14:checkbox>
              </w:sdtPr>
              <w:sdtEndPr/>
              <w:sdtContent>
                <w:r w:rsidR="001A0839" w:rsidRPr="00F729EB">
                  <w:rPr>
                    <w:rFonts w:ascii="MS Gothic" w:eastAsia="MS Gothic" w:hAnsi="MS Gothic" w:hint="eastAsia"/>
                    <w:sz w:val="18"/>
                    <w:szCs w:val="24"/>
                  </w:rPr>
                  <w:t>☐</w:t>
                </w:r>
              </w:sdtContent>
            </w:sdt>
            <w:r w:rsidR="001A0839" w:rsidRPr="00F729EB">
              <w:rPr>
                <w:sz w:val="18"/>
                <w:szCs w:val="24"/>
              </w:rPr>
              <w:t xml:space="preserve"> 1.5</w:t>
            </w:r>
          </w:p>
        </w:tc>
        <w:tc>
          <w:tcPr>
            <w:tcW w:w="799" w:type="dxa"/>
            <w:vAlign w:val="center"/>
          </w:tcPr>
          <w:p w:rsidR="001A0839" w:rsidRPr="00F729EB" w:rsidRDefault="001D4C03" w:rsidP="00A1164A">
            <w:pPr>
              <w:jc w:val="center"/>
              <w:rPr>
                <w:sz w:val="18"/>
                <w:szCs w:val="24"/>
              </w:rPr>
            </w:pPr>
            <w:sdt>
              <w:sdtPr>
                <w:rPr>
                  <w:sz w:val="18"/>
                  <w:szCs w:val="24"/>
                </w:rPr>
                <w:id w:val="2091123288"/>
                <w14:checkbox>
                  <w14:checked w14:val="0"/>
                  <w14:checkedState w14:val="2612" w14:font="MS Gothic"/>
                  <w14:uncheckedState w14:val="2610" w14:font="MS Gothic"/>
                </w14:checkbox>
              </w:sdtPr>
              <w:sdtEndPr/>
              <w:sdtContent>
                <w:r w:rsidR="001A0839" w:rsidRPr="00F729EB">
                  <w:rPr>
                    <w:rFonts w:ascii="MS Gothic" w:eastAsia="MS Gothic" w:hAnsi="MS Gothic" w:hint="eastAsia"/>
                    <w:sz w:val="18"/>
                    <w:szCs w:val="24"/>
                  </w:rPr>
                  <w:t>☐</w:t>
                </w:r>
              </w:sdtContent>
            </w:sdt>
            <w:r w:rsidR="001A0839" w:rsidRPr="00F729EB">
              <w:rPr>
                <w:sz w:val="18"/>
                <w:szCs w:val="24"/>
              </w:rPr>
              <w:t xml:space="preserve"> 2.1</w:t>
            </w:r>
          </w:p>
          <w:p w:rsidR="001A0839" w:rsidRPr="00F729EB" w:rsidRDefault="001D4C03" w:rsidP="00A1164A">
            <w:pPr>
              <w:jc w:val="center"/>
              <w:rPr>
                <w:sz w:val="18"/>
                <w:szCs w:val="24"/>
              </w:rPr>
            </w:pPr>
            <w:sdt>
              <w:sdtPr>
                <w:rPr>
                  <w:sz w:val="18"/>
                  <w:szCs w:val="24"/>
                </w:rPr>
                <w:id w:val="832489895"/>
                <w14:checkbox>
                  <w14:checked w14:val="0"/>
                  <w14:checkedState w14:val="2612" w14:font="MS Gothic"/>
                  <w14:uncheckedState w14:val="2610" w14:font="MS Gothic"/>
                </w14:checkbox>
              </w:sdtPr>
              <w:sdtEndPr/>
              <w:sdtContent>
                <w:r w:rsidR="001A0839" w:rsidRPr="00F729EB">
                  <w:rPr>
                    <w:rFonts w:ascii="MS Gothic" w:eastAsia="MS Gothic" w:hAnsi="MS Gothic" w:hint="eastAsia"/>
                    <w:sz w:val="18"/>
                    <w:szCs w:val="24"/>
                  </w:rPr>
                  <w:t>☐</w:t>
                </w:r>
              </w:sdtContent>
            </w:sdt>
            <w:r w:rsidR="001A0839" w:rsidRPr="00F729EB">
              <w:rPr>
                <w:sz w:val="18"/>
                <w:szCs w:val="24"/>
              </w:rPr>
              <w:t xml:space="preserve"> 2.2</w:t>
            </w:r>
          </w:p>
          <w:p w:rsidR="001A0839" w:rsidRPr="00F729EB" w:rsidRDefault="001D4C03" w:rsidP="00A1164A">
            <w:pPr>
              <w:jc w:val="center"/>
              <w:rPr>
                <w:sz w:val="18"/>
                <w:szCs w:val="24"/>
              </w:rPr>
            </w:pPr>
            <w:sdt>
              <w:sdtPr>
                <w:rPr>
                  <w:sz w:val="18"/>
                  <w:szCs w:val="24"/>
                </w:rPr>
                <w:id w:val="2019267756"/>
                <w14:checkbox>
                  <w14:checked w14:val="0"/>
                  <w14:checkedState w14:val="2612" w14:font="MS Gothic"/>
                  <w14:uncheckedState w14:val="2610" w14:font="MS Gothic"/>
                </w14:checkbox>
              </w:sdtPr>
              <w:sdtEndPr/>
              <w:sdtContent>
                <w:r w:rsidR="001A0839">
                  <w:rPr>
                    <w:rFonts w:ascii="MS Gothic" w:eastAsia="MS Gothic" w:hAnsi="MS Gothic" w:hint="eastAsia"/>
                    <w:sz w:val="18"/>
                    <w:szCs w:val="24"/>
                  </w:rPr>
                  <w:t>☐</w:t>
                </w:r>
              </w:sdtContent>
            </w:sdt>
            <w:r w:rsidR="001A0839" w:rsidRPr="00F729EB">
              <w:rPr>
                <w:sz w:val="18"/>
                <w:szCs w:val="24"/>
              </w:rPr>
              <w:t xml:space="preserve"> 2.3</w:t>
            </w:r>
          </w:p>
          <w:p w:rsidR="001A0839" w:rsidRPr="00F729EB" w:rsidRDefault="001D4C03" w:rsidP="00A1164A">
            <w:pPr>
              <w:jc w:val="center"/>
              <w:rPr>
                <w:sz w:val="18"/>
                <w:szCs w:val="24"/>
              </w:rPr>
            </w:pPr>
            <w:sdt>
              <w:sdtPr>
                <w:rPr>
                  <w:sz w:val="18"/>
                  <w:szCs w:val="24"/>
                </w:rPr>
                <w:id w:val="-295068266"/>
                <w14:checkbox>
                  <w14:checked w14:val="0"/>
                  <w14:checkedState w14:val="2612" w14:font="MS Gothic"/>
                  <w14:uncheckedState w14:val="2610" w14:font="MS Gothic"/>
                </w14:checkbox>
              </w:sdtPr>
              <w:sdtEndPr/>
              <w:sdtContent>
                <w:r w:rsidR="001A0839">
                  <w:rPr>
                    <w:rFonts w:ascii="MS Gothic" w:eastAsia="MS Gothic" w:hAnsi="MS Gothic" w:hint="eastAsia"/>
                    <w:sz w:val="18"/>
                    <w:szCs w:val="24"/>
                  </w:rPr>
                  <w:t>☐</w:t>
                </w:r>
              </w:sdtContent>
            </w:sdt>
            <w:r w:rsidR="001A0839" w:rsidRPr="00F729EB">
              <w:rPr>
                <w:sz w:val="18"/>
                <w:szCs w:val="24"/>
              </w:rPr>
              <w:t xml:space="preserve"> 2.4</w:t>
            </w:r>
          </w:p>
          <w:p w:rsidR="001A0839" w:rsidRPr="00F729EB" w:rsidRDefault="001D4C03" w:rsidP="00A1164A">
            <w:pPr>
              <w:jc w:val="center"/>
              <w:rPr>
                <w:sz w:val="18"/>
                <w:szCs w:val="24"/>
              </w:rPr>
            </w:pPr>
            <w:sdt>
              <w:sdtPr>
                <w:rPr>
                  <w:sz w:val="18"/>
                  <w:szCs w:val="24"/>
                </w:rPr>
                <w:id w:val="-746956539"/>
                <w14:checkbox>
                  <w14:checked w14:val="0"/>
                  <w14:checkedState w14:val="2612" w14:font="MS Gothic"/>
                  <w14:uncheckedState w14:val="2610" w14:font="MS Gothic"/>
                </w14:checkbox>
              </w:sdtPr>
              <w:sdtEndPr/>
              <w:sdtContent>
                <w:r w:rsidR="001A0839" w:rsidRPr="00F729EB">
                  <w:rPr>
                    <w:rFonts w:ascii="MS Gothic" w:eastAsia="MS Gothic" w:hAnsi="MS Gothic" w:hint="eastAsia"/>
                    <w:sz w:val="18"/>
                    <w:szCs w:val="24"/>
                  </w:rPr>
                  <w:t>☐</w:t>
                </w:r>
              </w:sdtContent>
            </w:sdt>
            <w:r w:rsidR="001A0839" w:rsidRPr="00F729EB">
              <w:rPr>
                <w:sz w:val="18"/>
                <w:szCs w:val="24"/>
              </w:rPr>
              <w:t xml:space="preserve"> 2.5</w:t>
            </w:r>
          </w:p>
          <w:p w:rsidR="001A0839" w:rsidRPr="00F729EB" w:rsidRDefault="001D4C03" w:rsidP="00A1164A">
            <w:pPr>
              <w:jc w:val="center"/>
              <w:rPr>
                <w:sz w:val="18"/>
                <w:szCs w:val="24"/>
              </w:rPr>
            </w:pPr>
            <w:sdt>
              <w:sdtPr>
                <w:rPr>
                  <w:sz w:val="18"/>
                  <w:szCs w:val="24"/>
                </w:rPr>
                <w:id w:val="1552502950"/>
                <w14:checkbox>
                  <w14:checked w14:val="0"/>
                  <w14:checkedState w14:val="2612" w14:font="MS Gothic"/>
                  <w14:uncheckedState w14:val="2610" w14:font="MS Gothic"/>
                </w14:checkbox>
              </w:sdtPr>
              <w:sdtEndPr/>
              <w:sdtContent>
                <w:r w:rsidR="001A0839">
                  <w:rPr>
                    <w:rFonts w:ascii="MS Gothic" w:eastAsia="MS Gothic" w:hAnsi="MS Gothic" w:hint="eastAsia"/>
                    <w:sz w:val="18"/>
                    <w:szCs w:val="24"/>
                  </w:rPr>
                  <w:t>☐</w:t>
                </w:r>
              </w:sdtContent>
            </w:sdt>
            <w:r w:rsidR="001A0839" w:rsidRPr="00F729EB">
              <w:rPr>
                <w:sz w:val="18"/>
                <w:szCs w:val="24"/>
              </w:rPr>
              <w:t xml:space="preserve"> 2.6</w:t>
            </w:r>
          </w:p>
          <w:p w:rsidR="001A0839" w:rsidRPr="00F729EB" w:rsidRDefault="001D4C03" w:rsidP="00A1164A">
            <w:pPr>
              <w:jc w:val="center"/>
              <w:rPr>
                <w:sz w:val="18"/>
                <w:szCs w:val="24"/>
              </w:rPr>
            </w:pPr>
            <w:sdt>
              <w:sdtPr>
                <w:rPr>
                  <w:sz w:val="18"/>
                  <w:szCs w:val="24"/>
                </w:rPr>
                <w:id w:val="1122033110"/>
                <w14:checkbox>
                  <w14:checked w14:val="0"/>
                  <w14:checkedState w14:val="2612" w14:font="MS Gothic"/>
                  <w14:uncheckedState w14:val="2610" w14:font="MS Gothic"/>
                </w14:checkbox>
              </w:sdtPr>
              <w:sdtEndPr/>
              <w:sdtContent>
                <w:r w:rsidR="001A0839">
                  <w:rPr>
                    <w:rFonts w:ascii="MS Gothic" w:eastAsia="MS Gothic" w:hAnsi="MS Gothic" w:hint="eastAsia"/>
                    <w:sz w:val="18"/>
                    <w:szCs w:val="24"/>
                  </w:rPr>
                  <w:t>☐</w:t>
                </w:r>
              </w:sdtContent>
            </w:sdt>
            <w:r w:rsidR="001A0839" w:rsidRPr="00F729EB">
              <w:rPr>
                <w:sz w:val="18"/>
                <w:szCs w:val="24"/>
              </w:rPr>
              <w:t xml:space="preserve"> 2.7</w:t>
            </w:r>
          </w:p>
        </w:tc>
        <w:tc>
          <w:tcPr>
            <w:tcW w:w="771" w:type="dxa"/>
            <w:vAlign w:val="center"/>
          </w:tcPr>
          <w:p w:rsidR="001A0839" w:rsidRPr="00F729EB" w:rsidRDefault="001D4C03" w:rsidP="00A1164A">
            <w:pPr>
              <w:jc w:val="center"/>
              <w:rPr>
                <w:sz w:val="18"/>
                <w:szCs w:val="24"/>
              </w:rPr>
            </w:pPr>
            <w:sdt>
              <w:sdtPr>
                <w:rPr>
                  <w:sz w:val="18"/>
                  <w:szCs w:val="24"/>
                </w:rPr>
                <w:id w:val="-1288348538"/>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1A0839" w:rsidRPr="00F729EB">
              <w:rPr>
                <w:sz w:val="18"/>
                <w:szCs w:val="24"/>
              </w:rPr>
              <w:t xml:space="preserve"> 3.1</w:t>
            </w:r>
          </w:p>
          <w:p w:rsidR="001A0839" w:rsidRPr="00F729EB" w:rsidRDefault="001D4C03" w:rsidP="00A1164A">
            <w:pPr>
              <w:jc w:val="center"/>
              <w:rPr>
                <w:sz w:val="18"/>
                <w:szCs w:val="24"/>
              </w:rPr>
            </w:pPr>
            <w:sdt>
              <w:sdtPr>
                <w:rPr>
                  <w:sz w:val="18"/>
                  <w:szCs w:val="24"/>
                </w:rPr>
                <w:id w:val="-540901604"/>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1A0839" w:rsidRPr="00F729EB">
              <w:rPr>
                <w:sz w:val="18"/>
                <w:szCs w:val="24"/>
              </w:rPr>
              <w:t xml:space="preserve"> 3.2</w:t>
            </w:r>
          </w:p>
          <w:p w:rsidR="001A0839" w:rsidRPr="00F729EB" w:rsidRDefault="001D4C03" w:rsidP="00A1164A">
            <w:pPr>
              <w:jc w:val="center"/>
              <w:rPr>
                <w:sz w:val="18"/>
                <w:szCs w:val="24"/>
              </w:rPr>
            </w:pPr>
            <w:sdt>
              <w:sdtPr>
                <w:rPr>
                  <w:sz w:val="18"/>
                  <w:szCs w:val="24"/>
                </w:rPr>
                <w:id w:val="-1336451373"/>
                <w14:checkbox>
                  <w14:checked w14:val="1"/>
                  <w14:checkedState w14:val="2612" w14:font="MS Gothic"/>
                  <w14:uncheckedState w14:val="2610" w14:font="MS Gothic"/>
                </w14:checkbox>
              </w:sdtPr>
              <w:sdtEndPr/>
              <w:sdtContent>
                <w:r w:rsidR="007E2E62">
                  <w:rPr>
                    <w:rFonts w:ascii="MS Gothic" w:eastAsia="MS Gothic" w:hAnsi="MS Gothic" w:hint="eastAsia"/>
                    <w:sz w:val="18"/>
                    <w:szCs w:val="24"/>
                  </w:rPr>
                  <w:t>☒</w:t>
                </w:r>
              </w:sdtContent>
            </w:sdt>
            <w:r w:rsidR="001A0839" w:rsidRPr="00F729EB">
              <w:rPr>
                <w:sz w:val="18"/>
                <w:szCs w:val="24"/>
              </w:rPr>
              <w:t xml:space="preserve"> 3.3</w:t>
            </w:r>
          </w:p>
        </w:tc>
      </w:tr>
    </w:tbl>
    <w:p w:rsidR="001A0839" w:rsidRPr="001A0839" w:rsidRDefault="001A0839" w:rsidP="001A0839">
      <w:pPr>
        <w:spacing w:after="0" w:line="240" w:lineRule="auto"/>
        <w:rPr>
          <w:sz w:val="8"/>
        </w:rPr>
      </w:pPr>
    </w:p>
    <w:tbl>
      <w:tblPr>
        <w:tblStyle w:val="TableGrid"/>
        <w:tblW w:w="15593" w:type="dxa"/>
        <w:tblLook w:val="04A0" w:firstRow="1" w:lastRow="0" w:firstColumn="1" w:lastColumn="0" w:noHBand="0" w:noVBand="1"/>
      </w:tblPr>
      <w:tblGrid>
        <w:gridCol w:w="15593"/>
      </w:tblGrid>
      <w:tr w:rsidR="001A0839" w:rsidRPr="00CA655F" w:rsidTr="00A1164A">
        <w:trPr>
          <w:trHeight w:val="426"/>
        </w:trPr>
        <w:tc>
          <w:tcPr>
            <w:tcW w:w="15593" w:type="dxa"/>
            <w:tcBorders>
              <w:top w:val="single" w:sz="4" w:space="0" w:color="auto"/>
              <w:bottom w:val="single" w:sz="4" w:space="0" w:color="auto"/>
            </w:tcBorders>
            <w:shd w:val="clear" w:color="auto" w:fill="000000" w:themeFill="text1"/>
            <w:vAlign w:val="center"/>
          </w:tcPr>
          <w:p w:rsidR="001A0839" w:rsidRPr="00CA655F" w:rsidRDefault="001A0839" w:rsidP="00A1164A">
            <w:pPr>
              <w:jc w:val="center"/>
              <w:rPr>
                <w:b/>
                <w:color w:val="FFFFFF" w:themeColor="background1"/>
                <w:sz w:val="32"/>
                <w:szCs w:val="32"/>
              </w:rPr>
            </w:pPr>
            <w:r w:rsidRPr="00CA655F">
              <w:rPr>
                <w:b/>
                <w:color w:val="FFFFFF" w:themeColor="background1"/>
                <w:sz w:val="32"/>
                <w:szCs w:val="32"/>
              </w:rPr>
              <w:t>Progress and Impact</w:t>
            </w:r>
          </w:p>
        </w:tc>
      </w:tr>
      <w:tr w:rsidR="001A0839" w:rsidRPr="00CA655F" w:rsidTr="00A1164A">
        <w:trPr>
          <w:trHeight w:val="2786"/>
        </w:trPr>
        <w:tc>
          <w:tcPr>
            <w:tcW w:w="15593" w:type="dxa"/>
            <w:tcBorders>
              <w:top w:val="single" w:sz="4" w:space="0" w:color="auto"/>
              <w:bottom w:val="single" w:sz="4" w:space="0" w:color="auto"/>
            </w:tcBorders>
          </w:tcPr>
          <w:p w:rsidR="00CF6A86" w:rsidRPr="004A3829" w:rsidRDefault="00CF6A86" w:rsidP="00CF6A86">
            <w:pPr>
              <w:rPr>
                <w:rFonts w:cstheme="minorHAnsi"/>
              </w:rPr>
            </w:pPr>
            <w:r w:rsidRPr="004A3829">
              <w:rPr>
                <w:rFonts w:cstheme="minorHAnsi"/>
              </w:rPr>
              <w:t xml:space="preserve">Rights Respecting School </w:t>
            </w:r>
            <w:r w:rsidRPr="004A3829">
              <w:rPr>
                <w:rFonts w:cstheme="minorHAnsi"/>
                <w:szCs w:val="24"/>
              </w:rPr>
              <w:t xml:space="preserve">is embedded into the life and work of the school. Pupils and staff actively engage with the articles and global goals during lessons, business groups, and school assemblies. Parent Council ensure the parent forum is engaging with these articles in their communications. RRSA audit has provided us with the evidence and developments we need to achieve gold level. Learning walls provide a constant reminder for staff to have high-level discussions with pupils to reflect and make links to rights during lessons and business groups. Articles of the month, global goals, and Rights Respecting calendar support this. </w:t>
            </w:r>
            <w:r w:rsidR="007E2E62">
              <w:rPr>
                <w:rFonts w:cstheme="minorHAnsi"/>
                <w:szCs w:val="24"/>
              </w:rPr>
              <w:t xml:space="preserve">Our engagement with the </w:t>
            </w:r>
            <w:proofErr w:type="spellStart"/>
            <w:r w:rsidR="007E2E62">
              <w:rPr>
                <w:rFonts w:cstheme="minorHAnsi"/>
                <w:szCs w:val="24"/>
              </w:rPr>
              <w:t>RotaKids</w:t>
            </w:r>
            <w:proofErr w:type="spellEnd"/>
            <w:r w:rsidR="007E2E62">
              <w:rPr>
                <w:rFonts w:cstheme="minorHAnsi"/>
                <w:szCs w:val="24"/>
              </w:rPr>
              <w:t xml:space="preserve"> programme has successfully awarded the school with another Presidential Citation during the 2020-21 session. </w:t>
            </w:r>
            <w:r w:rsidRPr="004A3829">
              <w:rPr>
                <w:rFonts w:cstheme="minorHAnsi"/>
                <w:szCs w:val="24"/>
              </w:rPr>
              <w:t xml:space="preserve">Due to covid-19 </w:t>
            </w:r>
            <w:r w:rsidR="0072511E">
              <w:rPr>
                <w:rFonts w:cstheme="minorHAnsi"/>
                <w:szCs w:val="24"/>
              </w:rPr>
              <w:t>restrictions</w:t>
            </w:r>
            <w:r w:rsidRPr="004A3829">
              <w:rPr>
                <w:rFonts w:cstheme="minorHAnsi"/>
                <w:szCs w:val="24"/>
              </w:rPr>
              <w:t xml:space="preserve">, it was not possible for the school to </w:t>
            </w:r>
            <w:proofErr w:type="gramStart"/>
            <w:r w:rsidRPr="004A3829">
              <w:rPr>
                <w:rFonts w:cstheme="minorHAnsi"/>
                <w:szCs w:val="24"/>
              </w:rPr>
              <w:t>be assessed</w:t>
            </w:r>
            <w:proofErr w:type="gramEnd"/>
            <w:r w:rsidRPr="004A3829">
              <w:rPr>
                <w:rFonts w:cstheme="minorHAnsi"/>
                <w:szCs w:val="24"/>
              </w:rPr>
              <w:t xml:space="preserve"> for level Gold. </w:t>
            </w:r>
          </w:p>
          <w:p w:rsidR="00CF6A86" w:rsidRPr="004A3829" w:rsidRDefault="00CF6A86" w:rsidP="00CF6A86">
            <w:pPr>
              <w:rPr>
                <w:rFonts w:cstheme="minorHAnsi"/>
              </w:rPr>
            </w:pPr>
          </w:p>
          <w:p w:rsidR="00CF6A86" w:rsidRPr="004A3829" w:rsidRDefault="00CF6A86" w:rsidP="00CF6A86">
            <w:pPr>
              <w:rPr>
                <w:rFonts w:cstheme="minorHAnsi"/>
                <w:szCs w:val="24"/>
              </w:rPr>
            </w:pPr>
            <w:r w:rsidRPr="004A3829">
              <w:rPr>
                <w:rFonts w:cstheme="minorHAnsi"/>
                <w:szCs w:val="24"/>
              </w:rPr>
              <w:t xml:space="preserve">Social pedagogy is at the heart of everything we do at Alves Primary. It permeates through our ethos and curriculum rationale. Our holistic approach ensures we are improving outcomes for children’s wellbeing, learning and growth for all our learners. Additional hours to ASN </w:t>
            </w:r>
            <w:r w:rsidR="007E2E62" w:rsidRPr="004A3829">
              <w:rPr>
                <w:rFonts w:cstheme="minorHAnsi"/>
                <w:szCs w:val="24"/>
              </w:rPr>
              <w:t>staff using</w:t>
            </w:r>
            <w:r w:rsidRPr="004A3829">
              <w:rPr>
                <w:rFonts w:cstheme="minorHAnsi"/>
                <w:szCs w:val="24"/>
              </w:rPr>
              <w:t xml:space="preserve"> the ‘Pupil Equity Fund’ has allowed the school to provide </w:t>
            </w:r>
            <w:r w:rsidR="007E2E62" w:rsidRPr="004A3829">
              <w:rPr>
                <w:rFonts w:cstheme="minorHAnsi"/>
                <w:szCs w:val="24"/>
              </w:rPr>
              <w:t>a</w:t>
            </w:r>
            <w:r w:rsidR="007E2E62">
              <w:rPr>
                <w:rFonts w:cstheme="minorHAnsi"/>
                <w:szCs w:val="24"/>
              </w:rPr>
              <w:t xml:space="preserve">ppropriate targeted interventions to meet the needs of all our pupils during this difficult year due to covid-19. Staff were able to provide </w:t>
            </w:r>
            <w:r w:rsidRPr="004A3829">
              <w:rPr>
                <w:rFonts w:cstheme="minorHAnsi"/>
                <w:szCs w:val="24"/>
              </w:rPr>
              <w:t>check-in</w:t>
            </w:r>
            <w:r w:rsidR="007E2E62">
              <w:rPr>
                <w:rFonts w:cstheme="minorHAnsi"/>
                <w:szCs w:val="24"/>
              </w:rPr>
              <w:t>s</w:t>
            </w:r>
            <w:r w:rsidRPr="004A3829">
              <w:rPr>
                <w:rFonts w:cstheme="minorHAnsi"/>
                <w:szCs w:val="24"/>
              </w:rPr>
              <w:t xml:space="preserve"> for pupils so staff have a better understanding of how pupils wil</w:t>
            </w:r>
            <w:r w:rsidR="007E2E62">
              <w:rPr>
                <w:rFonts w:cstheme="minorHAnsi"/>
                <w:szCs w:val="24"/>
              </w:rPr>
              <w:t xml:space="preserve">l learn each day. This also allowed staff to use nurturing approaches </w:t>
            </w:r>
            <w:bookmarkStart w:id="0" w:name="_GoBack"/>
            <w:bookmarkEnd w:id="0"/>
            <w:r w:rsidR="001D4C03">
              <w:rPr>
                <w:rFonts w:cstheme="minorHAnsi"/>
                <w:szCs w:val="24"/>
              </w:rPr>
              <w:t>in both school and remote</w:t>
            </w:r>
            <w:r w:rsidR="007E2E62">
              <w:rPr>
                <w:rFonts w:cstheme="minorHAnsi"/>
                <w:szCs w:val="24"/>
              </w:rPr>
              <w:t xml:space="preserve"> learning. </w:t>
            </w:r>
          </w:p>
          <w:p w:rsidR="00CF6A86" w:rsidRPr="004A3829" w:rsidRDefault="00CF6A86" w:rsidP="00CF6A86">
            <w:pPr>
              <w:rPr>
                <w:rFonts w:cstheme="minorHAnsi"/>
                <w:szCs w:val="24"/>
              </w:rPr>
            </w:pPr>
          </w:p>
          <w:p w:rsidR="00CF6A86" w:rsidRPr="004A3829" w:rsidRDefault="00CF6A86" w:rsidP="00CF6A86">
            <w:pPr>
              <w:rPr>
                <w:rFonts w:cstheme="minorHAnsi"/>
              </w:rPr>
            </w:pPr>
            <w:r w:rsidRPr="004A3829">
              <w:rPr>
                <w:rFonts w:cstheme="minorHAnsi"/>
              </w:rPr>
              <w:t xml:space="preserve">The creation of a ‘Support for Learning’ directory allows staff to work collaboratively and support planning. Teachers are able to have quick access to all assessment information, which includes </w:t>
            </w:r>
            <w:r w:rsidRPr="004A3829">
              <w:rPr>
                <w:rFonts w:cstheme="minorHAnsi"/>
                <w:szCs w:val="24"/>
              </w:rPr>
              <w:t>actioned interventions, OneNote information, H</w:t>
            </w:r>
            <w:r w:rsidR="00612D8A">
              <w:rPr>
                <w:rFonts w:cstheme="minorHAnsi"/>
                <w:szCs w:val="24"/>
              </w:rPr>
              <w:t>ealth &amp; wellbeing</w:t>
            </w:r>
            <w:r w:rsidRPr="004A3829">
              <w:rPr>
                <w:rFonts w:cstheme="minorHAnsi"/>
                <w:szCs w:val="24"/>
              </w:rPr>
              <w:t xml:space="preserve"> assessments</w:t>
            </w:r>
            <w:r w:rsidR="00612D8A">
              <w:rPr>
                <w:rFonts w:cstheme="minorHAnsi"/>
                <w:szCs w:val="24"/>
              </w:rPr>
              <w:t>, learner profiles &amp; strategies,</w:t>
            </w:r>
            <w:r w:rsidRPr="004A3829">
              <w:rPr>
                <w:rFonts w:cstheme="minorHAnsi"/>
                <w:szCs w:val="24"/>
              </w:rPr>
              <w:t xml:space="preserve"> </w:t>
            </w:r>
            <w:r w:rsidR="00612D8A">
              <w:rPr>
                <w:rFonts w:cstheme="minorHAnsi"/>
                <w:szCs w:val="24"/>
              </w:rPr>
              <w:t>Individual Education Plans</w:t>
            </w:r>
            <w:r w:rsidRPr="004A3829">
              <w:rPr>
                <w:rFonts w:cstheme="minorHAnsi"/>
                <w:szCs w:val="24"/>
              </w:rPr>
              <w:t xml:space="preserve"> and New Zealand diagnostics</w:t>
            </w:r>
            <w:r w:rsidR="00612D8A">
              <w:rPr>
                <w:rFonts w:cstheme="minorHAnsi"/>
                <w:szCs w:val="24"/>
              </w:rPr>
              <w:t xml:space="preserve"> for maths</w:t>
            </w:r>
            <w:r w:rsidRPr="004A3829">
              <w:rPr>
                <w:rFonts w:cstheme="minorHAnsi"/>
                <w:szCs w:val="24"/>
              </w:rPr>
              <w:t>. The directory supports teacher collaboration through attainment meetings, which focuses on GIRFEC</w:t>
            </w:r>
            <w:r w:rsidRPr="004A3829">
              <w:rPr>
                <w:rFonts w:cstheme="minorHAnsi"/>
              </w:rPr>
              <w:t xml:space="preserve"> and Wellbeing indicators using </w:t>
            </w:r>
            <w:r w:rsidR="00612D8A">
              <w:rPr>
                <w:rFonts w:cstheme="minorHAnsi"/>
              </w:rPr>
              <w:t>Health &amp; Wellbeing</w:t>
            </w:r>
            <w:r w:rsidRPr="004A3829">
              <w:rPr>
                <w:rFonts w:cstheme="minorHAnsi"/>
              </w:rPr>
              <w:t xml:space="preserve"> assessment and tracking information to provide and revise interventions for PEF, ASN and enrichment of pupils learning.</w:t>
            </w:r>
          </w:p>
          <w:p w:rsidR="001A0839" w:rsidRDefault="001A0839" w:rsidP="00A1164A">
            <w:pPr>
              <w:jc w:val="both"/>
              <w:rPr>
                <w:rFonts w:ascii="Bradley Hand ITC" w:hAnsi="Bradley Hand ITC"/>
                <w:color w:val="000000" w:themeColor="text1"/>
              </w:rPr>
            </w:pPr>
          </w:p>
          <w:p w:rsidR="001D4C03" w:rsidRPr="001A0839" w:rsidRDefault="001D4C03" w:rsidP="00A1164A">
            <w:pPr>
              <w:jc w:val="both"/>
              <w:rPr>
                <w:rFonts w:ascii="Bradley Hand ITC" w:hAnsi="Bradley Hand ITC"/>
                <w:color w:val="000000" w:themeColor="text1"/>
              </w:rPr>
            </w:pPr>
          </w:p>
        </w:tc>
      </w:tr>
      <w:tr w:rsidR="001A0839" w:rsidRPr="00CA655F" w:rsidTr="00A1164A">
        <w:trPr>
          <w:trHeight w:val="513"/>
        </w:trPr>
        <w:tc>
          <w:tcPr>
            <w:tcW w:w="15593" w:type="dxa"/>
            <w:tcBorders>
              <w:top w:val="single" w:sz="4" w:space="0" w:color="auto"/>
              <w:bottom w:val="single" w:sz="4" w:space="0" w:color="auto"/>
            </w:tcBorders>
            <w:shd w:val="clear" w:color="auto" w:fill="000000" w:themeFill="text1"/>
            <w:vAlign w:val="center"/>
          </w:tcPr>
          <w:p w:rsidR="001A0839" w:rsidRPr="00CA655F" w:rsidRDefault="001A0839" w:rsidP="00A1164A">
            <w:pPr>
              <w:jc w:val="center"/>
              <w:rPr>
                <w:b/>
                <w:color w:val="FFFFFF" w:themeColor="background1"/>
                <w:sz w:val="32"/>
                <w:szCs w:val="32"/>
              </w:rPr>
            </w:pPr>
            <w:r w:rsidRPr="00CA655F">
              <w:rPr>
                <w:b/>
                <w:color w:val="FFFFFF" w:themeColor="background1"/>
                <w:sz w:val="32"/>
                <w:szCs w:val="32"/>
              </w:rPr>
              <w:lastRenderedPageBreak/>
              <w:t>Next Steps</w:t>
            </w:r>
          </w:p>
        </w:tc>
      </w:tr>
      <w:tr w:rsidR="001A0839" w:rsidRPr="00CA655F" w:rsidTr="00A1164A">
        <w:trPr>
          <w:trHeight w:val="1456"/>
        </w:trPr>
        <w:tc>
          <w:tcPr>
            <w:tcW w:w="15593" w:type="dxa"/>
            <w:tcBorders>
              <w:top w:val="single" w:sz="4" w:space="0" w:color="auto"/>
              <w:bottom w:val="single" w:sz="4" w:space="0" w:color="auto"/>
            </w:tcBorders>
          </w:tcPr>
          <w:p w:rsidR="001A0839" w:rsidRDefault="00012F63" w:rsidP="00012F63">
            <w:pPr>
              <w:pStyle w:val="ListParagraph"/>
              <w:numPr>
                <w:ilvl w:val="0"/>
                <w:numId w:val="6"/>
              </w:numPr>
              <w:jc w:val="both"/>
              <w:rPr>
                <w:rFonts w:ascii="Bradley Hand ITC" w:hAnsi="Bradley Hand ITC"/>
                <w:color w:val="000000" w:themeColor="text1"/>
              </w:rPr>
            </w:pPr>
            <w:r>
              <w:rPr>
                <w:rFonts w:ascii="Bradley Hand ITC" w:hAnsi="Bradley Hand ITC"/>
                <w:color w:val="000000" w:themeColor="text1"/>
              </w:rPr>
              <w:t>Develop our RRSA calendar to improve links to curriculum and global goals</w:t>
            </w:r>
          </w:p>
          <w:p w:rsidR="00012F63" w:rsidRDefault="00012F63" w:rsidP="00012F63">
            <w:pPr>
              <w:pStyle w:val="ListParagraph"/>
              <w:numPr>
                <w:ilvl w:val="0"/>
                <w:numId w:val="6"/>
              </w:numPr>
              <w:jc w:val="both"/>
              <w:rPr>
                <w:rFonts w:ascii="Bradley Hand ITC" w:hAnsi="Bradley Hand ITC"/>
                <w:color w:val="000000" w:themeColor="text1"/>
              </w:rPr>
            </w:pPr>
            <w:r>
              <w:rPr>
                <w:rFonts w:ascii="Bradley Hand ITC" w:hAnsi="Bradley Hand ITC"/>
                <w:color w:val="000000" w:themeColor="text1"/>
              </w:rPr>
              <w:t>Continue to master the tracking of all curricular areas</w:t>
            </w:r>
          </w:p>
          <w:p w:rsidR="00012F63" w:rsidRDefault="00012F63" w:rsidP="00012F63">
            <w:pPr>
              <w:pStyle w:val="ListParagraph"/>
              <w:numPr>
                <w:ilvl w:val="0"/>
                <w:numId w:val="6"/>
              </w:numPr>
              <w:jc w:val="both"/>
              <w:rPr>
                <w:rFonts w:ascii="Bradley Hand ITC" w:hAnsi="Bradley Hand ITC"/>
                <w:color w:val="000000" w:themeColor="text1"/>
              </w:rPr>
            </w:pPr>
            <w:r>
              <w:rPr>
                <w:rFonts w:ascii="Bradley Hand ITC" w:hAnsi="Bradley Hand ITC"/>
                <w:color w:val="000000" w:themeColor="text1"/>
              </w:rPr>
              <w:t>Maximise feedback opportunities for pupils to self-regulate their learning</w:t>
            </w:r>
          </w:p>
          <w:p w:rsidR="00012F63" w:rsidRPr="00012F63" w:rsidRDefault="00684B7A" w:rsidP="00012F63">
            <w:pPr>
              <w:pStyle w:val="ListParagraph"/>
              <w:numPr>
                <w:ilvl w:val="0"/>
                <w:numId w:val="6"/>
              </w:numPr>
              <w:jc w:val="both"/>
              <w:rPr>
                <w:rFonts w:ascii="Bradley Hand ITC" w:hAnsi="Bradley Hand ITC"/>
                <w:color w:val="000000" w:themeColor="text1"/>
              </w:rPr>
            </w:pPr>
            <w:r>
              <w:rPr>
                <w:rFonts w:ascii="Bradley Hand ITC" w:hAnsi="Bradley Hand ITC"/>
                <w:color w:val="000000" w:themeColor="text1"/>
              </w:rPr>
              <w:t>PEF/</w:t>
            </w:r>
            <w:proofErr w:type="spellStart"/>
            <w:r>
              <w:rPr>
                <w:rFonts w:ascii="Bradley Hand ITC" w:hAnsi="Bradley Hand ITC"/>
                <w:color w:val="000000" w:themeColor="text1"/>
              </w:rPr>
              <w:t>Covid</w:t>
            </w:r>
            <w:proofErr w:type="spellEnd"/>
            <w:r>
              <w:rPr>
                <w:rFonts w:ascii="Bradley Hand ITC" w:hAnsi="Bradley Hand ITC"/>
                <w:color w:val="000000" w:themeColor="text1"/>
              </w:rPr>
              <w:t xml:space="preserve"> relief </w:t>
            </w:r>
            <w:r w:rsidR="00012F63">
              <w:rPr>
                <w:rFonts w:ascii="Bradley Hand ITC" w:hAnsi="Bradley Hand ITC"/>
                <w:color w:val="000000" w:themeColor="text1"/>
              </w:rPr>
              <w:t xml:space="preserve">– review the use of PEF </w:t>
            </w:r>
            <w:r>
              <w:rPr>
                <w:rFonts w:ascii="Bradley Hand ITC" w:hAnsi="Bradley Hand ITC"/>
                <w:color w:val="000000" w:themeColor="text1"/>
              </w:rPr>
              <w:t xml:space="preserve">and additional </w:t>
            </w:r>
            <w:proofErr w:type="spellStart"/>
            <w:r>
              <w:rPr>
                <w:rFonts w:ascii="Bradley Hand ITC" w:hAnsi="Bradley Hand ITC"/>
                <w:color w:val="000000" w:themeColor="text1"/>
              </w:rPr>
              <w:t>Covid</w:t>
            </w:r>
            <w:proofErr w:type="spellEnd"/>
            <w:r>
              <w:rPr>
                <w:rFonts w:ascii="Bradley Hand ITC" w:hAnsi="Bradley Hand ITC"/>
                <w:color w:val="000000" w:themeColor="text1"/>
              </w:rPr>
              <w:t xml:space="preserve"> funding </w:t>
            </w:r>
            <w:r w:rsidR="00012F63">
              <w:rPr>
                <w:rFonts w:ascii="Bradley Hand ITC" w:hAnsi="Bradley Hand ITC"/>
                <w:color w:val="000000" w:themeColor="text1"/>
              </w:rPr>
              <w:t>to ens</w:t>
            </w:r>
            <w:r>
              <w:rPr>
                <w:rFonts w:ascii="Bradley Hand ITC" w:hAnsi="Bradley Hand ITC"/>
                <w:color w:val="000000" w:themeColor="text1"/>
              </w:rPr>
              <w:t>ure supports are</w:t>
            </w:r>
            <w:r w:rsidR="00012F63">
              <w:rPr>
                <w:rFonts w:ascii="Bradley Hand ITC" w:hAnsi="Bradley Hand ITC"/>
                <w:color w:val="000000" w:themeColor="text1"/>
              </w:rPr>
              <w:t xml:space="preserve"> addressing current needs</w:t>
            </w:r>
            <w:r>
              <w:rPr>
                <w:rFonts w:ascii="Bradley Hand ITC" w:hAnsi="Bradley Hand ITC"/>
                <w:color w:val="000000" w:themeColor="text1"/>
              </w:rPr>
              <w:t xml:space="preserve"> after the pandemic</w:t>
            </w:r>
          </w:p>
        </w:tc>
      </w:tr>
    </w:tbl>
    <w:p w:rsidR="001A0839" w:rsidRDefault="001A0839" w:rsidP="001A0839">
      <w:pPr>
        <w:spacing w:after="0" w:line="240" w:lineRule="auto"/>
        <w:jc w:val="center"/>
        <w:rPr>
          <w:sz w:val="10"/>
        </w:rPr>
      </w:pPr>
    </w:p>
    <w:p w:rsidR="001A0839" w:rsidRDefault="001A0839" w:rsidP="001A0839">
      <w:pPr>
        <w:spacing w:after="0" w:line="240" w:lineRule="auto"/>
        <w:rPr>
          <w:sz w:val="10"/>
        </w:rPr>
      </w:pPr>
    </w:p>
    <w:p w:rsidR="001A0839" w:rsidRDefault="001A0839" w:rsidP="001A0839">
      <w:pPr>
        <w:spacing w:after="0" w:line="240" w:lineRule="auto"/>
        <w:rPr>
          <w:sz w:val="10"/>
        </w:rPr>
      </w:pPr>
    </w:p>
    <w:sectPr w:rsidR="001A0839" w:rsidSect="001A0839">
      <w:headerReference w:type="default" r:id="rId10"/>
      <w:pgSz w:w="16838" w:h="11906" w:orient="landscape"/>
      <w:pgMar w:top="568" w:right="536" w:bottom="284" w:left="709" w:header="426"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66F" w:rsidRDefault="005E266F" w:rsidP="00796D56">
      <w:pPr>
        <w:spacing w:after="0" w:line="240" w:lineRule="auto"/>
      </w:pPr>
      <w:r>
        <w:separator/>
      </w:r>
    </w:p>
  </w:endnote>
  <w:endnote w:type="continuationSeparator" w:id="0">
    <w:p w:rsidR="005E266F" w:rsidRDefault="005E266F" w:rsidP="00796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66F" w:rsidRDefault="005E266F" w:rsidP="00796D56">
      <w:pPr>
        <w:spacing w:after="0" w:line="240" w:lineRule="auto"/>
      </w:pPr>
      <w:r>
        <w:separator/>
      </w:r>
    </w:p>
  </w:footnote>
  <w:footnote w:type="continuationSeparator" w:id="0">
    <w:p w:rsidR="005E266F" w:rsidRDefault="005E266F" w:rsidP="00796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8C6" w:rsidRPr="001A0839" w:rsidRDefault="009F08C6" w:rsidP="00CA655F">
    <w:pPr>
      <w:pStyle w:val="Header"/>
      <w:pBdr>
        <w:bottom w:val="single" w:sz="4" w:space="1" w:color="auto"/>
      </w:pBdr>
      <w:shd w:val="clear" w:color="auto" w:fill="FFFFFF" w:themeFill="background1"/>
      <w:ind w:left="1276"/>
      <w:rPr>
        <w:b/>
        <w:sz w:val="72"/>
      </w:rPr>
    </w:pPr>
    <w:r w:rsidRPr="00CA655F">
      <w:rPr>
        <w:b/>
        <w:noProof/>
        <w:sz w:val="56"/>
        <w:lang w:eastAsia="en-GB"/>
      </w:rPr>
      <w:drawing>
        <wp:anchor distT="0" distB="0" distL="114300" distR="114300" simplePos="0" relativeHeight="251659264" behindDoc="0" locked="0" layoutInCell="1" allowOverlap="1" wp14:anchorId="4813DA37" wp14:editId="3CA739B6">
          <wp:simplePos x="0" y="0"/>
          <wp:positionH relativeFrom="margin">
            <wp:posOffset>32649</wp:posOffset>
          </wp:positionH>
          <wp:positionV relativeFrom="paragraph">
            <wp:posOffset>-28946</wp:posOffset>
          </wp:positionV>
          <wp:extent cx="715992" cy="772462"/>
          <wp:effectExtent l="0" t="0" r="8255" b="8890"/>
          <wp:wrapNone/>
          <wp:docPr id="6" name="Picture 6" descr="Image result for mora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oray council"/>
                  <pic:cNvPicPr>
                    <a:picLocks noChangeAspect="1" noChangeArrowheads="1"/>
                  </pic:cNvPicPr>
                </pic:nvPicPr>
                <pic:blipFill rotWithShape="1">
                  <a:blip r:embed="rId1">
                    <a:extLst>
                      <a:ext uri="{28A0092B-C50C-407E-A947-70E740481C1C}">
                        <a14:useLocalDpi xmlns:a14="http://schemas.microsoft.com/office/drawing/2010/main" val="0"/>
                      </a:ext>
                    </a:extLst>
                  </a:blip>
                  <a:srcRect l="16131" t="12724" r="15586" b="13607"/>
                  <a:stretch/>
                </pic:blipFill>
                <pic:spPr bwMode="auto">
                  <a:xfrm>
                    <a:off x="0" y="0"/>
                    <a:ext cx="715992" cy="7724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00C2">
      <w:rPr>
        <w:b/>
        <w:noProof/>
        <w:sz w:val="56"/>
        <w:lang w:eastAsia="en-GB"/>
      </w:rPr>
      <w:t xml:space="preserve">Alves Primary </w:t>
    </w:r>
    <w:r w:rsidR="001A0839">
      <w:rPr>
        <w:b/>
        <w:noProof/>
        <w:sz w:val="56"/>
        <w:lang w:eastAsia="en-GB"/>
      </w:rPr>
      <w:t xml:space="preserve">School </w:t>
    </w:r>
  </w:p>
  <w:p w:rsidR="009F08C6" w:rsidRPr="00CA655F" w:rsidRDefault="009F08C6" w:rsidP="00CA655F">
    <w:pPr>
      <w:pStyle w:val="Header"/>
      <w:pBdr>
        <w:bottom w:val="single" w:sz="4" w:space="1" w:color="auto"/>
      </w:pBdr>
      <w:shd w:val="clear" w:color="auto" w:fill="9713A5"/>
      <w:ind w:left="1276"/>
      <w:rPr>
        <w:b/>
        <w:color w:val="FFFFFF" w:themeColor="background1"/>
        <w:sz w:val="36"/>
        <w:szCs w:val="36"/>
      </w:rPr>
    </w:pPr>
    <w:r>
      <w:rPr>
        <w:b/>
        <w:color w:val="FFFFFF" w:themeColor="background1"/>
        <w:sz w:val="32"/>
        <w:szCs w:val="36"/>
      </w:rPr>
      <w:t xml:space="preserve"> </w:t>
    </w:r>
    <w:r w:rsidR="00CA655F" w:rsidRPr="00CA655F">
      <w:rPr>
        <w:b/>
        <w:color w:val="FFFFFF" w:themeColor="background1"/>
        <w:sz w:val="36"/>
        <w:szCs w:val="36"/>
      </w:rPr>
      <w:t>Standards and Quality Report:  Review of Session 20</w:t>
    </w:r>
    <w:r w:rsidR="00E47B5A">
      <w:rPr>
        <w:b/>
        <w:color w:val="FFFFFF" w:themeColor="background1"/>
        <w:sz w:val="36"/>
        <w:szCs w:val="36"/>
      </w:rPr>
      <w:t>20</w:t>
    </w:r>
    <w:r w:rsidR="00CA655F" w:rsidRPr="00CA655F">
      <w:rPr>
        <w:b/>
        <w:color w:val="FFFFFF" w:themeColor="background1"/>
        <w:sz w:val="36"/>
        <w:szCs w:val="36"/>
      </w:rPr>
      <w:t>/202</w:t>
    </w:r>
    <w:r w:rsidR="00E47B5A">
      <w:rPr>
        <w:b/>
        <w:color w:val="FFFFFF" w:themeColor="background1"/>
        <w:sz w:val="36"/>
        <w:szCs w:val="36"/>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B5A1F"/>
    <w:multiLevelType w:val="hybridMultilevel"/>
    <w:tmpl w:val="5210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D1A64"/>
    <w:multiLevelType w:val="hybridMultilevel"/>
    <w:tmpl w:val="2B1C1DD8"/>
    <w:lvl w:ilvl="0" w:tplc="8382AFE0">
      <w:start w:val="1"/>
      <w:numFmt w:val="bullet"/>
      <w:lvlText w:val="&amp;"/>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AA10BD"/>
    <w:multiLevelType w:val="hybridMultilevel"/>
    <w:tmpl w:val="9690B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3352E"/>
    <w:multiLevelType w:val="hybridMultilevel"/>
    <w:tmpl w:val="AF12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244A84"/>
    <w:multiLevelType w:val="hybridMultilevel"/>
    <w:tmpl w:val="C80268BA"/>
    <w:lvl w:ilvl="0" w:tplc="8382AFE0">
      <w:start w:val="1"/>
      <w:numFmt w:val="bullet"/>
      <w:lvlText w:val="&amp;"/>
      <w:lvlJc w:val="left"/>
      <w:pPr>
        <w:ind w:left="-1261" w:hanging="360"/>
      </w:pPr>
      <w:rPr>
        <w:rFonts w:ascii="Wingdings" w:hAnsi="Wingdings" w:hint="default"/>
      </w:rPr>
    </w:lvl>
    <w:lvl w:ilvl="1" w:tplc="08090003" w:tentative="1">
      <w:start w:val="1"/>
      <w:numFmt w:val="bullet"/>
      <w:lvlText w:val="o"/>
      <w:lvlJc w:val="left"/>
      <w:pPr>
        <w:ind w:left="-541" w:hanging="360"/>
      </w:pPr>
      <w:rPr>
        <w:rFonts w:ascii="Courier New" w:hAnsi="Courier New" w:cs="Courier New" w:hint="default"/>
      </w:rPr>
    </w:lvl>
    <w:lvl w:ilvl="2" w:tplc="08090005" w:tentative="1">
      <w:start w:val="1"/>
      <w:numFmt w:val="bullet"/>
      <w:lvlText w:val=""/>
      <w:lvlJc w:val="left"/>
      <w:pPr>
        <w:ind w:left="179" w:hanging="360"/>
      </w:pPr>
      <w:rPr>
        <w:rFonts w:ascii="Wingdings" w:hAnsi="Wingdings" w:hint="default"/>
      </w:rPr>
    </w:lvl>
    <w:lvl w:ilvl="3" w:tplc="08090001" w:tentative="1">
      <w:start w:val="1"/>
      <w:numFmt w:val="bullet"/>
      <w:lvlText w:val=""/>
      <w:lvlJc w:val="left"/>
      <w:pPr>
        <w:ind w:left="899" w:hanging="360"/>
      </w:pPr>
      <w:rPr>
        <w:rFonts w:ascii="Symbol" w:hAnsi="Symbol" w:hint="default"/>
      </w:rPr>
    </w:lvl>
    <w:lvl w:ilvl="4" w:tplc="08090003" w:tentative="1">
      <w:start w:val="1"/>
      <w:numFmt w:val="bullet"/>
      <w:lvlText w:val="o"/>
      <w:lvlJc w:val="left"/>
      <w:pPr>
        <w:ind w:left="1619" w:hanging="360"/>
      </w:pPr>
      <w:rPr>
        <w:rFonts w:ascii="Courier New" w:hAnsi="Courier New" w:cs="Courier New" w:hint="default"/>
      </w:rPr>
    </w:lvl>
    <w:lvl w:ilvl="5" w:tplc="08090005" w:tentative="1">
      <w:start w:val="1"/>
      <w:numFmt w:val="bullet"/>
      <w:lvlText w:val=""/>
      <w:lvlJc w:val="left"/>
      <w:pPr>
        <w:ind w:left="2339" w:hanging="360"/>
      </w:pPr>
      <w:rPr>
        <w:rFonts w:ascii="Wingdings" w:hAnsi="Wingdings" w:hint="default"/>
      </w:rPr>
    </w:lvl>
    <w:lvl w:ilvl="6" w:tplc="08090001" w:tentative="1">
      <w:start w:val="1"/>
      <w:numFmt w:val="bullet"/>
      <w:lvlText w:val=""/>
      <w:lvlJc w:val="left"/>
      <w:pPr>
        <w:ind w:left="3059" w:hanging="360"/>
      </w:pPr>
      <w:rPr>
        <w:rFonts w:ascii="Symbol" w:hAnsi="Symbol" w:hint="default"/>
      </w:rPr>
    </w:lvl>
    <w:lvl w:ilvl="7" w:tplc="08090003" w:tentative="1">
      <w:start w:val="1"/>
      <w:numFmt w:val="bullet"/>
      <w:lvlText w:val="o"/>
      <w:lvlJc w:val="left"/>
      <w:pPr>
        <w:ind w:left="3779" w:hanging="360"/>
      </w:pPr>
      <w:rPr>
        <w:rFonts w:ascii="Courier New" w:hAnsi="Courier New" w:cs="Courier New" w:hint="default"/>
      </w:rPr>
    </w:lvl>
    <w:lvl w:ilvl="8" w:tplc="08090005" w:tentative="1">
      <w:start w:val="1"/>
      <w:numFmt w:val="bullet"/>
      <w:lvlText w:val=""/>
      <w:lvlJc w:val="left"/>
      <w:pPr>
        <w:ind w:left="4499" w:hanging="360"/>
      </w:pPr>
      <w:rPr>
        <w:rFonts w:ascii="Wingdings" w:hAnsi="Wingdings" w:hint="default"/>
      </w:rPr>
    </w:lvl>
  </w:abstractNum>
  <w:abstractNum w:abstractNumId="5" w15:restartNumberingAfterBreak="0">
    <w:nsid w:val="58684FB6"/>
    <w:multiLevelType w:val="hybridMultilevel"/>
    <w:tmpl w:val="81AC1E62"/>
    <w:lvl w:ilvl="0" w:tplc="F1280F62">
      <w:start w:val="1"/>
      <w:numFmt w:val="bullet"/>
      <w:lvlText w:val=""/>
      <w:lvlJc w:val="left"/>
      <w:pPr>
        <w:ind w:left="360" w:hanging="360"/>
      </w:pPr>
      <w:rPr>
        <w:rFonts w:ascii="Wingdings" w:hAnsi="Wingdings"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E991339"/>
    <w:multiLevelType w:val="hybridMultilevel"/>
    <w:tmpl w:val="7B5E61C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56"/>
    <w:rsid w:val="00005323"/>
    <w:rsid w:val="00012F63"/>
    <w:rsid w:val="00033205"/>
    <w:rsid w:val="000C04DF"/>
    <w:rsid w:val="0011030A"/>
    <w:rsid w:val="00130311"/>
    <w:rsid w:val="00165805"/>
    <w:rsid w:val="001A0839"/>
    <w:rsid w:val="001D4C03"/>
    <w:rsid w:val="001E4969"/>
    <w:rsid w:val="00206E77"/>
    <w:rsid w:val="002439B1"/>
    <w:rsid w:val="00263719"/>
    <w:rsid w:val="00410E41"/>
    <w:rsid w:val="004116A1"/>
    <w:rsid w:val="004208A1"/>
    <w:rsid w:val="004529CF"/>
    <w:rsid w:val="00464D0C"/>
    <w:rsid w:val="004A1F95"/>
    <w:rsid w:val="004A244C"/>
    <w:rsid w:val="004C24E2"/>
    <w:rsid w:val="004D00C2"/>
    <w:rsid w:val="004E508D"/>
    <w:rsid w:val="00545C29"/>
    <w:rsid w:val="00546C6B"/>
    <w:rsid w:val="00561D2E"/>
    <w:rsid w:val="005674F6"/>
    <w:rsid w:val="005B5FAA"/>
    <w:rsid w:val="005C13E7"/>
    <w:rsid w:val="005E266F"/>
    <w:rsid w:val="00607ADF"/>
    <w:rsid w:val="00612D8A"/>
    <w:rsid w:val="006313E1"/>
    <w:rsid w:val="00644A04"/>
    <w:rsid w:val="0065400A"/>
    <w:rsid w:val="00663446"/>
    <w:rsid w:val="0067319E"/>
    <w:rsid w:val="00684B7A"/>
    <w:rsid w:val="006857E4"/>
    <w:rsid w:val="006C1C59"/>
    <w:rsid w:val="006E600A"/>
    <w:rsid w:val="007037F2"/>
    <w:rsid w:val="00716709"/>
    <w:rsid w:val="0072511E"/>
    <w:rsid w:val="00795895"/>
    <w:rsid w:val="00796D56"/>
    <w:rsid w:val="007C09E1"/>
    <w:rsid w:val="007D44A5"/>
    <w:rsid w:val="007E2E62"/>
    <w:rsid w:val="00854BCA"/>
    <w:rsid w:val="008754A6"/>
    <w:rsid w:val="008F35D1"/>
    <w:rsid w:val="008F6C70"/>
    <w:rsid w:val="009246F6"/>
    <w:rsid w:val="00944ED7"/>
    <w:rsid w:val="00966261"/>
    <w:rsid w:val="009776C0"/>
    <w:rsid w:val="009F08C6"/>
    <w:rsid w:val="009F378E"/>
    <w:rsid w:val="00A25049"/>
    <w:rsid w:val="00A3736A"/>
    <w:rsid w:val="00A75A01"/>
    <w:rsid w:val="00AF341A"/>
    <w:rsid w:val="00B03A36"/>
    <w:rsid w:val="00B13F21"/>
    <w:rsid w:val="00B24B61"/>
    <w:rsid w:val="00B70E04"/>
    <w:rsid w:val="00B75FCB"/>
    <w:rsid w:val="00BC3AC3"/>
    <w:rsid w:val="00C02756"/>
    <w:rsid w:val="00C12563"/>
    <w:rsid w:val="00CA0479"/>
    <w:rsid w:val="00CA3833"/>
    <w:rsid w:val="00CA655F"/>
    <w:rsid w:val="00CD6104"/>
    <w:rsid w:val="00CF6A86"/>
    <w:rsid w:val="00D252DD"/>
    <w:rsid w:val="00D26817"/>
    <w:rsid w:val="00DB1B16"/>
    <w:rsid w:val="00DC194F"/>
    <w:rsid w:val="00DE2E8B"/>
    <w:rsid w:val="00E1373E"/>
    <w:rsid w:val="00E23308"/>
    <w:rsid w:val="00E25E0A"/>
    <w:rsid w:val="00E2739E"/>
    <w:rsid w:val="00E47B5A"/>
    <w:rsid w:val="00E47C32"/>
    <w:rsid w:val="00E635B4"/>
    <w:rsid w:val="00E84B9E"/>
    <w:rsid w:val="00E852F2"/>
    <w:rsid w:val="00F1352F"/>
    <w:rsid w:val="00F60592"/>
    <w:rsid w:val="00F729EB"/>
    <w:rsid w:val="00FC17E3"/>
    <w:rsid w:val="00FE1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57D705D"/>
  <w15:docId w15:val="{D267DF7F-5FF1-4055-B034-124EC5D2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D56"/>
  </w:style>
  <w:style w:type="paragraph" w:styleId="Footer">
    <w:name w:val="footer"/>
    <w:basedOn w:val="Normal"/>
    <w:link w:val="FooterChar"/>
    <w:uiPriority w:val="99"/>
    <w:unhideWhenUsed/>
    <w:rsid w:val="00796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D56"/>
  </w:style>
  <w:style w:type="table" w:styleId="TableGrid">
    <w:name w:val="Table Grid"/>
    <w:basedOn w:val="TableNormal"/>
    <w:uiPriority w:val="59"/>
    <w:rsid w:val="00796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96D56"/>
    <w:rPr>
      <w:color w:val="808080"/>
    </w:rPr>
  </w:style>
  <w:style w:type="paragraph" w:styleId="ListParagraph">
    <w:name w:val="List Paragraph"/>
    <w:basedOn w:val="Normal"/>
    <w:uiPriority w:val="34"/>
    <w:qFormat/>
    <w:rsid w:val="00033205"/>
    <w:pPr>
      <w:ind w:left="720"/>
      <w:contextualSpacing/>
    </w:pPr>
  </w:style>
  <w:style w:type="paragraph" w:styleId="BalloonText">
    <w:name w:val="Balloon Text"/>
    <w:basedOn w:val="Normal"/>
    <w:link w:val="BalloonTextChar"/>
    <w:uiPriority w:val="99"/>
    <w:semiHidden/>
    <w:unhideWhenUsed/>
    <w:rsid w:val="00E63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5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F6007514723B469851666412D3A597" ma:contentTypeVersion="6" ma:contentTypeDescription="Create a new document." ma:contentTypeScope="" ma:versionID="35ff407e1ef1ac2a01bce7cd6a770335">
  <xsd:schema xmlns:xsd="http://www.w3.org/2001/XMLSchema" xmlns:xs="http://www.w3.org/2001/XMLSchema" xmlns:p="http://schemas.microsoft.com/office/2006/metadata/properties" xmlns:ns2="2cfba93f-e0fc-4eda-b596-8a6a4b0fdd72" xmlns:ns3="0b5f0863-8c8a-4af1-86b2-54d0439f07ec" targetNamespace="http://schemas.microsoft.com/office/2006/metadata/properties" ma:root="true" ma:fieldsID="f9505048829533f408ca7e33715e084a" ns2:_="" ns3:_="">
    <xsd:import namespace="2cfba93f-e0fc-4eda-b596-8a6a4b0fdd72"/>
    <xsd:import namespace="0b5f0863-8c8a-4af1-86b2-54d0439f0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a93f-e0fc-4eda-b596-8a6a4b0fdd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5f0863-8c8a-4af1-86b2-54d0439f07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C92925-6641-4D25-B681-6CD909233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ba93f-e0fc-4eda-b596-8a6a4b0fdd72"/>
    <ds:schemaRef ds:uri="0b5f0863-8c8a-4af1-86b2-54d0439f0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0300F9-1D68-492D-BBD6-04E74E05E02C}">
  <ds:schemaRefs>
    <ds:schemaRef ds:uri="http://schemas.microsoft.com/sharepoint/v3/contenttype/forms"/>
  </ds:schemaRefs>
</ds:datastoreItem>
</file>

<file path=customXml/itemProps3.xml><?xml version="1.0" encoding="utf-8"?>
<ds:datastoreItem xmlns:ds="http://schemas.openxmlformats.org/officeDocument/2006/customXml" ds:itemID="{1456EB78-1008-4E1E-9A1C-FA37087F452E}">
  <ds:schemaRef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0b5f0863-8c8a-4af1-86b2-54d0439f07ec"/>
    <ds:schemaRef ds:uri="http://purl.org/dc/terms/"/>
    <ds:schemaRef ds:uri="2cfba93f-e0fc-4eda-b596-8a6a4b0fdd7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7</Pages>
  <Words>2290</Words>
  <Characters>13058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dc:creator>
  <cp:keywords/>
  <dc:description/>
  <cp:lastModifiedBy>TMC</cp:lastModifiedBy>
  <cp:revision>8</cp:revision>
  <cp:lastPrinted>2020-10-06T10:37:00Z</cp:lastPrinted>
  <dcterms:created xsi:type="dcterms:W3CDTF">2021-08-24T08:27:00Z</dcterms:created>
  <dcterms:modified xsi:type="dcterms:W3CDTF">2021-08-25T11:28:00Z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0x0101004AF6007514723B469851666412D3A597</vt:lpwstr>
  </property>
</Properties>
</file>