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2928"/>
        <w:gridCol w:w="1501"/>
        <w:gridCol w:w="2048"/>
        <w:gridCol w:w="4729"/>
      </w:tblGrid>
      <w:tr w:rsidR="00724895" w:rsidRPr="00902B5B" w:rsidTr="00756FF6">
        <w:trPr>
          <w:trHeight w:val="851"/>
        </w:trPr>
        <w:tc>
          <w:tcPr>
            <w:tcW w:w="4678" w:type="dxa"/>
            <w:shd w:val="clear" w:color="auto" w:fill="auto"/>
          </w:tcPr>
          <w:p w:rsidR="00724895" w:rsidRPr="008F6FF5" w:rsidRDefault="00724895" w:rsidP="00756FF6">
            <w:pPr>
              <w:spacing w:before="60" w:after="60"/>
              <w:contextualSpacing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F6FF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2.4 Personalised support &amp; 3.1 Meeting Pupil Needs</w:t>
            </w:r>
          </w:p>
        </w:tc>
        <w:tc>
          <w:tcPr>
            <w:tcW w:w="3049" w:type="dxa"/>
            <w:shd w:val="clear" w:color="auto" w:fill="auto"/>
          </w:tcPr>
          <w:p w:rsidR="00724895" w:rsidRPr="008F6FF5" w:rsidRDefault="00724895" w:rsidP="00756FF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FF5">
              <w:rPr>
                <w:rFonts w:asciiTheme="minorHAnsi" w:hAnsiTheme="minorHAnsi" w:cstheme="minorHAnsi"/>
                <w:b/>
                <w:sz w:val="22"/>
                <w:szCs w:val="22"/>
              </w:rPr>
              <w:t>Support for Learning Dep</w:t>
            </w:r>
            <w:r w:rsidR="008F6FF5" w:rsidRPr="008F6FF5">
              <w:rPr>
                <w:rFonts w:asciiTheme="minorHAnsi" w:hAnsiTheme="minorHAnsi" w:cstheme="minorHAnsi"/>
                <w:b/>
                <w:sz w:val="22"/>
                <w:szCs w:val="22"/>
              </w:rPr>
              <w:t>ar</w:t>
            </w:r>
            <w:r w:rsidRPr="008F6FF5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8F6FF5" w:rsidRPr="008F6FF5">
              <w:rPr>
                <w:rFonts w:asciiTheme="minorHAnsi" w:hAnsiTheme="minorHAnsi" w:cstheme="minorHAnsi"/>
                <w:b/>
                <w:sz w:val="22"/>
                <w:szCs w:val="22"/>
              </w:rPr>
              <w:t>ment</w:t>
            </w:r>
            <w:r w:rsidRPr="008F6F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Plan 2023-24 </w:t>
            </w:r>
          </w:p>
        </w:tc>
        <w:tc>
          <w:tcPr>
            <w:tcW w:w="1560" w:type="dxa"/>
            <w:shd w:val="clear" w:color="auto" w:fill="auto"/>
          </w:tcPr>
          <w:p w:rsidR="00724895" w:rsidRPr="00B72BE6" w:rsidRDefault="00B72BE6" w:rsidP="00756FF6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72BE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Time-Scales</w:t>
            </w:r>
          </w:p>
        </w:tc>
        <w:tc>
          <w:tcPr>
            <w:tcW w:w="1418" w:type="dxa"/>
            <w:shd w:val="clear" w:color="auto" w:fill="auto"/>
          </w:tcPr>
          <w:p w:rsidR="00724895" w:rsidRPr="00B72BE6" w:rsidRDefault="00B72BE6" w:rsidP="00756FF6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72BE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Responsible</w:t>
            </w:r>
          </w:p>
        </w:tc>
        <w:tc>
          <w:tcPr>
            <w:tcW w:w="4961" w:type="dxa"/>
            <w:shd w:val="clear" w:color="auto" w:fill="auto"/>
          </w:tcPr>
          <w:p w:rsidR="00724895" w:rsidRPr="004014F4" w:rsidRDefault="004014F4" w:rsidP="008F6FF5">
            <w:pPr>
              <w:spacing w:before="60" w:after="60"/>
              <w:ind w:left="360"/>
              <w:contextualSpacing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014F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Measures of Success</w:t>
            </w:r>
          </w:p>
        </w:tc>
      </w:tr>
      <w:tr w:rsidR="00724895" w:rsidRPr="00902B5B" w:rsidTr="00756FF6">
        <w:trPr>
          <w:trHeight w:val="851"/>
        </w:trPr>
        <w:tc>
          <w:tcPr>
            <w:tcW w:w="4678" w:type="dxa"/>
            <w:shd w:val="clear" w:color="auto" w:fill="auto"/>
          </w:tcPr>
          <w:p w:rsidR="00724895" w:rsidRDefault="00724895" w:rsidP="00756FF6">
            <w:pPr>
              <w:spacing w:before="60" w:after="6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Universal supporting the implementation of circle resources through offers of CPD and signposting on line training</w:t>
            </w:r>
            <w:r w:rsidR="008F6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(OU Circle Module of Primary) to contribute to </w:t>
            </w:r>
            <w:r w:rsidR="008F6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‘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Power</w:t>
            </w:r>
            <w:r w:rsidR="008F6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U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 your Pedagogy</w:t>
            </w:r>
            <w:r w:rsidR="008F6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sessions and sign</w:t>
            </w:r>
            <w:r w:rsidR="008F6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post teachers to relevant resources to support implementation </w:t>
            </w:r>
          </w:p>
        </w:tc>
        <w:tc>
          <w:tcPr>
            <w:tcW w:w="3049" w:type="dxa"/>
            <w:shd w:val="clear" w:color="auto" w:fill="auto"/>
          </w:tcPr>
          <w:p w:rsidR="00724895" w:rsidRDefault="00724895" w:rsidP="00756FF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Learners will have an environment which recognises the wide range of needs (neuro</w:t>
            </w:r>
            <w:r w:rsidR="008F6FF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014F4">
              <w:rPr>
                <w:rFonts w:asciiTheme="minorHAnsi" w:hAnsiTheme="minorHAnsi" w:cstheme="minorHAnsi"/>
                <w:sz w:val="22"/>
                <w:szCs w:val="22"/>
              </w:rPr>
              <w:t>divergence and well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being barriers)</w:t>
            </w:r>
          </w:p>
          <w:p w:rsidR="00724895" w:rsidRPr="002D15A4" w:rsidRDefault="00724895" w:rsidP="00756FF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Learners will have tasks and experiences which reflect their needs and allow them to succeed</w:t>
            </w:r>
          </w:p>
        </w:tc>
        <w:tc>
          <w:tcPr>
            <w:tcW w:w="1560" w:type="dxa"/>
            <w:shd w:val="clear" w:color="auto" w:fill="auto"/>
          </w:tcPr>
          <w:p w:rsidR="00724895" w:rsidRPr="002D15A4" w:rsidRDefault="004014F4" w:rsidP="00756FF6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Term 2</w:t>
            </w:r>
          </w:p>
        </w:tc>
        <w:tc>
          <w:tcPr>
            <w:tcW w:w="1418" w:type="dxa"/>
            <w:shd w:val="clear" w:color="auto" w:fill="auto"/>
          </w:tcPr>
          <w:p w:rsidR="00724895" w:rsidRPr="004014F4" w:rsidRDefault="004014F4" w:rsidP="004014F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14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ASN Team</w:t>
            </w:r>
          </w:p>
        </w:tc>
        <w:tc>
          <w:tcPr>
            <w:tcW w:w="4961" w:type="dxa"/>
            <w:shd w:val="clear" w:color="auto" w:fill="auto"/>
          </w:tcPr>
          <w:p w:rsidR="00724895" w:rsidRPr="00DC02F1" w:rsidRDefault="00724895" w:rsidP="00756FF6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C02F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Feedback from pupils and parents</w:t>
            </w:r>
            <w:r w:rsidR="008F6FF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/carers</w:t>
            </w:r>
          </w:p>
          <w:p w:rsidR="00724895" w:rsidRPr="00DC02F1" w:rsidRDefault="008F6FF5" w:rsidP="00756FF6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Learning Conversations with p</w:t>
            </w:r>
            <w:r w:rsidR="00724895" w:rsidRPr="00DC02F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upils</w:t>
            </w:r>
          </w:p>
          <w:p w:rsidR="00724895" w:rsidRPr="00756FF6" w:rsidRDefault="00724895" w:rsidP="00756FF6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C02F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 sample group of pupils will reveal an increase in confidence</w:t>
            </w:r>
          </w:p>
          <w:p w:rsidR="00724895" w:rsidRPr="002D15A4" w:rsidRDefault="00724895" w:rsidP="00756FF6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Monitoring and tracking will evidence outcomes achieved </w:t>
            </w:r>
          </w:p>
        </w:tc>
      </w:tr>
      <w:tr w:rsidR="00724895" w:rsidRPr="00902B5B" w:rsidTr="00756FF6">
        <w:trPr>
          <w:trHeight w:val="851"/>
        </w:trPr>
        <w:tc>
          <w:tcPr>
            <w:tcW w:w="4678" w:type="dxa"/>
            <w:shd w:val="clear" w:color="auto" w:fill="auto"/>
          </w:tcPr>
          <w:p w:rsidR="00724895" w:rsidRPr="008F6FF5" w:rsidRDefault="00724895" w:rsidP="008F6FF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F6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Targeted – the 5 roles of the SFL teacher are appropriately deployed for impact on the GTCS ASN standards </w:t>
            </w:r>
          </w:p>
          <w:p w:rsidR="00724895" w:rsidRPr="008F6FF5" w:rsidRDefault="00724895" w:rsidP="008F6FF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F6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Consultation</w:t>
            </w:r>
          </w:p>
          <w:p w:rsidR="00724895" w:rsidRPr="008F6FF5" w:rsidRDefault="004014F4" w:rsidP="008F6FF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Team Teaching Terms 2-4 on ‘Talk for W</w:t>
            </w:r>
            <w:r w:rsidR="00724895" w:rsidRPr="008F6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riting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’</w:t>
            </w:r>
          </w:p>
          <w:p w:rsidR="00724895" w:rsidRPr="008F6FF5" w:rsidRDefault="00724895" w:rsidP="008F6FF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F6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Assessment</w:t>
            </w:r>
          </w:p>
          <w:p w:rsidR="00724895" w:rsidRPr="008F6FF5" w:rsidRDefault="00724895" w:rsidP="008F6FF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F6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Training – Drop in on topics such as using the dyslexia tool box </w:t>
            </w:r>
          </w:p>
          <w:p w:rsidR="00724895" w:rsidRDefault="00724895" w:rsidP="00756FF6">
            <w:pPr>
              <w:spacing w:before="60" w:after="6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24895" w:rsidRPr="008F6FF5" w:rsidRDefault="00724895" w:rsidP="008F6FF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F6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CPD  for all ASN Teachers on writing and implanting IEPs </w:t>
            </w:r>
          </w:p>
        </w:tc>
        <w:tc>
          <w:tcPr>
            <w:tcW w:w="3049" w:type="dxa"/>
            <w:shd w:val="clear" w:color="auto" w:fill="auto"/>
          </w:tcPr>
          <w:p w:rsidR="00724895" w:rsidRDefault="00724895" w:rsidP="00756FF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Learners will have the right support at the right time</w:t>
            </w:r>
          </w:p>
          <w:p w:rsidR="00724895" w:rsidRDefault="00724895" w:rsidP="00756FF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Individualised support is robustly planned so that the learner can achieve and is able to experience progress</w:t>
            </w:r>
          </w:p>
        </w:tc>
        <w:tc>
          <w:tcPr>
            <w:tcW w:w="1560" w:type="dxa"/>
            <w:shd w:val="clear" w:color="auto" w:fill="auto"/>
          </w:tcPr>
          <w:p w:rsidR="00724895" w:rsidRPr="002D15A4" w:rsidRDefault="004014F4" w:rsidP="00756FF6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Term 2 - 4</w:t>
            </w:r>
          </w:p>
        </w:tc>
        <w:tc>
          <w:tcPr>
            <w:tcW w:w="1418" w:type="dxa"/>
            <w:shd w:val="clear" w:color="auto" w:fill="auto"/>
          </w:tcPr>
          <w:p w:rsidR="004014F4" w:rsidRPr="004014F4" w:rsidRDefault="004014F4" w:rsidP="004014F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014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ASN Team</w:t>
            </w:r>
          </w:p>
          <w:p w:rsidR="00724895" w:rsidRPr="004014F4" w:rsidRDefault="004014F4" w:rsidP="004014F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4014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SfL</w:t>
            </w:r>
            <w:proofErr w:type="spellEnd"/>
            <w:r w:rsidRPr="004014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Teachers in consultation with Class Tea</w:t>
            </w:r>
            <w:r w:rsidR="00C8090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</w:t>
            </w:r>
            <w:bookmarkStart w:id="0" w:name="_GoBack"/>
            <w:bookmarkEnd w:id="0"/>
            <w:r w:rsidRPr="004014F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hers</w:t>
            </w:r>
          </w:p>
        </w:tc>
        <w:tc>
          <w:tcPr>
            <w:tcW w:w="4961" w:type="dxa"/>
            <w:shd w:val="clear" w:color="auto" w:fill="auto"/>
          </w:tcPr>
          <w:p w:rsidR="00724895" w:rsidRDefault="00724895" w:rsidP="00756FF6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Support plans quality assured for SMART targets reflecting the LPS content</w:t>
            </w:r>
          </w:p>
          <w:p w:rsidR="00724895" w:rsidRPr="002D15A4" w:rsidRDefault="00724895" w:rsidP="00756FF6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Measuring the impact through evaluation and regular review</w:t>
            </w:r>
          </w:p>
        </w:tc>
      </w:tr>
    </w:tbl>
    <w:p w:rsidR="00724895" w:rsidRPr="00902B5B" w:rsidRDefault="00724895" w:rsidP="00724895">
      <w:pPr>
        <w:rPr>
          <w:rFonts w:ascii="Calibri" w:hAnsi="Calibri" w:cs="Calibri"/>
          <w:sz w:val="6"/>
        </w:rPr>
      </w:pPr>
    </w:p>
    <w:p w:rsidR="003436CA" w:rsidRDefault="003436CA"/>
    <w:sectPr w:rsidR="003436CA" w:rsidSect="00661D13">
      <w:headerReference w:type="default" r:id="rId7"/>
      <w:pgSz w:w="16838" w:h="11906" w:orient="landscape"/>
      <w:pgMar w:top="568" w:right="536" w:bottom="284" w:left="720" w:header="284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99A" w:rsidRDefault="00A6399A">
      <w:r>
        <w:separator/>
      </w:r>
    </w:p>
  </w:endnote>
  <w:endnote w:type="continuationSeparator" w:id="0">
    <w:p w:rsidR="00A6399A" w:rsidRDefault="00A6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99A" w:rsidRDefault="00A6399A">
      <w:r>
        <w:separator/>
      </w:r>
    </w:p>
  </w:footnote>
  <w:footnote w:type="continuationSeparator" w:id="0">
    <w:p w:rsidR="00A6399A" w:rsidRDefault="00A63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73" w:rsidRDefault="00C80906" w:rsidP="003572E7">
    <w:pPr>
      <w:pStyle w:val="Header"/>
    </w:pPr>
    <w:hyperlink r:id="rId1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1A4"/>
    <w:multiLevelType w:val="hybridMultilevel"/>
    <w:tmpl w:val="C6A2D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423ED"/>
    <w:multiLevelType w:val="hybridMultilevel"/>
    <w:tmpl w:val="CA12C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42956"/>
    <w:multiLevelType w:val="hybridMultilevel"/>
    <w:tmpl w:val="F38E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9496B"/>
    <w:multiLevelType w:val="hybridMultilevel"/>
    <w:tmpl w:val="9F90F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95"/>
    <w:rsid w:val="000871FD"/>
    <w:rsid w:val="003436CA"/>
    <w:rsid w:val="004014F4"/>
    <w:rsid w:val="00552740"/>
    <w:rsid w:val="00631D69"/>
    <w:rsid w:val="00724895"/>
    <w:rsid w:val="008F6FF5"/>
    <w:rsid w:val="00A6399A"/>
    <w:rsid w:val="00B72BE6"/>
    <w:rsid w:val="00C80906"/>
    <w:rsid w:val="00DB3913"/>
    <w:rsid w:val="00FA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AB79"/>
  <w15:chartTrackingRefBased/>
  <w15:docId w15:val="{AC32BC1E-AA52-41D1-BD49-843C3162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489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248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8F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gle.com/url?sa=i&amp;rct=j&amp;q=&amp;esrc=s&amp;source=images&amp;cd=&amp;cad=rja&amp;uact=8&amp;ved=2ahUKEwi3q77G_-_gAhWBzIUKHcUGC8oQjRx6BAgBEAU&amp;url=/url?sa%3Di%26rct%3Dj%26q%3D%26esrc%3Ds%26source%3Dimages%26cd%3D%26ved%3D%26url%3Dhttps%3A%2F%2Fwww.myjobscotland.gov.uk%2Fcouncils%2Fmoray-council%2Fjobs%26psig%3DAOvVaw0pYHbErV8leSWMtSWDxKfx%26ust%3D1552046895401871&amp;psig=AOvVaw0pYHbErV8leSWMtSWDxKfx&amp;ust=1552046895401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Council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</dc:creator>
  <cp:keywords/>
  <dc:description/>
  <cp:lastModifiedBy>Snodgrass Morven</cp:lastModifiedBy>
  <cp:revision>2</cp:revision>
  <dcterms:created xsi:type="dcterms:W3CDTF">2023-09-18T13:14:00Z</dcterms:created>
  <dcterms:modified xsi:type="dcterms:W3CDTF">2023-09-18T13:14:00Z</dcterms:modified>
</cp:coreProperties>
</file>