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Ex1.xml" ContentType="application/vnd.ms-office.chartex+xml"/>
  <Override PartName="/word/charts/style14.xml" ContentType="application/vnd.ms-office.chartstyle+xml"/>
  <Override PartName="/word/charts/colors14.xml" ContentType="application/vnd.ms-office.chartcolorstyle+xml"/>
  <Override PartName="/word/charts/chart14.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5.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6.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7.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8.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19.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0.xml" ContentType="application/vnd.openxmlformats-officedocument.drawingml.chart+xml"/>
  <Override PartName="/word/charts/style21.xml" ContentType="application/vnd.ms-office.chartstyle+xml"/>
  <Override PartName="/word/charts/colors2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211E" w14:textId="74A26419" w:rsidR="00B21D43" w:rsidRDefault="00B21D43" w:rsidP="00B21D43">
      <w:pPr>
        <w:autoSpaceDE w:val="0"/>
        <w:autoSpaceDN w:val="0"/>
        <w:rPr>
          <w:color w:val="548DD4"/>
          <w:sz w:val="52"/>
          <w:szCs w:val="52"/>
        </w:rPr>
      </w:pPr>
      <w:r w:rsidRPr="001B0B69">
        <w:rPr>
          <w:b/>
          <w:noProof/>
          <w:color w:val="008080"/>
          <w:sz w:val="52"/>
          <w:szCs w:val="52"/>
          <w:lang w:eastAsia="en-GB"/>
        </w:rPr>
        <w:drawing>
          <wp:anchor distT="0" distB="0" distL="114300" distR="114300" simplePos="0" relativeHeight="251745792" behindDoc="0" locked="0" layoutInCell="1" allowOverlap="1" wp14:anchorId="07DACA8E" wp14:editId="4650B60E">
            <wp:simplePos x="0" y="0"/>
            <wp:positionH relativeFrom="margin">
              <wp:posOffset>4354102</wp:posOffset>
            </wp:positionH>
            <wp:positionV relativeFrom="paragraph">
              <wp:posOffset>129916</wp:posOffset>
            </wp:positionV>
            <wp:extent cx="1663454" cy="390659"/>
            <wp:effectExtent l="0" t="0" r="0" b="9525"/>
            <wp:wrapNone/>
            <wp:docPr id="195303922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39222" name="Picture 1" descr="A blue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3613" cy="393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2C35E5" w14:textId="1DF322FE" w:rsidR="00B21D43" w:rsidRDefault="00B21D43" w:rsidP="00B21D43">
      <w:pPr>
        <w:autoSpaceDE w:val="0"/>
        <w:autoSpaceDN w:val="0"/>
        <w:rPr>
          <w:sz w:val="52"/>
          <w:szCs w:val="52"/>
        </w:rPr>
      </w:pPr>
      <w:r>
        <w:rPr>
          <w:noProof/>
          <w:color w:val="000000"/>
          <w:sz w:val="20"/>
          <w:szCs w:val="20"/>
        </w:rPr>
        <w:drawing>
          <wp:anchor distT="0" distB="0" distL="114300" distR="114300" simplePos="0" relativeHeight="251744768" behindDoc="0" locked="0" layoutInCell="1" allowOverlap="1" wp14:anchorId="35A3B172" wp14:editId="17182617">
            <wp:simplePos x="0" y="0"/>
            <wp:positionH relativeFrom="margin">
              <wp:align>right</wp:align>
            </wp:positionH>
            <wp:positionV relativeFrom="paragraph">
              <wp:posOffset>14605</wp:posOffset>
            </wp:positionV>
            <wp:extent cx="1657350" cy="6038850"/>
            <wp:effectExtent l="0" t="0" r="0" b="0"/>
            <wp:wrapNone/>
            <wp:docPr id="1617117426" name="Picture 1617117426" descr="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57350" cy="6038850"/>
                    </a:xfrm>
                    <a:prstGeom prst="rect">
                      <a:avLst/>
                    </a:prstGeom>
                    <a:noFill/>
                    <a:ln>
                      <a:noFill/>
                    </a:ln>
                  </pic:spPr>
                </pic:pic>
              </a:graphicData>
            </a:graphic>
          </wp:anchor>
        </w:drawing>
      </w:r>
    </w:p>
    <w:p w14:paraId="111C67CD" w14:textId="1BEF716C" w:rsidR="00B21D43" w:rsidRDefault="00B21D43" w:rsidP="00B21D43">
      <w:pPr>
        <w:autoSpaceDE w:val="0"/>
        <w:autoSpaceDN w:val="0"/>
        <w:rPr>
          <w:sz w:val="52"/>
          <w:szCs w:val="52"/>
        </w:rPr>
      </w:pPr>
    </w:p>
    <w:p w14:paraId="09C6D7ED" w14:textId="5BAD3983" w:rsidR="00B21D43" w:rsidRDefault="00B21D43" w:rsidP="00B21D43">
      <w:pPr>
        <w:autoSpaceDE w:val="0"/>
        <w:autoSpaceDN w:val="0"/>
        <w:rPr>
          <w:sz w:val="52"/>
          <w:szCs w:val="52"/>
        </w:rPr>
      </w:pPr>
    </w:p>
    <w:p w14:paraId="2C565845" w14:textId="1F66E5DB" w:rsidR="00B21D43" w:rsidRDefault="00B21D43" w:rsidP="00B21D43">
      <w:pPr>
        <w:autoSpaceDE w:val="0"/>
        <w:autoSpaceDN w:val="0"/>
        <w:rPr>
          <w:sz w:val="52"/>
          <w:szCs w:val="52"/>
        </w:rPr>
      </w:pPr>
    </w:p>
    <w:p w14:paraId="07851940" w14:textId="011DA333" w:rsidR="00B21D43" w:rsidRDefault="00B21D43" w:rsidP="00B21D43">
      <w:pPr>
        <w:autoSpaceDE w:val="0"/>
        <w:autoSpaceDN w:val="0"/>
        <w:rPr>
          <w:sz w:val="52"/>
          <w:szCs w:val="52"/>
        </w:rPr>
      </w:pPr>
    </w:p>
    <w:p w14:paraId="182658FC" w14:textId="43B2EE1C" w:rsidR="00B21D43" w:rsidRDefault="00B21D43" w:rsidP="00B21D43">
      <w:pPr>
        <w:autoSpaceDE w:val="0"/>
        <w:autoSpaceDN w:val="0"/>
        <w:rPr>
          <w:sz w:val="52"/>
          <w:szCs w:val="52"/>
        </w:rPr>
      </w:pPr>
    </w:p>
    <w:p w14:paraId="12307FE2" w14:textId="544703B5" w:rsidR="00B21D43" w:rsidRDefault="00B21D43" w:rsidP="00B21D43">
      <w:pPr>
        <w:autoSpaceDE w:val="0"/>
        <w:autoSpaceDN w:val="0"/>
        <w:rPr>
          <w:sz w:val="52"/>
          <w:szCs w:val="52"/>
        </w:rPr>
      </w:pPr>
    </w:p>
    <w:p w14:paraId="69A6CDC0" w14:textId="4F0E27FC" w:rsidR="00B21D43" w:rsidRDefault="00B21D43" w:rsidP="00B21D43">
      <w:pPr>
        <w:autoSpaceDE w:val="0"/>
        <w:autoSpaceDN w:val="0"/>
        <w:rPr>
          <w:sz w:val="52"/>
          <w:szCs w:val="52"/>
        </w:rPr>
      </w:pPr>
    </w:p>
    <w:p w14:paraId="3F3037FC" w14:textId="529C54BF" w:rsidR="00B21D43" w:rsidRDefault="00B21D43" w:rsidP="00B21D43">
      <w:pPr>
        <w:autoSpaceDE w:val="0"/>
        <w:autoSpaceDN w:val="0"/>
        <w:rPr>
          <w:sz w:val="52"/>
          <w:szCs w:val="52"/>
        </w:rPr>
      </w:pPr>
    </w:p>
    <w:p w14:paraId="37E09457" w14:textId="6842FE66" w:rsidR="00B21D43" w:rsidRDefault="00B21D43" w:rsidP="00B21D43">
      <w:pPr>
        <w:autoSpaceDE w:val="0"/>
        <w:autoSpaceDN w:val="0"/>
        <w:rPr>
          <w:sz w:val="52"/>
          <w:szCs w:val="52"/>
        </w:rPr>
      </w:pPr>
    </w:p>
    <w:p w14:paraId="3DA7A69F" w14:textId="38BD2BF5" w:rsidR="00B21D43" w:rsidRDefault="00B21D43" w:rsidP="00B21D43">
      <w:pPr>
        <w:autoSpaceDE w:val="0"/>
        <w:autoSpaceDN w:val="0"/>
        <w:rPr>
          <w:sz w:val="52"/>
          <w:szCs w:val="52"/>
        </w:rPr>
      </w:pPr>
    </w:p>
    <w:p w14:paraId="20B4120F" w14:textId="77777777" w:rsidR="00B21D43" w:rsidRDefault="00B21D43" w:rsidP="00B21D43">
      <w:pPr>
        <w:autoSpaceDE w:val="0"/>
        <w:autoSpaceDN w:val="0"/>
        <w:rPr>
          <w:b/>
          <w:sz w:val="56"/>
          <w:szCs w:val="56"/>
        </w:rPr>
      </w:pPr>
    </w:p>
    <w:p w14:paraId="76228190" w14:textId="4F3EB3CC" w:rsidR="00B21D43" w:rsidRPr="00B21D43" w:rsidRDefault="00B21D43" w:rsidP="006120A9">
      <w:pPr>
        <w:autoSpaceDE w:val="0"/>
        <w:autoSpaceDN w:val="0"/>
        <w:spacing w:after="0"/>
        <w:rPr>
          <w:b/>
          <w:sz w:val="56"/>
          <w:szCs w:val="56"/>
        </w:rPr>
      </w:pPr>
      <w:r w:rsidRPr="00B21D43">
        <w:rPr>
          <w:b/>
          <w:sz w:val="56"/>
          <w:szCs w:val="56"/>
        </w:rPr>
        <w:t>Education Services</w:t>
      </w:r>
    </w:p>
    <w:p w14:paraId="24D168AD" w14:textId="77777777" w:rsidR="00B21D43" w:rsidRPr="00B21D43" w:rsidRDefault="00B21D43" w:rsidP="006120A9">
      <w:pPr>
        <w:autoSpaceDE w:val="0"/>
        <w:autoSpaceDN w:val="0"/>
        <w:spacing w:after="0"/>
        <w:rPr>
          <w:b/>
          <w:sz w:val="56"/>
          <w:szCs w:val="56"/>
        </w:rPr>
      </w:pPr>
      <w:r w:rsidRPr="00B21D43">
        <w:rPr>
          <w:b/>
          <w:sz w:val="56"/>
          <w:szCs w:val="56"/>
        </w:rPr>
        <w:t>Standards and Quality Report</w:t>
      </w:r>
    </w:p>
    <w:p w14:paraId="78E99FC8" w14:textId="1244F10D" w:rsidR="00B21D43" w:rsidRDefault="00B21D43" w:rsidP="00EC28B6">
      <w:pPr>
        <w:autoSpaceDE w:val="0"/>
        <w:autoSpaceDN w:val="0"/>
        <w:spacing w:after="0"/>
        <w:rPr>
          <w:b/>
          <w:sz w:val="56"/>
          <w:szCs w:val="56"/>
        </w:rPr>
      </w:pPr>
      <w:r w:rsidRPr="00B21D43">
        <w:rPr>
          <w:b/>
          <w:sz w:val="56"/>
          <w:szCs w:val="56"/>
        </w:rPr>
        <w:t>April 202</w:t>
      </w:r>
      <w:r w:rsidR="009D3086">
        <w:rPr>
          <w:b/>
          <w:sz w:val="56"/>
          <w:szCs w:val="56"/>
        </w:rPr>
        <w:t>5</w:t>
      </w:r>
      <w:r w:rsidRPr="00B21D43">
        <w:rPr>
          <w:b/>
          <w:sz w:val="56"/>
          <w:szCs w:val="56"/>
        </w:rPr>
        <w:t xml:space="preserve"> – April 202</w:t>
      </w:r>
      <w:r w:rsidR="009D3086">
        <w:rPr>
          <w:b/>
          <w:sz w:val="56"/>
          <w:szCs w:val="56"/>
        </w:rPr>
        <w:t>6</w:t>
      </w:r>
    </w:p>
    <w:p w14:paraId="36A68EED" w14:textId="77777777" w:rsidR="00B21D43" w:rsidRDefault="00B21D43">
      <w:pPr>
        <w:rPr>
          <w:b/>
          <w:sz w:val="56"/>
          <w:szCs w:val="56"/>
        </w:rPr>
      </w:pPr>
      <w:r>
        <w:rPr>
          <w:b/>
          <w:sz w:val="56"/>
          <w:szCs w:val="56"/>
        </w:rPr>
        <w:br w:type="page"/>
      </w:r>
    </w:p>
    <w:p w14:paraId="6622F172" w14:textId="468D506B" w:rsidR="00B21D43" w:rsidRPr="006120A9" w:rsidRDefault="00B21D43" w:rsidP="006120A9">
      <w:pPr>
        <w:autoSpaceDE w:val="0"/>
        <w:autoSpaceDN w:val="0"/>
        <w:spacing w:after="0"/>
        <w:rPr>
          <w:b/>
          <w:sz w:val="56"/>
          <w:szCs w:val="56"/>
        </w:rPr>
      </w:pPr>
    </w:p>
    <w:p w14:paraId="3BE67170" w14:textId="3501AE3E" w:rsidR="002B59BD" w:rsidRPr="001B0B69" w:rsidRDefault="00B21D43" w:rsidP="00FB089A">
      <w:pPr>
        <w:tabs>
          <w:tab w:val="left" w:pos="5655"/>
        </w:tabs>
        <w:rPr>
          <w:b/>
        </w:rPr>
        <w:sectPr w:rsidR="002B59BD" w:rsidRPr="001B0B69" w:rsidSect="002A692B">
          <w:headerReference w:type="even" r:id="rId11"/>
          <w:headerReference w:type="default" r:id="rId12"/>
          <w:footerReference w:type="default" r:id="rId13"/>
          <w:headerReference w:type="first" r:id="rId14"/>
          <w:footerReference w:type="first" r:id="rId15"/>
          <w:pgSz w:w="11906" w:h="16838"/>
          <w:pgMar w:top="1134" w:right="991" w:bottom="1134" w:left="1440" w:header="708" w:footer="708" w:gutter="0"/>
          <w:pgNumType w:start="1" w:chapStyle="1"/>
          <w:cols w:space="708"/>
          <w:titlePg/>
          <w:docGrid w:linePitch="360"/>
        </w:sectPr>
      </w:pPr>
      <w:bookmarkStart w:id="0" w:name="_Hlk161237145"/>
      <w:bookmarkEnd w:id="0"/>
      <w:r w:rsidRPr="001B0B69">
        <w:rPr>
          <w:b/>
          <w:noProof/>
          <w:color w:val="31849B"/>
          <w:sz w:val="72"/>
          <w:szCs w:val="72"/>
          <w:lang w:eastAsia="en-GB"/>
        </w:rPr>
        <w:drawing>
          <wp:anchor distT="0" distB="0" distL="114300" distR="114300" simplePos="0" relativeHeight="251747840" behindDoc="0" locked="0" layoutInCell="1" allowOverlap="1" wp14:anchorId="30D3CC95" wp14:editId="265E6B7E">
            <wp:simplePos x="0" y="0"/>
            <wp:positionH relativeFrom="margin">
              <wp:align>right</wp:align>
            </wp:positionH>
            <wp:positionV relativeFrom="paragraph">
              <wp:posOffset>821055</wp:posOffset>
            </wp:positionV>
            <wp:extent cx="6193130" cy="6278880"/>
            <wp:effectExtent l="0" t="0" r="0" b="7620"/>
            <wp:wrapNone/>
            <wp:docPr id="1552060867" name="Picture 1552060867" descr="New GIRFECC wheel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GIRFECC wheel_v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3130" cy="6278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29AB107" w14:textId="77777777" w:rsidR="00D02D32" w:rsidRPr="001B0B69" w:rsidRDefault="006D30E0" w:rsidP="00FB089A">
      <w:pPr>
        <w:rPr>
          <w:b/>
          <w:sz w:val="32"/>
          <w:szCs w:val="32"/>
        </w:rPr>
      </w:pPr>
      <w:r w:rsidRPr="001B0B69">
        <w:rPr>
          <w:b/>
          <w:noProof/>
          <w:sz w:val="32"/>
          <w:szCs w:val="32"/>
          <w:lang w:eastAsia="en-GB"/>
        </w:rPr>
        <w:lastRenderedPageBreak/>
        <mc:AlternateContent>
          <mc:Choice Requires="wps">
            <w:drawing>
              <wp:anchor distT="0" distB="0" distL="114300" distR="114300" simplePos="0" relativeHeight="251640320" behindDoc="0" locked="0" layoutInCell="1" allowOverlap="1" wp14:anchorId="69E293CD" wp14:editId="344D108A">
                <wp:simplePos x="0" y="0"/>
                <wp:positionH relativeFrom="column">
                  <wp:posOffset>-36195</wp:posOffset>
                </wp:positionH>
                <wp:positionV relativeFrom="paragraph">
                  <wp:posOffset>146799</wp:posOffset>
                </wp:positionV>
                <wp:extent cx="5905500" cy="395021"/>
                <wp:effectExtent l="0" t="0" r="19050" b="43180"/>
                <wp:wrapNone/>
                <wp:docPr id="8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395021"/>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2C031855" w14:textId="77777777" w:rsidR="007E0210" w:rsidRPr="004703E4" w:rsidRDefault="007E0210" w:rsidP="002E7C12">
                            <w:pPr>
                              <w:jc w:val="center"/>
                              <w:rPr>
                                <w:b/>
                                <w:color w:val="FFFFFF" w:themeColor="background1"/>
                                <w:sz w:val="32"/>
                                <w:szCs w:val="32"/>
                              </w:rPr>
                            </w:pPr>
                            <w:r w:rsidRPr="004703E4">
                              <w:rPr>
                                <w:b/>
                                <w:color w:val="FFFFFF" w:themeColor="background1"/>
                                <w:sz w:val="32"/>
                                <w:szCs w:val="32"/>
                              </w:rPr>
                              <w:t>Contents</w:t>
                            </w:r>
                          </w:p>
                          <w:p w14:paraId="0DC92C8E" w14:textId="77777777" w:rsidR="007E0210" w:rsidRDefault="007E0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9E293CD" id="AutoShape 2" o:spid="_x0000_s1026" style="position:absolute;margin-left:-2.85pt;margin-top:11.55pt;width:465pt;height:31.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" fillcolor="#4bacc6 [3208]" stroked="f" strokecolor="#f2f2f2 [3041]" strokeweight="3pt">
                <v:shadow on="t" color="#205867 [1608]" opacity=".5" offset="1pt"/>
                <v:textbox>
                  <w:txbxContent>
                    <w:p w14:paraId="2C031855" w14:textId="77777777" w:rsidR="007E0210" w:rsidRPr="004703E4" w:rsidRDefault="007E0210" w:rsidP="002E7C12">
                      <w:pPr>
                        <w:jc w:val="center"/>
                        <w:rPr>
                          <w:b/>
                          <w:color w:val="FFFFFF" w:themeColor="background1"/>
                          <w:sz w:val="32"/>
                          <w:szCs w:val="32"/>
                        </w:rPr>
                      </w:pPr>
                      <w:r w:rsidRPr="004703E4">
                        <w:rPr>
                          <w:b/>
                          <w:color w:val="FFFFFF" w:themeColor="background1"/>
                          <w:sz w:val="32"/>
                          <w:szCs w:val="32"/>
                        </w:rPr>
                        <w:t>Contents</w:t>
                      </w:r>
                    </w:p>
                    <w:p w14:paraId="0DC92C8E" w14:textId="77777777" w:rsidR="007E0210" w:rsidRDefault="007E0210"/>
                  </w:txbxContent>
                </v:textbox>
              </v:roundrect>
            </w:pict>
          </mc:Fallback>
        </mc:AlternateContent>
      </w:r>
    </w:p>
    <w:p w14:paraId="53861D21" w14:textId="77777777" w:rsidR="00D02D32" w:rsidRPr="001B0B69" w:rsidRDefault="00D02D32" w:rsidP="00FB089A">
      <w:pPr>
        <w:rPr>
          <w:b/>
          <w:sz w:val="32"/>
          <w:szCs w:val="32"/>
        </w:rPr>
      </w:pPr>
    </w:p>
    <w:p w14:paraId="5B184EAF" w14:textId="77777777" w:rsidR="006E20CB" w:rsidRPr="001B0B69" w:rsidRDefault="006E20CB" w:rsidP="00FB089A">
      <w:pPr>
        <w:rPr>
          <w:b/>
          <w:sz w:val="32"/>
          <w:szCs w:val="32"/>
        </w:rPr>
      </w:pPr>
    </w:p>
    <w:tbl>
      <w:tblPr>
        <w:tblStyle w:val="TableGrid"/>
        <w:tblW w:w="921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71"/>
        <w:gridCol w:w="1843"/>
      </w:tblGrid>
      <w:tr w:rsidR="00C52743" w14:paraId="0E4DDFAC" w14:textId="77777777" w:rsidTr="00D2326E">
        <w:tc>
          <w:tcPr>
            <w:tcW w:w="7371" w:type="dxa"/>
            <w:shd w:val="clear" w:color="auto" w:fill="92CDDC" w:themeFill="accent5" w:themeFillTint="99"/>
          </w:tcPr>
          <w:p w14:paraId="4E8F654B" w14:textId="77777777" w:rsidR="00C52743" w:rsidRPr="00D2326E" w:rsidRDefault="00C52743" w:rsidP="00C52743">
            <w:pPr>
              <w:jc w:val="center"/>
              <w:rPr>
                <w:b/>
                <w:color w:val="FFFFFF" w:themeColor="background1"/>
                <w:sz w:val="32"/>
                <w:szCs w:val="32"/>
              </w:rPr>
            </w:pPr>
            <w:r w:rsidRPr="00D2326E">
              <w:rPr>
                <w:b/>
                <w:color w:val="FFFFFF" w:themeColor="background1"/>
                <w:sz w:val="32"/>
                <w:szCs w:val="32"/>
              </w:rPr>
              <w:t>Section</w:t>
            </w:r>
          </w:p>
        </w:tc>
        <w:tc>
          <w:tcPr>
            <w:tcW w:w="1843" w:type="dxa"/>
            <w:shd w:val="clear" w:color="auto" w:fill="92CDDC" w:themeFill="accent5" w:themeFillTint="99"/>
          </w:tcPr>
          <w:p w14:paraId="6E2DC04A" w14:textId="77777777" w:rsidR="00C52743" w:rsidRPr="00D2326E" w:rsidRDefault="00476591" w:rsidP="00C52743">
            <w:pPr>
              <w:jc w:val="center"/>
              <w:rPr>
                <w:b/>
                <w:color w:val="FFFFFF" w:themeColor="background1"/>
                <w:sz w:val="32"/>
                <w:szCs w:val="32"/>
              </w:rPr>
            </w:pPr>
            <w:r w:rsidRPr="00D2326E">
              <w:rPr>
                <w:b/>
                <w:color w:val="FFFFFF" w:themeColor="background1"/>
                <w:sz w:val="32"/>
                <w:szCs w:val="32"/>
              </w:rPr>
              <w:t xml:space="preserve">Page </w:t>
            </w:r>
          </w:p>
          <w:p w14:paraId="6C36D31D" w14:textId="77777777" w:rsidR="00476591" w:rsidRPr="00D2326E" w:rsidRDefault="00476591" w:rsidP="00C52743">
            <w:pPr>
              <w:jc w:val="center"/>
              <w:rPr>
                <w:b/>
                <w:color w:val="FFFFFF" w:themeColor="background1"/>
                <w:sz w:val="32"/>
                <w:szCs w:val="32"/>
              </w:rPr>
            </w:pPr>
          </w:p>
        </w:tc>
      </w:tr>
      <w:tr w:rsidR="00C52743" w14:paraId="2E7F7E64" w14:textId="77777777" w:rsidTr="006120A9">
        <w:trPr>
          <w:trHeight w:val="1077"/>
        </w:trPr>
        <w:tc>
          <w:tcPr>
            <w:tcW w:w="7371" w:type="dxa"/>
            <w:shd w:val="clear" w:color="auto" w:fill="B6DDE8" w:themeFill="accent5" w:themeFillTint="66"/>
            <w:vAlign w:val="center"/>
          </w:tcPr>
          <w:p w14:paraId="482DB7EF" w14:textId="77777777" w:rsidR="00C52743" w:rsidRPr="00D2326E" w:rsidRDefault="00C52743" w:rsidP="00434013">
            <w:pPr>
              <w:ind w:left="176"/>
              <w:rPr>
                <w:b/>
                <w:color w:val="FFFFFF" w:themeColor="background1"/>
                <w:sz w:val="32"/>
                <w:szCs w:val="32"/>
              </w:rPr>
            </w:pPr>
            <w:r w:rsidRPr="00D2326E">
              <w:rPr>
                <w:b/>
                <w:color w:val="FFFFFF" w:themeColor="background1"/>
                <w:sz w:val="32"/>
                <w:szCs w:val="32"/>
              </w:rPr>
              <w:t>Foreword</w:t>
            </w:r>
          </w:p>
        </w:tc>
        <w:tc>
          <w:tcPr>
            <w:tcW w:w="1843" w:type="dxa"/>
            <w:shd w:val="clear" w:color="auto" w:fill="B6DDE8" w:themeFill="accent5" w:themeFillTint="66"/>
            <w:vAlign w:val="center"/>
          </w:tcPr>
          <w:p w14:paraId="2C6B6146" w14:textId="4438F400" w:rsidR="00476591" w:rsidRPr="00D2326E" w:rsidRDefault="004D1B39" w:rsidP="00434013">
            <w:pPr>
              <w:jc w:val="center"/>
              <w:rPr>
                <w:b/>
                <w:color w:val="FFFFFF" w:themeColor="background1"/>
                <w:sz w:val="32"/>
                <w:szCs w:val="32"/>
              </w:rPr>
            </w:pPr>
            <w:r>
              <w:rPr>
                <w:b/>
                <w:color w:val="FFFFFF" w:themeColor="background1"/>
                <w:sz w:val="32"/>
                <w:szCs w:val="32"/>
              </w:rPr>
              <w:t>1</w:t>
            </w:r>
          </w:p>
        </w:tc>
      </w:tr>
      <w:tr w:rsidR="00C52743" w14:paraId="3FE2FE18" w14:textId="77777777" w:rsidTr="006120A9">
        <w:trPr>
          <w:trHeight w:val="1077"/>
        </w:trPr>
        <w:tc>
          <w:tcPr>
            <w:tcW w:w="7371" w:type="dxa"/>
            <w:shd w:val="clear" w:color="auto" w:fill="B6DDE8" w:themeFill="accent5" w:themeFillTint="66"/>
            <w:vAlign w:val="center"/>
          </w:tcPr>
          <w:p w14:paraId="38A11FFA" w14:textId="77777777" w:rsidR="00C52743" w:rsidRPr="00D2326E" w:rsidRDefault="00C52743" w:rsidP="00434013">
            <w:pPr>
              <w:pStyle w:val="ListParagraph"/>
              <w:ind w:left="176"/>
              <w:rPr>
                <w:b/>
                <w:color w:val="FFFFFF" w:themeColor="background1"/>
                <w:sz w:val="32"/>
                <w:szCs w:val="32"/>
              </w:rPr>
            </w:pPr>
            <w:r w:rsidRPr="00D2326E">
              <w:rPr>
                <w:b/>
                <w:color w:val="FFFFFF" w:themeColor="background1"/>
                <w:sz w:val="32"/>
                <w:szCs w:val="32"/>
              </w:rPr>
              <w:t xml:space="preserve">Vision and context </w:t>
            </w:r>
            <w:r w:rsidRPr="00D2326E">
              <w:rPr>
                <w:b/>
                <w:color w:val="FFFFFF" w:themeColor="background1"/>
                <w:sz w:val="32"/>
                <w:szCs w:val="32"/>
              </w:rPr>
              <w:tab/>
            </w:r>
          </w:p>
        </w:tc>
        <w:tc>
          <w:tcPr>
            <w:tcW w:w="1843" w:type="dxa"/>
            <w:shd w:val="clear" w:color="auto" w:fill="B6DDE8" w:themeFill="accent5" w:themeFillTint="66"/>
            <w:vAlign w:val="center"/>
          </w:tcPr>
          <w:p w14:paraId="7ED15626" w14:textId="57F57CA4" w:rsidR="00476591" w:rsidRPr="00D2326E" w:rsidRDefault="004D1B39" w:rsidP="00434013">
            <w:pPr>
              <w:jc w:val="center"/>
              <w:rPr>
                <w:b/>
                <w:color w:val="FFFFFF" w:themeColor="background1"/>
                <w:sz w:val="32"/>
                <w:szCs w:val="32"/>
              </w:rPr>
            </w:pPr>
            <w:r>
              <w:rPr>
                <w:b/>
                <w:color w:val="FFFFFF" w:themeColor="background1"/>
                <w:sz w:val="32"/>
                <w:szCs w:val="32"/>
              </w:rPr>
              <w:t>2</w:t>
            </w:r>
          </w:p>
        </w:tc>
      </w:tr>
      <w:tr w:rsidR="00C52743" w14:paraId="033E10F0" w14:textId="77777777" w:rsidTr="006120A9">
        <w:trPr>
          <w:trHeight w:val="1077"/>
        </w:trPr>
        <w:tc>
          <w:tcPr>
            <w:tcW w:w="7371" w:type="dxa"/>
            <w:tcBorders>
              <w:bottom w:val="single" w:sz="4" w:space="0" w:color="auto"/>
            </w:tcBorders>
            <w:shd w:val="clear" w:color="auto" w:fill="B6DDE8" w:themeFill="accent5" w:themeFillTint="66"/>
            <w:vAlign w:val="center"/>
          </w:tcPr>
          <w:p w14:paraId="216B1BC3" w14:textId="77777777" w:rsidR="00BB49CA" w:rsidRPr="00BB49CA" w:rsidRDefault="00BB49CA" w:rsidP="00434013">
            <w:pPr>
              <w:pStyle w:val="ListParagraph"/>
              <w:ind w:left="176"/>
              <w:rPr>
                <w:b/>
                <w:color w:val="FFFFFF" w:themeColor="background1"/>
                <w:sz w:val="32"/>
                <w:szCs w:val="32"/>
              </w:rPr>
            </w:pPr>
            <w:r>
              <w:rPr>
                <w:b/>
                <w:color w:val="FFFFFF" w:themeColor="background1"/>
                <w:sz w:val="32"/>
                <w:szCs w:val="32"/>
              </w:rPr>
              <w:t>Key achievements</w:t>
            </w:r>
          </w:p>
        </w:tc>
        <w:tc>
          <w:tcPr>
            <w:tcW w:w="1843" w:type="dxa"/>
            <w:tcBorders>
              <w:bottom w:val="single" w:sz="4" w:space="0" w:color="auto"/>
            </w:tcBorders>
            <w:shd w:val="clear" w:color="auto" w:fill="B6DDE8" w:themeFill="accent5" w:themeFillTint="66"/>
            <w:vAlign w:val="center"/>
          </w:tcPr>
          <w:p w14:paraId="29D59EE9" w14:textId="5AE0D9AA" w:rsidR="00476591" w:rsidRPr="00D2326E" w:rsidRDefault="00434013" w:rsidP="00434013">
            <w:pPr>
              <w:jc w:val="center"/>
              <w:rPr>
                <w:b/>
                <w:color w:val="FFFFFF" w:themeColor="background1"/>
                <w:sz w:val="32"/>
                <w:szCs w:val="32"/>
              </w:rPr>
            </w:pPr>
            <w:r>
              <w:rPr>
                <w:b/>
                <w:color w:val="FFFFFF" w:themeColor="background1"/>
                <w:sz w:val="32"/>
                <w:szCs w:val="32"/>
              </w:rPr>
              <w:t>6</w:t>
            </w:r>
          </w:p>
        </w:tc>
      </w:tr>
      <w:tr w:rsidR="00BB49CA" w14:paraId="1DE4B809" w14:textId="77777777" w:rsidTr="006120A9">
        <w:trPr>
          <w:trHeight w:val="1077"/>
        </w:trPr>
        <w:tc>
          <w:tcPr>
            <w:tcW w:w="7371" w:type="dxa"/>
            <w:tcBorders>
              <w:top w:val="single" w:sz="4" w:space="0" w:color="auto"/>
            </w:tcBorders>
            <w:shd w:val="clear" w:color="auto" w:fill="B6DDE8" w:themeFill="accent5" w:themeFillTint="66"/>
            <w:vAlign w:val="center"/>
          </w:tcPr>
          <w:p w14:paraId="01BA6786" w14:textId="0EB2730C" w:rsidR="00BB49CA" w:rsidRPr="00BB49CA" w:rsidRDefault="00A20FDF" w:rsidP="00434013">
            <w:pPr>
              <w:pStyle w:val="ListParagraph"/>
              <w:ind w:left="176"/>
              <w:rPr>
                <w:b/>
                <w:color w:val="FFFFFF" w:themeColor="background1"/>
                <w:sz w:val="32"/>
                <w:szCs w:val="32"/>
              </w:rPr>
            </w:pPr>
            <w:r>
              <w:rPr>
                <w:b/>
                <w:color w:val="FFFFFF" w:themeColor="background1"/>
                <w:sz w:val="32"/>
                <w:szCs w:val="32"/>
              </w:rPr>
              <w:t xml:space="preserve">Improvement in attainment, </w:t>
            </w:r>
            <w:r w:rsidR="00720E5E">
              <w:rPr>
                <w:b/>
                <w:color w:val="FFFFFF" w:themeColor="background1"/>
                <w:sz w:val="32"/>
                <w:szCs w:val="32"/>
              </w:rPr>
              <w:t>particularly</w:t>
            </w:r>
            <w:r>
              <w:rPr>
                <w:b/>
                <w:color w:val="FFFFFF" w:themeColor="background1"/>
                <w:sz w:val="32"/>
                <w:szCs w:val="32"/>
              </w:rPr>
              <w:t xml:space="preserve"> in literacy and numeracy</w:t>
            </w:r>
          </w:p>
        </w:tc>
        <w:tc>
          <w:tcPr>
            <w:tcW w:w="1843" w:type="dxa"/>
            <w:tcBorders>
              <w:top w:val="single" w:sz="4" w:space="0" w:color="auto"/>
            </w:tcBorders>
            <w:shd w:val="clear" w:color="auto" w:fill="B6DDE8" w:themeFill="accent5" w:themeFillTint="66"/>
            <w:vAlign w:val="center"/>
          </w:tcPr>
          <w:p w14:paraId="25E35947" w14:textId="7F0B36FB" w:rsidR="00BB49CA" w:rsidRPr="00D2326E" w:rsidRDefault="00434013" w:rsidP="00434013">
            <w:pPr>
              <w:jc w:val="center"/>
              <w:rPr>
                <w:b/>
                <w:color w:val="FFFFFF" w:themeColor="background1"/>
                <w:sz w:val="32"/>
                <w:szCs w:val="32"/>
              </w:rPr>
            </w:pPr>
            <w:r>
              <w:rPr>
                <w:b/>
                <w:color w:val="FFFFFF" w:themeColor="background1"/>
                <w:sz w:val="32"/>
                <w:szCs w:val="32"/>
              </w:rPr>
              <w:t>7</w:t>
            </w:r>
          </w:p>
        </w:tc>
      </w:tr>
      <w:tr w:rsidR="00A20FDF" w14:paraId="4FB864F4" w14:textId="77777777" w:rsidTr="006120A9">
        <w:trPr>
          <w:trHeight w:val="1077"/>
        </w:trPr>
        <w:tc>
          <w:tcPr>
            <w:tcW w:w="7371" w:type="dxa"/>
            <w:tcBorders>
              <w:top w:val="single" w:sz="4" w:space="0" w:color="auto"/>
            </w:tcBorders>
            <w:shd w:val="clear" w:color="auto" w:fill="B6DDE8" w:themeFill="accent5" w:themeFillTint="66"/>
            <w:vAlign w:val="center"/>
          </w:tcPr>
          <w:p w14:paraId="51243FC8" w14:textId="2677D139" w:rsidR="00A20FDF" w:rsidRDefault="00A20FDF" w:rsidP="00434013">
            <w:pPr>
              <w:pStyle w:val="ListParagraph"/>
              <w:ind w:left="176"/>
              <w:rPr>
                <w:b/>
                <w:color w:val="FFFFFF" w:themeColor="background1"/>
                <w:sz w:val="32"/>
                <w:szCs w:val="32"/>
              </w:rPr>
            </w:pPr>
            <w:r>
              <w:rPr>
                <w:b/>
                <w:color w:val="FFFFFF" w:themeColor="background1"/>
                <w:sz w:val="32"/>
                <w:szCs w:val="32"/>
              </w:rPr>
              <w:t>Closing the attainment gap between the most and least disadvantaged</w:t>
            </w:r>
          </w:p>
        </w:tc>
        <w:tc>
          <w:tcPr>
            <w:tcW w:w="1843" w:type="dxa"/>
            <w:tcBorders>
              <w:top w:val="single" w:sz="4" w:space="0" w:color="auto"/>
            </w:tcBorders>
            <w:shd w:val="clear" w:color="auto" w:fill="B6DDE8" w:themeFill="accent5" w:themeFillTint="66"/>
            <w:vAlign w:val="center"/>
          </w:tcPr>
          <w:p w14:paraId="76AFC228" w14:textId="4E86CD29" w:rsidR="00A20FDF" w:rsidRPr="00D2326E" w:rsidRDefault="00952B71" w:rsidP="00434013">
            <w:pPr>
              <w:jc w:val="center"/>
              <w:rPr>
                <w:b/>
                <w:color w:val="FFFFFF" w:themeColor="background1"/>
                <w:sz w:val="32"/>
                <w:szCs w:val="32"/>
              </w:rPr>
            </w:pPr>
            <w:r>
              <w:rPr>
                <w:b/>
                <w:color w:val="FFFFFF" w:themeColor="background1"/>
                <w:sz w:val="32"/>
                <w:szCs w:val="32"/>
              </w:rPr>
              <w:t>15</w:t>
            </w:r>
          </w:p>
        </w:tc>
      </w:tr>
      <w:tr w:rsidR="000A0BD7" w14:paraId="109AC8C8" w14:textId="77777777" w:rsidTr="006120A9">
        <w:trPr>
          <w:trHeight w:val="1077"/>
        </w:trPr>
        <w:tc>
          <w:tcPr>
            <w:tcW w:w="7371" w:type="dxa"/>
            <w:tcBorders>
              <w:top w:val="single" w:sz="4" w:space="0" w:color="auto"/>
            </w:tcBorders>
            <w:shd w:val="clear" w:color="auto" w:fill="B6DDE8" w:themeFill="accent5" w:themeFillTint="66"/>
            <w:vAlign w:val="center"/>
          </w:tcPr>
          <w:p w14:paraId="660B417C" w14:textId="24797556" w:rsidR="000A0BD7" w:rsidRPr="000A0BD7" w:rsidRDefault="000A0BD7" w:rsidP="00434013">
            <w:pPr>
              <w:pStyle w:val="ListParagraph"/>
              <w:ind w:left="176"/>
              <w:rPr>
                <w:b/>
                <w:color w:val="FFFFFF" w:themeColor="background1"/>
                <w:sz w:val="32"/>
                <w:szCs w:val="32"/>
              </w:rPr>
            </w:pPr>
            <w:r w:rsidRPr="000A0BD7">
              <w:rPr>
                <w:b/>
                <w:color w:val="FFFFFF" w:themeColor="background1"/>
                <w:sz w:val="32"/>
                <w:szCs w:val="32"/>
              </w:rPr>
              <w:t>Improvement in children’s and young people’s health and wellbeing</w:t>
            </w:r>
          </w:p>
        </w:tc>
        <w:tc>
          <w:tcPr>
            <w:tcW w:w="1843" w:type="dxa"/>
            <w:tcBorders>
              <w:top w:val="single" w:sz="4" w:space="0" w:color="auto"/>
            </w:tcBorders>
            <w:shd w:val="clear" w:color="auto" w:fill="B6DDE8" w:themeFill="accent5" w:themeFillTint="66"/>
            <w:vAlign w:val="center"/>
          </w:tcPr>
          <w:p w14:paraId="58DC2596" w14:textId="5F101EFB" w:rsidR="000A0BD7" w:rsidRDefault="00952B71" w:rsidP="00434013">
            <w:pPr>
              <w:jc w:val="center"/>
              <w:rPr>
                <w:b/>
                <w:color w:val="FFFFFF" w:themeColor="background1"/>
                <w:sz w:val="32"/>
                <w:szCs w:val="32"/>
              </w:rPr>
            </w:pPr>
            <w:r>
              <w:rPr>
                <w:b/>
                <w:color w:val="FFFFFF" w:themeColor="background1"/>
                <w:sz w:val="32"/>
                <w:szCs w:val="32"/>
              </w:rPr>
              <w:t>30</w:t>
            </w:r>
          </w:p>
        </w:tc>
      </w:tr>
      <w:tr w:rsidR="00C52743" w14:paraId="7B2F2531" w14:textId="77777777" w:rsidTr="006120A9">
        <w:trPr>
          <w:trHeight w:val="1077"/>
        </w:trPr>
        <w:tc>
          <w:tcPr>
            <w:tcW w:w="7371" w:type="dxa"/>
            <w:shd w:val="clear" w:color="auto" w:fill="B6DDE8" w:themeFill="accent5" w:themeFillTint="66"/>
            <w:vAlign w:val="center"/>
          </w:tcPr>
          <w:p w14:paraId="2338B0E3" w14:textId="5BBF0FB2" w:rsidR="00C52743" w:rsidRPr="00D2326E" w:rsidRDefault="00A20FDF" w:rsidP="00434013">
            <w:pPr>
              <w:pStyle w:val="ListParagraph"/>
              <w:ind w:left="176"/>
              <w:rPr>
                <w:b/>
                <w:color w:val="FFFFFF" w:themeColor="background1"/>
                <w:sz w:val="32"/>
                <w:szCs w:val="32"/>
              </w:rPr>
            </w:pPr>
            <w:r>
              <w:rPr>
                <w:b/>
                <w:color w:val="FFFFFF" w:themeColor="background1"/>
                <w:sz w:val="32"/>
                <w:szCs w:val="32"/>
              </w:rPr>
              <w:t>Improvement in employability skills and sustained, positive school leaver destinations for all young people</w:t>
            </w:r>
          </w:p>
        </w:tc>
        <w:tc>
          <w:tcPr>
            <w:tcW w:w="1843" w:type="dxa"/>
            <w:shd w:val="clear" w:color="auto" w:fill="B6DDE8" w:themeFill="accent5" w:themeFillTint="66"/>
            <w:vAlign w:val="center"/>
          </w:tcPr>
          <w:p w14:paraId="3D18CAF6" w14:textId="6810C75F" w:rsidR="00476591" w:rsidRPr="00D2326E" w:rsidRDefault="00952B71" w:rsidP="00434013">
            <w:pPr>
              <w:jc w:val="center"/>
              <w:rPr>
                <w:b/>
                <w:color w:val="FFFFFF" w:themeColor="background1"/>
                <w:sz w:val="32"/>
                <w:szCs w:val="32"/>
              </w:rPr>
            </w:pPr>
            <w:r>
              <w:rPr>
                <w:b/>
                <w:color w:val="FFFFFF" w:themeColor="background1"/>
                <w:sz w:val="32"/>
                <w:szCs w:val="32"/>
              </w:rPr>
              <w:t>34</w:t>
            </w:r>
          </w:p>
        </w:tc>
      </w:tr>
      <w:tr w:rsidR="00C52743" w14:paraId="5C01A881" w14:textId="77777777" w:rsidTr="006120A9">
        <w:trPr>
          <w:trHeight w:val="1077"/>
        </w:trPr>
        <w:tc>
          <w:tcPr>
            <w:tcW w:w="7371" w:type="dxa"/>
            <w:shd w:val="clear" w:color="auto" w:fill="B6DDE8" w:themeFill="accent5" w:themeFillTint="66"/>
            <w:vAlign w:val="center"/>
          </w:tcPr>
          <w:p w14:paraId="16F8A725" w14:textId="1E811B05" w:rsidR="00C52743" w:rsidRPr="00D2326E" w:rsidRDefault="00A20FDF" w:rsidP="00434013">
            <w:pPr>
              <w:pStyle w:val="ListParagraph"/>
              <w:ind w:left="176"/>
              <w:rPr>
                <w:b/>
                <w:color w:val="FFFFFF" w:themeColor="background1"/>
                <w:sz w:val="32"/>
                <w:szCs w:val="32"/>
              </w:rPr>
            </w:pPr>
            <w:r>
              <w:rPr>
                <w:b/>
                <w:color w:val="FFFFFF" w:themeColor="background1"/>
                <w:sz w:val="32"/>
                <w:szCs w:val="32"/>
              </w:rPr>
              <w:t>Getting it Right for Every Child</w:t>
            </w:r>
          </w:p>
        </w:tc>
        <w:tc>
          <w:tcPr>
            <w:tcW w:w="1843" w:type="dxa"/>
            <w:shd w:val="clear" w:color="auto" w:fill="B6DDE8" w:themeFill="accent5" w:themeFillTint="66"/>
            <w:vAlign w:val="center"/>
          </w:tcPr>
          <w:p w14:paraId="5F1FA4C9" w14:textId="0F0C74AA" w:rsidR="00476591" w:rsidRPr="00D2326E" w:rsidRDefault="00952B71" w:rsidP="00434013">
            <w:pPr>
              <w:jc w:val="center"/>
              <w:rPr>
                <w:b/>
                <w:color w:val="FFFFFF" w:themeColor="background1"/>
                <w:sz w:val="32"/>
                <w:szCs w:val="32"/>
              </w:rPr>
            </w:pPr>
            <w:r>
              <w:rPr>
                <w:b/>
                <w:color w:val="FFFFFF" w:themeColor="background1"/>
                <w:sz w:val="32"/>
                <w:szCs w:val="32"/>
              </w:rPr>
              <w:t>38</w:t>
            </w:r>
          </w:p>
        </w:tc>
      </w:tr>
      <w:tr w:rsidR="00C52743" w14:paraId="232B5D28" w14:textId="77777777" w:rsidTr="006120A9">
        <w:trPr>
          <w:trHeight w:val="1077"/>
        </w:trPr>
        <w:tc>
          <w:tcPr>
            <w:tcW w:w="7371" w:type="dxa"/>
            <w:shd w:val="clear" w:color="auto" w:fill="B6DDE8" w:themeFill="accent5" w:themeFillTint="66"/>
            <w:vAlign w:val="center"/>
          </w:tcPr>
          <w:p w14:paraId="0FAD3344" w14:textId="5A9023EE" w:rsidR="00C52743" w:rsidRPr="00D2326E" w:rsidRDefault="00A20FDF" w:rsidP="00434013">
            <w:pPr>
              <w:pStyle w:val="ListParagraph"/>
              <w:ind w:left="176"/>
              <w:rPr>
                <w:b/>
                <w:color w:val="FFFFFF" w:themeColor="background1"/>
                <w:sz w:val="32"/>
                <w:szCs w:val="32"/>
              </w:rPr>
            </w:pPr>
            <w:r>
              <w:rPr>
                <w:b/>
                <w:color w:val="FFFFFF" w:themeColor="background1"/>
                <w:sz w:val="32"/>
                <w:szCs w:val="32"/>
              </w:rPr>
              <w:t>Improving outcomes of care experienced children, young people</w:t>
            </w:r>
          </w:p>
        </w:tc>
        <w:tc>
          <w:tcPr>
            <w:tcW w:w="1843" w:type="dxa"/>
            <w:shd w:val="clear" w:color="auto" w:fill="B6DDE8" w:themeFill="accent5" w:themeFillTint="66"/>
            <w:vAlign w:val="center"/>
          </w:tcPr>
          <w:p w14:paraId="149B4178" w14:textId="3434F821" w:rsidR="00476591" w:rsidRPr="00D2326E" w:rsidRDefault="00952B71" w:rsidP="00434013">
            <w:pPr>
              <w:jc w:val="center"/>
              <w:rPr>
                <w:b/>
                <w:color w:val="FFFFFF" w:themeColor="background1"/>
                <w:sz w:val="32"/>
                <w:szCs w:val="32"/>
              </w:rPr>
            </w:pPr>
            <w:r>
              <w:rPr>
                <w:b/>
                <w:color w:val="FFFFFF" w:themeColor="background1"/>
                <w:sz w:val="32"/>
                <w:szCs w:val="32"/>
              </w:rPr>
              <w:t>47</w:t>
            </w:r>
          </w:p>
        </w:tc>
      </w:tr>
      <w:tr w:rsidR="00A2273E" w14:paraId="6C80769E" w14:textId="77777777" w:rsidTr="006120A9">
        <w:trPr>
          <w:trHeight w:val="1077"/>
        </w:trPr>
        <w:tc>
          <w:tcPr>
            <w:tcW w:w="7371" w:type="dxa"/>
            <w:shd w:val="clear" w:color="auto" w:fill="B6DDE8" w:themeFill="accent5" w:themeFillTint="66"/>
            <w:vAlign w:val="center"/>
          </w:tcPr>
          <w:p w14:paraId="3F935860" w14:textId="31472B71" w:rsidR="00A2273E" w:rsidRPr="00D2326E" w:rsidRDefault="00A2273E" w:rsidP="00434013">
            <w:pPr>
              <w:pStyle w:val="ListParagraph"/>
              <w:ind w:left="176"/>
              <w:rPr>
                <w:b/>
                <w:color w:val="FFFFFF" w:themeColor="background1"/>
                <w:sz w:val="32"/>
                <w:szCs w:val="32"/>
              </w:rPr>
            </w:pPr>
            <w:r>
              <w:rPr>
                <w:b/>
                <w:color w:val="FFFFFF" w:themeColor="background1"/>
                <w:sz w:val="32"/>
                <w:szCs w:val="32"/>
              </w:rPr>
              <w:t>Glossary of terms</w:t>
            </w:r>
          </w:p>
        </w:tc>
        <w:tc>
          <w:tcPr>
            <w:tcW w:w="1843" w:type="dxa"/>
            <w:shd w:val="clear" w:color="auto" w:fill="B6DDE8" w:themeFill="accent5" w:themeFillTint="66"/>
            <w:vAlign w:val="center"/>
          </w:tcPr>
          <w:p w14:paraId="594CA5C6" w14:textId="3ADBD9C6" w:rsidR="00A2273E" w:rsidRPr="00D2326E" w:rsidRDefault="000B32F3" w:rsidP="00434013">
            <w:pPr>
              <w:jc w:val="center"/>
              <w:rPr>
                <w:b/>
                <w:color w:val="FFFFFF" w:themeColor="background1"/>
                <w:sz w:val="32"/>
                <w:szCs w:val="32"/>
              </w:rPr>
            </w:pPr>
            <w:r>
              <w:rPr>
                <w:b/>
                <w:color w:val="FFFFFF" w:themeColor="background1"/>
                <w:sz w:val="32"/>
                <w:szCs w:val="32"/>
              </w:rPr>
              <w:t>50</w:t>
            </w:r>
          </w:p>
        </w:tc>
      </w:tr>
    </w:tbl>
    <w:p w14:paraId="688B085B" w14:textId="77777777" w:rsidR="001E450E" w:rsidRDefault="001E450E" w:rsidP="000540D3">
      <w:pPr>
        <w:sectPr w:rsidR="001E450E" w:rsidSect="002A692B">
          <w:pgSz w:w="11906" w:h="16838"/>
          <w:pgMar w:top="1134" w:right="991" w:bottom="1134" w:left="1440" w:header="708" w:footer="708" w:gutter="0"/>
          <w:pgNumType w:start="3" w:chapSep="period"/>
          <w:cols w:space="708"/>
          <w:docGrid w:linePitch="360"/>
        </w:sectPr>
      </w:pPr>
    </w:p>
    <w:p w14:paraId="38CC8951" w14:textId="77777777" w:rsidR="00F35121" w:rsidRPr="001B0B69" w:rsidRDefault="00F35121" w:rsidP="00FB089A">
      <w:pPr>
        <w:rPr>
          <w:b/>
          <w:sz w:val="32"/>
          <w:szCs w:val="32"/>
        </w:rPr>
      </w:pPr>
    </w:p>
    <w:p w14:paraId="19BCACC3" w14:textId="77777777" w:rsidR="00C4360D" w:rsidRPr="003104C4" w:rsidRDefault="006D30E0" w:rsidP="003104C4">
      <w:pPr>
        <w:rPr>
          <w:b/>
          <w:color w:val="FF0000"/>
          <w:sz w:val="32"/>
          <w:szCs w:val="32"/>
        </w:rPr>
      </w:pPr>
      <w:r w:rsidRPr="001B0B69">
        <w:rPr>
          <w:b/>
          <w:noProof/>
          <w:sz w:val="32"/>
          <w:szCs w:val="32"/>
          <w:lang w:eastAsia="en-GB"/>
        </w:rPr>
        <mc:AlternateContent>
          <mc:Choice Requires="wps">
            <w:drawing>
              <wp:anchor distT="0" distB="0" distL="114300" distR="114300" simplePos="0" relativeHeight="251641344" behindDoc="0" locked="0" layoutInCell="1" allowOverlap="1" wp14:anchorId="0B805BA6" wp14:editId="564896CA">
                <wp:simplePos x="0" y="0"/>
                <wp:positionH relativeFrom="column">
                  <wp:posOffset>-23854</wp:posOffset>
                </wp:positionH>
                <wp:positionV relativeFrom="paragraph">
                  <wp:posOffset>-284949</wp:posOffset>
                </wp:positionV>
                <wp:extent cx="5905500" cy="387706"/>
                <wp:effectExtent l="0" t="0" r="19050" b="31750"/>
                <wp:wrapNone/>
                <wp:docPr id="8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387706"/>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2DDC9534" w14:textId="77777777" w:rsidR="007E0210" w:rsidRPr="00044FA5" w:rsidRDefault="007E0210" w:rsidP="006120A9">
                            <w:pPr>
                              <w:pStyle w:val="Heading1"/>
                            </w:pPr>
                            <w:bookmarkStart w:id="1" w:name="_Toc164588538"/>
                            <w:r w:rsidRPr="00044FA5">
                              <w:t>Foreword</w:t>
                            </w:r>
                            <w:bookmarkEnd w:id="1"/>
                          </w:p>
                          <w:p w14:paraId="0254A8D0" w14:textId="77777777" w:rsidR="007E0210" w:rsidRDefault="007E0210" w:rsidP="00D02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B805BA6" id="AutoShape 3" o:spid="_x0000_s1027" style="position:absolute;margin-left:-1.9pt;margin-top:-22.45pt;width:465pt;height:30.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" fillcolor="#4bacc6 [3208]" stroked="f" strokecolor="#f2f2f2 [3041]" strokeweight="3pt">
                <v:shadow on="t" color="#205867 [1608]" opacity=".5" offset="1pt"/>
                <v:textbox>
                  <w:txbxContent>
                    <w:p w14:paraId="2DDC9534" w14:textId="77777777" w:rsidR="007E0210" w:rsidRPr="00044FA5" w:rsidRDefault="007E0210" w:rsidP="006120A9">
                      <w:pPr>
                        <w:pStyle w:val="Heading1"/>
                      </w:pPr>
                      <w:bookmarkStart w:id="2" w:name="_Toc164588538"/>
                      <w:r w:rsidRPr="00044FA5">
                        <w:t>Foreword</w:t>
                      </w:r>
                      <w:bookmarkEnd w:id="2"/>
                    </w:p>
                    <w:p w14:paraId="0254A8D0" w14:textId="77777777" w:rsidR="007E0210" w:rsidRDefault="007E0210" w:rsidP="00D02D32"/>
                  </w:txbxContent>
                </v:textbox>
              </v:roundrect>
            </w:pict>
          </mc:Fallback>
        </mc:AlternateContent>
      </w:r>
      <w:r w:rsidR="00732711" w:rsidRPr="001B0B69">
        <w:rPr>
          <w:b/>
          <w:color w:val="FFFFFF" w:themeColor="background1"/>
          <w:sz w:val="32"/>
          <w:szCs w:val="32"/>
        </w:rPr>
        <w:t>Foreword</w:t>
      </w:r>
    </w:p>
    <w:p w14:paraId="763C817D" w14:textId="19E11D5C"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rPr>
          <w:sz w:val="24"/>
          <w:szCs w:val="24"/>
        </w:rPr>
      </w:pPr>
      <w:r w:rsidRPr="001B0B69">
        <w:rPr>
          <w:sz w:val="24"/>
          <w:szCs w:val="24"/>
        </w:rPr>
        <w:t xml:space="preserve">Welcome to our Standards and Quality Report for </w:t>
      </w:r>
      <w:r w:rsidR="00CD5A15">
        <w:rPr>
          <w:sz w:val="24"/>
          <w:szCs w:val="24"/>
        </w:rPr>
        <w:t xml:space="preserve">the period </w:t>
      </w:r>
      <w:r w:rsidR="009C5B4A">
        <w:rPr>
          <w:sz w:val="24"/>
          <w:szCs w:val="24"/>
        </w:rPr>
        <w:t>April 202</w:t>
      </w:r>
      <w:r w:rsidR="00865DD4">
        <w:rPr>
          <w:sz w:val="24"/>
          <w:szCs w:val="24"/>
        </w:rPr>
        <w:t>5</w:t>
      </w:r>
      <w:r w:rsidR="00CD5A15">
        <w:rPr>
          <w:sz w:val="24"/>
          <w:szCs w:val="24"/>
        </w:rPr>
        <w:t xml:space="preserve"> – </w:t>
      </w:r>
      <w:r w:rsidR="009C5B4A">
        <w:rPr>
          <w:sz w:val="24"/>
          <w:szCs w:val="24"/>
        </w:rPr>
        <w:t>April 202</w:t>
      </w:r>
      <w:r w:rsidR="00865DD4">
        <w:rPr>
          <w:sz w:val="24"/>
          <w:szCs w:val="24"/>
        </w:rPr>
        <w:t>6</w:t>
      </w:r>
      <w:r w:rsidR="009C5B4A">
        <w:rPr>
          <w:sz w:val="24"/>
          <w:szCs w:val="24"/>
        </w:rPr>
        <w:t>.</w:t>
      </w:r>
    </w:p>
    <w:p w14:paraId="0A4091A6" w14:textId="77777777"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rPr>
          <w:sz w:val="24"/>
          <w:szCs w:val="24"/>
        </w:rPr>
      </w:pPr>
    </w:p>
    <w:p w14:paraId="6A203CE2" w14:textId="77777777"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r w:rsidRPr="001B0B69">
        <w:rPr>
          <w:sz w:val="24"/>
          <w:szCs w:val="24"/>
        </w:rPr>
        <w:t>This report provides the people of Inverclyde with the performance information needed to understand how well Inverclyde Council is improving education across the a</w:t>
      </w:r>
      <w:r w:rsidR="009451B7" w:rsidRPr="001B0B69">
        <w:rPr>
          <w:sz w:val="24"/>
          <w:szCs w:val="24"/>
        </w:rPr>
        <w:t>uthority.  T</w:t>
      </w:r>
      <w:r w:rsidRPr="001B0B69">
        <w:rPr>
          <w:sz w:val="24"/>
          <w:szCs w:val="24"/>
        </w:rPr>
        <w:t xml:space="preserve">he report links to the key drivers of the National Improvement Framework (NIF) </w:t>
      </w:r>
      <w:proofErr w:type="gramStart"/>
      <w:r w:rsidRPr="001B0B69">
        <w:rPr>
          <w:sz w:val="24"/>
          <w:szCs w:val="24"/>
        </w:rPr>
        <w:t>and also</w:t>
      </w:r>
      <w:proofErr w:type="gramEnd"/>
      <w:r w:rsidRPr="001B0B69">
        <w:rPr>
          <w:sz w:val="24"/>
          <w:szCs w:val="24"/>
        </w:rPr>
        <w:t xml:space="preserve"> to the Education Services Improvement Plan which clearly states how Inverclyde Council intends to drive forward further improvements over the coming year.</w:t>
      </w:r>
    </w:p>
    <w:p w14:paraId="71CC910D" w14:textId="77777777"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p>
    <w:p w14:paraId="4FE58F97" w14:textId="77777777"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r w:rsidRPr="001B0B69">
        <w:rPr>
          <w:sz w:val="24"/>
          <w:szCs w:val="24"/>
        </w:rPr>
        <w:t xml:space="preserve">It is vital that we continue to work in partnership to ensure that the standards and quality which are at the heart of an effective education service are maintained and continue to improve in Inverclyde.  We are delighted that these partnerships remain strong and would like to thank all of those who have tirelessly supported our young people to achieve the incredible achievements contained in this report.   </w:t>
      </w:r>
    </w:p>
    <w:p w14:paraId="34C2750A" w14:textId="77777777"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p>
    <w:p w14:paraId="2310CAAA" w14:textId="2F424F67"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r w:rsidRPr="001B0B69">
        <w:rPr>
          <w:sz w:val="24"/>
          <w:szCs w:val="24"/>
        </w:rPr>
        <w:t xml:space="preserve">Inverclyde Council is committed to delivering a </w:t>
      </w:r>
      <w:r w:rsidR="00720E5E" w:rsidRPr="001B0B69">
        <w:rPr>
          <w:sz w:val="24"/>
          <w:szCs w:val="24"/>
        </w:rPr>
        <w:t>high-quality</w:t>
      </w:r>
      <w:r w:rsidRPr="001B0B69">
        <w:rPr>
          <w:sz w:val="24"/>
          <w:szCs w:val="24"/>
        </w:rPr>
        <w:t xml:space="preserve"> education provision in learning environments fit for learning and teaching in the 21</w:t>
      </w:r>
      <w:r w:rsidRPr="001B0B69">
        <w:rPr>
          <w:sz w:val="24"/>
          <w:szCs w:val="24"/>
          <w:vertAlign w:val="superscript"/>
        </w:rPr>
        <w:t>st</w:t>
      </w:r>
      <w:r w:rsidRPr="001B0B69">
        <w:rPr>
          <w:sz w:val="24"/>
          <w:szCs w:val="24"/>
        </w:rPr>
        <w:t xml:space="preserve"> century.  Environments that nurture ambition and aspirations, improve attainment and achievement, and create and widen opportunities for all children and young people to achieve their full potential.  Throughout this Standards and Quality Report you will see examples of how this commitment has been demonstrated.  </w:t>
      </w:r>
    </w:p>
    <w:p w14:paraId="563BA0EA" w14:textId="77777777" w:rsidR="008A75CD" w:rsidRPr="001B0B69"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p>
    <w:p w14:paraId="489923F3" w14:textId="77777777" w:rsidR="008A75CD" w:rsidRDefault="008A75CD"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r w:rsidRPr="001B0B69">
        <w:rPr>
          <w:sz w:val="24"/>
          <w:szCs w:val="24"/>
        </w:rPr>
        <w:t>Whilst you will read about our many successes and improving trends in attainment and achievements, this report also outlines some of our key priorities for the coming year.  We will continue to put children, families and communities at the centre of our plans, activities and improvements, and build on our strengths and achievements.  By doing this we will demonstrate our ongoing commitment to getting it right for every child, citizen and community.</w:t>
      </w:r>
    </w:p>
    <w:p w14:paraId="3604ED2E" w14:textId="77777777" w:rsidR="009F64F2" w:rsidRDefault="009F64F2"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p>
    <w:p w14:paraId="760BD79F" w14:textId="77777777" w:rsidR="003104C4" w:rsidRDefault="003104C4"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r>
        <w:rPr>
          <w:sz w:val="24"/>
          <w:szCs w:val="24"/>
        </w:rPr>
        <w:t>Links to glossaries of ed</w:t>
      </w:r>
      <w:r w:rsidR="00B40170">
        <w:rPr>
          <w:sz w:val="24"/>
          <w:szCs w:val="24"/>
        </w:rPr>
        <w:t>ucation</w:t>
      </w:r>
      <w:r>
        <w:rPr>
          <w:sz w:val="24"/>
          <w:szCs w:val="24"/>
        </w:rPr>
        <w:t xml:space="preserve"> termin</w:t>
      </w:r>
      <w:r w:rsidR="00B40170">
        <w:rPr>
          <w:sz w:val="24"/>
          <w:szCs w:val="24"/>
        </w:rPr>
        <w:t>ology</w:t>
      </w:r>
      <w:r>
        <w:rPr>
          <w:sz w:val="24"/>
          <w:szCs w:val="24"/>
        </w:rPr>
        <w:t xml:space="preserve"> that will support the reading of this docu</w:t>
      </w:r>
      <w:r w:rsidR="00B40170">
        <w:rPr>
          <w:sz w:val="24"/>
          <w:szCs w:val="24"/>
        </w:rPr>
        <w:t>ment</w:t>
      </w:r>
      <w:r>
        <w:rPr>
          <w:sz w:val="24"/>
          <w:szCs w:val="24"/>
        </w:rPr>
        <w:t xml:space="preserve"> can be found at:</w:t>
      </w:r>
    </w:p>
    <w:p w14:paraId="3F5BEDC4" w14:textId="77777777" w:rsidR="003104C4" w:rsidRDefault="00B17303"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hyperlink r:id="rId17" w:history="1">
        <w:r w:rsidR="003104C4" w:rsidRPr="0033202B">
          <w:rPr>
            <w:rStyle w:val="Hyperlink"/>
            <w:sz w:val="24"/>
            <w:szCs w:val="24"/>
          </w:rPr>
          <w:t>https://education.gov.scot/parentzone/my-school/education-glossary/</w:t>
        </w:r>
      </w:hyperlink>
    </w:p>
    <w:p w14:paraId="44BD4D8C" w14:textId="77777777" w:rsidR="00B40170" w:rsidRDefault="00B40170"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p>
    <w:p w14:paraId="2D54C96E" w14:textId="77777777" w:rsidR="003104C4" w:rsidRDefault="00B17303"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rStyle w:val="Hyperlink"/>
          <w:sz w:val="24"/>
          <w:szCs w:val="24"/>
        </w:rPr>
      </w:pPr>
      <w:hyperlink r:id="rId18" w:history="1">
        <w:r w:rsidR="003104C4" w:rsidRPr="0033202B">
          <w:rPr>
            <w:rStyle w:val="Hyperlink"/>
            <w:sz w:val="24"/>
            <w:szCs w:val="24"/>
          </w:rPr>
          <w:t>https://www.edubuzz.org/pencaitland/wp-content/blogs.dir/115/files/2017/11/List-of-Acronyms-2017-1.pdf</w:t>
        </w:r>
      </w:hyperlink>
    </w:p>
    <w:p w14:paraId="28C04513" w14:textId="77777777" w:rsidR="009C5B4A" w:rsidRDefault="009C5B4A"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rStyle w:val="Hyperlink"/>
          <w:sz w:val="24"/>
          <w:szCs w:val="24"/>
        </w:rPr>
      </w:pPr>
    </w:p>
    <w:p w14:paraId="7326A1A5" w14:textId="47F09DDE" w:rsidR="009C5B4A" w:rsidRPr="00EC2CA5" w:rsidRDefault="0018091B"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rStyle w:val="Hyperlink"/>
          <w:sz w:val="24"/>
          <w:szCs w:val="24"/>
        </w:rPr>
      </w:pPr>
      <w:r w:rsidRPr="00EC2CA5">
        <w:rPr>
          <w:sz w:val="24"/>
          <w:szCs w:val="24"/>
        </w:rPr>
        <w:t>A full glossary of terms used can be found at the end of the document.</w:t>
      </w:r>
    </w:p>
    <w:p w14:paraId="2C143C8A" w14:textId="77777777" w:rsidR="009C5B4A" w:rsidRDefault="009C5B4A"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rStyle w:val="Hyperlink"/>
          <w:sz w:val="24"/>
          <w:szCs w:val="24"/>
        </w:rPr>
      </w:pPr>
    </w:p>
    <w:p w14:paraId="1F634EE1" w14:textId="77777777" w:rsidR="009C5B4A" w:rsidRDefault="009C5B4A"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rStyle w:val="Hyperlink"/>
          <w:sz w:val="24"/>
          <w:szCs w:val="24"/>
        </w:rPr>
      </w:pPr>
    </w:p>
    <w:p w14:paraId="3FD5D1EC" w14:textId="77777777" w:rsidR="009C5B4A" w:rsidRDefault="009C5B4A" w:rsidP="001E3DEE">
      <w:pPr>
        <w:pBdr>
          <w:top w:val="single" w:sz="36" w:space="1" w:color="92CDDC" w:themeColor="accent5" w:themeTint="99"/>
          <w:left w:val="single" w:sz="36" w:space="4" w:color="92CDDC" w:themeColor="accent5" w:themeTint="99"/>
          <w:bottom w:val="single" w:sz="36" w:space="1" w:color="92CDDC" w:themeColor="accent5" w:themeTint="99"/>
          <w:right w:val="single" w:sz="36" w:space="4" w:color="92CDDC" w:themeColor="accent5" w:themeTint="99"/>
        </w:pBdr>
        <w:spacing w:after="0"/>
        <w:jc w:val="both"/>
        <w:rPr>
          <w:sz w:val="24"/>
          <w:szCs w:val="24"/>
        </w:rPr>
      </w:pPr>
    </w:p>
    <w:p w14:paraId="08E32FD1" w14:textId="0266974C" w:rsidR="00B21D43" w:rsidRDefault="00B21D43">
      <w:pPr>
        <w:rPr>
          <w:b/>
          <w:sz w:val="24"/>
          <w:szCs w:val="24"/>
        </w:rPr>
      </w:pPr>
      <w:r>
        <w:rPr>
          <w:b/>
          <w:sz w:val="24"/>
          <w:szCs w:val="24"/>
        </w:rPr>
        <w:br w:type="page"/>
      </w:r>
    </w:p>
    <w:p w14:paraId="0EAE19AE" w14:textId="77777777" w:rsidR="00570366" w:rsidRPr="001B0B69" w:rsidRDefault="006D30E0" w:rsidP="00FB089A">
      <w:pPr>
        <w:rPr>
          <w:b/>
          <w:sz w:val="24"/>
          <w:szCs w:val="24"/>
        </w:rPr>
      </w:pPr>
      <w:r w:rsidRPr="001B0B69">
        <w:rPr>
          <w:b/>
          <w:noProof/>
          <w:sz w:val="32"/>
          <w:szCs w:val="32"/>
          <w:lang w:eastAsia="en-GB"/>
        </w:rPr>
        <w:lastRenderedPageBreak/>
        <mc:AlternateContent>
          <mc:Choice Requires="wps">
            <w:drawing>
              <wp:anchor distT="0" distB="0" distL="114300" distR="114300" simplePos="0" relativeHeight="251645440" behindDoc="0" locked="0" layoutInCell="1" allowOverlap="1" wp14:anchorId="39CDB905" wp14:editId="243FD567">
                <wp:simplePos x="0" y="0"/>
                <wp:positionH relativeFrom="column">
                  <wp:posOffset>-21946</wp:posOffset>
                </wp:positionH>
                <wp:positionV relativeFrom="paragraph">
                  <wp:posOffset>95250</wp:posOffset>
                </wp:positionV>
                <wp:extent cx="6076950" cy="380390"/>
                <wp:effectExtent l="0" t="0" r="19050" b="38735"/>
                <wp:wrapNone/>
                <wp:docPr id="8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80390"/>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27B831E8" w14:textId="77777777" w:rsidR="007E0210" w:rsidRPr="004703E4" w:rsidRDefault="007E0210" w:rsidP="006120A9">
                            <w:pPr>
                              <w:pStyle w:val="Heading1"/>
                            </w:pPr>
                            <w:bookmarkStart w:id="2" w:name="_Toc164588539"/>
                            <w:r>
                              <w:t xml:space="preserve">Vision and </w:t>
                            </w:r>
                            <w:r w:rsidRPr="004703E4">
                              <w:t>Context</w:t>
                            </w:r>
                            <w:bookmarkEnd w:id="2"/>
                            <w:r w:rsidRPr="004703E4">
                              <w:t xml:space="preserve"> </w:t>
                            </w:r>
                          </w:p>
                          <w:p w14:paraId="605F58FA" w14:textId="77777777" w:rsidR="007E0210" w:rsidRDefault="007E0210" w:rsidP="005703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9CDB905" id="AutoShape 9" o:spid="_x0000_s1028" style="position:absolute;margin-left:-1.75pt;margin-top:7.5pt;width:478.5pt;height:29.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" fillcolor="#4bacc6 [3208]" stroked="f" strokecolor="#f2f2f2 [3041]" strokeweight="3pt">
                <v:shadow on="t" color="#205867 [1608]" opacity=".5" offset="1pt"/>
                <v:textbox>
                  <w:txbxContent>
                    <w:p w14:paraId="27B831E8" w14:textId="77777777" w:rsidR="007E0210" w:rsidRPr="004703E4" w:rsidRDefault="007E0210" w:rsidP="006120A9">
                      <w:pPr>
                        <w:pStyle w:val="Heading1"/>
                      </w:pPr>
                      <w:bookmarkStart w:id="4" w:name="_Toc164588539"/>
                      <w:r>
                        <w:t xml:space="preserve">Vision and </w:t>
                      </w:r>
                      <w:r w:rsidRPr="004703E4">
                        <w:t>Context</w:t>
                      </w:r>
                      <w:bookmarkEnd w:id="4"/>
                      <w:r w:rsidRPr="004703E4">
                        <w:t xml:space="preserve"> </w:t>
                      </w:r>
                    </w:p>
                    <w:p w14:paraId="605F58FA" w14:textId="77777777" w:rsidR="007E0210" w:rsidRDefault="007E0210" w:rsidP="00570366"/>
                  </w:txbxContent>
                </v:textbox>
              </v:roundrect>
            </w:pict>
          </mc:Fallback>
        </mc:AlternateContent>
      </w:r>
    </w:p>
    <w:p w14:paraId="481BD6E4" w14:textId="77777777" w:rsidR="006E20CB" w:rsidRPr="001B0B69" w:rsidRDefault="006E20CB" w:rsidP="00FB089A">
      <w:pPr>
        <w:rPr>
          <w:b/>
          <w:sz w:val="32"/>
          <w:szCs w:val="32"/>
        </w:rPr>
      </w:pPr>
    </w:p>
    <w:p w14:paraId="068D95ED" w14:textId="7C6320E8" w:rsidR="00A328EA" w:rsidRPr="00A328EA" w:rsidRDefault="00A328EA" w:rsidP="00A328EA">
      <w:pPr>
        <w:spacing w:after="0"/>
        <w:rPr>
          <w:b/>
          <w:bCs/>
          <w:color w:val="0A0A0A"/>
          <w:shd w:val="clear" w:color="auto" w:fill="FFFFFF"/>
        </w:rPr>
      </w:pPr>
      <w:r w:rsidRPr="00A328EA">
        <w:rPr>
          <w:b/>
          <w:bCs/>
          <w:color w:val="0A0A0A"/>
          <w:shd w:val="clear" w:color="auto" w:fill="FFFFFF"/>
        </w:rPr>
        <w:t>Vision - Success for all - Getting it right for every child, citizen and community.</w:t>
      </w:r>
    </w:p>
    <w:p w14:paraId="1C2717C5" w14:textId="00BD61F2" w:rsidR="00A328EA" w:rsidRPr="00A328EA" w:rsidRDefault="00A328EA" w:rsidP="004E43B5">
      <w:pPr>
        <w:spacing w:after="0"/>
        <w:rPr>
          <w:b/>
          <w:bCs/>
          <w:color w:val="0A0A0A"/>
          <w:shd w:val="clear" w:color="auto" w:fill="FFFFFF"/>
        </w:rPr>
      </w:pPr>
    </w:p>
    <w:p w14:paraId="668588C1" w14:textId="2827DBC7" w:rsidR="00A328EA" w:rsidRPr="00A328EA" w:rsidRDefault="00A328EA" w:rsidP="004E43B5">
      <w:pPr>
        <w:spacing w:after="0"/>
        <w:rPr>
          <w:color w:val="0A0A0A"/>
          <w:shd w:val="clear" w:color="auto" w:fill="FFFFFF"/>
        </w:rPr>
      </w:pPr>
      <w:r w:rsidRPr="00A328EA">
        <w:rPr>
          <w:color w:val="0A0A0A"/>
          <w:shd w:val="clear" w:color="auto" w:fill="FFFFFF"/>
        </w:rPr>
        <w:t>The 2023/28 Council Plan sets out the vision for the Council as a whole and the ways in which we hope to improve the lives of, and deliver better outcomes for, the people of Inverclyde. In striving to deliver this strategic plan, and by working with our Inverclyde Alliance partners, we will aim to achieve the vision of: "Success for all - Getting it right for every child, citizen and community".</w:t>
      </w:r>
    </w:p>
    <w:p w14:paraId="14454B15" w14:textId="77777777" w:rsidR="00A328EA" w:rsidRPr="00A328EA" w:rsidRDefault="00A328EA" w:rsidP="00A328EA">
      <w:pPr>
        <w:pStyle w:val="NormalWeb"/>
        <w:shd w:val="clear" w:color="auto" w:fill="FFFFFF"/>
        <w:rPr>
          <w:rFonts w:ascii="Arial" w:hAnsi="Arial" w:cs="Arial"/>
          <w:color w:val="0A0A0A"/>
          <w:sz w:val="22"/>
          <w:szCs w:val="22"/>
        </w:rPr>
      </w:pPr>
      <w:r w:rsidRPr="00A328EA">
        <w:rPr>
          <w:rFonts w:ascii="Arial" w:hAnsi="Arial" w:cs="Arial"/>
          <w:color w:val="0A0A0A"/>
          <w:sz w:val="22"/>
          <w:szCs w:val="22"/>
        </w:rPr>
        <w:t>At its heart, the Council Plan 2023/28 aims to ensure that Inverclyde Council is a dynamic service provider, able to respond to the needs of all our communities and one that plays its part actively as part of public life, locally and nationally.</w:t>
      </w:r>
    </w:p>
    <w:p w14:paraId="415E1808" w14:textId="3F365C1C" w:rsidR="00A328EA" w:rsidRPr="00A328EA" w:rsidRDefault="00A328EA" w:rsidP="00A328EA">
      <w:pPr>
        <w:pStyle w:val="NormalWeb"/>
        <w:shd w:val="clear" w:color="auto" w:fill="FFFFFF"/>
        <w:rPr>
          <w:rFonts w:ascii="Arial" w:hAnsi="Arial" w:cs="Arial"/>
          <w:color w:val="0A0A0A"/>
          <w:sz w:val="22"/>
          <w:szCs w:val="22"/>
        </w:rPr>
      </w:pPr>
      <w:r w:rsidRPr="00A328EA">
        <w:rPr>
          <w:rFonts w:ascii="Arial" w:hAnsi="Arial" w:cs="Arial"/>
          <w:color w:val="0A0A0A"/>
          <w:sz w:val="22"/>
          <w:szCs w:val="22"/>
        </w:rPr>
        <w:t xml:space="preserve">The Council Plan 2023/28 aligns to and supports the Inverclyde Alliance Partnership Plan 2023/33, ensuring that partners work together to create conditions that promote success for all and addresses inequalities. </w:t>
      </w:r>
    </w:p>
    <w:p w14:paraId="51CCB59C" w14:textId="77777777" w:rsidR="00A328EA" w:rsidRPr="00A328EA" w:rsidRDefault="00A328EA" w:rsidP="00A328EA">
      <w:pPr>
        <w:pStyle w:val="NormalWeb"/>
        <w:shd w:val="clear" w:color="auto" w:fill="FFFFFF"/>
        <w:rPr>
          <w:rFonts w:ascii="Arial" w:hAnsi="Arial" w:cs="Arial"/>
          <w:color w:val="0A0A0A"/>
          <w:sz w:val="22"/>
          <w:szCs w:val="22"/>
        </w:rPr>
      </w:pPr>
      <w:r w:rsidRPr="00A328EA">
        <w:rPr>
          <w:rFonts w:ascii="Arial" w:hAnsi="Arial" w:cs="Arial"/>
          <w:color w:val="0A0A0A"/>
          <w:sz w:val="22"/>
          <w:szCs w:val="22"/>
        </w:rPr>
        <w:t>The Inverclyde Commitment is "Success for All – Getting It Right for Every Child, Citizen and Community". We are very aware that life opportunities vary across our population and there are significant challenges in relation to deprivation and inequality. We want to achieve success for all, with everyone in our communities being able to easily access high quality Council services.</w:t>
      </w:r>
    </w:p>
    <w:p w14:paraId="163DE0C9" w14:textId="2F99C409" w:rsidR="004E43B5" w:rsidRDefault="00A328EA" w:rsidP="004E43B5">
      <w:pPr>
        <w:spacing w:after="0"/>
        <w:rPr>
          <w:b/>
          <w:bCs/>
        </w:rPr>
      </w:pPr>
      <w:r w:rsidRPr="00A328EA">
        <w:rPr>
          <w:b/>
          <w:bCs/>
        </w:rPr>
        <w:t>Education services context</w:t>
      </w:r>
    </w:p>
    <w:p w14:paraId="2BA7D571" w14:textId="77777777" w:rsidR="00A328EA" w:rsidRPr="00A328EA" w:rsidRDefault="00A328EA" w:rsidP="004E43B5">
      <w:pPr>
        <w:spacing w:after="0"/>
        <w:rPr>
          <w:b/>
          <w:bCs/>
        </w:rPr>
      </w:pPr>
    </w:p>
    <w:p w14:paraId="5EE5302C" w14:textId="27AB972A" w:rsidR="004E43B5" w:rsidRDefault="004E43B5" w:rsidP="004E43B5">
      <w:r w:rsidRPr="001B0B69">
        <w:t>There are six mainstream secondary schools in Inve</w:t>
      </w:r>
      <w:r>
        <w:t>rclyde, 20 primary schools (</w:t>
      </w:r>
      <w:r w:rsidR="00664008">
        <w:t>ten</w:t>
      </w:r>
      <w:r>
        <w:t xml:space="preserve"> with nursery classes)</w:t>
      </w:r>
      <w:r w:rsidR="001452F1">
        <w:t xml:space="preserve">, </w:t>
      </w:r>
      <w:r w:rsidR="00682232">
        <w:t>and 11</w:t>
      </w:r>
      <w:r>
        <w:t xml:space="preserve"> </w:t>
      </w:r>
      <w:r w:rsidRPr="001B0B69">
        <w:t xml:space="preserve">Early Learning and Childcare Centres.  In addition to this, Craigmarloch </w:t>
      </w:r>
      <w:r>
        <w:t xml:space="preserve">School and Lomond View Academy </w:t>
      </w:r>
      <w:r w:rsidRPr="001B0B69">
        <w:t>support pupils with additional support needs</w:t>
      </w:r>
      <w:r w:rsidR="00664008">
        <w:t xml:space="preserve"> (ASN)</w:t>
      </w:r>
      <w:r w:rsidRPr="001B0B69">
        <w:t xml:space="preserve"> or those who are unable to sustain a pla</w:t>
      </w:r>
      <w:r>
        <w:t xml:space="preserve">cement in a mainstream school. We also have </w:t>
      </w:r>
      <w:r w:rsidR="00664008">
        <w:t>two</w:t>
      </w:r>
      <w:r>
        <w:t xml:space="preserve"> ASN provisions to support pupils with language and communication, based at All Saints Primary and Notre Dame High School. </w:t>
      </w:r>
      <w:r w:rsidR="00C6080F">
        <w:t>O</w:t>
      </w:r>
      <w:r w:rsidR="001C5698">
        <w:t xml:space="preserve">ur </w:t>
      </w:r>
      <w:r>
        <w:t>Virtual School for Care Experienced Young people has been fully functional since August 2022</w:t>
      </w:r>
      <w:r w:rsidR="00C6080F">
        <w:t xml:space="preserve"> and is now </w:t>
      </w:r>
      <w:r>
        <w:t xml:space="preserve">incorporated </w:t>
      </w:r>
      <w:r w:rsidR="00C6080F">
        <w:t>alongside t</w:t>
      </w:r>
      <w:r>
        <w:t>he Corporate Parenting team</w:t>
      </w:r>
      <w:r w:rsidR="001C5698">
        <w:t xml:space="preserve"> </w:t>
      </w:r>
      <w:r w:rsidR="00C6080F">
        <w:t xml:space="preserve">as part of the overall offer from Lomond </w:t>
      </w:r>
      <w:r w:rsidR="001C5698">
        <w:t>View Academy</w:t>
      </w:r>
      <w:r w:rsidR="00C6080F">
        <w:t>, with the Virtual Head teacher being the head of both</w:t>
      </w:r>
      <w:r w:rsidR="001C5698">
        <w:t>.</w:t>
      </w:r>
      <w:r>
        <w:t xml:space="preserve"> We have a provision and outreach service for deaf pupils called Garvel, based across Moorfoot Primary and Clydeview Academy. </w:t>
      </w:r>
      <w:r w:rsidR="00865DD4">
        <w:t>During the academic session 2025/26 a</w:t>
      </w:r>
      <w:r w:rsidR="00DD75EB">
        <w:t xml:space="preserve"> new ASN provision </w:t>
      </w:r>
      <w:r w:rsidR="00170470">
        <w:t xml:space="preserve">called The Cove </w:t>
      </w:r>
      <w:r w:rsidR="00DD75EB">
        <w:t>at Clydeview Academy</w:t>
      </w:r>
      <w:r w:rsidR="00865DD4">
        <w:t xml:space="preserve"> opened to its first cohort of pupils.</w:t>
      </w:r>
    </w:p>
    <w:p w14:paraId="1975E7D2" w14:textId="6D59609D" w:rsidR="004E43B5" w:rsidRPr="004C684B" w:rsidRDefault="004E43B5" w:rsidP="004E43B5">
      <w:pPr>
        <w:rPr>
          <w:color w:val="1F497D"/>
        </w:rPr>
      </w:pPr>
      <w:proofErr w:type="gramStart"/>
      <w:r>
        <w:t>A number of</w:t>
      </w:r>
      <w:proofErr w:type="gramEnd"/>
      <w:r>
        <w:t xml:space="preserve"> other services also support pupils with ASN. These </w:t>
      </w:r>
      <w:proofErr w:type="gramStart"/>
      <w:r>
        <w:t>include:</w:t>
      </w:r>
      <w:proofErr w:type="gramEnd"/>
      <w:r>
        <w:t xml:space="preserve"> Inverclyde Communication Outreach Service (ICOS), English as an Additional Language</w:t>
      </w:r>
      <w:r w:rsidR="00664008">
        <w:t xml:space="preserve"> (EAL)</w:t>
      </w:r>
      <w:r>
        <w:t xml:space="preserve"> and Bilingualism Service (</w:t>
      </w:r>
      <w:r w:rsidR="001C5698">
        <w:t>b</w:t>
      </w:r>
      <w:r>
        <w:t xml:space="preserve">ased at Whinhill Primary) and the Visual Impairment and Habilitation </w:t>
      </w:r>
      <w:r w:rsidRPr="004C684B">
        <w:t>Service (based at Craigmarloch).</w:t>
      </w:r>
    </w:p>
    <w:p w14:paraId="5B4B22FA" w14:textId="7977416C" w:rsidR="004E43B5" w:rsidRDefault="0083493F" w:rsidP="004E43B5">
      <w:pPr>
        <w:rPr>
          <w:highlight w:val="yellow"/>
        </w:rPr>
      </w:pPr>
      <w:bookmarkStart w:id="3" w:name="_Hlk161661074"/>
      <w:r w:rsidRPr="004B5354">
        <w:t>As of October 202</w:t>
      </w:r>
      <w:r w:rsidR="00C2095D" w:rsidRPr="004B5354">
        <w:t>5</w:t>
      </w:r>
      <w:r w:rsidRPr="004B5354">
        <w:t xml:space="preserve">, there were </w:t>
      </w:r>
      <w:r w:rsidR="004B5354" w:rsidRPr="004B5354">
        <w:t>4863</w:t>
      </w:r>
      <w:r w:rsidRPr="004B5354">
        <w:t xml:space="preserve"> primary school pupils and </w:t>
      </w:r>
      <w:r w:rsidR="004B5354" w:rsidRPr="004B5354">
        <w:t>4379</w:t>
      </w:r>
      <w:r w:rsidRPr="004B5354">
        <w:t xml:space="preserve"> secondary school pupils. There are also 2</w:t>
      </w:r>
      <w:r w:rsidR="004B5354" w:rsidRPr="004B5354">
        <w:t>48</w:t>
      </w:r>
      <w:r w:rsidRPr="004B5354">
        <w:t xml:space="preserve"> pupils in ASN schools </w:t>
      </w:r>
      <w:r w:rsidR="004E43B5" w:rsidRPr="004B5354">
        <w:t xml:space="preserve">and </w:t>
      </w:r>
      <w:r w:rsidR="00282DCD" w:rsidRPr="00AC4C9B">
        <w:t>1</w:t>
      </w:r>
      <w:r w:rsidR="004B5354" w:rsidRPr="00AC4C9B">
        <w:t>252</w:t>
      </w:r>
      <w:r w:rsidR="004E43B5" w:rsidRPr="00AC4C9B">
        <w:t xml:space="preserve"> children in Local Authority Early Years settings.</w:t>
      </w:r>
    </w:p>
    <w:bookmarkEnd w:id="3"/>
    <w:p w14:paraId="4F78598A" w14:textId="77777777" w:rsidR="005B31E4" w:rsidRDefault="005B31E4" w:rsidP="00FB089A"/>
    <w:p w14:paraId="570FD2C8" w14:textId="77777777" w:rsidR="005B31E4" w:rsidRDefault="005B31E4" w:rsidP="00FB089A"/>
    <w:p w14:paraId="6643B76D" w14:textId="4D4774D9" w:rsidR="002F51E9" w:rsidRPr="001B0B69" w:rsidRDefault="002F51E9" w:rsidP="006120A9">
      <w:pPr>
        <w:jc w:val="center"/>
      </w:pPr>
    </w:p>
    <w:p w14:paraId="4EE0B12E" w14:textId="421A9C1E" w:rsidR="004A4CA3" w:rsidRDefault="00EF5089" w:rsidP="00FB089A">
      <w:pPr>
        <w:rPr>
          <w:b/>
          <w:sz w:val="32"/>
          <w:szCs w:val="32"/>
        </w:rPr>
      </w:pPr>
      <w:r w:rsidRPr="001B0B69">
        <w:rPr>
          <w:noProof/>
          <w:lang w:eastAsia="en-GB"/>
        </w:rPr>
        <mc:AlternateContent>
          <mc:Choice Requires="wps">
            <w:drawing>
              <wp:inline distT="0" distB="0" distL="0" distR="0" wp14:anchorId="11E3F994" wp14:editId="0683D2CD">
                <wp:extent cx="5829300" cy="4485190"/>
                <wp:effectExtent l="19050" t="19050" r="19050" b="10795"/>
                <wp:docPr id="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48519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5A7F86" w14:textId="77777777" w:rsidR="007E0210" w:rsidRDefault="007E0210" w:rsidP="00EF5089">
                            <w:pPr>
                              <w:spacing w:after="0"/>
                              <w:rPr>
                                <w:b/>
                                <w:color w:val="215868" w:themeColor="accent5" w:themeShade="80"/>
                              </w:rPr>
                            </w:pPr>
                          </w:p>
                          <w:p w14:paraId="2FDB1797" w14:textId="77777777" w:rsidR="007E0210" w:rsidRPr="00577433" w:rsidRDefault="007E0210" w:rsidP="00EF5089">
                            <w:pPr>
                              <w:spacing w:after="0"/>
                              <w:rPr>
                                <w:b/>
                                <w:color w:val="215868" w:themeColor="accent5" w:themeShade="80"/>
                                <w:sz w:val="24"/>
                                <w:szCs w:val="24"/>
                              </w:rPr>
                            </w:pPr>
                            <w:r w:rsidRPr="00577433">
                              <w:rPr>
                                <w:b/>
                                <w:color w:val="215868" w:themeColor="accent5" w:themeShade="80"/>
                                <w:sz w:val="24"/>
                                <w:szCs w:val="24"/>
                              </w:rPr>
                              <w:t>Wellbeing Outcomes</w:t>
                            </w:r>
                          </w:p>
                          <w:p w14:paraId="0324C284" w14:textId="77777777" w:rsidR="007E0210" w:rsidRPr="00753E24" w:rsidRDefault="007E0210" w:rsidP="00EF5089">
                            <w:pPr>
                              <w:spacing w:after="0"/>
                              <w:rPr>
                                <w:b/>
                                <w:color w:val="215868" w:themeColor="accent5" w:themeShade="80"/>
                              </w:rPr>
                            </w:pPr>
                          </w:p>
                          <w:p w14:paraId="34470072" w14:textId="03FE1380" w:rsidR="007E0210" w:rsidRDefault="007E0210" w:rsidP="00EF5089">
                            <w:pPr>
                              <w:spacing w:after="0"/>
                            </w:pPr>
                            <w:r>
                              <w:t xml:space="preserve">We have </w:t>
                            </w:r>
                            <w:proofErr w:type="gramStart"/>
                            <w:r>
                              <w:t>a number of</w:t>
                            </w:r>
                            <w:proofErr w:type="gramEnd"/>
                            <w:r>
                              <w:t xml:space="preserve"> wellbeing outcomes (SHANARRI) that we wish to achieve for our children and young people.  These are:</w:t>
                            </w:r>
                          </w:p>
                          <w:p w14:paraId="22E8DBA0" w14:textId="77777777" w:rsidR="007E0210" w:rsidRDefault="007E0210" w:rsidP="00EF5089">
                            <w:pPr>
                              <w:spacing w:after="0"/>
                            </w:pPr>
                          </w:p>
                          <w:p w14:paraId="5A3E5B2C"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Safe</w:t>
                            </w:r>
                            <w:r w:rsidRPr="00D1211C">
                              <w:rPr>
                                <w:b/>
                              </w:rPr>
                              <w:t>:</w:t>
                            </w:r>
                            <w:r>
                              <w:t xml:space="preserve">  </w:t>
                            </w:r>
                            <w:r>
                              <w:tab/>
                            </w:r>
                            <w:r>
                              <w:tab/>
                            </w:r>
                            <w:r w:rsidRPr="00772FEF">
                              <w:t>Our children will be kept safe</w:t>
                            </w:r>
                            <w:r>
                              <w:t>.</w:t>
                            </w:r>
                          </w:p>
                          <w:p w14:paraId="253C7CDB" w14:textId="77777777" w:rsidR="007E0210" w:rsidRPr="00772FEF" w:rsidRDefault="007E0210" w:rsidP="00EF5089">
                            <w:pPr>
                              <w:pStyle w:val="ListParagraph"/>
                              <w:spacing w:after="0" w:line="240" w:lineRule="auto"/>
                              <w:ind w:left="284"/>
                              <w:jc w:val="both"/>
                            </w:pPr>
                          </w:p>
                          <w:p w14:paraId="1C8E972E"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Healthy:</w:t>
                            </w:r>
                            <w:r>
                              <w:t xml:space="preserve">  </w:t>
                            </w:r>
                            <w:r>
                              <w:tab/>
                            </w:r>
                            <w:r>
                              <w:tab/>
                            </w:r>
                            <w:r w:rsidRPr="00772FEF">
                              <w:t xml:space="preserve">Our children will have the best possible </w:t>
                            </w:r>
                            <w:r>
                              <w:t xml:space="preserve">physical and mental </w:t>
                            </w:r>
                            <w:r w:rsidRPr="00772FEF">
                              <w:t>health</w:t>
                            </w:r>
                            <w:r>
                              <w:t>.</w:t>
                            </w:r>
                          </w:p>
                          <w:p w14:paraId="254A8D57" w14:textId="77777777" w:rsidR="007E0210" w:rsidRDefault="007E0210" w:rsidP="00EF5089">
                            <w:pPr>
                              <w:pStyle w:val="ListParagraph"/>
                              <w:spacing w:after="0"/>
                              <w:jc w:val="both"/>
                            </w:pPr>
                          </w:p>
                          <w:p w14:paraId="381CFCFA"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Achieving</w:t>
                            </w:r>
                            <w:r w:rsidRPr="006B0D19">
                              <w:rPr>
                                <w:b/>
                                <w:color w:val="215868" w:themeColor="accent5" w:themeShade="80"/>
                              </w:rPr>
                              <w:t>:</w:t>
                            </w:r>
                            <w:r>
                              <w:t xml:space="preserve">  </w:t>
                            </w:r>
                            <w:r>
                              <w:tab/>
                              <w:t xml:space="preserve">Achievement will be raised for </w:t>
                            </w:r>
                            <w:r w:rsidRPr="00772FEF">
                              <w:t>all</w:t>
                            </w:r>
                            <w:r>
                              <w:t>.</w:t>
                            </w:r>
                            <w:r w:rsidRPr="00772FEF">
                              <w:t xml:space="preserve"> </w:t>
                            </w:r>
                          </w:p>
                          <w:p w14:paraId="4B21C967" w14:textId="77777777" w:rsidR="007E0210" w:rsidRDefault="007E0210" w:rsidP="00EF5089">
                            <w:pPr>
                              <w:pStyle w:val="ListParagraph"/>
                              <w:spacing w:after="0"/>
                              <w:jc w:val="both"/>
                            </w:pPr>
                          </w:p>
                          <w:p w14:paraId="6A38524D"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Nurtured:</w:t>
                            </w:r>
                            <w:r>
                              <w:t xml:space="preserve">   </w:t>
                            </w:r>
                            <w:r>
                              <w:tab/>
                              <w:t>Our children will have a</w:t>
                            </w:r>
                            <w:r w:rsidRPr="007C1D54">
                              <w:t xml:space="preserve"> nurturing </w:t>
                            </w:r>
                            <w:r>
                              <w:t xml:space="preserve">environment in which to </w:t>
                            </w:r>
                            <w:r w:rsidRPr="007C1D54">
                              <w:t>learn</w:t>
                            </w:r>
                            <w:r>
                              <w:t>.</w:t>
                            </w:r>
                          </w:p>
                          <w:p w14:paraId="0DBA44AB" w14:textId="77777777" w:rsidR="007E0210" w:rsidRDefault="007E0210" w:rsidP="00EF5089">
                            <w:pPr>
                              <w:pStyle w:val="ListParagraph"/>
                              <w:spacing w:after="0"/>
                            </w:pPr>
                          </w:p>
                          <w:p w14:paraId="3DE90ECA"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Active:</w:t>
                            </w:r>
                            <w:r>
                              <w:t xml:space="preserve">  </w:t>
                            </w:r>
                            <w:r>
                              <w:tab/>
                            </w:r>
                            <w:r>
                              <w:tab/>
                              <w:t xml:space="preserve">Our children will have the opportunity to take part in </w:t>
                            </w:r>
                            <w:r w:rsidRPr="007C1D54">
                              <w:t xml:space="preserve">activities and </w:t>
                            </w:r>
                          </w:p>
                          <w:p w14:paraId="30E93DD7" w14:textId="77777777" w:rsidR="007E0210" w:rsidRDefault="007E0210" w:rsidP="00EF5089">
                            <w:pPr>
                              <w:spacing w:after="0" w:line="240" w:lineRule="auto"/>
                              <w:ind w:left="2160"/>
                              <w:jc w:val="both"/>
                            </w:pPr>
                            <w:r w:rsidRPr="007C1D54">
                              <w:t>experiences which contribute to a healt</w:t>
                            </w:r>
                            <w:r>
                              <w:t>hy life, growth and development.</w:t>
                            </w:r>
                          </w:p>
                          <w:p w14:paraId="7EF62E81" w14:textId="77777777" w:rsidR="007E0210" w:rsidRPr="00DB7507" w:rsidRDefault="007E0210" w:rsidP="00EF5089">
                            <w:pPr>
                              <w:pStyle w:val="ListParagraph"/>
                              <w:spacing w:after="0" w:line="240" w:lineRule="auto"/>
                              <w:ind w:left="284"/>
                            </w:pPr>
                          </w:p>
                          <w:p w14:paraId="4562FD0E" w14:textId="77777777" w:rsidR="007E0210" w:rsidRPr="001E0A91" w:rsidRDefault="007E0210" w:rsidP="00EF5089">
                            <w:pPr>
                              <w:pStyle w:val="ListParagraph"/>
                              <w:numPr>
                                <w:ilvl w:val="0"/>
                                <w:numId w:val="1"/>
                              </w:numPr>
                              <w:spacing w:after="0" w:line="240" w:lineRule="auto"/>
                              <w:ind w:left="284" w:hanging="284"/>
                              <w:jc w:val="both"/>
                            </w:pPr>
                            <w:r w:rsidRPr="007F5C6D">
                              <w:rPr>
                                <w:b/>
                                <w:color w:val="215868" w:themeColor="accent5" w:themeShade="80"/>
                              </w:rPr>
                              <w:t xml:space="preserve">Respected </w:t>
                            </w:r>
                            <w:r>
                              <w:rPr>
                                <w:b/>
                                <w:color w:val="215868" w:themeColor="accent5" w:themeShade="80"/>
                              </w:rPr>
                              <w:tab/>
                            </w:r>
                            <w:r w:rsidRPr="00DB7507">
                              <w:t>O</w:t>
                            </w:r>
                            <w:r>
                              <w:t xml:space="preserve">ur children will feel respected and listened </w:t>
                            </w:r>
                            <w:proofErr w:type="gramStart"/>
                            <w:r>
                              <w:t>to,</w:t>
                            </w:r>
                            <w:proofErr w:type="gramEnd"/>
                            <w:r>
                              <w:t xml:space="preserve"> share responsibilities</w:t>
                            </w:r>
                          </w:p>
                          <w:p w14:paraId="0192D509" w14:textId="77777777" w:rsidR="007E0210" w:rsidRDefault="007E0210" w:rsidP="00EF5089">
                            <w:pPr>
                              <w:spacing w:after="0" w:line="240" w:lineRule="auto"/>
                              <w:jc w:val="both"/>
                            </w:pPr>
                            <w:r>
                              <w:rPr>
                                <w:b/>
                                <w:color w:val="215868" w:themeColor="accent5" w:themeShade="80"/>
                              </w:rPr>
                              <w:t xml:space="preserve">     </w:t>
                            </w:r>
                            <w:r w:rsidRPr="001E0A91">
                              <w:rPr>
                                <w:b/>
                                <w:color w:val="215868" w:themeColor="accent5" w:themeShade="80"/>
                              </w:rPr>
                              <w:t xml:space="preserve">and </w:t>
                            </w:r>
                            <w:r w:rsidRPr="001E0A91">
                              <w:rPr>
                                <w:b/>
                                <w:color w:val="215868" w:themeColor="accent5" w:themeShade="80"/>
                              </w:rPr>
                              <w:tab/>
                            </w:r>
                            <w:r w:rsidRPr="001E0A91">
                              <w:rPr>
                                <w:b/>
                                <w:color w:val="215868" w:themeColor="accent5" w:themeShade="80"/>
                              </w:rPr>
                              <w:tab/>
                            </w:r>
                            <w:proofErr w:type="spellStart"/>
                            <w:r>
                              <w:t>and</w:t>
                            </w:r>
                            <w:proofErr w:type="spellEnd"/>
                            <w:r>
                              <w:t xml:space="preserve"> be involved in decisions that affect them.</w:t>
                            </w:r>
                          </w:p>
                          <w:p w14:paraId="790370AA" w14:textId="77777777" w:rsidR="007E0210" w:rsidRDefault="007E0210" w:rsidP="00EF5089">
                            <w:pPr>
                              <w:spacing w:after="0" w:line="240" w:lineRule="auto"/>
                              <w:jc w:val="both"/>
                            </w:pPr>
                            <w:r>
                              <w:rPr>
                                <w:b/>
                                <w:color w:val="215868" w:themeColor="accent5" w:themeShade="80"/>
                              </w:rPr>
                              <w:t xml:space="preserve">     </w:t>
                            </w:r>
                            <w:r w:rsidRPr="001E0A91">
                              <w:rPr>
                                <w:b/>
                                <w:color w:val="215868" w:themeColor="accent5" w:themeShade="80"/>
                              </w:rPr>
                              <w:t>Responsible:</w:t>
                            </w:r>
                            <w:r>
                              <w:t xml:space="preserve">  </w:t>
                            </w:r>
                          </w:p>
                          <w:p w14:paraId="14062505" w14:textId="77777777" w:rsidR="007E0210" w:rsidRDefault="007E0210" w:rsidP="00EF5089">
                            <w:pPr>
                              <w:pStyle w:val="ListParagraph"/>
                              <w:spacing w:after="0" w:line="240" w:lineRule="auto"/>
                              <w:ind w:left="284"/>
                            </w:pPr>
                          </w:p>
                          <w:p w14:paraId="4AC6E830"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Included:</w:t>
                            </w:r>
                            <w:r>
                              <w:t xml:space="preserve">   </w:t>
                            </w:r>
                            <w:r>
                              <w:tab/>
                              <w:t xml:space="preserve">Our children will be supported to overcome </w:t>
                            </w:r>
                            <w:r w:rsidRPr="007C1D54">
                              <w:t xml:space="preserve">social, educational, </w:t>
                            </w:r>
                            <w:r>
                              <w:t xml:space="preserve"> </w:t>
                            </w:r>
                          </w:p>
                          <w:p w14:paraId="4BC65C31" w14:textId="77777777" w:rsidR="007E0210" w:rsidRDefault="007E0210" w:rsidP="00EF5089">
                            <w:pPr>
                              <w:pStyle w:val="ListParagraph"/>
                              <w:spacing w:after="0" w:line="240" w:lineRule="auto"/>
                              <w:ind w:left="284"/>
                              <w:jc w:val="both"/>
                            </w:pPr>
                            <w:r>
                              <w:rPr>
                                <w:b/>
                                <w:color w:val="215868" w:themeColor="accent5" w:themeShade="80"/>
                              </w:rPr>
                              <w:t xml:space="preserve">                               </w:t>
                            </w:r>
                            <w:r w:rsidRPr="007C1D54">
                              <w:t>health</w:t>
                            </w:r>
                            <w:r>
                              <w:t>,</w:t>
                            </w:r>
                            <w:r w:rsidRPr="001E0A91">
                              <w:rPr>
                                <w:b/>
                                <w:color w:val="215868" w:themeColor="accent5" w:themeShade="80"/>
                              </w:rPr>
                              <w:t xml:space="preserve"> </w:t>
                            </w:r>
                            <w:r>
                              <w:t>employment</w:t>
                            </w:r>
                            <w:r w:rsidRPr="007C1D54">
                              <w:t xml:space="preserve"> and economic inequalities and </w:t>
                            </w:r>
                            <w:r>
                              <w:t xml:space="preserve">feel </w:t>
                            </w:r>
                            <w:r w:rsidRPr="007C1D54">
                              <w:t xml:space="preserve">valued as </w:t>
                            </w:r>
                            <w:r>
                              <w:t xml:space="preserve"> </w:t>
                            </w:r>
                          </w:p>
                          <w:p w14:paraId="13CBAD14" w14:textId="77777777" w:rsidR="007E0210" w:rsidRDefault="007E0210" w:rsidP="00EF5089">
                            <w:pPr>
                              <w:pStyle w:val="ListParagraph"/>
                              <w:spacing w:after="0" w:line="240" w:lineRule="auto"/>
                              <w:ind w:left="284"/>
                              <w:jc w:val="both"/>
                            </w:pPr>
                            <w:r>
                              <w:t xml:space="preserve">                               </w:t>
                            </w:r>
                            <w:r w:rsidRPr="007C1D54">
                              <w:t>part of the community</w:t>
                            </w:r>
                            <w:r>
                              <w:t xml:space="preserve">. </w:t>
                            </w:r>
                          </w:p>
                          <w:p w14:paraId="07BB939D" w14:textId="77777777" w:rsidR="007E0210" w:rsidRDefault="007E0210" w:rsidP="00EF5089"/>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1E3F994" id="Rectangle 5" o:spid="_x0000_s1029" style="width:459pt;height:35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" fillcolor="white [3201]" strokecolor="#4bacc6 [3208]" strokeweight="2.5pt">
                <v:shadow color="#868686"/>
                <v:textbox>
                  <w:txbxContent>
                    <w:p w14:paraId="495A7F86" w14:textId="77777777" w:rsidR="007E0210" w:rsidRDefault="007E0210" w:rsidP="00EF5089">
                      <w:pPr>
                        <w:spacing w:after="0"/>
                        <w:rPr>
                          <w:b/>
                          <w:color w:val="215868" w:themeColor="accent5" w:themeShade="80"/>
                        </w:rPr>
                      </w:pPr>
                    </w:p>
                    <w:p w14:paraId="2FDB1797" w14:textId="77777777" w:rsidR="007E0210" w:rsidRPr="00577433" w:rsidRDefault="007E0210" w:rsidP="00EF5089">
                      <w:pPr>
                        <w:spacing w:after="0"/>
                        <w:rPr>
                          <w:b/>
                          <w:color w:val="215868" w:themeColor="accent5" w:themeShade="80"/>
                          <w:sz w:val="24"/>
                          <w:szCs w:val="24"/>
                        </w:rPr>
                      </w:pPr>
                      <w:r w:rsidRPr="00577433">
                        <w:rPr>
                          <w:b/>
                          <w:color w:val="215868" w:themeColor="accent5" w:themeShade="80"/>
                          <w:sz w:val="24"/>
                          <w:szCs w:val="24"/>
                        </w:rPr>
                        <w:t>Wellbeing Outcomes</w:t>
                      </w:r>
                    </w:p>
                    <w:p w14:paraId="0324C284" w14:textId="77777777" w:rsidR="007E0210" w:rsidRPr="00753E24" w:rsidRDefault="007E0210" w:rsidP="00EF5089">
                      <w:pPr>
                        <w:spacing w:after="0"/>
                        <w:rPr>
                          <w:b/>
                          <w:color w:val="215868" w:themeColor="accent5" w:themeShade="80"/>
                        </w:rPr>
                      </w:pPr>
                    </w:p>
                    <w:p w14:paraId="34470072" w14:textId="03FE1380" w:rsidR="007E0210" w:rsidRDefault="007E0210" w:rsidP="00EF5089">
                      <w:pPr>
                        <w:spacing w:after="0"/>
                      </w:pPr>
                      <w:r>
                        <w:t xml:space="preserve">We have </w:t>
                      </w:r>
                      <w:proofErr w:type="gramStart"/>
                      <w:r>
                        <w:t>a number of</w:t>
                      </w:r>
                      <w:proofErr w:type="gramEnd"/>
                      <w:r>
                        <w:t xml:space="preserve"> wellbeing outcomes (SHANARRI) that we wish to achieve for our children and young people.  These are:</w:t>
                      </w:r>
                    </w:p>
                    <w:p w14:paraId="22E8DBA0" w14:textId="77777777" w:rsidR="007E0210" w:rsidRDefault="007E0210" w:rsidP="00EF5089">
                      <w:pPr>
                        <w:spacing w:after="0"/>
                      </w:pPr>
                    </w:p>
                    <w:p w14:paraId="5A3E5B2C"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Safe</w:t>
                      </w:r>
                      <w:r w:rsidRPr="00D1211C">
                        <w:rPr>
                          <w:b/>
                        </w:rPr>
                        <w:t>:</w:t>
                      </w:r>
                      <w:r>
                        <w:t xml:space="preserve">  </w:t>
                      </w:r>
                      <w:r>
                        <w:tab/>
                      </w:r>
                      <w:r>
                        <w:tab/>
                      </w:r>
                      <w:r w:rsidRPr="00772FEF">
                        <w:t>Our children will be kept safe</w:t>
                      </w:r>
                      <w:r>
                        <w:t>.</w:t>
                      </w:r>
                    </w:p>
                    <w:p w14:paraId="253C7CDB" w14:textId="77777777" w:rsidR="007E0210" w:rsidRPr="00772FEF" w:rsidRDefault="007E0210" w:rsidP="00EF5089">
                      <w:pPr>
                        <w:pStyle w:val="ListParagraph"/>
                        <w:spacing w:after="0" w:line="240" w:lineRule="auto"/>
                        <w:ind w:left="284"/>
                        <w:jc w:val="both"/>
                      </w:pPr>
                    </w:p>
                    <w:p w14:paraId="1C8E972E"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Healthy:</w:t>
                      </w:r>
                      <w:r>
                        <w:t xml:space="preserve">  </w:t>
                      </w:r>
                      <w:r>
                        <w:tab/>
                      </w:r>
                      <w:r>
                        <w:tab/>
                      </w:r>
                      <w:r w:rsidRPr="00772FEF">
                        <w:t xml:space="preserve">Our children will have the best possible </w:t>
                      </w:r>
                      <w:r>
                        <w:t xml:space="preserve">physical and mental </w:t>
                      </w:r>
                      <w:r w:rsidRPr="00772FEF">
                        <w:t>health</w:t>
                      </w:r>
                      <w:r>
                        <w:t>.</w:t>
                      </w:r>
                    </w:p>
                    <w:p w14:paraId="254A8D57" w14:textId="77777777" w:rsidR="007E0210" w:rsidRDefault="007E0210" w:rsidP="00EF5089">
                      <w:pPr>
                        <w:pStyle w:val="ListParagraph"/>
                        <w:spacing w:after="0"/>
                        <w:jc w:val="both"/>
                      </w:pPr>
                    </w:p>
                    <w:p w14:paraId="381CFCFA"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Achieving</w:t>
                      </w:r>
                      <w:r w:rsidRPr="006B0D19">
                        <w:rPr>
                          <w:b/>
                          <w:color w:val="215868" w:themeColor="accent5" w:themeShade="80"/>
                        </w:rPr>
                        <w:t>:</w:t>
                      </w:r>
                      <w:r>
                        <w:t xml:space="preserve">  </w:t>
                      </w:r>
                      <w:r>
                        <w:tab/>
                        <w:t xml:space="preserve">Achievement will be raised for </w:t>
                      </w:r>
                      <w:r w:rsidRPr="00772FEF">
                        <w:t>all</w:t>
                      </w:r>
                      <w:r>
                        <w:t>.</w:t>
                      </w:r>
                      <w:r w:rsidRPr="00772FEF">
                        <w:t xml:space="preserve"> </w:t>
                      </w:r>
                    </w:p>
                    <w:p w14:paraId="4B21C967" w14:textId="77777777" w:rsidR="007E0210" w:rsidRDefault="007E0210" w:rsidP="00EF5089">
                      <w:pPr>
                        <w:pStyle w:val="ListParagraph"/>
                        <w:spacing w:after="0"/>
                        <w:jc w:val="both"/>
                      </w:pPr>
                    </w:p>
                    <w:p w14:paraId="6A38524D"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Nurtured:</w:t>
                      </w:r>
                      <w:r>
                        <w:t xml:space="preserve">   </w:t>
                      </w:r>
                      <w:r>
                        <w:tab/>
                        <w:t>Our children will have a</w:t>
                      </w:r>
                      <w:r w:rsidRPr="007C1D54">
                        <w:t xml:space="preserve"> nurturing </w:t>
                      </w:r>
                      <w:r>
                        <w:t xml:space="preserve">environment in which to </w:t>
                      </w:r>
                      <w:r w:rsidRPr="007C1D54">
                        <w:t>learn</w:t>
                      </w:r>
                      <w:r>
                        <w:t>.</w:t>
                      </w:r>
                    </w:p>
                    <w:p w14:paraId="0DBA44AB" w14:textId="77777777" w:rsidR="007E0210" w:rsidRDefault="007E0210" w:rsidP="00EF5089">
                      <w:pPr>
                        <w:pStyle w:val="ListParagraph"/>
                        <w:spacing w:after="0"/>
                      </w:pPr>
                    </w:p>
                    <w:p w14:paraId="3DE90ECA"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Active:</w:t>
                      </w:r>
                      <w:r>
                        <w:t xml:space="preserve">  </w:t>
                      </w:r>
                      <w:r>
                        <w:tab/>
                      </w:r>
                      <w:r>
                        <w:tab/>
                        <w:t xml:space="preserve">Our children will have the opportunity to take part in </w:t>
                      </w:r>
                      <w:r w:rsidRPr="007C1D54">
                        <w:t xml:space="preserve">activities and </w:t>
                      </w:r>
                    </w:p>
                    <w:p w14:paraId="30E93DD7" w14:textId="77777777" w:rsidR="007E0210" w:rsidRDefault="007E0210" w:rsidP="00EF5089">
                      <w:pPr>
                        <w:spacing w:after="0" w:line="240" w:lineRule="auto"/>
                        <w:ind w:left="2160"/>
                        <w:jc w:val="both"/>
                      </w:pPr>
                      <w:r w:rsidRPr="007C1D54">
                        <w:t>experiences which contribute to a healt</w:t>
                      </w:r>
                      <w:r>
                        <w:t>hy life, growth and development.</w:t>
                      </w:r>
                    </w:p>
                    <w:p w14:paraId="7EF62E81" w14:textId="77777777" w:rsidR="007E0210" w:rsidRPr="00DB7507" w:rsidRDefault="007E0210" w:rsidP="00EF5089">
                      <w:pPr>
                        <w:pStyle w:val="ListParagraph"/>
                        <w:spacing w:after="0" w:line="240" w:lineRule="auto"/>
                        <w:ind w:left="284"/>
                      </w:pPr>
                    </w:p>
                    <w:p w14:paraId="4562FD0E" w14:textId="77777777" w:rsidR="007E0210" w:rsidRPr="001E0A91" w:rsidRDefault="007E0210" w:rsidP="00EF5089">
                      <w:pPr>
                        <w:pStyle w:val="ListParagraph"/>
                        <w:numPr>
                          <w:ilvl w:val="0"/>
                          <w:numId w:val="1"/>
                        </w:numPr>
                        <w:spacing w:after="0" w:line="240" w:lineRule="auto"/>
                        <w:ind w:left="284" w:hanging="284"/>
                        <w:jc w:val="both"/>
                      </w:pPr>
                      <w:r w:rsidRPr="007F5C6D">
                        <w:rPr>
                          <w:b/>
                          <w:color w:val="215868" w:themeColor="accent5" w:themeShade="80"/>
                        </w:rPr>
                        <w:t xml:space="preserve">Respected </w:t>
                      </w:r>
                      <w:r>
                        <w:rPr>
                          <w:b/>
                          <w:color w:val="215868" w:themeColor="accent5" w:themeShade="80"/>
                        </w:rPr>
                        <w:tab/>
                      </w:r>
                      <w:r w:rsidRPr="00DB7507">
                        <w:t>O</w:t>
                      </w:r>
                      <w:r>
                        <w:t xml:space="preserve">ur children will feel respected and listened </w:t>
                      </w:r>
                      <w:proofErr w:type="gramStart"/>
                      <w:r>
                        <w:t>to,</w:t>
                      </w:r>
                      <w:proofErr w:type="gramEnd"/>
                      <w:r>
                        <w:t xml:space="preserve"> share responsibilities</w:t>
                      </w:r>
                    </w:p>
                    <w:p w14:paraId="0192D509" w14:textId="77777777" w:rsidR="007E0210" w:rsidRDefault="007E0210" w:rsidP="00EF5089">
                      <w:pPr>
                        <w:spacing w:after="0" w:line="240" w:lineRule="auto"/>
                        <w:jc w:val="both"/>
                      </w:pPr>
                      <w:r>
                        <w:rPr>
                          <w:b/>
                          <w:color w:val="215868" w:themeColor="accent5" w:themeShade="80"/>
                        </w:rPr>
                        <w:t xml:space="preserve">     </w:t>
                      </w:r>
                      <w:r w:rsidRPr="001E0A91">
                        <w:rPr>
                          <w:b/>
                          <w:color w:val="215868" w:themeColor="accent5" w:themeShade="80"/>
                        </w:rPr>
                        <w:t xml:space="preserve">and </w:t>
                      </w:r>
                      <w:r w:rsidRPr="001E0A91">
                        <w:rPr>
                          <w:b/>
                          <w:color w:val="215868" w:themeColor="accent5" w:themeShade="80"/>
                        </w:rPr>
                        <w:tab/>
                      </w:r>
                      <w:r w:rsidRPr="001E0A91">
                        <w:rPr>
                          <w:b/>
                          <w:color w:val="215868" w:themeColor="accent5" w:themeShade="80"/>
                        </w:rPr>
                        <w:tab/>
                      </w:r>
                      <w:proofErr w:type="spellStart"/>
                      <w:r>
                        <w:t>and</w:t>
                      </w:r>
                      <w:proofErr w:type="spellEnd"/>
                      <w:r>
                        <w:t xml:space="preserve"> be involved in decisions that affect them.</w:t>
                      </w:r>
                    </w:p>
                    <w:p w14:paraId="790370AA" w14:textId="77777777" w:rsidR="007E0210" w:rsidRDefault="007E0210" w:rsidP="00EF5089">
                      <w:pPr>
                        <w:spacing w:after="0" w:line="240" w:lineRule="auto"/>
                        <w:jc w:val="both"/>
                      </w:pPr>
                      <w:r>
                        <w:rPr>
                          <w:b/>
                          <w:color w:val="215868" w:themeColor="accent5" w:themeShade="80"/>
                        </w:rPr>
                        <w:t xml:space="preserve">     </w:t>
                      </w:r>
                      <w:r w:rsidRPr="001E0A91">
                        <w:rPr>
                          <w:b/>
                          <w:color w:val="215868" w:themeColor="accent5" w:themeShade="80"/>
                        </w:rPr>
                        <w:t>Responsible:</w:t>
                      </w:r>
                      <w:r>
                        <w:t xml:space="preserve">  </w:t>
                      </w:r>
                    </w:p>
                    <w:p w14:paraId="14062505" w14:textId="77777777" w:rsidR="007E0210" w:rsidRDefault="007E0210" w:rsidP="00EF5089">
                      <w:pPr>
                        <w:pStyle w:val="ListParagraph"/>
                        <w:spacing w:after="0" w:line="240" w:lineRule="auto"/>
                        <w:ind w:left="284"/>
                      </w:pPr>
                    </w:p>
                    <w:p w14:paraId="4AC6E830" w14:textId="77777777" w:rsidR="007E0210" w:rsidRDefault="007E0210" w:rsidP="00EF5089">
                      <w:pPr>
                        <w:pStyle w:val="ListParagraph"/>
                        <w:numPr>
                          <w:ilvl w:val="0"/>
                          <w:numId w:val="1"/>
                        </w:numPr>
                        <w:spacing w:after="0" w:line="240" w:lineRule="auto"/>
                        <w:ind w:left="284" w:hanging="284"/>
                        <w:jc w:val="both"/>
                      </w:pPr>
                      <w:r w:rsidRPr="00D1211C">
                        <w:rPr>
                          <w:b/>
                          <w:color w:val="215868" w:themeColor="accent5" w:themeShade="80"/>
                        </w:rPr>
                        <w:t>Included:</w:t>
                      </w:r>
                      <w:r>
                        <w:t xml:space="preserve">   </w:t>
                      </w:r>
                      <w:r>
                        <w:tab/>
                        <w:t xml:space="preserve">Our children will be supported to overcome </w:t>
                      </w:r>
                      <w:r w:rsidRPr="007C1D54">
                        <w:t xml:space="preserve">social, educational, </w:t>
                      </w:r>
                      <w:r>
                        <w:t xml:space="preserve"> </w:t>
                      </w:r>
                    </w:p>
                    <w:p w14:paraId="4BC65C31" w14:textId="77777777" w:rsidR="007E0210" w:rsidRDefault="007E0210" w:rsidP="00EF5089">
                      <w:pPr>
                        <w:pStyle w:val="ListParagraph"/>
                        <w:spacing w:after="0" w:line="240" w:lineRule="auto"/>
                        <w:ind w:left="284"/>
                        <w:jc w:val="both"/>
                      </w:pPr>
                      <w:r>
                        <w:rPr>
                          <w:b/>
                          <w:color w:val="215868" w:themeColor="accent5" w:themeShade="80"/>
                        </w:rPr>
                        <w:t xml:space="preserve">                               </w:t>
                      </w:r>
                      <w:r w:rsidRPr="007C1D54">
                        <w:t>health</w:t>
                      </w:r>
                      <w:r>
                        <w:t>,</w:t>
                      </w:r>
                      <w:r w:rsidRPr="001E0A91">
                        <w:rPr>
                          <w:b/>
                          <w:color w:val="215868" w:themeColor="accent5" w:themeShade="80"/>
                        </w:rPr>
                        <w:t xml:space="preserve"> </w:t>
                      </w:r>
                      <w:r>
                        <w:t>employment</w:t>
                      </w:r>
                      <w:r w:rsidRPr="007C1D54">
                        <w:t xml:space="preserve"> and economic inequalities and </w:t>
                      </w:r>
                      <w:r>
                        <w:t xml:space="preserve">feel </w:t>
                      </w:r>
                      <w:r w:rsidRPr="007C1D54">
                        <w:t xml:space="preserve">valued as </w:t>
                      </w:r>
                      <w:r>
                        <w:t xml:space="preserve"> </w:t>
                      </w:r>
                    </w:p>
                    <w:p w14:paraId="13CBAD14" w14:textId="77777777" w:rsidR="007E0210" w:rsidRDefault="007E0210" w:rsidP="00EF5089">
                      <w:pPr>
                        <w:pStyle w:val="ListParagraph"/>
                        <w:spacing w:after="0" w:line="240" w:lineRule="auto"/>
                        <w:ind w:left="284"/>
                        <w:jc w:val="both"/>
                      </w:pPr>
                      <w:r>
                        <w:t xml:space="preserve">                               </w:t>
                      </w:r>
                      <w:r w:rsidRPr="007C1D54">
                        <w:t>part of the community</w:t>
                      </w:r>
                      <w:r>
                        <w:t xml:space="preserve">. </w:t>
                      </w:r>
                    </w:p>
                    <w:p w14:paraId="07BB939D" w14:textId="77777777" w:rsidR="007E0210" w:rsidRDefault="007E0210" w:rsidP="00EF5089"/>
                  </w:txbxContent>
                </v:textbox>
                <w10:anchorlock/>
              </v:rect>
            </w:pict>
          </mc:Fallback>
        </mc:AlternateContent>
      </w:r>
    </w:p>
    <w:p w14:paraId="4EE7F793" w14:textId="0D9D6B1E" w:rsidR="004E43B5" w:rsidRPr="001B0B69" w:rsidRDefault="004E43B5" w:rsidP="004E43B5">
      <w:pPr>
        <w:jc w:val="both"/>
      </w:pPr>
      <w:r w:rsidRPr="001B0B69">
        <w:t xml:space="preserve">Inverclyde has benefited from significant investment as part of the ongoing regeneration of the area. </w:t>
      </w:r>
      <w:r>
        <w:t>The</w:t>
      </w:r>
      <w:r w:rsidRPr="001B0B69">
        <w:t xml:space="preserve"> </w:t>
      </w:r>
      <w:r>
        <w:t xml:space="preserve">now completed </w:t>
      </w:r>
      <w:r w:rsidRPr="001B0B69">
        <w:t xml:space="preserve">£200 million </w:t>
      </w:r>
      <w:r w:rsidR="00720E5E" w:rsidRPr="001B0B69">
        <w:t>schools’</w:t>
      </w:r>
      <w:r w:rsidRPr="001B0B69">
        <w:t xml:space="preserve"> es</w:t>
      </w:r>
      <w:r>
        <w:t xml:space="preserve">tates programme, has delivered </w:t>
      </w:r>
      <w:r w:rsidRPr="001B0B69">
        <w:t xml:space="preserve">new and refurbished schools which are amongst the best in the country, for </w:t>
      </w:r>
      <w:r>
        <w:t>all pupils in Inverclyde.</w:t>
      </w:r>
      <w:r w:rsidRPr="001B0B69">
        <w:t xml:space="preserve">  Our schools are not only helping to develop a</w:t>
      </w:r>
      <w:r w:rsidRPr="001B0B69">
        <w:rPr>
          <w:color w:val="548DD4"/>
        </w:rPr>
        <w:t xml:space="preserve"> </w:t>
      </w:r>
      <w:r w:rsidRPr="001B0B69">
        <w:t>strong sense of community but have been built with innovation and sustainability at the forefront of design.</w:t>
      </w:r>
    </w:p>
    <w:p w14:paraId="341193B3" w14:textId="11266547" w:rsidR="004E43B5" w:rsidRDefault="004E43B5" w:rsidP="004E43B5">
      <w:pPr>
        <w:jc w:val="both"/>
      </w:pPr>
      <w:r w:rsidRPr="001B0B69">
        <w:t xml:space="preserve">In 2015 we started the very exciting work to decrease the attainment gap linked to deprivation through the Attainment Challenge. The Attainment Challenge is a programme which initially targeted primary schools in seven local authorities with the highest percentage of deprivation.  The initial bid to support </w:t>
      </w:r>
      <w:r w:rsidR="00B30F7B">
        <w:t>P</w:t>
      </w:r>
      <w:r w:rsidRPr="001B0B69">
        <w:t>1 class</w:t>
      </w:r>
      <w:r>
        <w:t>es</w:t>
      </w:r>
      <w:r w:rsidRPr="001B0B69">
        <w:t xml:space="preserve"> in six primary schools in Inverclyde during the academic year 2015/16 was built upon the premise of start small and think big</w:t>
      </w:r>
      <w:r>
        <w:t xml:space="preserve">.  </w:t>
      </w:r>
    </w:p>
    <w:p w14:paraId="215C16F1" w14:textId="239BEA2A" w:rsidR="004E43B5" w:rsidRDefault="004E43B5" w:rsidP="004E43B5">
      <w:pPr>
        <w:jc w:val="both"/>
      </w:pPr>
      <w:r>
        <w:t>During the academic year 202</w:t>
      </w:r>
      <w:r w:rsidR="00865DD4">
        <w:t>5</w:t>
      </w:r>
      <w:r>
        <w:t>/2</w:t>
      </w:r>
      <w:r w:rsidR="00865DD4">
        <w:t>6</w:t>
      </w:r>
      <w:r w:rsidRPr="001B0B69">
        <w:t>, Attainment Challenge</w:t>
      </w:r>
      <w:r>
        <w:t xml:space="preserve"> Strategic Equity Funding</w:t>
      </w:r>
      <w:r w:rsidR="00DD75EB">
        <w:t xml:space="preserve"> (SEF)</w:t>
      </w:r>
      <w:r w:rsidRPr="001B0B69">
        <w:t xml:space="preserve"> directly supported all primary stages in 12 schools which serve the most deprived areas in Inverclyde and S1-S3 in </w:t>
      </w:r>
      <w:proofErr w:type="gramStart"/>
      <w:r w:rsidRPr="001B0B69">
        <w:t>all of</w:t>
      </w:r>
      <w:proofErr w:type="gramEnd"/>
      <w:r w:rsidRPr="001B0B69">
        <w:t xml:space="preserve"> our secondary schools.  The </w:t>
      </w:r>
      <w:r w:rsidR="00720E5E" w:rsidRPr="001B0B69">
        <w:t>evidence-based</w:t>
      </w:r>
      <w:r w:rsidRPr="001B0B69">
        <w:t xml:space="preserve"> learning undertaken through the Attainment Challenge was rolled out to every school in Inverclyde and has enabled the authority to provide a framework to support schools to deliver their Improvement Plans.  All schools across Scotland are allocated Pupil Equity Funding (PEF) according to the level of children attending the school who are in receipt of free school meals.  Further information on the impact of PEF is contained in the last section of this report.</w:t>
      </w:r>
      <w:r>
        <w:t xml:space="preserve"> </w:t>
      </w:r>
      <w:r w:rsidRPr="00A328EA">
        <w:t>The Strategic Equity Funding the authority receives is reducing over the next three years and in 20</w:t>
      </w:r>
      <w:r w:rsidR="001C5698" w:rsidRPr="00A328EA">
        <w:t>2</w:t>
      </w:r>
      <w:r w:rsidR="00076FB9">
        <w:t>5</w:t>
      </w:r>
      <w:r w:rsidRPr="00A328EA">
        <w:t>/2</w:t>
      </w:r>
      <w:r w:rsidR="00076FB9">
        <w:t>6</w:t>
      </w:r>
      <w:r w:rsidRPr="00A328EA">
        <w:t xml:space="preserve"> we</w:t>
      </w:r>
      <w:r w:rsidR="00A328EA" w:rsidRPr="00A328EA">
        <w:t xml:space="preserve"> </w:t>
      </w:r>
      <w:r w:rsidR="00C0028E">
        <w:t>re</w:t>
      </w:r>
      <w:r w:rsidR="00C0028E" w:rsidRPr="00A328EA">
        <w:t>ceived</w:t>
      </w:r>
      <w:r w:rsidRPr="00A328EA">
        <w:t xml:space="preserve"> approx</w:t>
      </w:r>
      <w:r w:rsidR="00D811B3">
        <w:t>imately</w:t>
      </w:r>
      <w:r w:rsidRPr="00A328EA">
        <w:t xml:space="preserve"> £</w:t>
      </w:r>
      <w:r w:rsidR="00076FB9">
        <w:t>590</w:t>
      </w:r>
      <w:r w:rsidRPr="00A328EA">
        <w:t>,000</w:t>
      </w:r>
      <w:r w:rsidR="00076FB9">
        <w:t>; this</w:t>
      </w:r>
      <w:r w:rsidRPr="00A328EA">
        <w:t xml:space="preserve"> less than we did in 202</w:t>
      </w:r>
      <w:r w:rsidR="00076FB9">
        <w:t>4</w:t>
      </w:r>
      <w:r w:rsidRPr="00A328EA">
        <w:t>/2</w:t>
      </w:r>
      <w:r w:rsidR="00076FB9">
        <w:t>5 i.e. £718,000</w:t>
      </w:r>
      <w:r w:rsidRPr="00A328EA">
        <w:t>.</w:t>
      </w:r>
      <w:r>
        <w:t xml:space="preserve"> </w:t>
      </w:r>
      <w:r w:rsidR="00076FB9">
        <w:t xml:space="preserve">Whilst the PEF and SEF funding was due to cease in June </w:t>
      </w:r>
      <w:r w:rsidR="00076FB9">
        <w:lastRenderedPageBreak/>
        <w:t xml:space="preserve">2026, we have been </w:t>
      </w:r>
      <w:r w:rsidR="003415CA">
        <w:t>informed</w:t>
      </w:r>
      <w:r w:rsidR="00076FB9">
        <w:t xml:space="preserve"> that this will extend until June 202</w:t>
      </w:r>
      <w:r w:rsidR="00865DD4">
        <w:t>7</w:t>
      </w:r>
      <w:r w:rsidR="00076FB9">
        <w:t>. Funding for the final year has yet to be confirmed.</w:t>
      </w:r>
    </w:p>
    <w:p w14:paraId="39DD5B67" w14:textId="7CACAC97" w:rsidR="00B21D43" w:rsidRDefault="00B21D43">
      <w:pPr>
        <w:rPr>
          <w:b/>
        </w:rPr>
      </w:pPr>
      <w:r>
        <w:rPr>
          <w:b/>
        </w:rPr>
        <w:br w:type="page"/>
      </w:r>
    </w:p>
    <w:p w14:paraId="64E8D804" w14:textId="200D50B1" w:rsidR="004E43B5" w:rsidRPr="009D2676" w:rsidRDefault="004E43B5" w:rsidP="004E43B5">
      <w:pPr>
        <w:rPr>
          <w:b/>
        </w:rPr>
      </w:pPr>
      <w:r w:rsidRPr="009D2676">
        <w:rPr>
          <w:b/>
        </w:rPr>
        <w:lastRenderedPageBreak/>
        <w:t>About the S</w:t>
      </w:r>
      <w:r>
        <w:rPr>
          <w:b/>
        </w:rPr>
        <w:t xml:space="preserve">tandards and </w:t>
      </w:r>
      <w:r w:rsidRPr="009D2676">
        <w:rPr>
          <w:b/>
        </w:rPr>
        <w:t>Q</w:t>
      </w:r>
      <w:r>
        <w:rPr>
          <w:b/>
        </w:rPr>
        <w:t>uality</w:t>
      </w:r>
      <w:r w:rsidRPr="009D2676">
        <w:rPr>
          <w:b/>
        </w:rPr>
        <w:t xml:space="preserve"> report</w:t>
      </w:r>
    </w:p>
    <w:p w14:paraId="53B401B2" w14:textId="70141263" w:rsidR="004E43B5" w:rsidRDefault="004E43B5" w:rsidP="004E43B5">
      <w:r>
        <w:t xml:space="preserve">This report sets out the progress made towards outcomes set out in our own </w:t>
      </w:r>
      <w:r w:rsidR="007559AB">
        <w:t xml:space="preserve">service </w:t>
      </w:r>
      <w:r>
        <w:t>plan for 202</w:t>
      </w:r>
      <w:r w:rsidR="00706551">
        <w:t>5</w:t>
      </w:r>
      <w:r>
        <w:t>/2</w:t>
      </w:r>
      <w:r w:rsidR="00706551">
        <w:t>6</w:t>
      </w:r>
      <w:r>
        <w:t xml:space="preserve"> and focuses on the impact we have had.</w:t>
      </w:r>
    </w:p>
    <w:p w14:paraId="3BB1E740" w14:textId="77777777" w:rsidR="004E43B5" w:rsidRPr="009D2676" w:rsidRDefault="004E43B5" w:rsidP="004E43B5">
      <w:pPr>
        <w:rPr>
          <w:b/>
        </w:rPr>
      </w:pPr>
      <w:r w:rsidRPr="009D2676">
        <w:rPr>
          <w:b/>
        </w:rPr>
        <w:t>How have we gather</w:t>
      </w:r>
      <w:r>
        <w:rPr>
          <w:b/>
        </w:rPr>
        <w:t>ed</w:t>
      </w:r>
      <w:r w:rsidRPr="009D2676">
        <w:rPr>
          <w:b/>
        </w:rPr>
        <w:t xml:space="preserve"> the evidence for the S</w:t>
      </w:r>
      <w:r>
        <w:rPr>
          <w:b/>
        </w:rPr>
        <w:t xml:space="preserve">tandard and </w:t>
      </w:r>
      <w:r w:rsidRPr="009D2676">
        <w:rPr>
          <w:b/>
        </w:rPr>
        <w:t>Q</w:t>
      </w:r>
      <w:r>
        <w:rPr>
          <w:b/>
        </w:rPr>
        <w:t>uality</w:t>
      </w:r>
      <w:r w:rsidRPr="009D2676">
        <w:rPr>
          <w:b/>
        </w:rPr>
        <w:t xml:space="preserve"> report?</w:t>
      </w:r>
    </w:p>
    <w:p w14:paraId="33015712" w14:textId="77777777" w:rsidR="004E43B5" w:rsidRDefault="004E43B5" w:rsidP="007100A0">
      <w:pPr>
        <w:pStyle w:val="ListParagraph"/>
        <w:numPr>
          <w:ilvl w:val="0"/>
          <w:numId w:val="2"/>
        </w:numPr>
        <w:spacing w:after="160" w:line="259" w:lineRule="auto"/>
      </w:pPr>
      <w:r>
        <w:t>School’s Standards and Quality reports and annual school improvement plans</w:t>
      </w:r>
    </w:p>
    <w:p w14:paraId="557618B1" w14:textId="77777777" w:rsidR="004E43B5" w:rsidRDefault="004E43B5" w:rsidP="007100A0">
      <w:pPr>
        <w:pStyle w:val="ListParagraph"/>
        <w:numPr>
          <w:ilvl w:val="0"/>
          <w:numId w:val="2"/>
        </w:numPr>
        <w:spacing w:after="160" w:line="259" w:lineRule="auto"/>
      </w:pPr>
      <w:r>
        <w:t>Annual meetings with schools e.g. attainment meeting</w:t>
      </w:r>
    </w:p>
    <w:p w14:paraId="2E9E1F42" w14:textId="77777777" w:rsidR="004E43B5" w:rsidRDefault="004E43B5" w:rsidP="007100A0">
      <w:pPr>
        <w:pStyle w:val="ListParagraph"/>
        <w:numPr>
          <w:ilvl w:val="0"/>
          <w:numId w:val="2"/>
        </w:numPr>
        <w:spacing w:after="160" w:line="259" w:lineRule="auto"/>
      </w:pPr>
      <w:r>
        <w:t>Our own internal peer review programme</w:t>
      </w:r>
    </w:p>
    <w:p w14:paraId="03220278" w14:textId="77777777" w:rsidR="004E43B5" w:rsidRDefault="004E43B5" w:rsidP="007100A0">
      <w:pPr>
        <w:pStyle w:val="ListParagraph"/>
        <w:numPr>
          <w:ilvl w:val="0"/>
          <w:numId w:val="2"/>
        </w:numPr>
        <w:spacing w:after="160" w:line="259" w:lineRule="auto"/>
      </w:pPr>
      <w:r>
        <w:t>Evaluations of the work of the Attainment Challenge</w:t>
      </w:r>
    </w:p>
    <w:p w14:paraId="4AC560C1" w14:textId="77777777" w:rsidR="004E43B5" w:rsidRDefault="004E43B5" w:rsidP="007100A0">
      <w:pPr>
        <w:pStyle w:val="ListParagraph"/>
        <w:numPr>
          <w:ilvl w:val="0"/>
          <w:numId w:val="2"/>
        </w:numPr>
        <w:spacing w:after="160" w:line="259" w:lineRule="auto"/>
      </w:pPr>
      <w:r>
        <w:t>Questionnaires</w:t>
      </w:r>
    </w:p>
    <w:p w14:paraId="111D9792" w14:textId="77777777" w:rsidR="004E43B5" w:rsidRDefault="004E43B5" w:rsidP="007100A0">
      <w:pPr>
        <w:pStyle w:val="ListParagraph"/>
        <w:numPr>
          <w:ilvl w:val="0"/>
          <w:numId w:val="2"/>
        </w:numPr>
        <w:spacing w:after="160" w:line="259" w:lineRule="auto"/>
      </w:pPr>
      <w:r>
        <w:t>Education Scotland Inspections of schools and national thematic inspections</w:t>
      </w:r>
    </w:p>
    <w:p w14:paraId="374C8326" w14:textId="1C4B12A5" w:rsidR="004E43B5" w:rsidRDefault="004E43B5" w:rsidP="007100A0">
      <w:pPr>
        <w:pStyle w:val="ListParagraph"/>
        <w:numPr>
          <w:ilvl w:val="0"/>
          <w:numId w:val="2"/>
        </w:numPr>
        <w:spacing w:after="160" w:line="259" w:lineRule="auto"/>
      </w:pPr>
      <w:r>
        <w:t xml:space="preserve">Care Inspectorate Scotland </w:t>
      </w:r>
      <w:r w:rsidR="00E32863">
        <w:t>inspections.</w:t>
      </w:r>
    </w:p>
    <w:p w14:paraId="0F323897" w14:textId="5D2C6EBE" w:rsidR="007559AB" w:rsidRPr="007559AB" w:rsidRDefault="00720E5E" w:rsidP="004E43B5">
      <w:pPr>
        <w:spacing w:after="160" w:line="259" w:lineRule="auto"/>
        <w:rPr>
          <w:b/>
          <w:bCs/>
        </w:rPr>
      </w:pPr>
      <w:r w:rsidRPr="007559AB">
        <w:rPr>
          <w:b/>
          <w:bCs/>
        </w:rPr>
        <w:t>Inspection</w:t>
      </w:r>
      <w:r w:rsidR="007559AB" w:rsidRPr="007559AB">
        <w:rPr>
          <w:b/>
          <w:bCs/>
        </w:rPr>
        <w:t xml:space="preserve"> Activity</w:t>
      </w:r>
    </w:p>
    <w:p w14:paraId="0D500ABF" w14:textId="275A5A12" w:rsidR="004E43B5" w:rsidRDefault="004E43B5" w:rsidP="004E43B5">
      <w:pPr>
        <w:spacing w:after="160" w:line="259" w:lineRule="auto"/>
      </w:pPr>
      <w:r>
        <w:t xml:space="preserve">During </w:t>
      </w:r>
      <w:r w:rsidR="00721F3D">
        <w:t xml:space="preserve">the summer term of 2024/25 and </w:t>
      </w:r>
      <w:r>
        <w:t>202</w:t>
      </w:r>
      <w:r w:rsidR="00706551">
        <w:t>5</w:t>
      </w:r>
      <w:r>
        <w:t>/2</w:t>
      </w:r>
      <w:r w:rsidR="00706551">
        <w:t>6</w:t>
      </w:r>
      <w:r>
        <w:t xml:space="preserve"> we saw </w:t>
      </w:r>
      <w:r w:rsidR="006A7A7C">
        <w:t>ongoing scrutiny from</w:t>
      </w:r>
      <w:r>
        <w:t xml:space="preserve"> Education Scotland</w:t>
      </w:r>
      <w:r w:rsidR="00706551">
        <w:t xml:space="preserve">, </w:t>
      </w:r>
      <w:r w:rsidR="00721F3D">
        <w:t>(now</w:t>
      </w:r>
      <w:r w:rsidR="00706551">
        <w:t xml:space="preserve"> </w:t>
      </w:r>
      <w:proofErr w:type="spellStart"/>
      <w:r w:rsidR="00706551">
        <w:t>HMIe</w:t>
      </w:r>
      <w:proofErr w:type="spellEnd"/>
      <w:r w:rsidR="00721F3D">
        <w:t>)</w:t>
      </w:r>
      <w:r>
        <w:t xml:space="preserve"> and Care Inspectorate inspections. Below is an overview of the outcomes of these:</w:t>
      </w:r>
    </w:p>
    <w:p w14:paraId="386546E0" w14:textId="2117D1EB" w:rsidR="00721F3D" w:rsidRPr="00721F3D" w:rsidRDefault="00721F3D" w:rsidP="004E43B5">
      <w:pPr>
        <w:spacing w:after="160" w:line="259" w:lineRule="auto"/>
        <w:rPr>
          <w:b/>
          <w:bCs/>
        </w:rPr>
      </w:pPr>
      <w:proofErr w:type="spellStart"/>
      <w:r>
        <w:rPr>
          <w:b/>
          <w:bCs/>
        </w:rPr>
        <w:t>HMIe</w:t>
      </w:r>
      <w:proofErr w:type="spellEnd"/>
      <w:r w:rsidRPr="00C27D73">
        <w:rPr>
          <w:b/>
          <w:bCs/>
        </w:rPr>
        <w:t xml:space="preserve"> inspections</w:t>
      </w:r>
    </w:p>
    <w:tbl>
      <w:tblPr>
        <w:tblStyle w:val="TableGrid"/>
        <w:tblW w:w="0" w:type="auto"/>
        <w:tblLook w:val="04A0" w:firstRow="1" w:lastRow="0" w:firstColumn="1" w:lastColumn="0" w:noHBand="0" w:noVBand="1"/>
      </w:tblPr>
      <w:tblGrid>
        <w:gridCol w:w="2290"/>
        <w:gridCol w:w="866"/>
        <w:gridCol w:w="1041"/>
        <w:gridCol w:w="866"/>
        <w:gridCol w:w="1041"/>
        <w:gridCol w:w="840"/>
        <w:gridCol w:w="840"/>
        <w:gridCol w:w="840"/>
        <w:gridCol w:w="840"/>
      </w:tblGrid>
      <w:tr w:rsidR="00D811B3" w14:paraId="7919AFFD" w14:textId="77777777" w:rsidTr="00706551">
        <w:tc>
          <w:tcPr>
            <w:tcW w:w="2290" w:type="dxa"/>
            <w:shd w:val="clear" w:color="auto" w:fill="D9D9D9" w:themeFill="background1" w:themeFillShade="D9"/>
          </w:tcPr>
          <w:p w14:paraId="1BB09E4E" w14:textId="77777777" w:rsidR="004E43B5" w:rsidRPr="00C27D73" w:rsidRDefault="004E43B5" w:rsidP="00646572">
            <w:pPr>
              <w:spacing w:after="160" w:line="259" w:lineRule="auto"/>
              <w:jc w:val="center"/>
              <w:rPr>
                <w:b/>
                <w:bCs/>
                <w:sz w:val="16"/>
                <w:szCs w:val="16"/>
              </w:rPr>
            </w:pPr>
            <w:r w:rsidRPr="00C27D73">
              <w:rPr>
                <w:b/>
                <w:bCs/>
                <w:sz w:val="16"/>
                <w:szCs w:val="16"/>
              </w:rPr>
              <w:t>Establishment</w:t>
            </w:r>
          </w:p>
        </w:tc>
        <w:tc>
          <w:tcPr>
            <w:tcW w:w="866" w:type="dxa"/>
            <w:shd w:val="clear" w:color="auto" w:fill="D9D9D9" w:themeFill="background1" w:themeFillShade="D9"/>
          </w:tcPr>
          <w:p w14:paraId="61B5E023" w14:textId="77777777" w:rsidR="004E43B5" w:rsidRPr="00C27D73" w:rsidRDefault="004E43B5" w:rsidP="00646572">
            <w:pPr>
              <w:spacing w:after="160" w:line="259" w:lineRule="auto"/>
              <w:jc w:val="center"/>
              <w:rPr>
                <w:b/>
                <w:bCs/>
                <w:sz w:val="16"/>
                <w:szCs w:val="16"/>
              </w:rPr>
            </w:pPr>
            <w:r w:rsidRPr="00C27D73">
              <w:rPr>
                <w:b/>
                <w:bCs/>
                <w:sz w:val="16"/>
                <w:szCs w:val="16"/>
              </w:rPr>
              <w:t>School QI 1.3</w:t>
            </w:r>
          </w:p>
        </w:tc>
        <w:tc>
          <w:tcPr>
            <w:tcW w:w="1041" w:type="dxa"/>
            <w:shd w:val="clear" w:color="auto" w:fill="D9D9D9" w:themeFill="background1" w:themeFillShade="D9"/>
          </w:tcPr>
          <w:p w14:paraId="19649BB3" w14:textId="17CCC73A" w:rsidR="004E43B5" w:rsidRPr="00C27D73" w:rsidRDefault="004E43B5" w:rsidP="00646572">
            <w:pPr>
              <w:spacing w:after="160" w:line="259" w:lineRule="auto"/>
              <w:jc w:val="center"/>
              <w:rPr>
                <w:b/>
                <w:bCs/>
                <w:sz w:val="16"/>
                <w:szCs w:val="16"/>
              </w:rPr>
            </w:pPr>
            <w:r w:rsidRPr="00C27D73">
              <w:rPr>
                <w:b/>
                <w:bCs/>
                <w:sz w:val="16"/>
                <w:szCs w:val="16"/>
              </w:rPr>
              <w:t xml:space="preserve">School </w:t>
            </w:r>
            <w:r w:rsidR="00D811B3">
              <w:rPr>
                <w:b/>
                <w:bCs/>
                <w:sz w:val="16"/>
                <w:szCs w:val="16"/>
              </w:rPr>
              <w:t>Q</w:t>
            </w:r>
            <w:r w:rsidRPr="00C27D73">
              <w:rPr>
                <w:b/>
                <w:bCs/>
                <w:sz w:val="16"/>
                <w:szCs w:val="16"/>
              </w:rPr>
              <w:t>I 2.3</w:t>
            </w:r>
          </w:p>
        </w:tc>
        <w:tc>
          <w:tcPr>
            <w:tcW w:w="866" w:type="dxa"/>
            <w:shd w:val="clear" w:color="auto" w:fill="D9D9D9" w:themeFill="background1" w:themeFillShade="D9"/>
          </w:tcPr>
          <w:p w14:paraId="43B5D49B" w14:textId="77777777" w:rsidR="004E43B5" w:rsidRPr="00C27D73" w:rsidRDefault="004E43B5" w:rsidP="00646572">
            <w:pPr>
              <w:spacing w:after="160" w:line="259" w:lineRule="auto"/>
              <w:jc w:val="center"/>
              <w:rPr>
                <w:b/>
                <w:bCs/>
                <w:sz w:val="16"/>
                <w:szCs w:val="16"/>
              </w:rPr>
            </w:pPr>
            <w:r w:rsidRPr="00C27D73">
              <w:rPr>
                <w:b/>
                <w:bCs/>
                <w:sz w:val="16"/>
                <w:szCs w:val="16"/>
              </w:rPr>
              <w:t>School QI 3.1</w:t>
            </w:r>
          </w:p>
        </w:tc>
        <w:tc>
          <w:tcPr>
            <w:tcW w:w="1041" w:type="dxa"/>
            <w:shd w:val="clear" w:color="auto" w:fill="D9D9D9" w:themeFill="background1" w:themeFillShade="D9"/>
          </w:tcPr>
          <w:p w14:paraId="31AA0917" w14:textId="77777777" w:rsidR="004E43B5" w:rsidRPr="00C27D73" w:rsidRDefault="004E43B5" w:rsidP="00646572">
            <w:pPr>
              <w:spacing w:after="160" w:line="259" w:lineRule="auto"/>
              <w:jc w:val="center"/>
              <w:rPr>
                <w:b/>
                <w:bCs/>
                <w:sz w:val="16"/>
                <w:szCs w:val="16"/>
              </w:rPr>
            </w:pPr>
            <w:r w:rsidRPr="00C27D73">
              <w:rPr>
                <w:b/>
                <w:bCs/>
                <w:sz w:val="16"/>
                <w:szCs w:val="16"/>
              </w:rPr>
              <w:t>School QI 3.2</w:t>
            </w:r>
          </w:p>
        </w:tc>
        <w:tc>
          <w:tcPr>
            <w:tcW w:w="840" w:type="dxa"/>
            <w:shd w:val="clear" w:color="auto" w:fill="D9D9D9" w:themeFill="background1" w:themeFillShade="D9"/>
          </w:tcPr>
          <w:p w14:paraId="632B7578" w14:textId="77777777" w:rsidR="004E43B5" w:rsidRPr="00C27D73" w:rsidRDefault="004E43B5" w:rsidP="00646572">
            <w:pPr>
              <w:spacing w:after="160" w:line="259" w:lineRule="auto"/>
              <w:jc w:val="center"/>
              <w:rPr>
                <w:b/>
                <w:bCs/>
                <w:sz w:val="16"/>
                <w:szCs w:val="16"/>
              </w:rPr>
            </w:pPr>
            <w:r w:rsidRPr="00C27D73">
              <w:rPr>
                <w:b/>
                <w:bCs/>
                <w:sz w:val="16"/>
                <w:szCs w:val="16"/>
              </w:rPr>
              <w:t>Nursery Class QI 1.3</w:t>
            </w:r>
          </w:p>
        </w:tc>
        <w:tc>
          <w:tcPr>
            <w:tcW w:w="840" w:type="dxa"/>
            <w:shd w:val="clear" w:color="auto" w:fill="D9D9D9" w:themeFill="background1" w:themeFillShade="D9"/>
          </w:tcPr>
          <w:p w14:paraId="15466CB0" w14:textId="2603C2F4" w:rsidR="004E43B5" w:rsidRPr="00C27D73" w:rsidRDefault="004E43B5" w:rsidP="00646572">
            <w:pPr>
              <w:spacing w:after="160" w:line="259" w:lineRule="auto"/>
              <w:jc w:val="center"/>
              <w:rPr>
                <w:b/>
                <w:bCs/>
                <w:sz w:val="16"/>
                <w:szCs w:val="16"/>
              </w:rPr>
            </w:pPr>
            <w:r w:rsidRPr="00C27D73">
              <w:rPr>
                <w:b/>
                <w:bCs/>
                <w:sz w:val="16"/>
                <w:szCs w:val="16"/>
              </w:rPr>
              <w:t xml:space="preserve">Nursery Class </w:t>
            </w:r>
            <w:r w:rsidR="00D811B3">
              <w:rPr>
                <w:b/>
                <w:bCs/>
                <w:sz w:val="16"/>
                <w:szCs w:val="16"/>
              </w:rPr>
              <w:t>Q</w:t>
            </w:r>
            <w:r w:rsidRPr="00C27D73">
              <w:rPr>
                <w:b/>
                <w:bCs/>
                <w:sz w:val="16"/>
                <w:szCs w:val="16"/>
              </w:rPr>
              <w:t>I 2.3</w:t>
            </w:r>
          </w:p>
        </w:tc>
        <w:tc>
          <w:tcPr>
            <w:tcW w:w="840" w:type="dxa"/>
            <w:shd w:val="clear" w:color="auto" w:fill="D9D9D9" w:themeFill="background1" w:themeFillShade="D9"/>
          </w:tcPr>
          <w:p w14:paraId="49C46B96" w14:textId="77777777" w:rsidR="004E43B5" w:rsidRPr="00C27D73" w:rsidRDefault="004E43B5" w:rsidP="00646572">
            <w:pPr>
              <w:spacing w:after="160" w:line="259" w:lineRule="auto"/>
              <w:jc w:val="center"/>
              <w:rPr>
                <w:b/>
                <w:bCs/>
                <w:sz w:val="16"/>
                <w:szCs w:val="16"/>
              </w:rPr>
            </w:pPr>
            <w:r w:rsidRPr="00C27D73">
              <w:rPr>
                <w:b/>
                <w:bCs/>
                <w:sz w:val="16"/>
                <w:szCs w:val="16"/>
              </w:rPr>
              <w:t>Nursery Class QI 3.1</w:t>
            </w:r>
          </w:p>
        </w:tc>
        <w:tc>
          <w:tcPr>
            <w:tcW w:w="840" w:type="dxa"/>
            <w:shd w:val="clear" w:color="auto" w:fill="D9D9D9" w:themeFill="background1" w:themeFillShade="D9"/>
          </w:tcPr>
          <w:p w14:paraId="0F60368E" w14:textId="77777777" w:rsidR="004E43B5" w:rsidRPr="00C27D73" w:rsidRDefault="004E43B5" w:rsidP="00646572">
            <w:pPr>
              <w:spacing w:after="160" w:line="259" w:lineRule="auto"/>
              <w:jc w:val="center"/>
              <w:rPr>
                <w:b/>
                <w:bCs/>
                <w:sz w:val="16"/>
                <w:szCs w:val="16"/>
              </w:rPr>
            </w:pPr>
            <w:r w:rsidRPr="00C27D73">
              <w:rPr>
                <w:b/>
                <w:bCs/>
                <w:sz w:val="16"/>
                <w:szCs w:val="16"/>
              </w:rPr>
              <w:t>Nursery Class QI 3.2</w:t>
            </w:r>
          </w:p>
        </w:tc>
      </w:tr>
      <w:tr w:rsidR="00076FB9" w14:paraId="50645C7D" w14:textId="77777777" w:rsidTr="00706551">
        <w:tc>
          <w:tcPr>
            <w:tcW w:w="2290" w:type="dxa"/>
          </w:tcPr>
          <w:p w14:paraId="2E5B80F9" w14:textId="77777777" w:rsidR="00076FB9" w:rsidRDefault="00076FB9" w:rsidP="006120A9">
            <w:pPr>
              <w:spacing w:after="80" w:line="259" w:lineRule="auto"/>
              <w:rPr>
                <w:sz w:val="16"/>
                <w:szCs w:val="16"/>
              </w:rPr>
            </w:pPr>
            <w:r>
              <w:rPr>
                <w:sz w:val="16"/>
                <w:szCs w:val="16"/>
              </w:rPr>
              <w:t>St Mary’s Primary School</w:t>
            </w:r>
          </w:p>
          <w:p w14:paraId="465310B3" w14:textId="60088A65" w:rsidR="00076FB9" w:rsidRDefault="00076FB9" w:rsidP="006120A9">
            <w:pPr>
              <w:spacing w:after="80" w:line="259" w:lineRule="auto"/>
              <w:rPr>
                <w:sz w:val="16"/>
                <w:szCs w:val="16"/>
              </w:rPr>
            </w:pPr>
            <w:r>
              <w:rPr>
                <w:sz w:val="16"/>
                <w:szCs w:val="16"/>
              </w:rPr>
              <w:t>April 2025</w:t>
            </w:r>
          </w:p>
          <w:p w14:paraId="51183FC7" w14:textId="16E5A8CE" w:rsidR="00076FB9" w:rsidRDefault="00076FB9" w:rsidP="006120A9">
            <w:pPr>
              <w:spacing w:after="80" w:line="259" w:lineRule="auto"/>
              <w:rPr>
                <w:sz w:val="16"/>
                <w:szCs w:val="16"/>
              </w:rPr>
            </w:pPr>
            <w:r w:rsidRPr="00D811B3">
              <w:rPr>
                <w:sz w:val="16"/>
                <w:szCs w:val="16"/>
              </w:rPr>
              <w:t>Full inspection model</w:t>
            </w:r>
            <w:r w:rsidR="00706551">
              <w:rPr>
                <w:sz w:val="16"/>
                <w:szCs w:val="16"/>
              </w:rPr>
              <w:t xml:space="preserve"> (</w:t>
            </w:r>
            <w:proofErr w:type="spellStart"/>
            <w:r w:rsidR="00706551">
              <w:rPr>
                <w:sz w:val="16"/>
                <w:szCs w:val="16"/>
              </w:rPr>
              <w:t>HMIe</w:t>
            </w:r>
            <w:proofErr w:type="spellEnd"/>
            <w:r w:rsidR="00706551">
              <w:rPr>
                <w:sz w:val="16"/>
                <w:szCs w:val="16"/>
              </w:rPr>
              <w:t>)</w:t>
            </w:r>
          </w:p>
        </w:tc>
        <w:tc>
          <w:tcPr>
            <w:tcW w:w="866" w:type="dxa"/>
            <w:vAlign w:val="center"/>
          </w:tcPr>
          <w:p w14:paraId="2A538C49" w14:textId="399342A1" w:rsidR="00076FB9" w:rsidRDefault="00706551" w:rsidP="00076FB9">
            <w:pPr>
              <w:spacing w:after="160" w:line="259" w:lineRule="auto"/>
              <w:jc w:val="center"/>
              <w:rPr>
                <w:sz w:val="16"/>
                <w:szCs w:val="16"/>
              </w:rPr>
            </w:pPr>
            <w:r>
              <w:rPr>
                <w:sz w:val="16"/>
                <w:szCs w:val="16"/>
              </w:rPr>
              <w:t>Very good</w:t>
            </w:r>
          </w:p>
        </w:tc>
        <w:tc>
          <w:tcPr>
            <w:tcW w:w="1041" w:type="dxa"/>
            <w:vAlign w:val="center"/>
          </w:tcPr>
          <w:p w14:paraId="6239A1F0" w14:textId="7446620A" w:rsidR="00076FB9" w:rsidRDefault="00706551" w:rsidP="00706551">
            <w:pPr>
              <w:spacing w:after="160" w:line="259" w:lineRule="auto"/>
              <w:jc w:val="center"/>
              <w:rPr>
                <w:sz w:val="16"/>
                <w:szCs w:val="16"/>
              </w:rPr>
            </w:pPr>
            <w:r>
              <w:rPr>
                <w:sz w:val="16"/>
                <w:szCs w:val="16"/>
              </w:rPr>
              <w:t>Very     good</w:t>
            </w:r>
          </w:p>
        </w:tc>
        <w:tc>
          <w:tcPr>
            <w:tcW w:w="866" w:type="dxa"/>
            <w:vAlign w:val="center"/>
          </w:tcPr>
          <w:p w14:paraId="580650B9" w14:textId="2508BF2D" w:rsidR="00076FB9" w:rsidRDefault="00706551" w:rsidP="00076FB9">
            <w:pPr>
              <w:spacing w:after="160" w:line="259" w:lineRule="auto"/>
              <w:jc w:val="center"/>
              <w:rPr>
                <w:sz w:val="16"/>
                <w:szCs w:val="16"/>
              </w:rPr>
            </w:pPr>
            <w:r>
              <w:rPr>
                <w:sz w:val="16"/>
                <w:szCs w:val="16"/>
              </w:rPr>
              <w:t>Very good</w:t>
            </w:r>
          </w:p>
        </w:tc>
        <w:tc>
          <w:tcPr>
            <w:tcW w:w="1041" w:type="dxa"/>
            <w:vAlign w:val="center"/>
          </w:tcPr>
          <w:p w14:paraId="0553AF90" w14:textId="35C5FC79" w:rsidR="00076FB9" w:rsidRDefault="00706551" w:rsidP="00076FB9">
            <w:pPr>
              <w:spacing w:after="160" w:line="259" w:lineRule="auto"/>
              <w:jc w:val="center"/>
              <w:rPr>
                <w:sz w:val="16"/>
                <w:szCs w:val="16"/>
              </w:rPr>
            </w:pPr>
            <w:r>
              <w:rPr>
                <w:sz w:val="16"/>
                <w:szCs w:val="16"/>
              </w:rPr>
              <w:t>Very    good</w:t>
            </w:r>
          </w:p>
        </w:tc>
        <w:tc>
          <w:tcPr>
            <w:tcW w:w="840" w:type="dxa"/>
            <w:shd w:val="clear" w:color="auto" w:fill="D9D9D9" w:themeFill="background1" w:themeFillShade="D9"/>
            <w:vAlign w:val="center"/>
          </w:tcPr>
          <w:p w14:paraId="7682DF6E" w14:textId="77777777" w:rsidR="00076FB9" w:rsidRPr="00D811B3" w:rsidRDefault="00076FB9" w:rsidP="00D811B3">
            <w:pPr>
              <w:spacing w:after="160" w:line="259" w:lineRule="auto"/>
              <w:jc w:val="center"/>
              <w:rPr>
                <w:sz w:val="16"/>
                <w:szCs w:val="16"/>
              </w:rPr>
            </w:pPr>
          </w:p>
        </w:tc>
        <w:tc>
          <w:tcPr>
            <w:tcW w:w="840" w:type="dxa"/>
            <w:shd w:val="clear" w:color="auto" w:fill="D9D9D9" w:themeFill="background1" w:themeFillShade="D9"/>
            <w:vAlign w:val="center"/>
          </w:tcPr>
          <w:p w14:paraId="15C2810A" w14:textId="77777777" w:rsidR="00076FB9" w:rsidRPr="00D811B3" w:rsidRDefault="00076FB9" w:rsidP="006120A9">
            <w:pPr>
              <w:spacing w:after="160" w:line="259" w:lineRule="auto"/>
              <w:jc w:val="center"/>
              <w:rPr>
                <w:sz w:val="16"/>
                <w:szCs w:val="16"/>
              </w:rPr>
            </w:pPr>
          </w:p>
        </w:tc>
        <w:tc>
          <w:tcPr>
            <w:tcW w:w="840" w:type="dxa"/>
            <w:shd w:val="clear" w:color="auto" w:fill="D9D9D9" w:themeFill="background1" w:themeFillShade="D9"/>
            <w:vAlign w:val="center"/>
          </w:tcPr>
          <w:p w14:paraId="61DD1CB2" w14:textId="77777777" w:rsidR="00076FB9" w:rsidRPr="00D811B3" w:rsidRDefault="00076FB9" w:rsidP="00D811B3">
            <w:pPr>
              <w:spacing w:after="160" w:line="259" w:lineRule="auto"/>
              <w:jc w:val="center"/>
              <w:rPr>
                <w:sz w:val="16"/>
                <w:szCs w:val="16"/>
              </w:rPr>
            </w:pPr>
          </w:p>
        </w:tc>
        <w:tc>
          <w:tcPr>
            <w:tcW w:w="840" w:type="dxa"/>
            <w:shd w:val="clear" w:color="auto" w:fill="D9D9D9" w:themeFill="background1" w:themeFillShade="D9"/>
            <w:vAlign w:val="center"/>
          </w:tcPr>
          <w:p w14:paraId="7AA2BE1D" w14:textId="77777777" w:rsidR="00076FB9" w:rsidRPr="00D811B3" w:rsidRDefault="00076FB9" w:rsidP="00D811B3">
            <w:pPr>
              <w:spacing w:after="160" w:line="259" w:lineRule="auto"/>
              <w:jc w:val="center"/>
              <w:rPr>
                <w:sz w:val="16"/>
                <w:szCs w:val="16"/>
              </w:rPr>
            </w:pPr>
          </w:p>
        </w:tc>
      </w:tr>
      <w:tr w:rsidR="00706551" w14:paraId="02137D3C" w14:textId="77777777" w:rsidTr="00706551">
        <w:tc>
          <w:tcPr>
            <w:tcW w:w="2290" w:type="dxa"/>
          </w:tcPr>
          <w:p w14:paraId="28A4DFEF" w14:textId="77777777" w:rsidR="00706551" w:rsidRDefault="00706551" w:rsidP="006120A9">
            <w:pPr>
              <w:spacing w:after="80" w:line="259" w:lineRule="auto"/>
              <w:rPr>
                <w:sz w:val="16"/>
                <w:szCs w:val="16"/>
              </w:rPr>
            </w:pPr>
            <w:r>
              <w:rPr>
                <w:sz w:val="16"/>
                <w:szCs w:val="16"/>
              </w:rPr>
              <w:t>Whinhill Primary School</w:t>
            </w:r>
          </w:p>
          <w:p w14:paraId="708DFBBF" w14:textId="21F2A7D6" w:rsidR="00706551" w:rsidRDefault="00706551" w:rsidP="006120A9">
            <w:pPr>
              <w:spacing w:after="80" w:line="259" w:lineRule="auto"/>
              <w:rPr>
                <w:sz w:val="16"/>
                <w:szCs w:val="16"/>
              </w:rPr>
            </w:pPr>
            <w:r>
              <w:rPr>
                <w:sz w:val="16"/>
                <w:szCs w:val="16"/>
              </w:rPr>
              <w:t>January 2026</w:t>
            </w:r>
          </w:p>
          <w:p w14:paraId="569EB11B" w14:textId="35D56BDE" w:rsidR="00706551" w:rsidRDefault="00706551" w:rsidP="006120A9">
            <w:pPr>
              <w:spacing w:after="80" w:line="259" w:lineRule="auto"/>
              <w:rPr>
                <w:sz w:val="16"/>
                <w:szCs w:val="16"/>
              </w:rPr>
            </w:pPr>
            <w:r>
              <w:rPr>
                <w:sz w:val="16"/>
                <w:szCs w:val="16"/>
              </w:rPr>
              <w:t>Full inspection model (</w:t>
            </w:r>
            <w:proofErr w:type="spellStart"/>
            <w:r>
              <w:rPr>
                <w:sz w:val="16"/>
                <w:szCs w:val="16"/>
              </w:rPr>
              <w:t>HMIe</w:t>
            </w:r>
            <w:proofErr w:type="spellEnd"/>
            <w:r>
              <w:rPr>
                <w:sz w:val="16"/>
                <w:szCs w:val="16"/>
              </w:rPr>
              <w:t>)</w:t>
            </w:r>
          </w:p>
        </w:tc>
        <w:tc>
          <w:tcPr>
            <w:tcW w:w="866" w:type="dxa"/>
            <w:vAlign w:val="center"/>
          </w:tcPr>
          <w:p w14:paraId="20FD466E" w14:textId="6B906A77" w:rsidR="00706551" w:rsidRDefault="00706551" w:rsidP="00076FB9">
            <w:pPr>
              <w:spacing w:after="160" w:line="259" w:lineRule="auto"/>
              <w:jc w:val="center"/>
              <w:rPr>
                <w:sz w:val="16"/>
                <w:szCs w:val="16"/>
              </w:rPr>
            </w:pPr>
            <w:r>
              <w:rPr>
                <w:sz w:val="16"/>
                <w:szCs w:val="16"/>
              </w:rPr>
              <w:t>Excellent</w:t>
            </w:r>
          </w:p>
        </w:tc>
        <w:tc>
          <w:tcPr>
            <w:tcW w:w="1041" w:type="dxa"/>
            <w:vAlign w:val="center"/>
          </w:tcPr>
          <w:p w14:paraId="2F83B9D6" w14:textId="1B871CEF" w:rsidR="00706551" w:rsidRDefault="00706551" w:rsidP="00076FB9">
            <w:pPr>
              <w:spacing w:after="160" w:line="259" w:lineRule="auto"/>
              <w:jc w:val="center"/>
              <w:rPr>
                <w:sz w:val="16"/>
                <w:szCs w:val="16"/>
              </w:rPr>
            </w:pPr>
            <w:r>
              <w:rPr>
                <w:sz w:val="16"/>
                <w:szCs w:val="16"/>
              </w:rPr>
              <w:t>Excellent</w:t>
            </w:r>
          </w:p>
        </w:tc>
        <w:tc>
          <w:tcPr>
            <w:tcW w:w="866" w:type="dxa"/>
            <w:vAlign w:val="center"/>
          </w:tcPr>
          <w:p w14:paraId="6B7D1258" w14:textId="37B68392" w:rsidR="00706551" w:rsidRDefault="00706551" w:rsidP="00076FB9">
            <w:pPr>
              <w:spacing w:after="160" w:line="259" w:lineRule="auto"/>
              <w:jc w:val="center"/>
              <w:rPr>
                <w:sz w:val="16"/>
                <w:szCs w:val="16"/>
              </w:rPr>
            </w:pPr>
            <w:r>
              <w:rPr>
                <w:sz w:val="16"/>
                <w:szCs w:val="16"/>
              </w:rPr>
              <w:t xml:space="preserve">Excellent </w:t>
            </w:r>
          </w:p>
        </w:tc>
        <w:tc>
          <w:tcPr>
            <w:tcW w:w="1041" w:type="dxa"/>
            <w:vAlign w:val="center"/>
          </w:tcPr>
          <w:p w14:paraId="38359E60" w14:textId="1F187D33" w:rsidR="00706551" w:rsidRDefault="00706551" w:rsidP="00076FB9">
            <w:pPr>
              <w:spacing w:after="160" w:line="259" w:lineRule="auto"/>
              <w:jc w:val="center"/>
              <w:rPr>
                <w:sz w:val="16"/>
                <w:szCs w:val="16"/>
              </w:rPr>
            </w:pPr>
            <w:r>
              <w:rPr>
                <w:sz w:val="16"/>
                <w:szCs w:val="16"/>
              </w:rPr>
              <w:t>Excellent</w:t>
            </w:r>
          </w:p>
        </w:tc>
        <w:tc>
          <w:tcPr>
            <w:tcW w:w="840" w:type="dxa"/>
            <w:shd w:val="clear" w:color="auto" w:fill="D9D9D9" w:themeFill="background1" w:themeFillShade="D9"/>
            <w:vAlign w:val="center"/>
          </w:tcPr>
          <w:p w14:paraId="7C098BA2" w14:textId="77777777" w:rsidR="00706551" w:rsidRPr="00D811B3" w:rsidRDefault="00706551" w:rsidP="00D811B3">
            <w:pPr>
              <w:spacing w:after="160" w:line="259" w:lineRule="auto"/>
              <w:jc w:val="center"/>
              <w:rPr>
                <w:sz w:val="16"/>
                <w:szCs w:val="16"/>
              </w:rPr>
            </w:pPr>
          </w:p>
        </w:tc>
        <w:tc>
          <w:tcPr>
            <w:tcW w:w="840" w:type="dxa"/>
            <w:shd w:val="clear" w:color="auto" w:fill="D9D9D9" w:themeFill="background1" w:themeFillShade="D9"/>
            <w:vAlign w:val="center"/>
          </w:tcPr>
          <w:p w14:paraId="153EBFFD" w14:textId="77777777" w:rsidR="00706551" w:rsidRPr="00D811B3" w:rsidRDefault="00706551" w:rsidP="006120A9">
            <w:pPr>
              <w:spacing w:after="160" w:line="259" w:lineRule="auto"/>
              <w:jc w:val="center"/>
              <w:rPr>
                <w:sz w:val="16"/>
                <w:szCs w:val="16"/>
              </w:rPr>
            </w:pPr>
          </w:p>
        </w:tc>
        <w:tc>
          <w:tcPr>
            <w:tcW w:w="840" w:type="dxa"/>
            <w:shd w:val="clear" w:color="auto" w:fill="D9D9D9" w:themeFill="background1" w:themeFillShade="D9"/>
            <w:vAlign w:val="center"/>
          </w:tcPr>
          <w:p w14:paraId="23580363" w14:textId="77777777" w:rsidR="00706551" w:rsidRPr="00D811B3" w:rsidRDefault="00706551" w:rsidP="00D811B3">
            <w:pPr>
              <w:spacing w:after="160" w:line="259" w:lineRule="auto"/>
              <w:jc w:val="center"/>
              <w:rPr>
                <w:sz w:val="16"/>
                <w:szCs w:val="16"/>
              </w:rPr>
            </w:pPr>
          </w:p>
        </w:tc>
        <w:tc>
          <w:tcPr>
            <w:tcW w:w="840" w:type="dxa"/>
            <w:shd w:val="clear" w:color="auto" w:fill="D9D9D9" w:themeFill="background1" w:themeFillShade="D9"/>
            <w:vAlign w:val="center"/>
          </w:tcPr>
          <w:p w14:paraId="0286A278" w14:textId="77777777" w:rsidR="00706551" w:rsidRPr="00D811B3" w:rsidRDefault="00706551" w:rsidP="00D811B3">
            <w:pPr>
              <w:spacing w:after="160" w:line="259" w:lineRule="auto"/>
              <w:jc w:val="center"/>
              <w:rPr>
                <w:sz w:val="16"/>
                <w:szCs w:val="16"/>
              </w:rPr>
            </w:pPr>
          </w:p>
        </w:tc>
      </w:tr>
    </w:tbl>
    <w:p w14:paraId="2E7DA0CB" w14:textId="29E74FB8" w:rsidR="00721F3D" w:rsidRDefault="00721F3D" w:rsidP="004E43B5">
      <w:pPr>
        <w:spacing w:after="160" w:line="259" w:lineRule="auto"/>
        <w:rPr>
          <w:b/>
          <w:bCs/>
        </w:rPr>
      </w:pPr>
      <w:r>
        <w:rPr>
          <w:b/>
          <w:bCs/>
        </w:rPr>
        <w:t>Care Inspectorate inspections</w:t>
      </w:r>
    </w:p>
    <w:tbl>
      <w:tblPr>
        <w:tblStyle w:val="TableGrid"/>
        <w:tblW w:w="9493" w:type="dxa"/>
        <w:tblLook w:val="04A0" w:firstRow="1" w:lastRow="0" w:firstColumn="1" w:lastColumn="0" w:noHBand="0" w:noVBand="1"/>
      </w:tblPr>
      <w:tblGrid>
        <w:gridCol w:w="1856"/>
        <w:gridCol w:w="1825"/>
        <w:gridCol w:w="1559"/>
        <w:gridCol w:w="1843"/>
        <w:gridCol w:w="2410"/>
      </w:tblGrid>
      <w:tr w:rsidR="006C5981" w:rsidRPr="00C27D73" w14:paraId="646BF927" w14:textId="77777777" w:rsidTr="006C5981">
        <w:tc>
          <w:tcPr>
            <w:tcW w:w="1856" w:type="dxa"/>
            <w:shd w:val="clear" w:color="auto" w:fill="D9D9D9" w:themeFill="background1" w:themeFillShade="D9"/>
          </w:tcPr>
          <w:p w14:paraId="34432A46" w14:textId="77777777" w:rsidR="006C5981" w:rsidRPr="00C27D73" w:rsidRDefault="006C5981" w:rsidP="00287171">
            <w:pPr>
              <w:spacing w:after="160" w:line="259" w:lineRule="auto"/>
              <w:jc w:val="center"/>
              <w:rPr>
                <w:b/>
                <w:bCs/>
                <w:sz w:val="16"/>
                <w:szCs w:val="16"/>
              </w:rPr>
            </w:pPr>
            <w:r w:rsidRPr="00C27D73">
              <w:rPr>
                <w:b/>
                <w:bCs/>
                <w:sz w:val="16"/>
                <w:szCs w:val="16"/>
              </w:rPr>
              <w:t>Establishment</w:t>
            </w:r>
          </w:p>
        </w:tc>
        <w:tc>
          <w:tcPr>
            <w:tcW w:w="1825" w:type="dxa"/>
            <w:shd w:val="clear" w:color="auto" w:fill="D9D9D9" w:themeFill="background1" w:themeFillShade="D9"/>
          </w:tcPr>
          <w:p w14:paraId="0FB97FF2" w14:textId="1061C587" w:rsidR="006C5981" w:rsidRPr="006C5981" w:rsidRDefault="006C5981" w:rsidP="00287171">
            <w:pPr>
              <w:spacing w:after="160" w:line="259" w:lineRule="auto"/>
              <w:jc w:val="center"/>
              <w:rPr>
                <w:b/>
                <w:sz w:val="16"/>
                <w:szCs w:val="16"/>
              </w:rPr>
            </w:pPr>
            <w:r w:rsidRPr="006C5981">
              <w:rPr>
                <w:b/>
                <w:sz w:val="16"/>
                <w:szCs w:val="16"/>
              </w:rPr>
              <w:t xml:space="preserve">How good is our care, play and learning?       </w:t>
            </w:r>
          </w:p>
        </w:tc>
        <w:tc>
          <w:tcPr>
            <w:tcW w:w="1559" w:type="dxa"/>
            <w:shd w:val="clear" w:color="auto" w:fill="D9D9D9" w:themeFill="background1" w:themeFillShade="D9"/>
          </w:tcPr>
          <w:p w14:paraId="5A6E2973" w14:textId="3AB40A6E" w:rsidR="006C5981" w:rsidRPr="006C5981" w:rsidRDefault="006C5981" w:rsidP="00287171">
            <w:pPr>
              <w:spacing w:after="160" w:line="259" w:lineRule="auto"/>
              <w:jc w:val="center"/>
              <w:rPr>
                <w:b/>
                <w:sz w:val="16"/>
                <w:szCs w:val="16"/>
              </w:rPr>
            </w:pPr>
            <w:r w:rsidRPr="006C5981">
              <w:rPr>
                <w:b/>
                <w:sz w:val="16"/>
                <w:szCs w:val="16"/>
              </w:rPr>
              <w:t xml:space="preserve">How good is our setting?                                 </w:t>
            </w:r>
          </w:p>
        </w:tc>
        <w:tc>
          <w:tcPr>
            <w:tcW w:w="1843" w:type="dxa"/>
            <w:shd w:val="clear" w:color="auto" w:fill="D9D9D9" w:themeFill="background1" w:themeFillShade="D9"/>
          </w:tcPr>
          <w:p w14:paraId="4F390601" w14:textId="40463FA1" w:rsidR="006C5981" w:rsidRPr="006C5981" w:rsidRDefault="006C5981" w:rsidP="00287171">
            <w:pPr>
              <w:spacing w:after="160" w:line="259" w:lineRule="auto"/>
              <w:jc w:val="center"/>
              <w:rPr>
                <w:b/>
                <w:sz w:val="16"/>
                <w:szCs w:val="16"/>
              </w:rPr>
            </w:pPr>
            <w:r w:rsidRPr="006C5981">
              <w:rPr>
                <w:b/>
                <w:sz w:val="16"/>
                <w:szCs w:val="16"/>
              </w:rPr>
              <w:t xml:space="preserve">How good is our leadership?                           </w:t>
            </w:r>
          </w:p>
        </w:tc>
        <w:tc>
          <w:tcPr>
            <w:tcW w:w="2410" w:type="dxa"/>
            <w:shd w:val="clear" w:color="auto" w:fill="D9D9D9" w:themeFill="background1" w:themeFillShade="D9"/>
          </w:tcPr>
          <w:p w14:paraId="59A83D69" w14:textId="5697530D" w:rsidR="006C5981" w:rsidRPr="006C5981" w:rsidRDefault="006C5981" w:rsidP="00287171">
            <w:pPr>
              <w:spacing w:after="160" w:line="259" w:lineRule="auto"/>
              <w:jc w:val="center"/>
              <w:rPr>
                <w:b/>
                <w:sz w:val="16"/>
                <w:szCs w:val="16"/>
              </w:rPr>
            </w:pPr>
            <w:r w:rsidRPr="006C5981">
              <w:rPr>
                <w:b/>
                <w:sz w:val="16"/>
                <w:szCs w:val="16"/>
              </w:rPr>
              <w:t xml:space="preserve">How good is our staff team?                            </w:t>
            </w:r>
          </w:p>
        </w:tc>
      </w:tr>
      <w:tr w:rsidR="006C5981" w:rsidRPr="00D811B3" w14:paraId="52A4E190" w14:textId="77777777" w:rsidTr="006C5981">
        <w:trPr>
          <w:trHeight w:val="410"/>
        </w:trPr>
        <w:tc>
          <w:tcPr>
            <w:tcW w:w="1856" w:type="dxa"/>
          </w:tcPr>
          <w:p w14:paraId="53D055FA" w14:textId="1F83B3FD" w:rsidR="006C5981" w:rsidRDefault="006C5981" w:rsidP="00287171">
            <w:pPr>
              <w:spacing w:after="80" w:line="259" w:lineRule="auto"/>
              <w:rPr>
                <w:sz w:val="16"/>
                <w:szCs w:val="16"/>
              </w:rPr>
            </w:pPr>
            <w:r>
              <w:rPr>
                <w:sz w:val="16"/>
                <w:szCs w:val="16"/>
              </w:rPr>
              <w:t>Kings Oak PS Nursery Class</w:t>
            </w:r>
            <w:r w:rsidR="00721F3D">
              <w:rPr>
                <w:sz w:val="16"/>
                <w:szCs w:val="16"/>
              </w:rPr>
              <w:t xml:space="preserve"> (Apr 25)</w:t>
            </w:r>
          </w:p>
        </w:tc>
        <w:tc>
          <w:tcPr>
            <w:tcW w:w="1825" w:type="dxa"/>
            <w:vAlign w:val="center"/>
          </w:tcPr>
          <w:p w14:paraId="7A7F38C6" w14:textId="6AE0BCD5" w:rsidR="006C5981" w:rsidRDefault="006C5981" w:rsidP="00287171">
            <w:pPr>
              <w:spacing w:after="160" w:line="259" w:lineRule="auto"/>
              <w:jc w:val="center"/>
              <w:rPr>
                <w:sz w:val="16"/>
                <w:szCs w:val="16"/>
              </w:rPr>
            </w:pPr>
            <w:r>
              <w:rPr>
                <w:sz w:val="16"/>
                <w:szCs w:val="16"/>
              </w:rPr>
              <w:t>Good</w:t>
            </w:r>
          </w:p>
        </w:tc>
        <w:tc>
          <w:tcPr>
            <w:tcW w:w="1559" w:type="dxa"/>
            <w:vAlign w:val="center"/>
          </w:tcPr>
          <w:p w14:paraId="7DB205C7" w14:textId="74DA6A6E" w:rsidR="006C5981" w:rsidRDefault="006C5981" w:rsidP="00287171">
            <w:pPr>
              <w:spacing w:after="160" w:line="259" w:lineRule="auto"/>
              <w:jc w:val="center"/>
              <w:rPr>
                <w:sz w:val="16"/>
                <w:szCs w:val="16"/>
              </w:rPr>
            </w:pPr>
            <w:r>
              <w:rPr>
                <w:sz w:val="16"/>
                <w:szCs w:val="16"/>
              </w:rPr>
              <w:t>Good</w:t>
            </w:r>
          </w:p>
        </w:tc>
        <w:tc>
          <w:tcPr>
            <w:tcW w:w="1843" w:type="dxa"/>
            <w:vAlign w:val="center"/>
          </w:tcPr>
          <w:p w14:paraId="31949B41" w14:textId="712A0999" w:rsidR="006C5981" w:rsidRDefault="006C5981" w:rsidP="00287171">
            <w:pPr>
              <w:spacing w:after="160" w:line="259" w:lineRule="auto"/>
              <w:jc w:val="center"/>
              <w:rPr>
                <w:sz w:val="16"/>
                <w:szCs w:val="16"/>
              </w:rPr>
            </w:pPr>
            <w:r>
              <w:rPr>
                <w:sz w:val="16"/>
                <w:szCs w:val="16"/>
              </w:rPr>
              <w:t>Very good</w:t>
            </w:r>
          </w:p>
        </w:tc>
        <w:tc>
          <w:tcPr>
            <w:tcW w:w="2410" w:type="dxa"/>
            <w:vAlign w:val="center"/>
          </w:tcPr>
          <w:p w14:paraId="2D14DF1C" w14:textId="7BB7338E" w:rsidR="006C5981" w:rsidRDefault="006C5981" w:rsidP="00287171">
            <w:pPr>
              <w:spacing w:after="160" w:line="259" w:lineRule="auto"/>
              <w:jc w:val="center"/>
              <w:rPr>
                <w:sz w:val="16"/>
                <w:szCs w:val="16"/>
              </w:rPr>
            </w:pPr>
            <w:r>
              <w:rPr>
                <w:sz w:val="16"/>
                <w:szCs w:val="16"/>
              </w:rPr>
              <w:t>Very good</w:t>
            </w:r>
          </w:p>
        </w:tc>
      </w:tr>
      <w:tr w:rsidR="006C5981" w:rsidRPr="00D811B3" w14:paraId="09247697" w14:textId="77777777" w:rsidTr="006C5981">
        <w:trPr>
          <w:trHeight w:val="420"/>
        </w:trPr>
        <w:tc>
          <w:tcPr>
            <w:tcW w:w="1856" w:type="dxa"/>
          </w:tcPr>
          <w:p w14:paraId="1A045AAC" w14:textId="7E0CA263" w:rsidR="006C5981" w:rsidRDefault="006C5981" w:rsidP="00287171">
            <w:pPr>
              <w:spacing w:after="80" w:line="259" w:lineRule="auto"/>
              <w:rPr>
                <w:sz w:val="16"/>
                <w:szCs w:val="16"/>
              </w:rPr>
            </w:pPr>
            <w:r>
              <w:rPr>
                <w:sz w:val="16"/>
                <w:szCs w:val="16"/>
              </w:rPr>
              <w:t>Whinhill PS Nursery Class</w:t>
            </w:r>
            <w:r w:rsidR="00721F3D">
              <w:rPr>
                <w:sz w:val="16"/>
                <w:szCs w:val="16"/>
              </w:rPr>
              <w:t xml:space="preserve"> (May 25)</w:t>
            </w:r>
          </w:p>
        </w:tc>
        <w:tc>
          <w:tcPr>
            <w:tcW w:w="1825" w:type="dxa"/>
            <w:vAlign w:val="center"/>
          </w:tcPr>
          <w:p w14:paraId="34173627" w14:textId="6B105A43" w:rsidR="006C5981" w:rsidRDefault="006C5981" w:rsidP="00287171">
            <w:pPr>
              <w:spacing w:after="160" w:line="259" w:lineRule="auto"/>
              <w:jc w:val="center"/>
              <w:rPr>
                <w:sz w:val="16"/>
                <w:szCs w:val="16"/>
              </w:rPr>
            </w:pPr>
            <w:r>
              <w:rPr>
                <w:sz w:val="16"/>
                <w:szCs w:val="16"/>
              </w:rPr>
              <w:t>Very good</w:t>
            </w:r>
          </w:p>
        </w:tc>
        <w:tc>
          <w:tcPr>
            <w:tcW w:w="1559" w:type="dxa"/>
            <w:vAlign w:val="center"/>
          </w:tcPr>
          <w:p w14:paraId="79853C73" w14:textId="6444314A" w:rsidR="006C5981" w:rsidRDefault="006C5981" w:rsidP="00287171">
            <w:pPr>
              <w:spacing w:after="160" w:line="259" w:lineRule="auto"/>
              <w:jc w:val="center"/>
              <w:rPr>
                <w:sz w:val="16"/>
                <w:szCs w:val="16"/>
              </w:rPr>
            </w:pPr>
            <w:r>
              <w:rPr>
                <w:sz w:val="16"/>
                <w:szCs w:val="16"/>
              </w:rPr>
              <w:t>Very good</w:t>
            </w:r>
          </w:p>
        </w:tc>
        <w:tc>
          <w:tcPr>
            <w:tcW w:w="1843" w:type="dxa"/>
            <w:vAlign w:val="center"/>
          </w:tcPr>
          <w:p w14:paraId="076CF028" w14:textId="1AD7413F" w:rsidR="006C5981" w:rsidRDefault="006C5981" w:rsidP="00287171">
            <w:pPr>
              <w:spacing w:after="160" w:line="259" w:lineRule="auto"/>
              <w:jc w:val="center"/>
              <w:rPr>
                <w:sz w:val="16"/>
                <w:szCs w:val="16"/>
              </w:rPr>
            </w:pPr>
            <w:r>
              <w:rPr>
                <w:sz w:val="16"/>
                <w:szCs w:val="16"/>
              </w:rPr>
              <w:t>Very good</w:t>
            </w:r>
          </w:p>
        </w:tc>
        <w:tc>
          <w:tcPr>
            <w:tcW w:w="2410" w:type="dxa"/>
            <w:vAlign w:val="center"/>
          </w:tcPr>
          <w:p w14:paraId="7945E30E" w14:textId="0CBCFD09" w:rsidR="006C5981" w:rsidRDefault="006C5981" w:rsidP="00287171">
            <w:pPr>
              <w:spacing w:after="160" w:line="259" w:lineRule="auto"/>
              <w:jc w:val="center"/>
              <w:rPr>
                <w:sz w:val="16"/>
                <w:szCs w:val="16"/>
              </w:rPr>
            </w:pPr>
            <w:r>
              <w:rPr>
                <w:sz w:val="16"/>
                <w:szCs w:val="16"/>
              </w:rPr>
              <w:t>Very good</w:t>
            </w:r>
          </w:p>
        </w:tc>
      </w:tr>
      <w:tr w:rsidR="006C5981" w:rsidRPr="00D811B3" w14:paraId="2F333AAC" w14:textId="77777777" w:rsidTr="00721F3D">
        <w:trPr>
          <w:trHeight w:val="700"/>
        </w:trPr>
        <w:tc>
          <w:tcPr>
            <w:tcW w:w="1856" w:type="dxa"/>
          </w:tcPr>
          <w:p w14:paraId="695339B3" w14:textId="014CDBBF" w:rsidR="00721F3D" w:rsidRDefault="006C5981" w:rsidP="00287171">
            <w:pPr>
              <w:spacing w:after="80" w:line="259" w:lineRule="auto"/>
              <w:rPr>
                <w:sz w:val="16"/>
                <w:szCs w:val="16"/>
              </w:rPr>
            </w:pPr>
            <w:r>
              <w:rPr>
                <w:sz w:val="16"/>
                <w:szCs w:val="16"/>
              </w:rPr>
              <w:t>Wemyss Bay PS Nursery Class</w:t>
            </w:r>
            <w:r w:rsidR="00721F3D">
              <w:rPr>
                <w:sz w:val="16"/>
                <w:szCs w:val="16"/>
              </w:rPr>
              <w:t xml:space="preserve"> (June 25)</w:t>
            </w:r>
          </w:p>
        </w:tc>
        <w:tc>
          <w:tcPr>
            <w:tcW w:w="1825" w:type="dxa"/>
            <w:vAlign w:val="center"/>
          </w:tcPr>
          <w:p w14:paraId="38D96E9B" w14:textId="04F2B949" w:rsidR="006C5981" w:rsidRDefault="006C5981" w:rsidP="00287171">
            <w:pPr>
              <w:spacing w:after="160" w:line="259" w:lineRule="auto"/>
              <w:jc w:val="center"/>
              <w:rPr>
                <w:sz w:val="16"/>
                <w:szCs w:val="16"/>
              </w:rPr>
            </w:pPr>
            <w:r>
              <w:rPr>
                <w:sz w:val="16"/>
                <w:szCs w:val="16"/>
              </w:rPr>
              <w:t>Good</w:t>
            </w:r>
          </w:p>
        </w:tc>
        <w:tc>
          <w:tcPr>
            <w:tcW w:w="1559" w:type="dxa"/>
            <w:vAlign w:val="center"/>
          </w:tcPr>
          <w:p w14:paraId="0874FD57" w14:textId="7834F30C" w:rsidR="006C5981" w:rsidRDefault="006C5981" w:rsidP="00287171">
            <w:pPr>
              <w:spacing w:after="160" w:line="259" w:lineRule="auto"/>
              <w:jc w:val="center"/>
              <w:rPr>
                <w:sz w:val="16"/>
                <w:szCs w:val="16"/>
              </w:rPr>
            </w:pPr>
            <w:r>
              <w:rPr>
                <w:sz w:val="16"/>
                <w:szCs w:val="16"/>
              </w:rPr>
              <w:t>Good</w:t>
            </w:r>
          </w:p>
        </w:tc>
        <w:tc>
          <w:tcPr>
            <w:tcW w:w="1843" w:type="dxa"/>
            <w:vAlign w:val="center"/>
          </w:tcPr>
          <w:p w14:paraId="0B279B98" w14:textId="55D8BD7F" w:rsidR="006C5981" w:rsidRDefault="006C5981" w:rsidP="00287171">
            <w:pPr>
              <w:spacing w:after="160" w:line="259" w:lineRule="auto"/>
              <w:jc w:val="center"/>
              <w:rPr>
                <w:sz w:val="16"/>
                <w:szCs w:val="16"/>
              </w:rPr>
            </w:pPr>
            <w:r>
              <w:rPr>
                <w:sz w:val="16"/>
                <w:szCs w:val="16"/>
              </w:rPr>
              <w:t>Adequate</w:t>
            </w:r>
          </w:p>
        </w:tc>
        <w:tc>
          <w:tcPr>
            <w:tcW w:w="2410" w:type="dxa"/>
            <w:vAlign w:val="center"/>
          </w:tcPr>
          <w:p w14:paraId="0988D769" w14:textId="4D1E2BD7" w:rsidR="006C5981" w:rsidRDefault="006C5981" w:rsidP="00287171">
            <w:pPr>
              <w:spacing w:after="160" w:line="259" w:lineRule="auto"/>
              <w:jc w:val="center"/>
              <w:rPr>
                <w:sz w:val="16"/>
                <w:szCs w:val="16"/>
              </w:rPr>
            </w:pPr>
            <w:r>
              <w:rPr>
                <w:sz w:val="16"/>
                <w:szCs w:val="16"/>
              </w:rPr>
              <w:t>Good</w:t>
            </w:r>
          </w:p>
        </w:tc>
      </w:tr>
      <w:tr w:rsidR="00721F3D" w:rsidRPr="00D811B3" w14:paraId="21817C65" w14:textId="77777777" w:rsidTr="006C5981">
        <w:trPr>
          <w:trHeight w:val="530"/>
        </w:trPr>
        <w:tc>
          <w:tcPr>
            <w:tcW w:w="1856" w:type="dxa"/>
          </w:tcPr>
          <w:p w14:paraId="2B14013C" w14:textId="094CE891" w:rsidR="00721F3D" w:rsidRDefault="00721F3D" w:rsidP="00287171">
            <w:pPr>
              <w:spacing w:after="80" w:line="259" w:lineRule="auto"/>
              <w:rPr>
                <w:sz w:val="16"/>
                <w:szCs w:val="16"/>
              </w:rPr>
            </w:pPr>
            <w:r>
              <w:rPr>
                <w:sz w:val="16"/>
                <w:szCs w:val="16"/>
              </w:rPr>
              <w:t>Blairmore Eary Learning Centre (June 25)</w:t>
            </w:r>
          </w:p>
        </w:tc>
        <w:tc>
          <w:tcPr>
            <w:tcW w:w="1825" w:type="dxa"/>
            <w:vAlign w:val="center"/>
          </w:tcPr>
          <w:p w14:paraId="3980171D" w14:textId="2D5B0A48" w:rsidR="00721F3D" w:rsidRDefault="00721F3D" w:rsidP="00287171">
            <w:pPr>
              <w:spacing w:after="160" w:line="259" w:lineRule="auto"/>
              <w:jc w:val="center"/>
              <w:rPr>
                <w:sz w:val="16"/>
                <w:szCs w:val="16"/>
              </w:rPr>
            </w:pPr>
            <w:r>
              <w:rPr>
                <w:sz w:val="16"/>
                <w:szCs w:val="16"/>
              </w:rPr>
              <w:t>Very good</w:t>
            </w:r>
          </w:p>
        </w:tc>
        <w:tc>
          <w:tcPr>
            <w:tcW w:w="1559" w:type="dxa"/>
            <w:vAlign w:val="center"/>
          </w:tcPr>
          <w:p w14:paraId="020395D8" w14:textId="01B3F6FF" w:rsidR="00721F3D" w:rsidRDefault="00721F3D" w:rsidP="00287171">
            <w:pPr>
              <w:spacing w:after="160" w:line="259" w:lineRule="auto"/>
              <w:jc w:val="center"/>
              <w:rPr>
                <w:sz w:val="16"/>
                <w:szCs w:val="16"/>
              </w:rPr>
            </w:pPr>
            <w:r>
              <w:rPr>
                <w:sz w:val="16"/>
                <w:szCs w:val="16"/>
              </w:rPr>
              <w:t>Very good</w:t>
            </w:r>
          </w:p>
        </w:tc>
        <w:tc>
          <w:tcPr>
            <w:tcW w:w="1843" w:type="dxa"/>
            <w:vAlign w:val="center"/>
          </w:tcPr>
          <w:p w14:paraId="5E983EEE" w14:textId="04E8FBDC" w:rsidR="00721F3D" w:rsidRDefault="00721F3D" w:rsidP="00287171">
            <w:pPr>
              <w:spacing w:after="160" w:line="259" w:lineRule="auto"/>
              <w:jc w:val="center"/>
              <w:rPr>
                <w:sz w:val="16"/>
                <w:szCs w:val="16"/>
              </w:rPr>
            </w:pPr>
            <w:r>
              <w:rPr>
                <w:sz w:val="16"/>
                <w:szCs w:val="16"/>
              </w:rPr>
              <w:t>Good</w:t>
            </w:r>
          </w:p>
        </w:tc>
        <w:tc>
          <w:tcPr>
            <w:tcW w:w="2410" w:type="dxa"/>
            <w:vAlign w:val="center"/>
          </w:tcPr>
          <w:p w14:paraId="11B32AE6" w14:textId="0CC2A4CB" w:rsidR="00721F3D" w:rsidRDefault="00721F3D" w:rsidP="00287171">
            <w:pPr>
              <w:spacing w:after="160" w:line="259" w:lineRule="auto"/>
              <w:jc w:val="center"/>
              <w:rPr>
                <w:sz w:val="16"/>
                <w:szCs w:val="16"/>
              </w:rPr>
            </w:pPr>
            <w:r>
              <w:rPr>
                <w:sz w:val="16"/>
                <w:szCs w:val="16"/>
              </w:rPr>
              <w:t>Good</w:t>
            </w:r>
          </w:p>
        </w:tc>
      </w:tr>
      <w:tr w:rsidR="006C5981" w:rsidRPr="00D811B3" w14:paraId="174934AE" w14:textId="77777777" w:rsidTr="006C5981">
        <w:tc>
          <w:tcPr>
            <w:tcW w:w="1856" w:type="dxa"/>
          </w:tcPr>
          <w:p w14:paraId="5B5EB6F8" w14:textId="475DC6E3" w:rsidR="006C5981" w:rsidRDefault="006C5981" w:rsidP="006C5981">
            <w:pPr>
              <w:spacing w:after="80" w:line="259" w:lineRule="auto"/>
              <w:rPr>
                <w:sz w:val="16"/>
                <w:szCs w:val="16"/>
              </w:rPr>
            </w:pPr>
            <w:r>
              <w:rPr>
                <w:sz w:val="16"/>
                <w:szCs w:val="16"/>
              </w:rPr>
              <w:t>Glenpark Family Centre</w:t>
            </w:r>
            <w:r w:rsidR="00721F3D">
              <w:rPr>
                <w:sz w:val="16"/>
                <w:szCs w:val="16"/>
              </w:rPr>
              <w:t xml:space="preserve"> (Sept 25</w:t>
            </w:r>
          </w:p>
        </w:tc>
        <w:tc>
          <w:tcPr>
            <w:tcW w:w="1825" w:type="dxa"/>
            <w:vAlign w:val="center"/>
          </w:tcPr>
          <w:p w14:paraId="5B9E23CE" w14:textId="672B26C7" w:rsidR="006C5981" w:rsidRDefault="006C5981" w:rsidP="006C5981">
            <w:pPr>
              <w:spacing w:after="160" w:line="259" w:lineRule="auto"/>
              <w:jc w:val="center"/>
              <w:rPr>
                <w:sz w:val="16"/>
                <w:szCs w:val="16"/>
              </w:rPr>
            </w:pPr>
            <w:r>
              <w:rPr>
                <w:sz w:val="16"/>
                <w:szCs w:val="16"/>
              </w:rPr>
              <w:t>Very good</w:t>
            </w:r>
          </w:p>
        </w:tc>
        <w:tc>
          <w:tcPr>
            <w:tcW w:w="1559" w:type="dxa"/>
            <w:vAlign w:val="center"/>
          </w:tcPr>
          <w:p w14:paraId="5CD07C43" w14:textId="201F8852" w:rsidR="006C5981" w:rsidRDefault="006C5981" w:rsidP="006C5981">
            <w:pPr>
              <w:spacing w:after="160" w:line="259" w:lineRule="auto"/>
              <w:jc w:val="center"/>
              <w:rPr>
                <w:sz w:val="16"/>
                <w:szCs w:val="16"/>
              </w:rPr>
            </w:pPr>
            <w:r>
              <w:rPr>
                <w:sz w:val="16"/>
                <w:szCs w:val="16"/>
              </w:rPr>
              <w:t>Very good</w:t>
            </w:r>
          </w:p>
        </w:tc>
        <w:tc>
          <w:tcPr>
            <w:tcW w:w="1843" w:type="dxa"/>
            <w:vAlign w:val="center"/>
          </w:tcPr>
          <w:p w14:paraId="453BFBCB" w14:textId="07762018" w:rsidR="006C5981" w:rsidRDefault="006C5981" w:rsidP="006C5981">
            <w:pPr>
              <w:spacing w:after="160" w:line="259" w:lineRule="auto"/>
              <w:jc w:val="center"/>
              <w:rPr>
                <w:sz w:val="16"/>
                <w:szCs w:val="16"/>
              </w:rPr>
            </w:pPr>
            <w:r>
              <w:rPr>
                <w:sz w:val="16"/>
                <w:szCs w:val="16"/>
              </w:rPr>
              <w:t>Very good</w:t>
            </w:r>
          </w:p>
        </w:tc>
        <w:tc>
          <w:tcPr>
            <w:tcW w:w="2410" w:type="dxa"/>
            <w:vAlign w:val="center"/>
          </w:tcPr>
          <w:p w14:paraId="29377257" w14:textId="197DFE78" w:rsidR="006C5981" w:rsidRDefault="006C5981" w:rsidP="006C5981">
            <w:pPr>
              <w:spacing w:after="160" w:line="259" w:lineRule="auto"/>
              <w:jc w:val="center"/>
              <w:rPr>
                <w:sz w:val="16"/>
                <w:szCs w:val="16"/>
              </w:rPr>
            </w:pPr>
            <w:r>
              <w:rPr>
                <w:sz w:val="16"/>
                <w:szCs w:val="16"/>
              </w:rPr>
              <w:t>Very good</w:t>
            </w:r>
          </w:p>
        </w:tc>
      </w:tr>
      <w:tr w:rsidR="006C5981" w:rsidRPr="00D811B3" w14:paraId="6B8CD627" w14:textId="77777777" w:rsidTr="00DF4819">
        <w:tc>
          <w:tcPr>
            <w:tcW w:w="1856" w:type="dxa"/>
            <w:shd w:val="clear" w:color="auto" w:fill="D9D9D9" w:themeFill="background1" w:themeFillShade="D9"/>
          </w:tcPr>
          <w:p w14:paraId="5EB8DFFE" w14:textId="78320029" w:rsidR="006C5981" w:rsidRPr="006C5981" w:rsidRDefault="006C5981" w:rsidP="006C5981">
            <w:pPr>
              <w:spacing w:after="80" w:line="259" w:lineRule="auto"/>
              <w:jc w:val="center"/>
              <w:rPr>
                <w:b/>
                <w:bCs/>
                <w:sz w:val="16"/>
                <w:szCs w:val="16"/>
              </w:rPr>
            </w:pPr>
            <w:r w:rsidRPr="006C5981">
              <w:rPr>
                <w:b/>
                <w:bCs/>
                <w:sz w:val="16"/>
                <w:szCs w:val="16"/>
              </w:rPr>
              <w:t>New Framework</w:t>
            </w:r>
            <w:r w:rsidR="00721F3D">
              <w:rPr>
                <w:b/>
                <w:bCs/>
                <w:sz w:val="16"/>
                <w:szCs w:val="16"/>
              </w:rPr>
              <w:t xml:space="preserve"> (from Sept 25)</w:t>
            </w:r>
          </w:p>
        </w:tc>
        <w:tc>
          <w:tcPr>
            <w:tcW w:w="1825" w:type="dxa"/>
            <w:shd w:val="clear" w:color="auto" w:fill="D9D9D9" w:themeFill="background1" w:themeFillShade="D9"/>
            <w:vAlign w:val="center"/>
          </w:tcPr>
          <w:p w14:paraId="7575FE31" w14:textId="2B302C19" w:rsidR="006C5981" w:rsidRPr="006C5981" w:rsidRDefault="006C5981" w:rsidP="006C5981">
            <w:pPr>
              <w:spacing w:after="160" w:line="259" w:lineRule="auto"/>
              <w:jc w:val="center"/>
              <w:rPr>
                <w:b/>
                <w:bCs/>
                <w:sz w:val="16"/>
                <w:szCs w:val="16"/>
              </w:rPr>
            </w:pPr>
            <w:r w:rsidRPr="006C5981">
              <w:rPr>
                <w:b/>
                <w:bCs/>
                <w:sz w:val="16"/>
                <w:szCs w:val="16"/>
              </w:rPr>
              <w:t>Leadership</w:t>
            </w:r>
          </w:p>
        </w:tc>
        <w:tc>
          <w:tcPr>
            <w:tcW w:w="1559" w:type="dxa"/>
            <w:shd w:val="clear" w:color="auto" w:fill="D9D9D9" w:themeFill="background1" w:themeFillShade="D9"/>
            <w:vAlign w:val="center"/>
          </w:tcPr>
          <w:p w14:paraId="4AA5A5B8" w14:textId="578E6169" w:rsidR="006C5981" w:rsidRPr="006C5981" w:rsidRDefault="006C5981" w:rsidP="006C5981">
            <w:pPr>
              <w:jc w:val="center"/>
              <w:rPr>
                <w:b/>
                <w:bCs/>
                <w:sz w:val="16"/>
                <w:szCs w:val="16"/>
              </w:rPr>
            </w:pPr>
            <w:r w:rsidRPr="006C5981">
              <w:rPr>
                <w:b/>
                <w:bCs/>
                <w:sz w:val="16"/>
                <w:szCs w:val="16"/>
              </w:rPr>
              <w:t>Children thrive and develop in quality spaces</w:t>
            </w:r>
          </w:p>
        </w:tc>
        <w:tc>
          <w:tcPr>
            <w:tcW w:w="1843" w:type="dxa"/>
            <w:shd w:val="clear" w:color="auto" w:fill="D9D9D9" w:themeFill="background1" w:themeFillShade="D9"/>
            <w:vAlign w:val="center"/>
          </w:tcPr>
          <w:p w14:paraId="4FD370DD" w14:textId="372CFF8C" w:rsidR="006C5981" w:rsidRPr="006C5981" w:rsidRDefault="006C5981" w:rsidP="006C5981">
            <w:pPr>
              <w:spacing w:after="160" w:line="259" w:lineRule="auto"/>
              <w:jc w:val="center"/>
              <w:rPr>
                <w:b/>
                <w:bCs/>
                <w:sz w:val="16"/>
                <w:szCs w:val="16"/>
              </w:rPr>
            </w:pPr>
            <w:r w:rsidRPr="006C5981">
              <w:rPr>
                <w:b/>
                <w:bCs/>
                <w:sz w:val="16"/>
                <w:szCs w:val="16"/>
              </w:rPr>
              <w:t>Children play and learn</w:t>
            </w:r>
          </w:p>
        </w:tc>
        <w:tc>
          <w:tcPr>
            <w:tcW w:w="2410" w:type="dxa"/>
            <w:shd w:val="clear" w:color="auto" w:fill="D9D9D9" w:themeFill="background1" w:themeFillShade="D9"/>
            <w:vAlign w:val="center"/>
          </w:tcPr>
          <w:p w14:paraId="7D9DB323" w14:textId="6A161703" w:rsidR="006C5981" w:rsidRPr="006C5981" w:rsidRDefault="006C5981" w:rsidP="006C5981">
            <w:pPr>
              <w:spacing w:after="160" w:line="259" w:lineRule="auto"/>
              <w:jc w:val="center"/>
              <w:rPr>
                <w:b/>
                <w:bCs/>
                <w:sz w:val="16"/>
                <w:szCs w:val="16"/>
              </w:rPr>
            </w:pPr>
            <w:r w:rsidRPr="006C5981">
              <w:rPr>
                <w:b/>
                <w:bCs/>
                <w:sz w:val="16"/>
                <w:szCs w:val="16"/>
              </w:rPr>
              <w:t>Children are supported to achieve</w:t>
            </w:r>
          </w:p>
        </w:tc>
      </w:tr>
      <w:tr w:rsidR="006C5981" w:rsidRPr="00D811B3" w14:paraId="0CFA69C0" w14:textId="77777777" w:rsidTr="006C5981">
        <w:tc>
          <w:tcPr>
            <w:tcW w:w="1856" w:type="dxa"/>
          </w:tcPr>
          <w:p w14:paraId="15008165" w14:textId="020F0C36" w:rsidR="006C5981" w:rsidRDefault="006C5981" w:rsidP="006C5981">
            <w:pPr>
              <w:spacing w:after="80" w:line="259" w:lineRule="auto"/>
              <w:rPr>
                <w:sz w:val="16"/>
                <w:szCs w:val="16"/>
              </w:rPr>
            </w:pPr>
            <w:r>
              <w:rPr>
                <w:sz w:val="16"/>
                <w:szCs w:val="16"/>
              </w:rPr>
              <w:t>Wellington Childrens Centre</w:t>
            </w:r>
            <w:r w:rsidR="00721F3D">
              <w:rPr>
                <w:sz w:val="16"/>
                <w:szCs w:val="16"/>
              </w:rPr>
              <w:t xml:space="preserve"> (Jan 26)</w:t>
            </w:r>
          </w:p>
        </w:tc>
        <w:tc>
          <w:tcPr>
            <w:tcW w:w="1825" w:type="dxa"/>
            <w:vAlign w:val="center"/>
          </w:tcPr>
          <w:p w14:paraId="4F70B078" w14:textId="7D55F909" w:rsidR="006C5981" w:rsidRDefault="006C5981" w:rsidP="006C5981">
            <w:pPr>
              <w:spacing w:after="160" w:line="259" w:lineRule="auto"/>
              <w:jc w:val="center"/>
              <w:rPr>
                <w:sz w:val="16"/>
                <w:szCs w:val="16"/>
              </w:rPr>
            </w:pPr>
            <w:r>
              <w:rPr>
                <w:sz w:val="16"/>
                <w:szCs w:val="16"/>
              </w:rPr>
              <w:t>Good</w:t>
            </w:r>
          </w:p>
        </w:tc>
        <w:tc>
          <w:tcPr>
            <w:tcW w:w="1559" w:type="dxa"/>
            <w:vAlign w:val="center"/>
          </w:tcPr>
          <w:p w14:paraId="312ECEF3" w14:textId="6AF232CD" w:rsidR="006C5981" w:rsidRDefault="006C5981" w:rsidP="006C5981">
            <w:pPr>
              <w:spacing w:after="160" w:line="259" w:lineRule="auto"/>
              <w:jc w:val="center"/>
              <w:rPr>
                <w:sz w:val="16"/>
                <w:szCs w:val="16"/>
              </w:rPr>
            </w:pPr>
            <w:r>
              <w:rPr>
                <w:sz w:val="16"/>
                <w:szCs w:val="16"/>
              </w:rPr>
              <w:t>Good</w:t>
            </w:r>
          </w:p>
        </w:tc>
        <w:tc>
          <w:tcPr>
            <w:tcW w:w="1843" w:type="dxa"/>
            <w:vAlign w:val="center"/>
          </w:tcPr>
          <w:p w14:paraId="6BC61492" w14:textId="0B5EAD0B" w:rsidR="006C5981" w:rsidRDefault="006C5981" w:rsidP="006C5981">
            <w:pPr>
              <w:spacing w:after="160" w:line="259" w:lineRule="auto"/>
              <w:jc w:val="center"/>
              <w:rPr>
                <w:sz w:val="16"/>
                <w:szCs w:val="16"/>
              </w:rPr>
            </w:pPr>
            <w:r>
              <w:rPr>
                <w:sz w:val="16"/>
                <w:szCs w:val="16"/>
              </w:rPr>
              <w:t>Very good</w:t>
            </w:r>
          </w:p>
        </w:tc>
        <w:tc>
          <w:tcPr>
            <w:tcW w:w="2410" w:type="dxa"/>
            <w:vAlign w:val="center"/>
          </w:tcPr>
          <w:p w14:paraId="29100C24" w14:textId="6CD49B34" w:rsidR="006C5981" w:rsidRDefault="006C5981" w:rsidP="006C5981">
            <w:pPr>
              <w:spacing w:after="160" w:line="259" w:lineRule="auto"/>
              <w:jc w:val="center"/>
              <w:rPr>
                <w:sz w:val="16"/>
                <w:szCs w:val="16"/>
              </w:rPr>
            </w:pPr>
            <w:r>
              <w:rPr>
                <w:sz w:val="16"/>
                <w:szCs w:val="16"/>
              </w:rPr>
              <w:t xml:space="preserve">Good </w:t>
            </w:r>
          </w:p>
        </w:tc>
      </w:tr>
    </w:tbl>
    <w:p w14:paraId="3E754775" w14:textId="77777777" w:rsidR="00706551" w:rsidRDefault="00706551" w:rsidP="004E43B5">
      <w:pPr>
        <w:spacing w:after="160" w:line="259" w:lineRule="auto"/>
        <w:rPr>
          <w:b/>
          <w:bCs/>
        </w:rPr>
      </w:pPr>
    </w:p>
    <w:p w14:paraId="1561132A" w14:textId="77777777" w:rsidR="00721F3D" w:rsidRDefault="00721F3D" w:rsidP="004E43B5">
      <w:pPr>
        <w:spacing w:after="160" w:line="259" w:lineRule="auto"/>
        <w:rPr>
          <w:b/>
          <w:bCs/>
        </w:rPr>
      </w:pPr>
    </w:p>
    <w:p w14:paraId="764203DB" w14:textId="29EA1CD6" w:rsidR="004E43B5" w:rsidRDefault="004E43B5" w:rsidP="004E43B5">
      <w:pPr>
        <w:spacing w:after="160" w:line="259" w:lineRule="auto"/>
        <w:rPr>
          <w:b/>
          <w:bCs/>
        </w:rPr>
      </w:pPr>
      <w:r>
        <w:rPr>
          <w:b/>
          <w:bCs/>
        </w:rPr>
        <w:lastRenderedPageBreak/>
        <w:t>Education Scotland National Thematic inspections</w:t>
      </w:r>
    </w:p>
    <w:p w14:paraId="1A3F59D5" w14:textId="5DBE3F4C" w:rsidR="004E43B5" w:rsidRPr="00774F36" w:rsidRDefault="00697995" w:rsidP="00697995">
      <w:pPr>
        <w:spacing w:after="160" w:line="259" w:lineRule="auto"/>
      </w:pPr>
      <w:r>
        <w:t>Inver</w:t>
      </w:r>
      <w:r w:rsidR="00F2383E">
        <w:t xml:space="preserve">kip Primary School and Nursery Class </w:t>
      </w:r>
      <w:r w:rsidR="002113BB">
        <w:t>were</w:t>
      </w:r>
      <w:r w:rsidR="00F2383E">
        <w:t xml:space="preserve"> visited in May 2025 as part of a </w:t>
      </w:r>
      <w:r w:rsidR="00F2383E" w:rsidRPr="00774F36">
        <w:t xml:space="preserve">national thematic </w:t>
      </w:r>
      <w:r w:rsidR="00F2383E">
        <w:t>inspection into the teaching of literacy.</w:t>
      </w:r>
    </w:p>
    <w:p w14:paraId="6C645B0F" w14:textId="1DE39D83" w:rsidR="00721F3D" w:rsidRPr="00774F36" w:rsidRDefault="00721F3D" w:rsidP="00721F3D">
      <w:pPr>
        <w:spacing w:after="160" w:line="259" w:lineRule="auto"/>
      </w:pPr>
      <w:r>
        <w:t xml:space="preserve">Gourock Primary School will be visited in May 2026 as part of a </w:t>
      </w:r>
      <w:r w:rsidRPr="00774F36">
        <w:t xml:space="preserve">national thematic </w:t>
      </w:r>
      <w:r>
        <w:t>inspection into the curriculum.</w:t>
      </w:r>
    </w:p>
    <w:p w14:paraId="6C113D2A" w14:textId="77777777" w:rsidR="00721F3D" w:rsidRDefault="00721F3D" w:rsidP="004E43B5">
      <w:pPr>
        <w:spacing w:after="160" w:line="259" w:lineRule="auto"/>
        <w:rPr>
          <w:b/>
          <w:bCs/>
        </w:rPr>
      </w:pPr>
    </w:p>
    <w:p w14:paraId="2C247EC6" w14:textId="77777777" w:rsidR="00B30F7B" w:rsidRDefault="00B30F7B">
      <w:pPr>
        <w:rPr>
          <w:b/>
          <w:bCs/>
        </w:rPr>
      </w:pPr>
      <w:r>
        <w:rPr>
          <w:b/>
          <w:bCs/>
        </w:rPr>
        <w:br w:type="page"/>
      </w:r>
    </w:p>
    <w:p w14:paraId="3731F2C9" w14:textId="6DE881AF" w:rsidR="004E43B5" w:rsidRPr="006120A9" w:rsidRDefault="004E43B5" w:rsidP="004E43B5">
      <w:pPr>
        <w:spacing w:after="160" w:line="259" w:lineRule="auto"/>
        <w:rPr>
          <w:b/>
        </w:rPr>
      </w:pPr>
      <w:r w:rsidRPr="006120A9">
        <w:rPr>
          <w:b/>
        </w:rPr>
        <w:lastRenderedPageBreak/>
        <w:t>Link to the Children’s Services Plan 2022 – 2025</w:t>
      </w:r>
    </w:p>
    <w:p w14:paraId="123BCC15" w14:textId="77777777" w:rsidR="004E43B5" w:rsidRPr="001A5932" w:rsidRDefault="004E43B5" w:rsidP="004E43B5">
      <w:pPr>
        <w:spacing w:after="160" w:line="259" w:lineRule="auto"/>
      </w:pPr>
      <w:r w:rsidRPr="001A5932">
        <w:t>We have linked the next step sections of this report to the four priority themes of the next Children’s Services Plan 2022 – 2025. These are:</w:t>
      </w:r>
    </w:p>
    <w:p w14:paraId="1B110AE9" w14:textId="77777777" w:rsidR="004E43B5" w:rsidRPr="001A5932" w:rsidRDefault="004E43B5" w:rsidP="004E43B5">
      <w:pPr>
        <w:autoSpaceDE w:val="0"/>
        <w:autoSpaceDN w:val="0"/>
        <w:adjustRightInd w:val="0"/>
        <w:spacing w:after="100" w:line="191" w:lineRule="atLeast"/>
        <w:ind w:right="100"/>
        <w:rPr>
          <w:color w:val="000000"/>
          <w:u w:val="single"/>
        </w:rPr>
      </w:pPr>
      <w:r w:rsidRPr="001A5932">
        <w:rPr>
          <w:b/>
          <w:bCs/>
          <w:color w:val="000000"/>
          <w:u w:val="single"/>
        </w:rPr>
        <w:t xml:space="preserve">Priority Theme 1: </w:t>
      </w:r>
    </w:p>
    <w:p w14:paraId="77DC58D8" w14:textId="77777777" w:rsidR="004E43B5" w:rsidRPr="00815C59" w:rsidRDefault="004E43B5" w:rsidP="004E43B5">
      <w:pPr>
        <w:spacing w:after="160" w:line="259" w:lineRule="auto"/>
      </w:pPr>
      <w:r w:rsidRPr="00815C59">
        <w:rPr>
          <w:i/>
          <w:iCs/>
          <w:color w:val="000000"/>
        </w:rPr>
        <w:t>To utilise our learning from the Addressing Neglect and Enhancing Wellbeing work stream to further embedded GIRFEC in Inverclyde to improve outcomes for children and their families by developing a strong professional base for identifying, understanding and responding to need at the earliest opportunity, with clear, agreed, high quality multi agency approaches throughout a child’s experience.</w:t>
      </w:r>
    </w:p>
    <w:p w14:paraId="5B494C41" w14:textId="77777777" w:rsidR="004E43B5" w:rsidRPr="001A5932" w:rsidRDefault="004E43B5" w:rsidP="004E43B5">
      <w:pPr>
        <w:autoSpaceDE w:val="0"/>
        <w:autoSpaceDN w:val="0"/>
        <w:adjustRightInd w:val="0"/>
        <w:spacing w:after="0" w:line="240" w:lineRule="auto"/>
        <w:rPr>
          <w:color w:val="000000"/>
        </w:rPr>
      </w:pPr>
    </w:p>
    <w:p w14:paraId="25FF4822" w14:textId="77777777" w:rsidR="004E43B5" w:rsidRPr="001A5932" w:rsidRDefault="004E43B5" w:rsidP="004E43B5">
      <w:pPr>
        <w:autoSpaceDE w:val="0"/>
        <w:autoSpaceDN w:val="0"/>
        <w:adjustRightInd w:val="0"/>
        <w:spacing w:after="100" w:line="191" w:lineRule="atLeast"/>
        <w:ind w:right="100"/>
        <w:rPr>
          <w:u w:val="single"/>
        </w:rPr>
      </w:pPr>
      <w:r w:rsidRPr="001A5932">
        <w:rPr>
          <w:b/>
          <w:bCs/>
          <w:u w:val="single"/>
        </w:rPr>
        <w:t xml:space="preserve">Priority Theme 2: </w:t>
      </w:r>
    </w:p>
    <w:p w14:paraId="4D7F171E" w14:textId="7963FE8F" w:rsidR="004E43B5" w:rsidRPr="00815C59" w:rsidRDefault="004E43B5" w:rsidP="004E43B5">
      <w:pPr>
        <w:spacing w:after="0" w:line="240" w:lineRule="auto"/>
        <w:jc w:val="both"/>
      </w:pPr>
      <w:r w:rsidRPr="00815C59">
        <w:rPr>
          <w:i/>
          <w:iCs/>
        </w:rPr>
        <w:t xml:space="preserve">Mental health is everyone’s </w:t>
      </w:r>
      <w:r w:rsidR="00E32863" w:rsidRPr="00815C59">
        <w:rPr>
          <w:i/>
          <w:iCs/>
        </w:rPr>
        <w:t>business,</w:t>
      </w:r>
      <w:r w:rsidRPr="00815C59">
        <w:rPr>
          <w:i/>
          <w:iCs/>
        </w:rPr>
        <w:t xml:space="preserve"> and it affects all aspects of a child and young person’s development. The promotion of a whole community approach to understanding mental health, wellbeing and the impact of trauma is essential.</w:t>
      </w:r>
    </w:p>
    <w:p w14:paraId="1FA6C0C7" w14:textId="77777777" w:rsidR="004E43B5" w:rsidRPr="001A5932" w:rsidRDefault="004E43B5" w:rsidP="004E43B5">
      <w:pPr>
        <w:autoSpaceDE w:val="0"/>
        <w:autoSpaceDN w:val="0"/>
        <w:adjustRightInd w:val="0"/>
        <w:spacing w:after="0" w:line="240" w:lineRule="auto"/>
        <w:rPr>
          <w:color w:val="000000"/>
        </w:rPr>
      </w:pPr>
    </w:p>
    <w:p w14:paraId="5B3E54D4" w14:textId="77777777" w:rsidR="004E43B5" w:rsidRPr="001A5932" w:rsidRDefault="004E43B5" w:rsidP="004E43B5">
      <w:pPr>
        <w:autoSpaceDE w:val="0"/>
        <w:autoSpaceDN w:val="0"/>
        <w:adjustRightInd w:val="0"/>
        <w:spacing w:after="100" w:line="191" w:lineRule="atLeast"/>
        <w:ind w:right="100"/>
        <w:rPr>
          <w:u w:val="single"/>
        </w:rPr>
      </w:pPr>
      <w:r w:rsidRPr="001A5932">
        <w:rPr>
          <w:b/>
          <w:bCs/>
          <w:u w:val="single"/>
        </w:rPr>
        <w:t xml:space="preserve">Priority Theme 3: </w:t>
      </w:r>
    </w:p>
    <w:p w14:paraId="01492E3F" w14:textId="77777777" w:rsidR="004E43B5" w:rsidRPr="00815C59" w:rsidRDefault="004E43B5" w:rsidP="004E43B5">
      <w:pPr>
        <w:spacing w:after="0" w:line="240" w:lineRule="auto"/>
        <w:jc w:val="both"/>
        <w:rPr>
          <w:i/>
          <w:iCs/>
        </w:rPr>
      </w:pPr>
      <w:r w:rsidRPr="00815C59">
        <w:rPr>
          <w:i/>
          <w:iCs/>
        </w:rPr>
        <w:t>To reduce the inequalities of health and educational outcomes linked to deprivation.</w:t>
      </w:r>
    </w:p>
    <w:p w14:paraId="6F7FE992" w14:textId="77777777" w:rsidR="004E43B5" w:rsidRPr="001A5932" w:rsidRDefault="004E43B5" w:rsidP="004E43B5">
      <w:pPr>
        <w:autoSpaceDE w:val="0"/>
        <w:autoSpaceDN w:val="0"/>
        <w:adjustRightInd w:val="0"/>
        <w:spacing w:after="0" w:line="240" w:lineRule="auto"/>
        <w:rPr>
          <w:color w:val="000000"/>
        </w:rPr>
      </w:pPr>
    </w:p>
    <w:p w14:paraId="19307935" w14:textId="77777777" w:rsidR="004E43B5" w:rsidRPr="001A5932" w:rsidRDefault="004E43B5" w:rsidP="004E43B5">
      <w:pPr>
        <w:autoSpaceDE w:val="0"/>
        <w:autoSpaceDN w:val="0"/>
        <w:adjustRightInd w:val="0"/>
        <w:spacing w:after="100" w:line="191" w:lineRule="atLeast"/>
        <w:ind w:right="100"/>
        <w:rPr>
          <w:u w:val="single"/>
        </w:rPr>
      </w:pPr>
      <w:r w:rsidRPr="001A5932">
        <w:rPr>
          <w:b/>
          <w:bCs/>
          <w:u w:val="single"/>
        </w:rPr>
        <w:t xml:space="preserve">Priority Theme 4: </w:t>
      </w:r>
    </w:p>
    <w:p w14:paraId="73A6AC4F" w14:textId="77777777" w:rsidR="004E43B5" w:rsidRPr="00815C59" w:rsidRDefault="004E43B5" w:rsidP="004E43B5">
      <w:pPr>
        <w:spacing w:after="0" w:line="240" w:lineRule="auto"/>
        <w:jc w:val="both"/>
        <w:rPr>
          <w:i/>
          <w:iCs/>
        </w:rPr>
      </w:pPr>
      <w:r w:rsidRPr="00815C59">
        <w:rPr>
          <w:i/>
          <w:iCs/>
        </w:rPr>
        <w:t>To further improve outcomes, including attainment, for care experienced children, young people and their families by developing a culture of ambition based on strong relationships that recognise the range of difficulties experienced by children and families and provide the scaffolding to protect safe, loving and respectful relationships.</w:t>
      </w:r>
    </w:p>
    <w:p w14:paraId="5C2D4C88" w14:textId="746DFDEC" w:rsidR="00B21D43" w:rsidRDefault="00B21D43">
      <w:pPr>
        <w:rPr>
          <w:b/>
          <w:bCs/>
          <w:i/>
          <w:iCs/>
        </w:rPr>
      </w:pPr>
      <w:r>
        <w:rPr>
          <w:b/>
          <w:bCs/>
          <w:i/>
          <w:iCs/>
        </w:rPr>
        <w:br w:type="page"/>
      </w:r>
    </w:p>
    <w:p w14:paraId="2BEDF7FF" w14:textId="77777777" w:rsidR="00E7467E" w:rsidRPr="001A5932" w:rsidRDefault="00E7467E" w:rsidP="00E7467E">
      <w:pPr>
        <w:spacing w:after="0" w:line="240" w:lineRule="auto"/>
        <w:jc w:val="both"/>
      </w:pPr>
    </w:p>
    <w:p w14:paraId="634FC93A" w14:textId="77777777" w:rsidR="00973F09" w:rsidRPr="001A5932" w:rsidRDefault="00973F09" w:rsidP="00D8287F">
      <w:pPr>
        <w:spacing w:after="0" w:line="240" w:lineRule="auto"/>
        <w:jc w:val="both"/>
      </w:pPr>
      <w:r w:rsidRPr="001A5932">
        <w:rPr>
          <w:noProof/>
          <w:lang w:eastAsia="en-GB"/>
        </w:rPr>
        <mc:AlternateContent>
          <mc:Choice Requires="wps">
            <w:drawing>
              <wp:anchor distT="0" distB="0" distL="114300" distR="114300" simplePos="0" relativeHeight="251723264" behindDoc="0" locked="0" layoutInCell="1" allowOverlap="1" wp14:anchorId="422BB721" wp14:editId="221D5511">
                <wp:simplePos x="0" y="0"/>
                <wp:positionH relativeFrom="column">
                  <wp:posOffset>0</wp:posOffset>
                </wp:positionH>
                <wp:positionV relativeFrom="paragraph">
                  <wp:posOffset>-635</wp:posOffset>
                </wp:positionV>
                <wp:extent cx="6326189" cy="358140"/>
                <wp:effectExtent l="0" t="0" r="17780" b="41910"/>
                <wp:wrapNone/>
                <wp:docPr id="4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6189" cy="358140"/>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4D6F667E" w14:textId="77777777" w:rsidR="007E0210" w:rsidRPr="00F00E09" w:rsidRDefault="007E0210" w:rsidP="006120A9">
                            <w:pPr>
                              <w:pStyle w:val="Heading1"/>
                            </w:pPr>
                            <w:bookmarkStart w:id="4" w:name="_Toc164588540"/>
                            <w:r>
                              <w:t>Key Achievements</w:t>
                            </w:r>
                            <w:bookmarkEnd w:id="4"/>
                          </w:p>
                          <w:p w14:paraId="45BBCB69" w14:textId="77777777" w:rsidR="007E0210" w:rsidRPr="00D02D32" w:rsidRDefault="007E0210" w:rsidP="00973F09">
                            <w:pPr>
                              <w:jc w:val="center"/>
                              <w:rPr>
                                <w:b/>
                                <w:color w:val="000000" w:themeColor="text1"/>
                                <w:sz w:val="32"/>
                                <w:szCs w:val="32"/>
                              </w:rPr>
                            </w:pPr>
                          </w:p>
                          <w:p w14:paraId="50775A9A" w14:textId="77777777" w:rsidR="007E0210" w:rsidRDefault="007E0210" w:rsidP="00973F09"/>
                        </w:txbxContent>
                      </wps:txbx>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422BB721" id="AutoShape 60" o:spid="_x0000_s1030" style="position:absolute;left:0;text-align:left;margin-left:0;margin-top:-.05pt;width:498.15pt;height:28.2pt;z-index:251723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" fillcolor="#4bacc6 [3208]" stroked="f" strokecolor="#f2f2f2 [3041]" strokeweight="3pt">
                <v:shadow on="t" color="#205867 [1608]" opacity=".5" offset="1pt"/>
                <v:textbox>
                  <w:txbxContent>
                    <w:p w14:paraId="4D6F667E" w14:textId="77777777" w:rsidR="007E0210" w:rsidRPr="00F00E09" w:rsidRDefault="007E0210" w:rsidP="006120A9">
                      <w:pPr>
                        <w:pStyle w:val="Heading1"/>
                      </w:pPr>
                      <w:bookmarkStart w:id="7" w:name="_Toc164588540"/>
                      <w:r>
                        <w:t>Key Achievements</w:t>
                      </w:r>
                      <w:bookmarkEnd w:id="7"/>
                    </w:p>
                    <w:p w14:paraId="45BBCB69" w14:textId="77777777" w:rsidR="007E0210" w:rsidRPr="00D02D32" w:rsidRDefault="007E0210" w:rsidP="00973F09">
                      <w:pPr>
                        <w:jc w:val="center"/>
                        <w:rPr>
                          <w:b/>
                          <w:color w:val="000000" w:themeColor="text1"/>
                          <w:sz w:val="32"/>
                          <w:szCs w:val="32"/>
                        </w:rPr>
                      </w:pPr>
                    </w:p>
                    <w:p w14:paraId="50775A9A" w14:textId="77777777" w:rsidR="007E0210" w:rsidRDefault="007E0210" w:rsidP="00973F09"/>
                  </w:txbxContent>
                </v:textbox>
              </v:roundrect>
            </w:pict>
          </mc:Fallback>
        </mc:AlternateContent>
      </w:r>
    </w:p>
    <w:p w14:paraId="06E79CE0" w14:textId="77777777" w:rsidR="00973F09" w:rsidRPr="001A5932" w:rsidRDefault="00973F09" w:rsidP="00D8287F">
      <w:pPr>
        <w:spacing w:after="0" w:line="240" w:lineRule="auto"/>
        <w:jc w:val="both"/>
      </w:pPr>
    </w:p>
    <w:p w14:paraId="2948F0D1" w14:textId="77777777" w:rsidR="00F85E7B" w:rsidRPr="00B336F1" w:rsidRDefault="00F85E7B" w:rsidP="00B336F1">
      <w:pPr>
        <w:rPr>
          <w:b/>
          <w:bCs/>
        </w:rPr>
      </w:pPr>
    </w:p>
    <w:p w14:paraId="111FBE2C" w14:textId="03210550" w:rsidR="00B71DE2" w:rsidRDefault="00B71DE2" w:rsidP="00364711">
      <w:pPr>
        <w:pStyle w:val="ListParagraph"/>
        <w:numPr>
          <w:ilvl w:val="0"/>
          <w:numId w:val="7"/>
        </w:numPr>
        <w:rPr>
          <w:b/>
          <w:bCs/>
        </w:rPr>
      </w:pPr>
      <w:r>
        <w:rPr>
          <w:b/>
          <w:bCs/>
        </w:rPr>
        <w:t xml:space="preserve">Whinhill Primary school achieved all four of the quality indicators being evaluated as excellent in their </w:t>
      </w:r>
      <w:proofErr w:type="spellStart"/>
      <w:r>
        <w:rPr>
          <w:b/>
          <w:bCs/>
        </w:rPr>
        <w:t>HMIe</w:t>
      </w:r>
      <w:proofErr w:type="spellEnd"/>
      <w:r>
        <w:rPr>
          <w:b/>
          <w:bCs/>
        </w:rPr>
        <w:t xml:space="preserve"> inspection in January 2026, delivering one of the </w:t>
      </w:r>
      <w:proofErr w:type="gramStart"/>
      <w:r>
        <w:rPr>
          <w:b/>
          <w:bCs/>
        </w:rPr>
        <w:t>best ever</w:t>
      </w:r>
      <w:proofErr w:type="gramEnd"/>
      <w:r>
        <w:rPr>
          <w:b/>
          <w:bCs/>
        </w:rPr>
        <w:t xml:space="preserve"> reports written about a Scottish school.</w:t>
      </w:r>
    </w:p>
    <w:p w14:paraId="7204A712" w14:textId="77777777" w:rsidR="00B71DE2" w:rsidRDefault="00B71DE2" w:rsidP="00B71DE2">
      <w:pPr>
        <w:pStyle w:val="ListParagraph"/>
        <w:rPr>
          <w:b/>
          <w:bCs/>
        </w:rPr>
      </w:pPr>
    </w:p>
    <w:p w14:paraId="5A92DF51" w14:textId="09CF5536" w:rsidR="00F85E7B" w:rsidRDefault="00F85E7B" w:rsidP="00364711">
      <w:pPr>
        <w:pStyle w:val="ListParagraph"/>
        <w:numPr>
          <w:ilvl w:val="0"/>
          <w:numId w:val="7"/>
        </w:numPr>
        <w:rPr>
          <w:b/>
          <w:bCs/>
        </w:rPr>
      </w:pPr>
      <w:r>
        <w:rPr>
          <w:b/>
          <w:bCs/>
        </w:rPr>
        <w:t xml:space="preserve">The percentage of our early </w:t>
      </w:r>
      <w:proofErr w:type="gramStart"/>
      <w:r>
        <w:rPr>
          <w:b/>
          <w:bCs/>
        </w:rPr>
        <w:t>years</w:t>
      </w:r>
      <w:proofErr w:type="gramEnd"/>
      <w:r>
        <w:rPr>
          <w:b/>
          <w:bCs/>
        </w:rPr>
        <w:t xml:space="preserve"> settings achieving good or better gradings at external inspection remains amongst the highest in Scotland, being ranked as the highest by the LGBF in 202</w:t>
      </w:r>
      <w:r w:rsidR="00B336F1">
        <w:rPr>
          <w:b/>
          <w:bCs/>
        </w:rPr>
        <w:t>5</w:t>
      </w:r>
      <w:r>
        <w:rPr>
          <w:b/>
          <w:bCs/>
        </w:rPr>
        <w:t>.</w:t>
      </w:r>
    </w:p>
    <w:p w14:paraId="3645D8E6" w14:textId="77777777" w:rsidR="00417D41" w:rsidRDefault="00417D41" w:rsidP="00417D41">
      <w:pPr>
        <w:pStyle w:val="ListParagraph"/>
        <w:rPr>
          <w:b/>
          <w:bCs/>
        </w:rPr>
      </w:pPr>
    </w:p>
    <w:p w14:paraId="1AE4430C" w14:textId="621F41AB" w:rsidR="00417D41" w:rsidRDefault="00417D41" w:rsidP="00364711">
      <w:pPr>
        <w:pStyle w:val="ListParagraph"/>
        <w:numPr>
          <w:ilvl w:val="0"/>
          <w:numId w:val="7"/>
        </w:numPr>
        <w:rPr>
          <w:b/>
          <w:bCs/>
        </w:rPr>
      </w:pPr>
      <w:r w:rsidRPr="00417D41">
        <w:rPr>
          <w:b/>
          <w:bCs/>
        </w:rPr>
        <w:t>At P1, 4 &amp; 7 Achievement of Curriculum for Excellence Levels (ACEL) combined we have outperformed national data since the pandemic and have continue to exceed pre-pandemic data in 202</w:t>
      </w:r>
      <w:r w:rsidR="00962597">
        <w:rPr>
          <w:b/>
          <w:bCs/>
        </w:rPr>
        <w:t>5</w:t>
      </w:r>
      <w:r w:rsidRPr="00417D41">
        <w:rPr>
          <w:b/>
          <w:bCs/>
        </w:rPr>
        <w:t>/2</w:t>
      </w:r>
      <w:r w:rsidR="00962597">
        <w:rPr>
          <w:b/>
          <w:bCs/>
        </w:rPr>
        <w:t>6</w:t>
      </w:r>
      <w:r w:rsidRPr="00417D41">
        <w:rPr>
          <w:b/>
          <w:bCs/>
        </w:rPr>
        <w:t>.</w:t>
      </w:r>
    </w:p>
    <w:p w14:paraId="51DD8030" w14:textId="77777777" w:rsidR="003E4D9F" w:rsidRPr="003E4D9F" w:rsidRDefault="003E4D9F" w:rsidP="003E4D9F">
      <w:pPr>
        <w:pStyle w:val="ListParagraph"/>
        <w:rPr>
          <w:b/>
          <w:bCs/>
        </w:rPr>
      </w:pPr>
    </w:p>
    <w:p w14:paraId="1D5E9DEE" w14:textId="7C6C91A4" w:rsidR="003E4D9F" w:rsidRDefault="003E4D9F" w:rsidP="00364711">
      <w:pPr>
        <w:pStyle w:val="ListParagraph"/>
        <w:numPr>
          <w:ilvl w:val="0"/>
          <w:numId w:val="7"/>
        </w:numPr>
        <w:rPr>
          <w:b/>
          <w:bCs/>
        </w:rPr>
      </w:pPr>
      <w:r>
        <w:rPr>
          <w:b/>
          <w:bCs/>
        </w:rPr>
        <w:t xml:space="preserve">At S3 ACEL level 3 and 4 were our </w:t>
      </w:r>
      <w:proofErr w:type="gramStart"/>
      <w:r>
        <w:rPr>
          <w:b/>
          <w:bCs/>
        </w:rPr>
        <w:t>best ever</w:t>
      </w:r>
      <w:proofErr w:type="gramEnd"/>
      <w:r>
        <w:rPr>
          <w:b/>
          <w:bCs/>
        </w:rPr>
        <w:t xml:space="preserve"> outcomes achieved with almost all L3 measures exceeding national averages and L4 outcomes improving towards the national average.</w:t>
      </w:r>
    </w:p>
    <w:p w14:paraId="3653BD68" w14:textId="77777777" w:rsidR="00417D41" w:rsidRPr="00417D41" w:rsidRDefault="00417D41" w:rsidP="00417D41">
      <w:pPr>
        <w:pStyle w:val="ListParagraph"/>
        <w:rPr>
          <w:b/>
          <w:bCs/>
        </w:rPr>
      </w:pPr>
    </w:p>
    <w:p w14:paraId="33BC0352" w14:textId="66D4C269" w:rsidR="00417D41" w:rsidRDefault="003E4D9F" w:rsidP="003E4D9F">
      <w:pPr>
        <w:pStyle w:val="ListParagraph"/>
        <w:numPr>
          <w:ilvl w:val="0"/>
          <w:numId w:val="13"/>
        </w:numPr>
        <w:rPr>
          <w:b/>
          <w:bCs/>
        </w:rPr>
      </w:pPr>
      <w:r w:rsidRPr="003E4D9F">
        <w:rPr>
          <w:b/>
          <w:bCs/>
        </w:rPr>
        <w:t>The % of S4 pupils achieving 5 National 5s (Grades A – D) by the end of S4 has improved significantly in 2025 to 53.78%</w:t>
      </w:r>
      <w:r>
        <w:rPr>
          <w:b/>
          <w:bCs/>
        </w:rPr>
        <w:t>, one of the best outcomes achieved.</w:t>
      </w:r>
    </w:p>
    <w:p w14:paraId="467988D9" w14:textId="77777777" w:rsidR="003E4D9F" w:rsidRPr="003E4D9F" w:rsidRDefault="003E4D9F" w:rsidP="003E4D9F">
      <w:pPr>
        <w:pStyle w:val="ListParagraph"/>
        <w:rPr>
          <w:b/>
          <w:bCs/>
        </w:rPr>
      </w:pPr>
    </w:p>
    <w:p w14:paraId="4C97A1F8" w14:textId="77777777" w:rsidR="003E4D9F" w:rsidRDefault="00417D41" w:rsidP="003E4D9F">
      <w:pPr>
        <w:pStyle w:val="ListParagraph"/>
        <w:numPr>
          <w:ilvl w:val="0"/>
          <w:numId w:val="8"/>
        </w:numPr>
        <w:rPr>
          <w:b/>
          <w:bCs/>
        </w:rPr>
      </w:pPr>
      <w:r w:rsidRPr="00417D41">
        <w:rPr>
          <w:b/>
          <w:bCs/>
        </w:rPr>
        <w:t>In October 202</w:t>
      </w:r>
      <w:r w:rsidR="00B336F1">
        <w:rPr>
          <w:b/>
          <w:bCs/>
        </w:rPr>
        <w:t>5</w:t>
      </w:r>
      <w:r w:rsidRPr="00417D41">
        <w:rPr>
          <w:b/>
          <w:bCs/>
        </w:rPr>
        <w:t xml:space="preserve"> our Initial School Leavers Destination (ISLDR) figure was 9</w:t>
      </w:r>
      <w:r w:rsidR="00B336F1">
        <w:rPr>
          <w:b/>
          <w:bCs/>
        </w:rPr>
        <w:t>6</w:t>
      </w:r>
      <w:r w:rsidRPr="00417D41">
        <w:rPr>
          <w:b/>
          <w:bCs/>
        </w:rPr>
        <w:t>.4%</w:t>
      </w:r>
      <w:r w:rsidR="00F85E7B">
        <w:rPr>
          <w:b/>
          <w:bCs/>
        </w:rPr>
        <w:t xml:space="preserve">, </w:t>
      </w:r>
      <w:r w:rsidR="00B336F1">
        <w:rPr>
          <w:b/>
          <w:bCs/>
        </w:rPr>
        <w:t>equalling our</w:t>
      </w:r>
      <w:r w:rsidR="00F85E7B">
        <w:rPr>
          <w:b/>
          <w:bCs/>
        </w:rPr>
        <w:t xml:space="preserve"> highest ever figure</w:t>
      </w:r>
      <w:r w:rsidRPr="00417D41">
        <w:rPr>
          <w:b/>
          <w:bCs/>
        </w:rPr>
        <w:t>.</w:t>
      </w:r>
    </w:p>
    <w:p w14:paraId="1BC98D3C" w14:textId="77777777" w:rsidR="003E4D9F" w:rsidRDefault="003E4D9F" w:rsidP="003E4D9F">
      <w:pPr>
        <w:pStyle w:val="ListParagraph"/>
        <w:rPr>
          <w:b/>
          <w:bCs/>
        </w:rPr>
      </w:pPr>
    </w:p>
    <w:p w14:paraId="4F884A73" w14:textId="702D7AB6" w:rsidR="00F85E7B" w:rsidRPr="003E4D9F" w:rsidRDefault="0026073F" w:rsidP="003E4D9F">
      <w:pPr>
        <w:pStyle w:val="ListParagraph"/>
        <w:numPr>
          <w:ilvl w:val="0"/>
          <w:numId w:val="8"/>
        </w:numPr>
        <w:rPr>
          <w:b/>
          <w:bCs/>
        </w:rPr>
      </w:pPr>
      <w:r w:rsidRPr="003E4D9F">
        <w:rPr>
          <w:b/>
          <w:bCs/>
        </w:rPr>
        <w:t>In 202</w:t>
      </w:r>
      <w:r w:rsidR="003E4D9F" w:rsidRPr="003E4D9F">
        <w:rPr>
          <w:b/>
          <w:bCs/>
        </w:rPr>
        <w:t>5</w:t>
      </w:r>
      <w:r w:rsidRPr="003E4D9F">
        <w:rPr>
          <w:b/>
          <w:bCs/>
        </w:rPr>
        <w:t>/2</w:t>
      </w:r>
      <w:r w:rsidR="003E4D9F" w:rsidRPr="003E4D9F">
        <w:rPr>
          <w:b/>
          <w:bCs/>
        </w:rPr>
        <w:t>6</w:t>
      </w:r>
      <w:r w:rsidRPr="003E4D9F">
        <w:rPr>
          <w:b/>
          <w:bCs/>
        </w:rPr>
        <w:t xml:space="preserve"> the </w:t>
      </w:r>
      <w:r w:rsidR="00B30F7B" w:rsidRPr="003E4D9F">
        <w:rPr>
          <w:b/>
          <w:bCs/>
        </w:rPr>
        <w:t>percentage</w:t>
      </w:r>
      <w:r w:rsidRPr="003E4D9F">
        <w:rPr>
          <w:b/>
          <w:bCs/>
        </w:rPr>
        <w:t xml:space="preserve"> of</w:t>
      </w:r>
      <w:r w:rsidR="00A80914" w:rsidRPr="003E4D9F">
        <w:rPr>
          <w:b/>
          <w:bCs/>
        </w:rPr>
        <w:t xml:space="preserve"> 16-19 years old participating in education, employment or training, </w:t>
      </w:r>
      <w:r w:rsidR="003E4D9F" w:rsidRPr="003E4D9F">
        <w:rPr>
          <w:b/>
          <w:bCs/>
        </w:rPr>
        <w:t>was maintained at</w:t>
      </w:r>
      <w:r w:rsidR="00CF1F5E" w:rsidRPr="003E4D9F">
        <w:rPr>
          <w:b/>
          <w:bCs/>
        </w:rPr>
        <w:t xml:space="preserve"> 93.5%</w:t>
      </w:r>
      <w:r w:rsidR="003E4D9F" w:rsidRPr="003E4D9F">
        <w:rPr>
          <w:b/>
          <w:bCs/>
        </w:rPr>
        <w:t xml:space="preserve">, </w:t>
      </w:r>
      <w:r w:rsidRPr="003E4D9F">
        <w:rPr>
          <w:b/>
          <w:bCs/>
        </w:rPr>
        <w:t xml:space="preserve">our </w:t>
      </w:r>
      <w:r w:rsidR="00CF1F5E" w:rsidRPr="003E4D9F">
        <w:rPr>
          <w:b/>
          <w:bCs/>
        </w:rPr>
        <w:t xml:space="preserve">second </w:t>
      </w:r>
      <w:r w:rsidRPr="003E4D9F">
        <w:rPr>
          <w:b/>
          <w:bCs/>
        </w:rPr>
        <w:t xml:space="preserve">highest ever </w:t>
      </w:r>
      <w:r w:rsidR="00B30F7B" w:rsidRPr="003E4D9F">
        <w:rPr>
          <w:b/>
          <w:bCs/>
        </w:rPr>
        <w:t>percentage</w:t>
      </w:r>
      <w:r w:rsidRPr="003E4D9F">
        <w:rPr>
          <w:b/>
          <w:bCs/>
        </w:rPr>
        <w:t xml:space="preserve"> of this measure. </w:t>
      </w:r>
    </w:p>
    <w:p w14:paraId="362713CA" w14:textId="77777777" w:rsidR="00F85E7B" w:rsidRDefault="00F85E7B" w:rsidP="00F85E7B">
      <w:pPr>
        <w:pStyle w:val="ListParagraph"/>
        <w:spacing w:after="0"/>
        <w:rPr>
          <w:b/>
          <w:bCs/>
        </w:rPr>
      </w:pPr>
    </w:p>
    <w:p w14:paraId="4F8E8035" w14:textId="2E244CDD" w:rsidR="006224C0" w:rsidRPr="00AC4C9B" w:rsidRDefault="006224C0" w:rsidP="00AC4C9B">
      <w:pPr>
        <w:pStyle w:val="ListParagraph"/>
        <w:numPr>
          <w:ilvl w:val="0"/>
          <w:numId w:val="15"/>
        </w:numPr>
        <w:rPr>
          <w:b/>
          <w:bCs/>
        </w:rPr>
      </w:pPr>
      <w:r w:rsidRPr="006224C0">
        <w:rPr>
          <w:b/>
          <w:bCs/>
        </w:rPr>
        <w:t>Inverclyde Instrumental Music Service</w:t>
      </w:r>
      <w:r w:rsidR="00AC4C9B">
        <w:rPr>
          <w:b/>
          <w:bCs/>
        </w:rPr>
        <w:t>:</w:t>
      </w:r>
      <w:r w:rsidRPr="006224C0">
        <w:rPr>
          <w:b/>
          <w:bCs/>
        </w:rPr>
        <w:t xml:space="preserve"> </w:t>
      </w:r>
    </w:p>
    <w:p w14:paraId="28D95C8E" w14:textId="69FF1DD7" w:rsidR="006224C0" w:rsidRPr="006224C0" w:rsidRDefault="006224C0" w:rsidP="006224C0">
      <w:pPr>
        <w:pStyle w:val="ListParagraph"/>
        <w:rPr>
          <w:b/>
          <w:bCs/>
        </w:rPr>
      </w:pPr>
      <w:r w:rsidRPr="006224C0">
        <w:rPr>
          <w:b/>
          <w:bCs/>
        </w:rPr>
        <w:t xml:space="preserve">The Orchestras and Ensembles continue perform to a high standard, </w:t>
      </w:r>
      <w:r>
        <w:rPr>
          <w:b/>
          <w:bCs/>
        </w:rPr>
        <w:t xml:space="preserve">as </w:t>
      </w:r>
      <w:r w:rsidRPr="006224C0">
        <w:rPr>
          <w:b/>
          <w:bCs/>
        </w:rPr>
        <w:t xml:space="preserve">evidenced at the 2 annual concerts, community events and competitions. A record audience attended the Christmas concert to see over 400 of our young musicians perform. At the Scottish Concert Band </w:t>
      </w:r>
      <w:r w:rsidR="002113BB" w:rsidRPr="006224C0">
        <w:rPr>
          <w:b/>
          <w:bCs/>
        </w:rPr>
        <w:t>Festival,</w:t>
      </w:r>
      <w:r w:rsidRPr="006224C0">
        <w:rPr>
          <w:b/>
          <w:bCs/>
        </w:rPr>
        <w:t xml:space="preserve"> the Junior Wind Orchestra achieved a Gold Award, both Senior Wind Orchestra and Inverclyde Academy Percussion Ensemble achieved Gold Plus whilst the newly formed Inverclyde Schools Pipe Band performed very well at the Scottish Schools Pipe Band Championship.</w:t>
      </w:r>
    </w:p>
    <w:p w14:paraId="35C06B42" w14:textId="77777777" w:rsidR="006224C0" w:rsidRPr="006224C0" w:rsidRDefault="006224C0" w:rsidP="006224C0">
      <w:pPr>
        <w:pStyle w:val="ListParagraph"/>
        <w:rPr>
          <w:b/>
          <w:bCs/>
          <w:highlight w:val="yellow"/>
        </w:rPr>
      </w:pPr>
    </w:p>
    <w:p w14:paraId="0CFF222A" w14:textId="77777777" w:rsidR="00F85E7B" w:rsidRPr="00F85E7B" w:rsidRDefault="00F85E7B" w:rsidP="00F85E7B">
      <w:pPr>
        <w:pStyle w:val="ListParagraph"/>
        <w:rPr>
          <w:b/>
          <w:bCs/>
          <w:highlight w:val="yellow"/>
        </w:rPr>
      </w:pPr>
    </w:p>
    <w:p w14:paraId="3539FF2D" w14:textId="77777777" w:rsidR="00F85E7B" w:rsidRDefault="00F85E7B" w:rsidP="00F85E7B">
      <w:pPr>
        <w:pStyle w:val="ListParagraph"/>
        <w:spacing w:after="0"/>
        <w:rPr>
          <w:b/>
          <w:bCs/>
          <w:highlight w:val="yellow"/>
        </w:rPr>
      </w:pPr>
    </w:p>
    <w:p w14:paraId="682DF453" w14:textId="77777777" w:rsidR="00F85E7B" w:rsidRDefault="00F85E7B" w:rsidP="00F85E7B">
      <w:pPr>
        <w:pStyle w:val="ListParagraph"/>
        <w:spacing w:after="0"/>
        <w:rPr>
          <w:b/>
          <w:bCs/>
          <w:highlight w:val="yellow"/>
        </w:rPr>
      </w:pPr>
    </w:p>
    <w:p w14:paraId="7C5C5951" w14:textId="77777777" w:rsidR="00F85E7B" w:rsidRDefault="00F85E7B" w:rsidP="00F85E7B">
      <w:pPr>
        <w:pStyle w:val="ListParagraph"/>
        <w:spacing w:after="0"/>
        <w:rPr>
          <w:b/>
          <w:bCs/>
          <w:highlight w:val="yellow"/>
        </w:rPr>
      </w:pPr>
    </w:p>
    <w:p w14:paraId="745D9799" w14:textId="77777777" w:rsidR="00962597" w:rsidRDefault="00962597" w:rsidP="00F85E7B">
      <w:pPr>
        <w:pStyle w:val="ListParagraph"/>
        <w:spacing w:after="0"/>
        <w:rPr>
          <w:b/>
          <w:bCs/>
          <w:highlight w:val="yellow"/>
        </w:rPr>
      </w:pPr>
    </w:p>
    <w:p w14:paraId="68F85463" w14:textId="77777777" w:rsidR="00962597" w:rsidRDefault="00962597" w:rsidP="00F85E7B">
      <w:pPr>
        <w:pStyle w:val="ListParagraph"/>
        <w:spacing w:after="0"/>
        <w:rPr>
          <w:b/>
          <w:bCs/>
          <w:highlight w:val="yellow"/>
        </w:rPr>
      </w:pPr>
    </w:p>
    <w:p w14:paraId="049E4A6D" w14:textId="77777777" w:rsidR="00AC4C9B" w:rsidRDefault="00AC4C9B" w:rsidP="00F85E7B">
      <w:pPr>
        <w:pStyle w:val="ListParagraph"/>
        <w:spacing w:after="0"/>
        <w:rPr>
          <w:b/>
          <w:bCs/>
          <w:highlight w:val="yellow"/>
        </w:rPr>
      </w:pPr>
    </w:p>
    <w:p w14:paraId="6805C65A" w14:textId="77777777" w:rsidR="00F85E7B" w:rsidRPr="006224C0" w:rsidRDefault="00F85E7B" w:rsidP="006224C0">
      <w:pPr>
        <w:spacing w:after="0"/>
        <w:rPr>
          <w:b/>
          <w:bCs/>
          <w:highlight w:val="yellow"/>
        </w:rPr>
      </w:pPr>
    </w:p>
    <w:p w14:paraId="0328B1A6" w14:textId="77777777" w:rsidR="00044FA5" w:rsidRDefault="00044FA5" w:rsidP="00D8287F">
      <w:pPr>
        <w:spacing w:after="0" w:line="240" w:lineRule="auto"/>
        <w:jc w:val="both"/>
      </w:pPr>
    </w:p>
    <w:p w14:paraId="66994D79" w14:textId="77777777" w:rsidR="00EF3DE9" w:rsidRDefault="00EF3DE9" w:rsidP="00D8287F">
      <w:pPr>
        <w:spacing w:after="0" w:line="240" w:lineRule="auto"/>
        <w:jc w:val="both"/>
      </w:pPr>
    </w:p>
    <w:p w14:paraId="2211F58B" w14:textId="0D0DBABB" w:rsidR="00044FA5" w:rsidRDefault="00044FA5" w:rsidP="00D8287F">
      <w:pPr>
        <w:spacing w:after="0" w:line="240" w:lineRule="auto"/>
        <w:jc w:val="both"/>
      </w:pPr>
      <w:r w:rsidRPr="001A5932">
        <w:rPr>
          <w:noProof/>
          <w:lang w:eastAsia="en-GB"/>
        </w:rPr>
        <w:lastRenderedPageBreak/>
        <mc:AlternateContent>
          <mc:Choice Requires="wps">
            <w:drawing>
              <wp:anchor distT="0" distB="0" distL="114300" distR="114300" simplePos="0" relativeHeight="251725312" behindDoc="1" locked="0" layoutInCell="1" allowOverlap="1" wp14:anchorId="5A552C1D" wp14:editId="62C14E7B">
                <wp:simplePos x="0" y="0"/>
                <wp:positionH relativeFrom="margin">
                  <wp:align>center</wp:align>
                </wp:positionH>
                <wp:positionV relativeFrom="paragraph">
                  <wp:posOffset>58029</wp:posOffset>
                </wp:positionV>
                <wp:extent cx="6420167" cy="675249"/>
                <wp:effectExtent l="0" t="0" r="19050" b="29845"/>
                <wp:wrapNone/>
                <wp:docPr id="7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0167" cy="675249"/>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3FE95889" w14:textId="453EC2D5" w:rsidR="007E0210" w:rsidRPr="000F611F" w:rsidRDefault="007E0210" w:rsidP="009C0C64">
                            <w:pPr>
                              <w:jc w:val="center"/>
                              <w:rPr>
                                <w:b/>
                                <w:color w:val="FFFFFF" w:themeColor="background1"/>
                                <w:sz w:val="28"/>
                                <w:szCs w:val="28"/>
                              </w:rPr>
                            </w:pPr>
                            <w:r w:rsidRPr="006120A9">
                              <w:rPr>
                                <w:b/>
                                <w:bCs/>
                                <w:color w:val="FFFFFF" w:themeColor="background1"/>
                                <w:sz w:val="36"/>
                                <w:szCs w:val="36"/>
                              </w:rPr>
                              <w:t>A:</w:t>
                            </w:r>
                            <w:r w:rsidRPr="006120A9">
                              <w:rPr>
                                <w:color w:val="FFFFFF" w:themeColor="background1"/>
                                <w:sz w:val="36"/>
                                <w:szCs w:val="36"/>
                              </w:rPr>
                              <w:t xml:space="preserve"> </w:t>
                            </w:r>
                            <w:r w:rsidRPr="006120A9">
                              <w:rPr>
                                <w:rStyle w:val="Heading1Char"/>
                              </w:rPr>
                              <w:t>Improvement in attainment, particularly in literacy and numeracy</w:t>
                            </w:r>
                          </w:p>
                          <w:p w14:paraId="75F643BA" w14:textId="77777777" w:rsidR="007E0210" w:rsidRDefault="007E0210" w:rsidP="009C0C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A552C1D" id="_x0000_s1031" style="position:absolute;left:0;text-align:left;margin-left:0;margin-top:4.55pt;width:505.5pt;height:53.1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" fillcolor="#4bacc6 [3208]" stroked="f" strokecolor="#f2f2f2 [3041]" strokeweight="3pt">
                <v:shadow on="t" color="#205867 [1608]" opacity=".5" offset="1pt"/>
                <v:textbox>
                  <w:txbxContent>
                    <w:p w14:paraId="3FE95889" w14:textId="453EC2D5" w:rsidR="007E0210" w:rsidRPr="000F611F" w:rsidRDefault="007E0210" w:rsidP="009C0C64">
                      <w:pPr>
                        <w:jc w:val="center"/>
                        <w:rPr>
                          <w:b/>
                          <w:color w:val="FFFFFF" w:themeColor="background1"/>
                          <w:sz w:val="28"/>
                          <w:szCs w:val="28"/>
                        </w:rPr>
                      </w:pPr>
                      <w:r w:rsidRPr="006120A9">
                        <w:rPr>
                          <w:b/>
                          <w:bCs/>
                          <w:color w:val="FFFFFF" w:themeColor="background1"/>
                          <w:sz w:val="36"/>
                          <w:szCs w:val="36"/>
                        </w:rPr>
                        <w:t>A:</w:t>
                      </w:r>
                      <w:r w:rsidRPr="006120A9">
                        <w:rPr>
                          <w:color w:val="FFFFFF" w:themeColor="background1"/>
                          <w:sz w:val="36"/>
                          <w:szCs w:val="36"/>
                        </w:rPr>
                        <w:t xml:space="preserve"> </w:t>
                      </w:r>
                      <w:r w:rsidRPr="006120A9">
                        <w:rPr>
                          <w:rStyle w:val="Heading1Char"/>
                        </w:rPr>
                        <w:t>Improvement in attainment, particularly in literacy and numeracy</w:t>
                      </w:r>
                    </w:p>
                    <w:p w14:paraId="75F643BA" w14:textId="77777777" w:rsidR="007E0210" w:rsidRDefault="007E0210" w:rsidP="009C0C64"/>
                  </w:txbxContent>
                </v:textbox>
                <w10:wrap anchorx="margin"/>
              </v:roundrect>
            </w:pict>
          </mc:Fallback>
        </mc:AlternateContent>
      </w:r>
    </w:p>
    <w:p w14:paraId="5E77A9B5" w14:textId="2F45E2C7" w:rsidR="00044FA5" w:rsidRDefault="00044FA5" w:rsidP="00D8287F">
      <w:pPr>
        <w:spacing w:after="0" w:line="240" w:lineRule="auto"/>
        <w:jc w:val="both"/>
      </w:pPr>
    </w:p>
    <w:p w14:paraId="3024C434" w14:textId="77777777" w:rsidR="00285B86" w:rsidRPr="001A5932" w:rsidRDefault="00285B86" w:rsidP="00D8287F">
      <w:pPr>
        <w:spacing w:after="0" w:line="240" w:lineRule="auto"/>
        <w:jc w:val="both"/>
      </w:pPr>
    </w:p>
    <w:p w14:paraId="5115E747" w14:textId="68A7C6A3" w:rsidR="00D8287F" w:rsidRPr="001A5932" w:rsidRDefault="00D8287F" w:rsidP="00D8287F">
      <w:pPr>
        <w:spacing w:after="0" w:line="240" w:lineRule="auto"/>
        <w:jc w:val="both"/>
      </w:pPr>
    </w:p>
    <w:p w14:paraId="505664F6" w14:textId="77777777" w:rsidR="00D8287F" w:rsidRPr="001A5932" w:rsidRDefault="00D8287F" w:rsidP="00D8287F">
      <w:pPr>
        <w:spacing w:after="0" w:line="240" w:lineRule="auto"/>
        <w:jc w:val="both"/>
      </w:pPr>
    </w:p>
    <w:p w14:paraId="4F4FD776" w14:textId="77777777" w:rsidR="00EF5089" w:rsidRPr="001A5932" w:rsidRDefault="00EF5089" w:rsidP="00554528">
      <w:pPr>
        <w:pStyle w:val="NoSpacing"/>
        <w:rPr>
          <w:rFonts w:ascii="Arial" w:hAnsi="Arial" w:cs="Arial"/>
          <w:b/>
          <w:color w:val="000000" w:themeColor="text1"/>
        </w:rPr>
      </w:pPr>
    </w:p>
    <w:tbl>
      <w:tblPr>
        <w:tblStyle w:val="TableGrid"/>
        <w:tblW w:w="0" w:type="auto"/>
        <w:tblLook w:val="04A0" w:firstRow="1" w:lastRow="0" w:firstColumn="1" w:lastColumn="0" w:noHBand="0" w:noVBand="1"/>
      </w:tblPr>
      <w:tblGrid>
        <w:gridCol w:w="9464"/>
      </w:tblGrid>
      <w:tr w:rsidR="00A80914" w:rsidRPr="001A5932" w14:paraId="18AA2CDF" w14:textId="77777777" w:rsidTr="006120A9">
        <w:tc>
          <w:tcPr>
            <w:tcW w:w="9464" w:type="dxa"/>
            <w:shd w:val="clear" w:color="auto" w:fill="EAF1DD" w:themeFill="accent3" w:themeFillTint="33"/>
          </w:tcPr>
          <w:p w14:paraId="016F02D0" w14:textId="77777777" w:rsidR="00A80914" w:rsidRPr="001A5932" w:rsidRDefault="00A80914" w:rsidP="00646572">
            <w:pPr>
              <w:rPr>
                <w:b/>
                <w:color w:val="000000" w:themeColor="text1"/>
              </w:rPr>
            </w:pPr>
          </w:p>
          <w:p w14:paraId="57C40497" w14:textId="77777777" w:rsidR="00962597" w:rsidRPr="000302FC" w:rsidRDefault="00962597" w:rsidP="00962597">
            <w:pPr>
              <w:pStyle w:val="NoSpacing"/>
              <w:rPr>
                <w:rFonts w:ascii="Arial" w:hAnsi="Arial" w:cs="Arial"/>
                <w:bCs/>
              </w:rPr>
            </w:pPr>
            <w:r w:rsidRPr="000302FC">
              <w:rPr>
                <w:rFonts w:ascii="Arial" w:hAnsi="Arial" w:cs="Arial"/>
                <w:b/>
              </w:rPr>
              <w:t>A1</w:t>
            </w:r>
            <w:r w:rsidRPr="000302FC">
              <w:rPr>
                <w:rFonts w:ascii="Arial" w:hAnsi="Arial" w:cs="Arial"/>
                <w:bCs/>
              </w:rPr>
              <w:t xml:space="preserve"> Implement a revised version of the Establishment Improvement Framework from August 2025, </w:t>
            </w:r>
            <w:proofErr w:type="gramStart"/>
            <w:r w:rsidRPr="000302FC">
              <w:rPr>
                <w:rFonts w:ascii="Arial" w:hAnsi="Arial" w:cs="Arial"/>
                <w:bCs/>
              </w:rPr>
              <w:t>taking into account</w:t>
            </w:r>
            <w:proofErr w:type="gramEnd"/>
            <w:r w:rsidRPr="000302FC">
              <w:rPr>
                <w:rFonts w:ascii="Arial" w:hAnsi="Arial" w:cs="Arial"/>
                <w:bCs/>
              </w:rPr>
              <w:t xml:space="preserve"> feedback and recommendations from the National Thematic inspection and work from the QUAD.</w:t>
            </w:r>
          </w:p>
          <w:p w14:paraId="32C3F364" w14:textId="77777777" w:rsidR="00962597" w:rsidRPr="000302FC" w:rsidRDefault="00962597" w:rsidP="00962597">
            <w:pPr>
              <w:pStyle w:val="NoSpacing"/>
              <w:rPr>
                <w:rFonts w:ascii="Arial" w:hAnsi="Arial" w:cs="Arial"/>
              </w:rPr>
            </w:pPr>
          </w:p>
          <w:p w14:paraId="750AAA70" w14:textId="24331483" w:rsidR="0086173C" w:rsidRPr="000302FC" w:rsidRDefault="00962597" w:rsidP="0086173C">
            <w:r w:rsidRPr="000302FC">
              <w:rPr>
                <w:b/>
                <w:bCs/>
              </w:rPr>
              <w:t>A2</w:t>
            </w:r>
            <w:r w:rsidRPr="000302FC">
              <w:t xml:space="preserve"> Embed the numeracy strategy across all settings and continue to grow our numeracy and maths support networks </w:t>
            </w:r>
            <w:proofErr w:type="gramStart"/>
            <w:r w:rsidRPr="000302FC">
              <w:t>in order to</w:t>
            </w:r>
            <w:proofErr w:type="gramEnd"/>
            <w:r w:rsidRPr="000302FC">
              <w:t xml:space="preserve"> provide consistency of approach and opportunities to share practice leading to improvements in learning and teaching and learner achievements.</w:t>
            </w:r>
          </w:p>
          <w:p w14:paraId="67F2DAC6" w14:textId="77777777" w:rsidR="00962597" w:rsidRPr="000302FC" w:rsidRDefault="00962597" w:rsidP="0086173C"/>
          <w:p w14:paraId="6E01651F" w14:textId="23ABBB7D" w:rsidR="00962597" w:rsidRPr="000302FC" w:rsidRDefault="00962597" w:rsidP="0086173C">
            <w:r w:rsidRPr="000302FC">
              <w:rPr>
                <w:b/>
                <w:bCs/>
              </w:rPr>
              <w:t>A3</w:t>
            </w:r>
            <w:r w:rsidRPr="000302FC">
              <w:t xml:space="preserve"> Continue to promote the Literacy Framework and the PASE Blog, as well as carrying out an evaluation of the framework’s impact since its launch.</w:t>
            </w:r>
          </w:p>
          <w:p w14:paraId="5DD64EBB" w14:textId="77777777" w:rsidR="00962597" w:rsidRPr="000302FC" w:rsidRDefault="00962597" w:rsidP="0086173C"/>
          <w:p w14:paraId="0B8A1A88" w14:textId="4C288229" w:rsidR="00962597" w:rsidRPr="000302FC" w:rsidRDefault="00962597" w:rsidP="0086173C">
            <w:r w:rsidRPr="000302FC">
              <w:rPr>
                <w:b/>
                <w:bCs/>
              </w:rPr>
              <w:t xml:space="preserve">A4 </w:t>
            </w:r>
            <w:r w:rsidRPr="000302FC">
              <w:rPr>
                <w:bCs/>
              </w:rPr>
              <w:t>Continue to improve and ensure the data strategy’s sustainability by reviewing and identify possible alternative tools</w:t>
            </w:r>
            <w:r w:rsidRPr="000302FC">
              <w:t>.</w:t>
            </w:r>
          </w:p>
          <w:p w14:paraId="4D3E1739" w14:textId="77777777" w:rsidR="00962597" w:rsidRPr="000302FC" w:rsidRDefault="00962597" w:rsidP="0086173C"/>
          <w:p w14:paraId="79A60559" w14:textId="40E0C026" w:rsidR="00962597" w:rsidRPr="000302FC" w:rsidRDefault="00962597" w:rsidP="0086173C">
            <w:pPr>
              <w:rPr>
                <w:bCs/>
              </w:rPr>
            </w:pPr>
            <w:r w:rsidRPr="000302FC">
              <w:rPr>
                <w:b/>
              </w:rPr>
              <w:t>A5</w:t>
            </w:r>
            <w:r w:rsidRPr="000302FC">
              <w:rPr>
                <w:bCs/>
              </w:rPr>
              <w:t xml:space="preserve"> Continue to evolve and review authority tracking systems in place for both the BGE and Senior Phase.</w:t>
            </w:r>
          </w:p>
          <w:p w14:paraId="42B403F7" w14:textId="77777777" w:rsidR="00962597" w:rsidRPr="000302FC" w:rsidRDefault="00962597" w:rsidP="0086173C">
            <w:pPr>
              <w:rPr>
                <w:bCs/>
              </w:rPr>
            </w:pPr>
          </w:p>
          <w:p w14:paraId="085956AD" w14:textId="77777777" w:rsidR="00962597" w:rsidRPr="000302FC" w:rsidRDefault="00962597" w:rsidP="00962597">
            <w:pPr>
              <w:pStyle w:val="NoSpacing"/>
              <w:rPr>
                <w:rFonts w:ascii="Arial" w:hAnsi="Arial" w:cs="Arial"/>
              </w:rPr>
            </w:pPr>
            <w:r w:rsidRPr="000302FC">
              <w:rPr>
                <w:rFonts w:ascii="Arial" w:hAnsi="Arial" w:cs="Arial"/>
                <w:b/>
                <w:bCs/>
              </w:rPr>
              <w:t>A6</w:t>
            </w:r>
            <w:r w:rsidRPr="000302FC">
              <w:rPr>
                <w:rFonts w:ascii="Arial" w:hAnsi="Arial" w:cs="Arial"/>
              </w:rPr>
              <w:t xml:space="preserve"> Establish the Curriculum Oversight Board including membership, terms of reference and related work plan.</w:t>
            </w:r>
          </w:p>
          <w:p w14:paraId="6561D94C" w14:textId="77777777" w:rsidR="00962597" w:rsidRPr="000302FC" w:rsidRDefault="00962597" w:rsidP="00962597">
            <w:pPr>
              <w:pStyle w:val="NoSpacing"/>
              <w:rPr>
                <w:rFonts w:ascii="Arial" w:hAnsi="Arial" w:cs="Arial"/>
                <w:bCs/>
              </w:rPr>
            </w:pPr>
          </w:p>
          <w:p w14:paraId="1AD9356E" w14:textId="77777777" w:rsidR="00962597" w:rsidRPr="000302FC" w:rsidRDefault="00962597" w:rsidP="00962597">
            <w:pPr>
              <w:pStyle w:val="NoSpacing"/>
              <w:rPr>
                <w:rFonts w:ascii="Arial" w:hAnsi="Arial" w:cs="Arial"/>
              </w:rPr>
            </w:pPr>
            <w:r w:rsidRPr="000302FC">
              <w:rPr>
                <w:rFonts w:ascii="Arial" w:hAnsi="Arial" w:cs="Arial"/>
                <w:b/>
                <w:bCs/>
              </w:rPr>
              <w:t>A7</w:t>
            </w:r>
            <w:r w:rsidRPr="000302FC">
              <w:rPr>
                <w:rFonts w:ascii="Arial" w:hAnsi="Arial" w:cs="Arial"/>
              </w:rPr>
              <w:t xml:space="preserve"> Re-introduce the Strategic Play Pedagogy group and evaluate the overall progress to date and identify next steps to further develop and embed active approaches to pedagogy.</w:t>
            </w:r>
          </w:p>
          <w:p w14:paraId="4ACBCE65" w14:textId="77777777" w:rsidR="00962597" w:rsidRPr="000302FC" w:rsidRDefault="00962597" w:rsidP="00962597">
            <w:pPr>
              <w:pStyle w:val="NoSpacing"/>
              <w:rPr>
                <w:rFonts w:ascii="Arial" w:hAnsi="Arial" w:cs="Arial"/>
              </w:rPr>
            </w:pPr>
          </w:p>
          <w:p w14:paraId="57E45B47" w14:textId="77777777" w:rsidR="00962597" w:rsidRPr="000302FC" w:rsidRDefault="00962597" w:rsidP="00962597">
            <w:pPr>
              <w:pStyle w:val="NoSpacing"/>
              <w:rPr>
                <w:rFonts w:ascii="Arial" w:hAnsi="Arial" w:cs="Arial"/>
              </w:rPr>
            </w:pPr>
            <w:r w:rsidRPr="000302FC">
              <w:rPr>
                <w:rFonts w:ascii="Arial" w:hAnsi="Arial" w:cs="Arial"/>
                <w:b/>
                <w:bCs/>
              </w:rPr>
              <w:t>A8</w:t>
            </w:r>
            <w:r w:rsidRPr="000302FC">
              <w:rPr>
                <w:rFonts w:ascii="Arial" w:hAnsi="Arial" w:cs="Arial"/>
              </w:rPr>
              <w:t xml:space="preserve"> Complete the review of the Digital Strategy ensuring a revised version is in place for implementation from August 2026</w:t>
            </w:r>
          </w:p>
          <w:p w14:paraId="02C69E0E" w14:textId="77777777" w:rsidR="00A80914" w:rsidRPr="001A5932" w:rsidRDefault="00A80914" w:rsidP="00646572">
            <w:pPr>
              <w:rPr>
                <w:b/>
                <w:color w:val="000000" w:themeColor="text1"/>
              </w:rPr>
            </w:pPr>
          </w:p>
        </w:tc>
      </w:tr>
    </w:tbl>
    <w:p w14:paraId="422B051C" w14:textId="77777777" w:rsidR="00B4516F" w:rsidRPr="001A5932" w:rsidRDefault="00B4516F" w:rsidP="0086173C"/>
    <w:p w14:paraId="181444B3" w14:textId="473B2739" w:rsidR="009B4B72" w:rsidRPr="00C2095D" w:rsidRDefault="00B4516F" w:rsidP="00CC0CEA">
      <w:pPr>
        <w:tabs>
          <w:tab w:val="left" w:pos="0"/>
        </w:tabs>
        <w:rPr>
          <w:b/>
          <w:bCs/>
        </w:rPr>
      </w:pPr>
      <w:r w:rsidRPr="001A5932">
        <w:rPr>
          <w:b/>
          <w:bCs/>
        </w:rPr>
        <w:t>A</w:t>
      </w:r>
      <w:r w:rsidR="002C7DB2">
        <w:rPr>
          <w:b/>
          <w:bCs/>
        </w:rPr>
        <w:t>1</w:t>
      </w:r>
      <w:r w:rsidR="00C2095D">
        <w:rPr>
          <w:b/>
          <w:bCs/>
        </w:rPr>
        <w:t xml:space="preserve"> </w:t>
      </w:r>
      <w:r w:rsidRPr="001A5932">
        <w:t>The Education Servic</w:t>
      </w:r>
      <w:r w:rsidR="00E36DAE">
        <w:t>e,</w:t>
      </w:r>
      <w:r w:rsidRPr="001A5932">
        <w:t xml:space="preserve"> </w:t>
      </w:r>
      <w:r w:rsidR="00962597">
        <w:t>has successfully implemented a revised version of its Improvement</w:t>
      </w:r>
      <w:r w:rsidR="00C2095D">
        <w:t xml:space="preserve"> </w:t>
      </w:r>
      <w:r w:rsidR="00962597">
        <w:t xml:space="preserve">Framework during session 2025/26. This has included new brokerage meetings with Heads at the start of the year to ensure clarity as to the category of each establishment against the new framework, as well as the support to be offered during the year. </w:t>
      </w:r>
      <w:r w:rsidR="009B6304">
        <w:t xml:space="preserve">Across all sectors peer reviews have continued to be carried out however a new approach to the annual achievement meetings has also been introduced, including peers in this process. </w:t>
      </w:r>
    </w:p>
    <w:p w14:paraId="7A9CFD77" w14:textId="77777777" w:rsidR="00C0028E" w:rsidRPr="002C7DB2" w:rsidRDefault="00C0028E" w:rsidP="00CC0CEA">
      <w:pPr>
        <w:tabs>
          <w:tab w:val="left" w:pos="0"/>
        </w:tabs>
      </w:pPr>
      <w:r>
        <w:t>The key focus of the work of the QUAD (East Ayrshire, Inverclyde, West Dumbartonshire and the Western Isles), which the Education Service is part of, has been the benchmarking and sharing of practice relating to each council’s education service improvement framework. This has been instrumental in supporting us to further develop our approach.</w:t>
      </w:r>
    </w:p>
    <w:p w14:paraId="19B6AB0C" w14:textId="392FB05D" w:rsidR="002C7DB2" w:rsidRDefault="009B6304" w:rsidP="00CC0CEA">
      <w:pPr>
        <w:tabs>
          <w:tab w:val="left" w:pos="0"/>
        </w:tabs>
      </w:pPr>
      <w:r w:rsidRPr="009B6304">
        <w:t xml:space="preserve">The implementation of the framework has been evaluated by heads throughout the </w:t>
      </w:r>
      <w:r w:rsidR="002113BB" w:rsidRPr="009B6304">
        <w:t>year,</w:t>
      </w:r>
      <w:r w:rsidRPr="009B6304">
        <w:t xml:space="preserve"> an</w:t>
      </w:r>
      <w:r w:rsidR="002C7DB2">
        <w:t xml:space="preserve">d </w:t>
      </w:r>
      <w:r w:rsidRPr="009B6304">
        <w:t>further revisions will be introduced in 2026/27 based on the feedback received. A key performance indicator used to measure the impact of the framework is the % of establishments evaluating themselves as good or better; these percentages remain very positive.</w:t>
      </w:r>
    </w:p>
    <w:p w14:paraId="68C7E55B" w14:textId="77777777" w:rsidR="004B5354" w:rsidRDefault="004B5354" w:rsidP="002C7DB2">
      <w:pPr>
        <w:tabs>
          <w:tab w:val="left" w:pos="426"/>
        </w:tabs>
        <w:ind w:left="426" w:hanging="426"/>
      </w:pPr>
    </w:p>
    <w:p w14:paraId="1941E72E" w14:textId="77777777" w:rsidR="00AC4C9B" w:rsidRDefault="00AC4C9B" w:rsidP="002C7DB2">
      <w:pPr>
        <w:tabs>
          <w:tab w:val="left" w:pos="426"/>
        </w:tabs>
        <w:ind w:left="426" w:hanging="426"/>
      </w:pPr>
    </w:p>
    <w:p w14:paraId="2EC11E0B" w14:textId="660D06B6" w:rsidR="009B2952" w:rsidRPr="00B75704" w:rsidRDefault="00865728" w:rsidP="006120A9">
      <w:pPr>
        <w:tabs>
          <w:tab w:val="left" w:pos="567"/>
        </w:tabs>
        <w:rPr>
          <w:u w:val="single"/>
        </w:rPr>
      </w:pPr>
      <w:r w:rsidRPr="00B75704">
        <w:rPr>
          <w:b/>
          <w:bCs/>
          <w:u w:val="single"/>
        </w:rPr>
        <w:lastRenderedPageBreak/>
        <w:t>QI</w:t>
      </w:r>
      <w:r w:rsidR="009B2952" w:rsidRPr="00B75704">
        <w:rPr>
          <w:b/>
          <w:bCs/>
          <w:u w:val="single"/>
        </w:rPr>
        <w:t xml:space="preserve"> evaluations – good or better</w:t>
      </w:r>
    </w:p>
    <w:tbl>
      <w:tblPr>
        <w:tblW w:w="9600" w:type="dxa"/>
        <w:tblCellMar>
          <w:left w:w="0" w:type="dxa"/>
          <w:right w:w="0" w:type="dxa"/>
        </w:tblCellMar>
        <w:tblLook w:val="0420" w:firstRow="1" w:lastRow="0" w:firstColumn="0" w:lastColumn="0" w:noHBand="0" w:noVBand="1"/>
      </w:tblPr>
      <w:tblGrid>
        <w:gridCol w:w="1920"/>
        <w:gridCol w:w="1920"/>
        <w:gridCol w:w="1920"/>
        <w:gridCol w:w="1920"/>
        <w:gridCol w:w="1920"/>
      </w:tblGrid>
      <w:tr w:rsidR="009B2952" w:rsidRPr="009B2952" w14:paraId="5CAF613F" w14:textId="77777777" w:rsidTr="009B2952">
        <w:trPr>
          <w:trHeight w:val="584"/>
        </w:trPr>
        <w:tc>
          <w:tcPr>
            <w:tcW w:w="19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1845FC8" w14:textId="0424D8E6" w:rsidR="009B2952" w:rsidRPr="009B2952" w:rsidRDefault="009B2952" w:rsidP="009B2952">
            <w:pPr>
              <w:tabs>
                <w:tab w:val="left" w:pos="567"/>
              </w:tabs>
              <w:jc w:val="center"/>
              <w:rPr>
                <w:b/>
                <w:bCs/>
              </w:rPr>
            </w:pPr>
            <w:r w:rsidRPr="009B2952">
              <w:rPr>
                <w:b/>
                <w:bCs/>
              </w:rPr>
              <w:t>Quality Indicators from HGIOS 4</w:t>
            </w:r>
          </w:p>
        </w:tc>
        <w:tc>
          <w:tcPr>
            <w:tcW w:w="19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3644379" w14:textId="77777777" w:rsidR="009B2952" w:rsidRDefault="009B2952" w:rsidP="009B2952">
            <w:pPr>
              <w:tabs>
                <w:tab w:val="left" w:pos="567"/>
              </w:tabs>
              <w:jc w:val="center"/>
              <w:rPr>
                <w:b/>
                <w:bCs/>
              </w:rPr>
            </w:pPr>
          </w:p>
          <w:p w14:paraId="5E5B58B7" w14:textId="07E91200" w:rsidR="009B2952" w:rsidRPr="009B2952" w:rsidRDefault="009B2952" w:rsidP="009B2952">
            <w:pPr>
              <w:tabs>
                <w:tab w:val="left" w:pos="567"/>
              </w:tabs>
              <w:jc w:val="center"/>
            </w:pPr>
            <w:r w:rsidRPr="009B2952">
              <w:rPr>
                <w:b/>
                <w:bCs/>
              </w:rPr>
              <w:t>1.3</w:t>
            </w:r>
          </w:p>
        </w:tc>
        <w:tc>
          <w:tcPr>
            <w:tcW w:w="19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6F2FAEA" w14:textId="77777777" w:rsidR="009B2952" w:rsidRDefault="009B2952" w:rsidP="009B2952">
            <w:pPr>
              <w:tabs>
                <w:tab w:val="left" w:pos="567"/>
              </w:tabs>
              <w:jc w:val="center"/>
              <w:rPr>
                <w:b/>
                <w:bCs/>
              </w:rPr>
            </w:pPr>
          </w:p>
          <w:p w14:paraId="7167553F" w14:textId="087D38A6" w:rsidR="009B2952" w:rsidRPr="009B2952" w:rsidRDefault="009B2952" w:rsidP="009B2952">
            <w:pPr>
              <w:tabs>
                <w:tab w:val="left" w:pos="567"/>
              </w:tabs>
              <w:jc w:val="center"/>
            </w:pPr>
            <w:r w:rsidRPr="009B2952">
              <w:rPr>
                <w:b/>
                <w:bCs/>
              </w:rPr>
              <w:t>2.3</w:t>
            </w:r>
          </w:p>
        </w:tc>
        <w:tc>
          <w:tcPr>
            <w:tcW w:w="19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869E2D2" w14:textId="77777777" w:rsidR="009B2952" w:rsidRDefault="009B2952" w:rsidP="009B2952">
            <w:pPr>
              <w:tabs>
                <w:tab w:val="left" w:pos="567"/>
              </w:tabs>
              <w:jc w:val="center"/>
              <w:rPr>
                <w:b/>
                <w:bCs/>
              </w:rPr>
            </w:pPr>
          </w:p>
          <w:p w14:paraId="243E39E4" w14:textId="7290CF34" w:rsidR="009B2952" w:rsidRPr="009B2952" w:rsidRDefault="009B2952" w:rsidP="009B2952">
            <w:pPr>
              <w:tabs>
                <w:tab w:val="left" w:pos="567"/>
              </w:tabs>
              <w:jc w:val="center"/>
            </w:pPr>
            <w:r w:rsidRPr="009B2952">
              <w:rPr>
                <w:b/>
                <w:bCs/>
              </w:rPr>
              <w:t>3.1</w:t>
            </w:r>
          </w:p>
        </w:tc>
        <w:tc>
          <w:tcPr>
            <w:tcW w:w="19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1711564" w14:textId="77777777" w:rsidR="009B2952" w:rsidRDefault="009B2952" w:rsidP="009B2952">
            <w:pPr>
              <w:tabs>
                <w:tab w:val="left" w:pos="567"/>
              </w:tabs>
              <w:jc w:val="center"/>
              <w:rPr>
                <w:b/>
                <w:bCs/>
              </w:rPr>
            </w:pPr>
          </w:p>
          <w:p w14:paraId="023F97CE" w14:textId="512F5F8A" w:rsidR="009B2952" w:rsidRPr="009B2952" w:rsidRDefault="009B2952" w:rsidP="009B2952">
            <w:pPr>
              <w:tabs>
                <w:tab w:val="left" w:pos="567"/>
              </w:tabs>
              <w:jc w:val="center"/>
            </w:pPr>
            <w:r w:rsidRPr="009B2952">
              <w:rPr>
                <w:b/>
                <w:bCs/>
              </w:rPr>
              <w:t>3.2</w:t>
            </w:r>
          </w:p>
        </w:tc>
      </w:tr>
      <w:tr w:rsidR="009B2952" w:rsidRPr="009B2952" w14:paraId="572E0257" w14:textId="77777777" w:rsidTr="009B2952">
        <w:trPr>
          <w:trHeight w:val="584"/>
        </w:trPr>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F329C8F" w14:textId="77777777" w:rsidR="009B2952" w:rsidRPr="009B2952" w:rsidRDefault="009B2952" w:rsidP="009B2952">
            <w:pPr>
              <w:tabs>
                <w:tab w:val="left" w:pos="567"/>
              </w:tabs>
            </w:pPr>
            <w:r w:rsidRPr="009B2952">
              <w:t>Early Years (</w:t>
            </w:r>
            <w:proofErr w:type="spellStart"/>
            <w:r w:rsidRPr="009B2952">
              <w:t>Inv</w:t>
            </w:r>
            <w:proofErr w:type="spellEnd"/>
            <w:r w:rsidRPr="009B2952">
              <w:t>)</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ACEF4A" w14:textId="77777777" w:rsidR="009B2952" w:rsidRPr="009B2952" w:rsidRDefault="009B2952" w:rsidP="009B2952">
            <w:pPr>
              <w:tabs>
                <w:tab w:val="left" w:pos="567"/>
              </w:tabs>
              <w:jc w:val="center"/>
            </w:pPr>
            <w:r w:rsidRPr="009B2952">
              <w:t>97%</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64E5D0" w14:textId="77777777" w:rsidR="009B2952" w:rsidRPr="009B2952" w:rsidRDefault="009B2952" w:rsidP="009B2952">
            <w:pPr>
              <w:tabs>
                <w:tab w:val="left" w:pos="567"/>
              </w:tabs>
              <w:jc w:val="center"/>
            </w:pPr>
            <w:r w:rsidRPr="009B2952">
              <w:t>97%</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5D14709" w14:textId="77777777" w:rsidR="009B2952" w:rsidRPr="009B2952" w:rsidRDefault="009B2952" w:rsidP="009B2952">
            <w:pPr>
              <w:tabs>
                <w:tab w:val="left" w:pos="567"/>
              </w:tabs>
              <w:jc w:val="center"/>
            </w:pPr>
            <w:r w:rsidRPr="009B2952">
              <w:t>97%</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9F0275" w14:textId="77777777" w:rsidR="009B2952" w:rsidRPr="009B2952" w:rsidRDefault="009B2952" w:rsidP="009B2952">
            <w:pPr>
              <w:tabs>
                <w:tab w:val="left" w:pos="567"/>
              </w:tabs>
              <w:jc w:val="center"/>
            </w:pPr>
            <w:r w:rsidRPr="009B2952">
              <w:t>97%</w:t>
            </w:r>
          </w:p>
        </w:tc>
      </w:tr>
      <w:tr w:rsidR="009B2952" w:rsidRPr="009B2952" w14:paraId="2AF2D73F" w14:textId="77777777" w:rsidTr="009B2952">
        <w:trPr>
          <w:trHeight w:val="787"/>
        </w:trPr>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1CBA85" w14:textId="77777777" w:rsidR="009B2952" w:rsidRPr="009B2952" w:rsidRDefault="009B2952" w:rsidP="009B2952">
            <w:pPr>
              <w:tabs>
                <w:tab w:val="left" w:pos="567"/>
              </w:tabs>
            </w:pPr>
            <w:r w:rsidRPr="009B2952">
              <w:t>Early Years (NA)</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2C3DE9" w14:textId="77777777" w:rsidR="009B2952" w:rsidRPr="009B2952" w:rsidRDefault="009B2952" w:rsidP="009B2952">
            <w:pPr>
              <w:tabs>
                <w:tab w:val="left" w:pos="567"/>
              </w:tabs>
              <w:jc w:val="center"/>
            </w:pPr>
            <w:r w:rsidRPr="009B2952">
              <w:t>64%</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4FD2F6" w14:textId="77777777" w:rsidR="009B2952" w:rsidRPr="009B2952" w:rsidRDefault="009B2952" w:rsidP="009B2952">
            <w:pPr>
              <w:tabs>
                <w:tab w:val="left" w:pos="567"/>
              </w:tabs>
              <w:jc w:val="center"/>
            </w:pPr>
            <w:r w:rsidRPr="009B2952">
              <w:t>65%</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5CED80" w14:textId="77777777" w:rsidR="009B2952" w:rsidRPr="009B2952" w:rsidRDefault="009B2952" w:rsidP="009B2952">
            <w:pPr>
              <w:tabs>
                <w:tab w:val="left" w:pos="567"/>
              </w:tabs>
              <w:jc w:val="center"/>
            </w:pPr>
            <w:r w:rsidRPr="009B2952">
              <w:t>78%</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91021F0" w14:textId="77777777" w:rsidR="009B2952" w:rsidRPr="009B2952" w:rsidRDefault="009B2952" w:rsidP="009B2952">
            <w:pPr>
              <w:tabs>
                <w:tab w:val="left" w:pos="567"/>
              </w:tabs>
              <w:jc w:val="center"/>
            </w:pPr>
            <w:r w:rsidRPr="009B2952">
              <w:t>68%</w:t>
            </w:r>
          </w:p>
        </w:tc>
      </w:tr>
      <w:tr w:rsidR="009B2952" w:rsidRPr="009B2952" w14:paraId="658A2A00" w14:textId="77777777" w:rsidTr="009B2952">
        <w:trPr>
          <w:trHeight w:val="584"/>
        </w:trPr>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138444F" w14:textId="77777777" w:rsidR="009B2952" w:rsidRPr="009B2952" w:rsidRDefault="009B2952" w:rsidP="009B2952">
            <w:pPr>
              <w:tabs>
                <w:tab w:val="left" w:pos="567"/>
              </w:tabs>
            </w:pPr>
            <w:r w:rsidRPr="009B2952">
              <w:t>Prim (</w:t>
            </w:r>
            <w:proofErr w:type="spellStart"/>
            <w:r w:rsidRPr="009B2952">
              <w:t>Inv</w:t>
            </w:r>
            <w:proofErr w:type="spellEnd"/>
            <w:r w:rsidRPr="009B2952">
              <w:t>)</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A15BEC" w14:textId="77777777" w:rsidR="009B2952" w:rsidRPr="009B2952" w:rsidRDefault="009B2952" w:rsidP="009B2952">
            <w:pPr>
              <w:tabs>
                <w:tab w:val="left" w:pos="567"/>
              </w:tabs>
              <w:jc w:val="center"/>
            </w:pPr>
            <w:r w:rsidRPr="009B2952">
              <w:t>96%</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75042AE" w14:textId="77777777" w:rsidR="009B2952" w:rsidRPr="009B2952" w:rsidRDefault="009B2952" w:rsidP="009B2952">
            <w:pPr>
              <w:tabs>
                <w:tab w:val="left" w:pos="567"/>
              </w:tabs>
              <w:jc w:val="center"/>
            </w:pPr>
            <w:r w:rsidRPr="009B2952">
              <w:t>96%</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1ACDCC" w14:textId="77777777" w:rsidR="009B2952" w:rsidRPr="009B2952" w:rsidRDefault="009B2952" w:rsidP="009B2952">
            <w:pPr>
              <w:tabs>
                <w:tab w:val="left" w:pos="567"/>
              </w:tabs>
              <w:jc w:val="center"/>
            </w:pPr>
            <w:r w:rsidRPr="009B2952">
              <w:t>92%</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55FAFB" w14:textId="77777777" w:rsidR="009B2952" w:rsidRPr="009B2952" w:rsidRDefault="009B2952" w:rsidP="009B2952">
            <w:pPr>
              <w:tabs>
                <w:tab w:val="left" w:pos="567"/>
              </w:tabs>
              <w:jc w:val="center"/>
            </w:pPr>
            <w:r w:rsidRPr="009B2952">
              <w:t>92%</w:t>
            </w:r>
          </w:p>
        </w:tc>
      </w:tr>
      <w:tr w:rsidR="009B2952" w:rsidRPr="009B2952" w14:paraId="7496DCEB" w14:textId="77777777" w:rsidTr="009B2952">
        <w:trPr>
          <w:trHeight w:val="584"/>
        </w:trPr>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7A3266" w14:textId="77777777" w:rsidR="009B2952" w:rsidRPr="009B2952" w:rsidRDefault="009B2952" w:rsidP="009B2952">
            <w:pPr>
              <w:tabs>
                <w:tab w:val="left" w:pos="567"/>
              </w:tabs>
            </w:pPr>
            <w:r w:rsidRPr="009B2952">
              <w:t>Prim (NA)</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AEC11D9" w14:textId="77777777" w:rsidR="009B2952" w:rsidRPr="009B2952" w:rsidRDefault="009B2952" w:rsidP="009B2952">
            <w:pPr>
              <w:tabs>
                <w:tab w:val="left" w:pos="567"/>
              </w:tabs>
              <w:jc w:val="center"/>
            </w:pPr>
            <w:r w:rsidRPr="009B2952">
              <w:t>65%</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75A4C5" w14:textId="77777777" w:rsidR="009B2952" w:rsidRPr="009B2952" w:rsidRDefault="009B2952" w:rsidP="009B2952">
            <w:pPr>
              <w:tabs>
                <w:tab w:val="left" w:pos="567"/>
              </w:tabs>
              <w:jc w:val="center"/>
            </w:pPr>
            <w:r w:rsidRPr="009B2952">
              <w:t>65%</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3F175F" w14:textId="77777777" w:rsidR="009B2952" w:rsidRPr="009B2952" w:rsidRDefault="009B2952" w:rsidP="009B2952">
            <w:pPr>
              <w:tabs>
                <w:tab w:val="left" w:pos="567"/>
              </w:tabs>
              <w:jc w:val="center"/>
            </w:pPr>
            <w:r w:rsidRPr="009B2952">
              <w:t>72%</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707075" w14:textId="77777777" w:rsidR="009B2952" w:rsidRPr="009B2952" w:rsidRDefault="009B2952" w:rsidP="009B2952">
            <w:pPr>
              <w:tabs>
                <w:tab w:val="left" w:pos="567"/>
              </w:tabs>
              <w:jc w:val="center"/>
            </w:pPr>
            <w:r w:rsidRPr="009B2952">
              <w:t>64%</w:t>
            </w:r>
          </w:p>
        </w:tc>
      </w:tr>
      <w:tr w:rsidR="009B2952" w:rsidRPr="009B2952" w14:paraId="2BCA8AE8" w14:textId="77777777" w:rsidTr="009B2952">
        <w:trPr>
          <w:trHeight w:val="584"/>
        </w:trPr>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AA607DA" w14:textId="77777777" w:rsidR="009B2952" w:rsidRPr="009B2952" w:rsidRDefault="009B2952" w:rsidP="009B2952">
            <w:pPr>
              <w:tabs>
                <w:tab w:val="left" w:pos="567"/>
              </w:tabs>
            </w:pPr>
            <w:r w:rsidRPr="009B2952">
              <w:t>Sec (</w:t>
            </w:r>
            <w:proofErr w:type="spellStart"/>
            <w:r w:rsidRPr="009B2952">
              <w:t>Inv</w:t>
            </w:r>
            <w:proofErr w:type="spellEnd"/>
            <w:r w:rsidRPr="009B2952">
              <w:t>)</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880B8A" w14:textId="77777777" w:rsidR="009B2952" w:rsidRPr="009B2952" w:rsidRDefault="009B2952" w:rsidP="009B2952">
            <w:pPr>
              <w:tabs>
                <w:tab w:val="left" w:pos="567"/>
              </w:tabs>
              <w:jc w:val="center"/>
            </w:pPr>
            <w:r w:rsidRPr="009B2952">
              <w:t>100%</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2F82B4" w14:textId="77777777" w:rsidR="009B2952" w:rsidRPr="009B2952" w:rsidRDefault="009B2952" w:rsidP="009B2952">
            <w:pPr>
              <w:tabs>
                <w:tab w:val="left" w:pos="567"/>
              </w:tabs>
              <w:jc w:val="center"/>
            </w:pPr>
            <w:r w:rsidRPr="009B2952">
              <w:t>100%</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B5F781" w14:textId="1AB568CE" w:rsidR="009B2952" w:rsidRPr="009B2952" w:rsidRDefault="00C0028E" w:rsidP="009B2952">
            <w:pPr>
              <w:tabs>
                <w:tab w:val="left" w:pos="567"/>
              </w:tabs>
              <w:jc w:val="center"/>
            </w:pPr>
            <w:r>
              <w:t>100</w:t>
            </w:r>
            <w:r w:rsidR="009B2952" w:rsidRPr="009B2952">
              <w:t>%</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E4C79C" w14:textId="77777777" w:rsidR="009B2952" w:rsidRPr="009B2952" w:rsidRDefault="009B2952" w:rsidP="009B2952">
            <w:pPr>
              <w:tabs>
                <w:tab w:val="left" w:pos="567"/>
              </w:tabs>
              <w:jc w:val="center"/>
            </w:pPr>
            <w:r w:rsidRPr="009B2952">
              <w:t>100%</w:t>
            </w:r>
          </w:p>
        </w:tc>
      </w:tr>
      <w:tr w:rsidR="009B2952" w:rsidRPr="009B2952" w14:paraId="5DF98D4F" w14:textId="77777777" w:rsidTr="009B2952">
        <w:trPr>
          <w:trHeight w:val="584"/>
        </w:trPr>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3FBAF4" w14:textId="77777777" w:rsidR="009B2952" w:rsidRPr="009B2952" w:rsidRDefault="009B2952" w:rsidP="009B2952">
            <w:pPr>
              <w:tabs>
                <w:tab w:val="left" w:pos="567"/>
              </w:tabs>
            </w:pPr>
            <w:r w:rsidRPr="009B2952">
              <w:t>Sec (NA)</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F3DFDB" w14:textId="77777777" w:rsidR="009B2952" w:rsidRPr="009B2952" w:rsidRDefault="009B2952" w:rsidP="009B2952">
            <w:pPr>
              <w:tabs>
                <w:tab w:val="left" w:pos="567"/>
              </w:tabs>
              <w:jc w:val="center"/>
            </w:pPr>
            <w:r w:rsidRPr="009B2952">
              <w:t>59%</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DFBDC3" w14:textId="77777777" w:rsidR="009B2952" w:rsidRPr="009B2952" w:rsidRDefault="009B2952" w:rsidP="009B2952">
            <w:pPr>
              <w:tabs>
                <w:tab w:val="left" w:pos="567"/>
              </w:tabs>
              <w:jc w:val="center"/>
            </w:pPr>
            <w:r w:rsidRPr="009B2952">
              <w:t>59%</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37F9636" w14:textId="77777777" w:rsidR="009B2952" w:rsidRPr="009B2952" w:rsidRDefault="009B2952" w:rsidP="009B2952">
            <w:pPr>
              <w:tabs>
                <w:tab w:val="left" w:pos="567"/>
              </w:tabs>
              <w:jc w:val="center"/>
            </w:pPr>
            <w:r w:rsidRPr="009B2952">
              <w:t>61%</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B2948D" w14:textId="77777777" w:rsidR="009B2952" w:rsidRPr="009B2952" w:rsidRDefault="009B2952" w:rsidP="009B2952">
            <w:pPr>
              <w:tabs>
                <w:tab w:val="left" w:pos="567"/>
              </w:tabs>
              <w:jc w:val="center"/>
            </w:pPr>
            <w:r w:rsidRPr="009B2952">
              <w:t>63%</w:t>
            </w:r>
          </w:p>
        </w:tc>
      </w:tr>
    </w:tbl>
    <w:p w14:paraId="1CE64FFC" w14:textId="72E4FE87" w:rsidR="009B2952" w:rsidRPr="009B2952" w:rsidRDefault="009B2952" w:rsidP="009B2952">
      <w:pPr>
        <w:tabs>
          <w:tab w:val="left" w:pos="567"/>
        </w:tabs>
      </w:pPr>
      <w:r w:rsidRPr="009B2952">
        <w:rPr>
          <w:i/>
          <w:iCs/>
        </w:rPr>
        <w:t>*Inv</w:t>
      </w:r>
      <w:r>
        <w:rPr>
          <w:i/>
          <w:iCs/>
        </w:rPr>
        <w:t>erclyde</w:t>
      </w:r>
      <w:r w:rsidRPr="009B2952">
        <w:rPr>
          <w:i/>
          <w:iCs/>
        </w:rPr>
        <w:t xml:space="preserve"> data based on all establishment SQRs 2</w:t>
      </w:r>
      <w:r w:rsidR="000302FC">
        <w:rPr>
          <w:i/>
          <w:iCs/>
        </w:rPr>
        <w:t>4</w:t>
      </w:r>
      <w:r w:rsidRPr="009B2952">
        <w:rPr>
          <w:i/>
          <w:iCs/>
        </w:rPr>
        <w:t>/2</w:t>
      </w:r>
      <w:r w:rsidR="000302FC">
        <w:rPr>
          <w:i/>
          <w:iCs/>
        </w:rPr>
        <w:t>5</w:t>
      </w:r>
      <w:r w:rsidRPr="009B2952">
        <w:rPr>
          <w:i/>
          <w:iCs/>
        </w:rPr>
        <w:t>, Care Inspectorate and Education Scotland inspections 2017-2</w:t>
      </w:r>
      <w:r w:rsidR="000302FC">
        <w:rPr>
          <w:i/>
          <w:iCs/>
        </w:rPr>
        <w:t>6</w:t>
      </w:r>
      <w:r w:rsidRPr="009B2952">
        <w:rPr>
          <w:i/>
          <w:iCs/>
        </w:rPr>
        <w:t xml:space="preserve"> and all Peer Review validations 2022 to date.</w:t>
      </w:r>
    </w:p>
    <w:p w14:paraId="706D67A8" w14:textId="0485C127" w:rsidR="009B2952" w:rsidRPr="001A5932" w:rsidRDefault="009B2952" w:rsidP="006120A9">
      <w:pPr>
        <w:tabs>
          <w:tab w:val="left" w:pos="567"/>
        </w:tabs>
      </w:pPr>
      <w:r w:rsidRPr="009B2952">
        <w:rPr>
          <w:i/>
          <w:iCs/>
        </w:rPr>
        <w:t>*NA is all Educa</w:t>
      </w:r>
      <w:r w:rsidR="00682232">
        <w:rPr>
          <w:i/>
          <w:iCs/>
        </w:rPr>
        <w:t>ti</w:t>
      </w:r>
      <w:r w:rsidRPr="009B2952">
        <w:rPr>
          <w:i/>
          <w:iCs/>
        </w:rPr>
        <w:t xml:space="preserve">on Scotland inspection outcomes 2017 </w:t>
      </w:r>
      <w:r>
        <w:rPr>
          <w:i/>
          <w:iCs/>
        </w:rPr>
        <w:t>–</w:t>
      </w:r>
      <w:r w:rsidRPr="009B2952">
        <w:rPr>
          <w:i/>
          <w:iCs/>
        </w:rPr>
        <w:t xml:space="preserve"> 24</w:t>
      </w:r>
      <w:r>
        <w:rPr>
          <w:i/>
          <w:iCs/>
        </w:rPr>
        <w:t>.</w:t>
      </w:r>
    </w:p>
    <w:p w14:paraId="5D40DAB8" w14:textId="7D8E554C" w:rsidR="000302FC" w:rsidRPr="002C7DB2" w:rsidRDefault="00720E5E" w:rsidP="000302FC">
      <w:pPr>
        <w:jc w:val="both"/>
      </w:pPr>
      <w:r w:rsidRPr="002C7DB2">
        <w:rPr>
          <w:b/>
          <w:bCs/>
        </w:rPr>
        <w:t>A2</w:t>
      </w:r>
      <w:r w:rsidRPr="002C7DB2">
        <w:t xml:space="preserve"> </w:t>
      </w:r>
      <w:r w:rsidR="00296EE5" w:rsidRPr="002C7DB2">
        <w:tab/>
      </w:r>
      <w:r w:rsidR="000302FC" w:rsidRPr="002C7DB2">
        <w:t>The Inverclyde Numeracy Strategy has been refreshed and provides all</w:t>
      </w:r>
      <w:r w:rsidR="002C7DB2">
        <w:t xml:space="preserve"> </w:t>
      </w:r>
      <w:r w:rsidR="000302FC" w:rsidRPr="002C7DB2">
        <w:t xml:space="preserve">involved in education with the guiding principles to achieve high quality learning teaching and assessment in numeracy. It supports what </w:t>
      </w:r>
      <w:proofErr w:type="gramStart"/>
      <w:r w:rsidR="000302FC" w:rsidRPr="002C7DB2">
        <w:t>is considered to be</w:t>
      </w:r>
      <w:proofErr w:type="gramEnd"/>
      <w:r w:rsidR="000302FC" w:rsidRPr="002C7DB2">
        <w:t xml:space="preserve"> best practice to achieve excellence and equity in all of our educational establishments. </w:t>
      </w:r>
    </w:p>
    <w:p w14:paraId="3FB80780" w14:textId="0F2CA5C2" w:rsidR="000302FC" w:rsidRPr="002C7DB2" w:rsidRDefault="000302FC" w:rsidP="000302FC">
      <w:pPr>
        <w:jc w:val="both"/>
      </w:pPr>
      <w:r w:rsidRPr="002C7DB2">
        <w:t>The refreshed Numeracy Strategy was launched to Heads of Establishments and P</w:t>
      </w:r>
      <w:r w:rsidR="002C7DB2">
        <w:t xml:space="preserve">rincipal </w:t>
      </w:r>
      <w:r w:rsidRPr="002C7DB2">
        <w:t>T</w:t>
      </w:r>
      <w:r w:rsidR="002C7DB2">
        <w:t>eacher</w:t>
      </w:r>
      <w:r w:rsidRPr="002C7DB2">
        <w:t xml:space="preserve">s of mathematics </w:t>
      </w:r>
      <w:r w:rsidR="002C7DB2">
        <w:t>in</w:t>
      </w:r>
      <w:r w:rsidRPr="002C7DB2">
        <w:t xml:space="preserve"> May 2025. A supportive presentation was created and shared to support all establishments and practitioners to engage with the strategy </w:t>
      </w:r>
      <w:proofErr w:type="gramStart"/>
      <w:r w:rsidRPr="002C7DB2">
        <w:t>in order to</w:t>
      </w:r>
      <w:proofErr w:type="gramEnd"/>
      <w:r w:rsidRPr="002C7DB2">
        <w:t xml:space="preserve"> support improvements in learning, teaching and assessment.</w:t>
      </w:r>
      <w:r w:rsidR="002C7DB2">
        <w:t xml:space="preserve"> </w:t>
      </w:r>
      <w:r w:rsidRPr="002C7DB2">
        <w:t>Posters have been produced and delivered to all establishments providing staff with a direct QR code link to access the strategy.</w:t>
      </w:r>
    </w:p>
    <w:p w14:paraId="25394A8D" w14:textId="7587D472" w:rsidR="000302FC" w:rsidRPr="002C7DB2" w:rsidRDefault="000302FC" w:rsidP="000302FC">
      <w:pPr>
        <w:jc w:val="both"/>
      </w:pPr>
      <w:r w:rsidRPr="002C7DB2">
        <w:t>Inverclyde Numeracy and Maths Champions have had opportunities to explore the strategy together and to share aspects of the strategy that they have used to make improvements including the wealth of anytime professional learning opportunities accessible via the strategy.</w:t>
      </w:r>
      <w:r w:rsidR="002C7DB2">
        <w:t xml:space="preserve"> T</w:t>
      </w:r>
      <w:r w:rsidRPr="002C7DB2">
        <w:t>o date there have been 1200 engagements with the strategy.</w:t>
      </w:r>
    </w:p>
    <w:p w14:paraId="76E3C81F" w14:textId="57B6B8FC" w:rsidR="000302FC" w:rsidRPr="002C7DB2" w:rsidRDefault="000302FC" w:rsidP="000302FC">
      <w:pPr>
        <w:jc w:val="both"/>
      </w:pPr>
      <w:r w:rsidRPr="002C7DB2">
        <w:t xml:space="preserve">The Numeracy and Mathematics Champions network has continued to grow. The network has moved away from only engaging with Primary colleagues to encouraging Early Years, Primary and Secondary practitioners to attend. The network supports practitioners to achieve the aims and improvement outcomes of our Numeracy strategy and provides a sustainable and consistent approach to supporting improvements in numeracy and maths. The network continues to meet termly and has provided practitioners with national updates, professional learning opportunities, </w:t>
      </w:r>
      <w:r w:rsidRPr="002C7DB2">
        <w:lastRenderedPageBreak/>
        <w:t xml:space="preserve">time to share practice and opportunities to engage with the national Curriculum Improvement Cycle (CIC). Agenda items are driven by national, local and establishment needs. </w:t>
      </w:r>
    </w:p>
    <w:p w14:paraId="4B65D5E4" w14:textId="76EE14F8" w:rsidR="000302FC" w:rsidRPr="002C7DB2" w:rsidRDefault="000302FC" w:rsidP="002C7DB2">
      <w:pPr>
        <w:jc w:val="both"/>
      </w:pPr>
      <w:r w:rsidRPr="002C7DB2">
        <w:t xml:space="preserve">Champions have fed back via the network evaluation that the Numeracy and Maths network has strengthened practitioner knowledge and preparedness for upcoming national and authority-wide developments, whilst also boosting confidence in delivering high-quality teaching, learning, and assessment. Champions shared that they benefited from improved access to valuable resources and websites, alongside opportunities for rich professional dialogue and sharing of effective practice across settings. Engagement in the network has supported leadership roles and enabled staff to communicate updates and CLPL opportunities within their settings. </w:t>
      </w:r>
    </w:p>
    <w:p w14:paraId="1CCB5DA7" w14:textId="77777777" w:rsidR="000302FC" w:rsidRPr="002C7DB2" w:rsidRDefault="000302FC" w:rsidP="000302FC">
      <w:pPr>
        <w:jc w:val="both"/>
        <w:rPr>
          <w:b/>
          <w:bCs/>
        </w:rPr>
      </w:pPr>
      <w:r w:rsidRPr="002C7DB2">
        <w:rPr>
          <w:b/>
          <w:bCs/>
        </w:rPr>
        <w:t>ACEL Numeracy including PRAG comparisons June 2024 to June 2025:</w:t>
      </w:r>
    </w:p>
    <w:p w14:paraId="35BD5CD6" w14:textId="26A75C2A" w:rsidR="000302FC" w:rsidRPr="002C7DB2" w:rsidRDefault="000302FC" w:rsidP="000302FC">
      <w:pPr>
        <w:jc w:val="both"/>
      </w:pPr>
      <w:r w:rsidRPr="002C7DB2">
        <w:t>Overall numeracy attainment improved slightly to 82.3%, up from 81.7% in 2024. Q1 attainment dipped marginally to 76.5%, just 0.3% below the previous year. Q5 attainment also saw a slight decline to 90.6%, from 92.3%. However, the Q1 to Q5 gap narrowed to -14.1%. Comparing Q1 to Q2–5, the gap increased slightly from -10.6% to -11.7%, although this still reflects relatively steady progress in the wider cohort.</w:t>
      </w:r>
    </w:p>
    <w:p w14:paraId="3C9F4A3F" w14:textId="77777777" w:rsidR="000302FC" w:rsidRPr="002C7DB2" w:rsidRDefault="000302FC" w:rsidP="000302FC">
      <w:pPr>
        <w:jc w:val="both"/>
        <w:rPr>
          <w:b/>
          <w:bCs/>
        </w:rPr>
      </w:pPr>
      <w:r w:rsidRPr="002C7DB2">
        <w:rPr>
          <w:b/>
          <w:bCs/>
        </w:rPr>
        <w:t>LGBF &amp; LA Comparator Data:</w:t>
      </w:r>
    </w:p>
    <w:p w14:paraId="1317385C" w14:textId="7D878AA6" w:rsidR="00720E5E" w:rsidRPr="002C7DB2" w:rsidRDefault="000302FC" w:rsidP="002C7DB2">
      <w:pPr>
        <w:jc w:val="both"/>
      </w:pPr>
      <w:r w:rsidRPr="002C7DB2">
        <w:t>Overall Numeracy attainment (ACEL) continues to demonstrate positive and sustained improvement. By June 2025, attainment had risen to 82.3%, placing Inverclyde 2.1% above the national figure of 80.2%. This upward trajectory reflects the impact of ongoing work to strengthen learning, teaching and assessment in numeracy across the authority. Comparative performance is also strong: Inverclyde is performing above two of its three Local Authority comparators (Na h</w:t>
      </w:r>
      <w:r w:rsidRPr="002C7DB2">
        <w:rPr>
          <w:rFonts w:ascii="Cambria Math" w:hAnsi="Cambria Math" w:cs="Cambria Math"/>
        </w:rPr>
        <w:t>‑</w:t>
      </w:r>
      <w:proofErr w:type="spellStart"/>
      <w:r w:rsidRPr="002C7DB2">
        <w:t>Eileanan</w:t>
      </w:r>
      <w:proofErr w:type="spellEnd"/>
      <w:r w:rsidRPr="002C7DB2">
        <w:t xml:space="preserve"> Siar and West Dunbartonshire) and remains only marginally below East Ayrshire, indicating that local approaches are securing outcomes broadly in line with, or better than, similar authorities. Overall, the data provides clear evidence of improving performance and a positive direction of travel in numeracy attainment.</w:t>
      </w:r>
    </w:p>
    <w:p w14:paraId="0E7DD1BE" w14:textId="435C8AAD" w:rsidR="000302FC" w:rsidRPr="00C2095D" w:rsidRDefault="0091452F" w:rsidP="000302FC">
      <w:pPr>
        <w:rPr>
          <w:b/>
          <w:bCs/>
        </w:rPr>
      </w:pPr>
      <w:r w:rsidRPr="002C7DB2">
        <w:rPr>
          <w:b/>
          <w:bCs/>
        </w:rPr>
        <w:t xml:space="preserve">A3 </w:t>
      </w:r>
      <w:r w:rsidRPr="002C7DB2">
        <w:rPr>
          <w:b/>
          <w:bCs/>
        </w:rPr>
        <w:tab/>
      </w:r>
      <w:r w:rsidR="000302FC" w:rsidRPr="002C7DB2">
        <w:rPr>
          <w:b/>
          <w:bCs/>
        </w:rPr>
        <w:t xml:space="preserve"> </w:t>
      </w:r>
      <w:r w:rsidR="000302FC" w:rsidRPr="002C7DB2">
        <w:t>Literacy continues to be embedded as a key strategic priority across the authority, with robust tracking and monitoring processes enabling early identification of need and informed decision</w:t>
      </w:r>
      <w:r w:rsidR="000302FC" w:rsidRPr="002C7DB2">
        <w:rPr>
          <w:rFonts w:ascii="Cambria Math" w:hAnsi="Cambria Math" w:cs="Cambria Math"/>
        </w:rPr>
        <w:t>‑</w:t>
      </w:r>
      <w:r w:rsidR="000302FC" w:rsidRPr="002C7DB2">
        <w:t>making. These approaches are contributing to improved outcomes for children and young people, while the sustained focus on literacy is strengthening consistency of practice and supporting positive attainment trends.</w:t>
      </w:r>
    </w:p>
    <w:p w14:paraId="0BE41335" w14:textId="77777777" w:rsidR="000302FC" w:rsidRPr="002C7DB2" w:rsidRDefault="000302FC" w:rsidP="000302FC">
      <w:pPr>
        <w:rPr>
          <w:b/>
          <w:bCs/>
        </w:rPr>
      </w:pPr>
      <w:r w:rsidRPr="002C7DB2">
        <w:rPr>
          <w:b/>
          <w:bCs/>
        </w:rPr>
        <w:t>ACEL Literacy Outcomes including PRAG comparisons June 2024 to June 2025:</w:t>
      </w:r>
    </w:p>
    <w:p w14:paraId="35036A12" w14:textId="5040E7F0" w:rsidR="000302FC" w:rsidRPr="002C7DB2" w:rsidRDefault="000302FC" w:rsidP="000302FC">
      <w:r w:rsidRPr="002C7DB2">
        <w:t xml:space="preserve">Combined literacy attainment (ACEL) continued to show positive overall progress, rising from 76.4% in June 2024 to 77.2% in June 2025. However, performance within the lowest quintile declined slightly, with Q1 attainment falling from 71.0% to 69.6%. As a result, the equity gap widened, with the Q1–Q5 gap increasing from </w:t>
      </w:r>
      <w:r w:rsidRPr="002C7DB2">
        <w:rPr>
          <w:rFonts w:ascii="Cambria Math" w:hAnsi="Cambria Math" w:cs="Cambria Math"/>
        </w:rPr>
        <w:t>‑</w:t>
      </w:r>
      <w:r w:rsidRPr="002C7DB2">
        <w:t xml:space="preserve">17.8% to </w:t>
      </w:r>
      <w:r w:rsidRPr="002C7DB2">
        <w:rPr>
          <w:rFonts w:ascii="Cambria Math" w:hAnsi="Cambria Math" w:cs="Cambria Math"/>
        </w:rPr>
        <w:t>‑</w:t>
      </w:r>
      <w:r w:rsidRPr="002C7DB2">
        <w:t xml:space="preserve">19.3% and the Q1–Q2–5 gap expanding from </w:t>
      </w:r>
      <w:r w:rsidRPr="002C7DB2">
        <w:rPr>
          <w:rFonts w:ascii="Cambria Math" w:hAnsi="Cambria Math" w:cs="Cambria Math"/>
        </w:rPr>
        <w:t>‑</w:t>
      </w:r>
      <w:r w:rsidRPr="002C7DB2">
        <w:t xml:space="preserve">11.8% to </w:t>
      </w:r>
      <w:r w:rsidRPr="002C7DB2">
        <w:rPr>
          <w:rFonts w:ascii="Cambria Math" w:hAnsi="Cambria Math" w:cs="Cambria Math"/>
        </w:rPr>
        <w:t>‑</w:t>
      </w:r>
      <w:r w:rsidRPr="002C7DB2">
        <w:t>15.1%. Attainment among pupils in Q5 continued to strengthen, reaching 88.9%, and Q2–5 performance also improved to 84.7%. These patterns indicate that while overall attainment is improving, targeted interventions remain necessary to address the gap.</w:t>
      </w:r>
    </w:p>
    <w:p w14:paraId="5F08F533" w14:textId="77777777" w:rsidR="000302FC" w:rsidRPr="002C7DB2" w:rsidRDefault="000302FC" w:rsidP="000302FC">
      <w:pPr>
        <w:rPr>
          <w:b/>
          <w:bCs/>
        </w:rPr>
      </w:pPr>
      <w:r w:rsidRPr="002C7DB2">
        <w:rPr>
          <w:b/>
          <w:bCs/>
        </w:rPr>
        <w:t>LGBF &amp; LA Comparator Data:</w:t>
      </w:r>
    </w:p>
    <w:p w14:paraId="068278C6" w14:textId="2E59B7E5" w:rsidR="000302FC" w:rsidRPr="002C7DB2" w:rsidRDefault="000302FC" w:rsidP="000302FC">
      <w:r w:rsidRPr="002C7DB2">
        <w:t xml:space="preserve">Combined literacy attainment (ACEL) continues to demonstrate positive and sustained improvement. By June 2025, attainment had risen to 77.2%, placing Inverclyde 2.6% above the </w:t>
      </w:r>
      <w:r w:rsidRPr="002C7DB2">
        <w:lastRenderedPageBreak/>
        <w:t>national figure of 74.5%. This upward trajectory reflects the impact of ongoing work to strengthen learning, teaching and assessment in literacy across the authority. Comparative performance is also strong: Inverclyde is performing above two of its three Local Authority comparators (East Ayrshire and West Dunbartonshire) and remains only marginally below Na h</w:t>
      </w:r>
      <w:r w:rsidRPr="002C7DB2">
        <w:rPr>
          <w:rFonts w:ascii="Cambria Math" w:hAnsi="Cambria Math" w:cs="Cambria Math"/>
        </w:rPr>
        <w:t>‑</w:t>
      </w:r>
      <w:proofErr w:type="spellStart"/>
      <w:r w:rsidRPr="002C7DB2">
        <w:t>Eileanan</w:t>
      </w:r>
      <w:proofErr w:type="spellEnd"/>
      <w:r w:rsidRPr="002C7DB2">
        <w:t xml:space="preserve"> Siar, indicating that local approaches are securing outcomes broadly in line with, or better than, similar authorities. Overall, the data provides clear evidence of improving performance and a positive direction of travel in literacy attainment.</w:t>
      </w:r>
    </w:p>
    <w:p w14:paraId="56600770" w14:textId="77777777" w:rsidR="000302FC" w:rsidRPr="002C7DB2" w:rsidRDefault="000302FC" w:rsidP="000302FC">
      <w:pPr>
        <w:rPr>
          <w:b/>
          <w:bCs/>
        </w:rPr>
      </w:pPr>
      <w:r w:rsidRPr="002C7DB2">
        <w:rPr>
          <w:b/>
          <w:bCs/>
        </w:rPr>
        <w:t>Literacy Framework:</w:t>
      </w:r>
    </w:p>
    <w:p w14:paraId="3D0A46C7" w14:textId="77777777" w:rsidR="000302FC" w:rsidRPr="002C7DB2" w:rsidRDefault="000302FC" w:rsidP="000302FC">
      <w:r w:rsidRPr="002C7DB2">
        <w:t>Strong progress continues to be made in the development and promotion of the Inverclyde Literacy Framework tool. The framework was completed early in Session 2025/26, with the inclusion of the English as an Additional Language (EAL) component further strengthening its breadth and relevance. The full framework is now accessible to all staff, supporting enhanced knowledge and understanding while positively influencing classroom practice across the three literacy organisers: Listening &amp; Talking, Reading, and Writing. This shared resource is contributing to greater consistency and improved pedagogy across establishments.</w:t>
      </w:r>
    </w:p>
    <w:p w14:paraId="64104E43" w14:textId="5F9EAAFF" w:rsidR="000302FC" w:rsidRPr="002C7DB2" w:rsidRDefault="000302FC" w:rsidP="000302FC">
      <w:pPr>
        <w:rPr>
          <w:b/>
          <w:bCs/>
          <w:i/>
          <w:iCs/>
        </w:rPr>
      </w:pPr>
      <w:r w:rsidRPr="002C7DB2">
        <w:t>Over the past year, the implementation of the Inverclyde Literacy Framework has begun to strengthen the consistency and quality of literacy practice across establishments. Evidence from the 1</w:t>
      </w:r>
      <w:r w:rsidRPr="002C7DB2">
        <w:rPr>
          <w:rFonts w:ascii="Cambria Math" w:hAnsi="Cambria Math" w:cs="Cambria Math"/>
        </w:rPr>
        <w:t>‑</w:t>
      </w:r>
      <w:r w:rsidRPr="002C7DB2">
        <w:t>year evaluation indicates high levels of staff awareness, with almost all respondents reporting that they are familiar with the framework. The majority have accessed the guidance and used it to inform their planning and delivery of literacy learning. Staff engagement spans a range of contexts, including individual and whole</w:t>
      </w:r>
      <w:r w:rsidRPr="002C7DB2">
        <w:rPr>
          <w:rFonts w:ascii="Cambria Math" w:hAnsi="Cambria Math" w:cs="Cambria Math"/>
        </w:rPr>
        <w:t>‑</w:t>
      </w:r>
      <w:r w:rsidRPr="002C7DB2">
        <w:t>school CLPL, demonstrating that the framework is becoming embedded within professional learning approaches across the authority.</w:t>
      </w:r>
    </w:p>
    <w:p w14:paraId="31F53591" w14:textId="6512E774" w:rsidR="000302FC" w:rsidRPr="002C7DB2" w:rsidRDefault="000302FC" w:rsidP="000302FC">
      <w:r w:rsidRPr="002C7DB2">
        <w:t>Practitioners’ confidence in teaching literacy has improved across all organisers. Self</w:t>
      </w:r>
      <w:r w:rsidRPr="002C7DB2">
        <w:rPr>
          <w:rFonts w:ascii="Cambria Math" w:hAnsi="Cambria Math" w:cs="Cambria Math"/>
        </w:rPr>
        <w:t>‑</w:t>
      </w:r>
      <w:r w:rsidRPr="002C7DB2">
        <w:t>reported confidence ratings show clear upward trends, with average scores increasing from:</w:t>
      </w:r>
    </w:p>
    <w:p w14:paraId="2714D032" w14:textId="77777777" w:rsidR="000302FC" w:rsidRPr="002C7DB2" w:rsidRDefault="000302FC" w:rsidP="00364711">
      <w:pPr>
        <w:pStyle w:val="ListParagraph"/>
        <w:numPr>
          <w:ilvl w:val="0"/>
          <w:numId w:val="10"/>
        </w:numPr>
        <w:rPr>
          <w:b/>
          <w:bCs/>
        </w:rPr>
      </w:pPr>
      <w:r w:rsidRPr="002C7DB2">
        <w:rPr>
          <w:b/>
          <w:bCs/>
        </w:rPr>
        <w:t xml:space="preserve">6.79% to 7.76% in reading, </w:t>
      </w:r>
    </w:p>
    <w:p w14:paraId="6483E3CE" w14:textId="77777777" w:rsidR="000302FC" w:rsidRPr="002C7DB2" w:rsidRDefault="000302FC" w:rsidP="00364711">
      <w:pPr>
        <w:pStyle w:val="ListParagraph"/>
        <w:numPr>
          <w:ilvl w:val="0"/>
          <w:numId w:val="10"/>
        </w:numPr>
        <w:rPr>
          <w:b/>
          <w:bCs/>
        </w:rPr>
      </w:pPr>
      <w:r w:rsidRPr="002C7DB2">
        <w:rPr>
          <w:b/>
          <w:bCs/>
        </w:rPr>
        <w:t xml:space="preserve">6.89% to 7.82% in listening and talking, and </w:t>
      </w:r>
    </w:p>
    <w:p w14:paraId="32C74747" w14:textId="77777777" w:rsidR="000302FC" w:rsidRPr="002C7DB2" w:rsidRDefault="000302FC" w:rsidP="00364711">
      <w:pPr>
        <w:pStyle w:val="ListParagraph"/>
        <w:numPr>
          <w:ilvl w:val="0"/>
          <w:numId w:val="10"/>
        </w:numPr>
      </w:pPr>
      <w:r w:rsidRPr="002C7DB2">
        <w:rPr>
          <w:b/>
          <w:bCs/>
        </w:rPr>
        <w:t>7.07% to 8.05% in writing</w:t>
      </w:r>
      <w:r w:rsidRPr="002C7DB2">
        <w:t xml:space="preserve"> </w:t>
      </w:r>
    </w:p>
    <w:p w14:paraId="67CE01D9" w14:textId="21463FC8" w:rsidR="000302FC" w:rsidRPr="002C7DB2" w:rsidRDefault="000302FC" w:rsidP="000302FC">
      <w:r w:rsidRPr="002C7DB2">
        <w:t>These improvements suggest that staff feel better equipped to deliver high</w:t>
      </w:r>
      <w:r w:rsidRPr="002C7DB2">
        <w:rPr>
          <w:rFonts w:ascii="Cambria Math" w:hAnsi="Cambria Math" w:cs="Cambria Math"/>
        </w:rPr>
        <w:t>‑</w:t>
      </w:r>
      <w:r w:rsidRPr="002C7DB2">
        <w:t>quality learning and teaching, supported by the clarity and structure provided within the framework. Respondents identify Professional Learning and Effective Instruction as the most useful components, highlighting the value of practical, evidence</w:t>
      </w:r>
      <w:r w:rsidRPr="002C7DB2">
        <w:rPr>
          <w:rFonts w:ascii="Cambria Math" w:hAnsi="Cambria Math" w:cs="Cambria Math"/>
        </w:rPr>
        <w:t>‑</w:t>
      </w:r>
      <w:r w:rsidRPr="002C7DB2">
        <w:t>informed guidance in shaping classroom practice.</w:t>
      </w:r>
    </w:p>
    <w:p w14:paraId="113077B2" w14:textId="1F09B20D" w:rsidR="000302FC" w:rsidRPr="002C7DB2" w:rsidRDefault="000302FC" w:rsidP="000302FC">
      <w:r w:rsidRPr="002C7DB2">
        <w:t>Most practitioners agree that the framework has had a positive impact on their work and that it has influenced their practice. Staff comments reflect a growing sense of shared expectations and improved coherence in approaches to literacy across stages and settings. This is contributing to a more consistent learning experience for children and young people.</w:t>
      </w:r>
    </w:p>
    <w:p w14:paraId="63C7405F" w14:textId="650EBAE7" w:rsidR="000302FC" w:rsidRPr="00C2095D" w:rsidRDefault="000302FC" w:rsidP="000302FC">
      <w:r w:rsidRPr="002C7DB2">
        <w:t>Overall, the first year of implementation shows that the Literacy Framework is beginning to make a positive and measurable contribution to improving practitioner confidence and enhancing the consistency of literacy practice across Inverclyde. Continued focus on embedding the framework at depth will help to secure sustained improvements in learners’ experiences and outcomes.</w:t>
      </w:r>
    </w:p>
    <w:p w14:paraId="52465600" w14:textId="4D5D606B" w:rsidR="002C7DB2" w:rsidRPr="002C7DB2" w:rsidRDefault="0086173C" w:rsidP="002C7DB2">
      <w:r w:rsidRPr="002C7DB2">
        <w:rPr>
          <w:b/>
          <w:bCs/>
        </w:rPr>
        <w:t>A4</w:t>
      </w:r>
      <w:r w:rsidR="00296EE5" w:rsidRPr="002C7DB2">
        <w:tab/>
      </w:r>
      <w:r w:rsidR="002C7DB2" w:rsidRPr="002C7DB2">
        <w:t xml:space="preserve">Good progress continues to be made in strengthening the local authority’s data strategy, with clear evidence of increasingly robust and efficient systems supporting improvement across all sectors. Effective communication between the Data Lead and Project Lead ensures that the </w:t>
      </w:r>
      <w:r w:rsidR="002C7DB2" w:rsidRPr="002C7DB2">
        <w:lastRenderedPageBreak/>
        <w:t xml:space="preserve">data calendar is routinely updated and that key collation dates are clearly communicated to all stakeholders. </w:t>
      </w:r>
    </w:p>
    <w:p w14:paraId="0A661D86" w14:textId="1248CD0E" w:rsidR="002C7DB2" w:rsidRPr="002C7DB2" w:rsidRDefault="002C7DB2" w:rsidP="002C7DB2">
      <w:r w:rsidRPr="002C7DB2">
        <w:t>Ongoing enhancements to the tracking and monitoring of attainment data are enabling timely, evidence</w:t>
      </w:r>
      <w:r w:rsidRPr="002C7DB2">
        <w:rPr>
          <w:rFonts w:ascii="Cambria Math" w:hAnsi="Cambria Math" w:cs="Cambria Math"/>
        </w:rPr>
        <w:t>‑</w:t>
      </w:r>
      <w:r w:rsidRPr="002C7DB2">
        <w:t>based dialogue with head teachers, supporting a sustained focus on improving outcomes for all children in the primary sector. In the secondary sector, senior leaders are making effective use of trackers, alongside the BGE and Senior Phase dashboards, to monitor young people’s progress and plan targeted interventions. Feedback from recent attainment meetings indicates that staff across establishments demonstrate a strong confidence in accessing, interrogating and analysing data. This enhanced data literacy is contributing to more informed and targeted decision</w:t>
      </w:r>
      <w:r w:rsidRPr="002C7DB2">
        <w:rPr>
          <w:rFonts w:ascii="Cambria Math" w:hAnsi="Cambria Math" w:cs="Cambria Math"/>
        </w:rPr>
        <w:t>‑</w:t>
      </w:r>
      <w:r w:rsidRPr="002C7DB2">
        <w:t>making around interventions, ensuring support is better aligned to learner need.</w:t>
      </w:r>
    </w:p>
    <w:p w14:paraId="020DD68E" w14:textId="0DEF3FF2" w:rsidR="002C7DB2" w:rsidRPr="002C7DB2" w:rsidRDefault="002C7DB2" w:rsidP="002C7DB2">
      <w:r w:rsidRPr="002C7DB2">
        <w:t>Further adaptations to the data pack, including the development of cohort</w:t>
      </w:r>
      <w:r w:rsidRPr="002C7DB2">
        <w:rPr>
          <w:rFonts w:ascii="Cambria Math" w:hAnsi="Cambria Math" w:cs="Cambria Math"/>
        </w:rPr>
        <w:t>‑</w:t>
      </w:r>
      <w:r w:rsidRPr="002C7DB2">
        <w:t xml:space="preserve">journey analysis in the primary sector, are providing richer insights into learners’ progress over time. The move from manual data entry to more automated processes has strengthened accuracy, reduced the risk of file corruption, and improved the cleansing of ACEL Teacher Professional Judgement data. </w:t>
      </w:r>
    </w:p>
    <w:p w14:paraId="7FC3A9A3" w14:textId="33D84C7B" w:rsidR="002C7DB2" w:rsidRPr="002C7DB2" w:rsidRDefault="002C7DB2" w:rsidP="002C7DB2">
      <w:r w:rsidRPr="002C7DB2">
        <w:t xml:space="preserve">While no decision has yet been taken regarding the procurement of a more modern data management system, the authority continues to monitor national developments closely, particularly </w:t>
      </w:r>
      <w:proofErr w:type="gramStart"/>
      <w:r w:rsidRPr="002C7DB2">
        <w:t>in light of</w:t>
      </w:r>
      <w:proofErr w:type="gramEnd"/>
      <w:r w:rsidRPr="002C7DB2">
        <w:t xml:space="preserve"> the Scottish Government’s emerging direction in this area. </w:t>
      </w:r>
    </w:p>
    <w:p w14:paraId="104FDB0A" w14:textId="77777777" w:rsidR="002C7DB2" w:rsidRPr="002C7DB2" w:rsidRDefault="002C7DB2" w:rsidP="002C7DB2">
      <w:r w:rsidRPr="002C7DB2">
        <w:t>Overall, these improvements reflect an increasingly effective data strategy that is supporting leaders to make informed decisions and drive improvement with confidence.</w:t>
      </w:r>
    </w:p>
    <w:p w14:paraId="289208FA" w14:textId="288CD624" w:rsidR="002C7DB2" w:rsidRPr="002C7DB2" w:rsidRDefault="0086173C" w:rsidP="002C7DB2">
      <w:r w:rsidRPr="002C7DB2">
        <w:rPr>
          <w:b/>
          <w:bCs/>
        </w:rPr>
        <w:t>A5</w:t>
      </w:r>
      <w:r w:rsidR="00B671CD" w:rsidRPr="002C7DB2">
        <w:tab/>
      </w:r>
      <w:r w:rsidR="002C7DB2" w:rsidRPr="002C7DB2">
        <w:t xml:space="preserve">Good progress continues to be made in evolving and strengthening the authority’s tracking systems across both the BGE and Senior Phase. </w:t>
      </w:r>
    </w:p>
    <w:p w14:paraId="1664C280" w14:textId="1FD03DF8" w:rsidR="002C7DB2" w:rsidRPr="002C7DB2" w:rsidRDefault="002C7DB2" w:rsidP="002C7DB2">
      <w:r w:rsidRPr="002C7DB2">
        <w:t>All establishments are now using the data dashboards effectively to filter and analyse information, enabling more informed decision</w:t>
      </w:r>
      <w:r w:rsidRPr="002C7DB2">
        <w:rPr>
          <w:rFonts w:ascii="Cambria Math" w:hAnsi="Cambria Math" w:cs="Cambria Math"/>
        </w:rPr>
        <w:t>‑</w:t>
      </w:r>
      <w:r w:rsidRPr="002C7DB2">
        <w:t>making and the identification of targeted interventions to improve outcomes for children, young people and families impacted by poverty. The tracking systems have been further refined to identify young people at risk of leaving school without qualifications or awards, supporting earlier and more coordinated intervention planning.</w:t>
      </w:r>
    </w:p>
    <w:p w14:paraId="6A633662" w14:textId="12E615EF" w:rsidR="002C7DB2" w:rsidRPr="002C7DB2" w:rsidRDefault="002C7DB2" w:rsidP="002C7DB2">
      <w:r w:rsidRPr="002C7DB2">
        <w:t>Establishments are increasingly using these systems to monitor progress against their School Improvement Plan targets, including percentage</w:t>
      </w:r>
      <w:r w:rsidRPr="002C7DB2">
        <w:rPr>
          <w:rFonts w:ascii="Cambria Math" w:hAnsi="Cambria Math" w:cs="Cambria Math"/>
        </w:rPr>
        <w:t>‑</w:t>
      </w:r>
      <w:r w:rsidRPr="002C7DB2">
        <w:t xml:space="preserve">based attainment goals, which is helping to sharpen the focus on measurable improvement. </w:t>
      </w:r>
    </w:p>
    <w:p w14:paraId="5984EFD1" w14:textId="05502504" w:rsidR="00B93030" w:rsidRPr="00C2095D" w:rsidRDefault="002C7DB2" w:rsidP="00C2095D">
      <w:r w:rsidRPr="002C7DB2">
        <w:t>Attainment and achievement meetings have been reviewed and enhanced, resulting in more purposeful professional dialogue and valuable opportunities for Senior Leadership Teams to share effective practice. Feedback from senior leaders has been highly positive, with many noting the significant impact this approach will have on their ongoing use of data to drive improvement. Targeted attainment meetings, informed by Teacher Professional Judgement data, are also contributing to greater accuracy, deeper understanding of the data, and increased confidence that senior leaders know their context well and are using evidence robustly to support improved outcomes.</w:t>
      </w:r>
      <w:r w:rsidR="00C16FC2">
        <w:t xml:space="preserve"> </w:t>
      </w:r>
    </w:p>
    <w:p w14:paraId="268201D0" w14:textId="648C6CBE" w:rsidR="00482D4B" w:rsidRPr="00C0028E" w:rsidRDefault="00743862" w:rsidP="00CC0CEA">
      <w:r w:rsidRPr="006C5718">
        <w:rPr>
          <w:b/>
          <w:bCs/>
        </w:rPr>
        <w:t>A6</w:t>
      </w:r>
      <w:r w:rsidR="00B671CD" w:rsidRPr="006C5718">
        <w:rPr>
          <w:b/>
          <w:bCs/>
        </w:rPr>
        <w:tab/>
      </w:r>
      <w:r w:rsidR="00C2095D" w:rsidRPr="00C0028E">
        <w:t>The Strategi</w:t>
      </w:r>
      <w:r w:rsidR="00482D4B" w:rsidRPr="00C0028E">
        <w:t>c</w:t>
      </w:r>
      <w:r w:rsidR="00C2095D" w:rsidRPr="00C0028E">
        <w:t xml:space="preserve"> </w:t>
      </w:r>
      <w:r w:rsidR="002C7DB2" w:rsidRPr="00C0028E">
        <w:t>Curriculum</w:t>
      </w:r>
      <w:r w:rsidR="00C2095D" w:rsidRPr="00C0028E">
        <w:t xml:space="preserve"> Board was established at the end of session</w:t>
      </w:r>
      <w:r w:rsidR="00482D4B" w:rsidRPr="00C0028E">
        <w:t xml:space="preserve"> 2024/25 and has</w:t>
      </w:r>
      <w:r w:rsidR="00CC0CEA">
        <w:t xml:space="preserve"> </w:t>
      </w:r>
      <w:r w:rsidR="00482D4B" w:rsidRPr="00C0028E">
        <w:t xml:space="preserve">met throughout session 2025/26. The membership includes the heads / chairs of each </w:t>
      </w:r>
      <w:r w:rsidR="002113BB" w:rsidRPr="00C0028E">
        <w:t>cluster.</w:t>
      </w:r>
    </w:p>
    <w:p w14:paraId="68AB6F84" w14:textId="7FFF5345" w:rsidR="002C7DB2" w:rsidRPr="006C5718" w:rsidRDefault="00482D4B" w:rsidP="00482D4B">
      <w:r w:rsidRPr="00C0028E">
        <w:t>members of the educa</w:t>
      </w:r>
      <w:r w:rsidR="00C0028E" w:rsidRPr="00C0028E">
        <w:t>ti</w:t>
      </w:r>
      <w:r w:rsidRPr="00C0028E">
        <w:t xml:space="preserve">on service and representatives from Education Scotland. The group has developed strategic thinking around the emerging strategy for supporting the implementation of </w:t>
      </w:r>
      <w:r w:rsidRPr="00C0028E">
        <w:lastRenderedPageBreak/>
        <w:t>the Curriculum Improvement Cycle (CIC). Two conferences to support leaders to better understand the CIC have been delivered during the year and a decision to create a curriculum development officer post has also been taken to provide capacity and support to all to ensure that further awareness raising, support to review emerging frameworks and support for all establishments to review their curriculum rationales is in place during 2026/27.</w:t>
      </w:r>
    </w:p>
    <w:p w14:paraId="2676AA58" w14:textId="25F6FB7F" w:rsidR="000F7515" w:rsidRPr="00A63483" w:rsidRDefault="000F7515" w:rsidP="000F7515">
      <w:pPr>
        <w:spacing w:after="160" w:line="259" w:lineRule="auto"/>
      </w:pPr>
      <w:r w:rsidRPr="00A63483">
        <w:rPr>
          <w:b/>
          <w:bCs/>
        </w:rPr>
        <w:t>A7</w:t>
      </w:r>
      <w:r w:rsidRPr="00A63483">
        <w:tab/>
      </w:r>
      <w:r w:rsidR="00C0028E">
        <w:t>The S</w:t>
      </w:r>
      <w:r w:rsidRPr="00A63483">
        <w:t xml:space="preserve">trategic Play Pedagogy group has been re-introduced </w:t>
      </w:r>
      <w:r w:rsidR="00C0028E">
        <w:t xml:space="preserve">during 2025/26 </w:t>
      </w:r>
      <w:r w:rsidRPr="00A63483">
        <w:t xml:space="preserve">which includes representation from Early Years, Primary, Secondary and Specialist provisions. The Strategic Play and Pedagogy group has updated Play an enquiry-based learning </w:t>
      </w:r>
      <w:proofErr w:type="spellStart"/>
      <w:r w:rsidRPr="00A63483">
        <w:t>padlet</w:t>
      </w:r>
      <w:proofErr w:type="spellEnd"/>
      <w:r w:rsidRPr="00A63483">
        <w:t xml:space="preserve"> for all establishments to access to support with strategic planning, self-evaluation and high-quality practice. Almost all primary establishments have play pedagogy approaches in P1 and P2. Most have enquiry-based learning or project-based learning approached, both </w:t>
      </w:r>
      <w:r w:rsidR="00C0028E" w:rsidRPr="00A63483">
        <w:t>indoors</w:t>
      </w:r>
      <w:r w:rsidRPr="00A63483">
        <w:t xml:space="preserve"> and outdoors from P3 – P7.</w:t>
      </w:r>
    </w:p>
    <w:p w14:paraId="701B75A0" w14:textId="6589C224" w:rsidR="000F7515" w:rsidRPr="00A63483" w:rsidRDefault="000F7515" w:rsidP="000F7515">
      <w:pPr>
        <w:spacing w:after="160" w:line="259" w:lineRule="auto"/>
      </w:pPr>
      <w:r w:rsidRPr="00A63483">
        <w:t xml:space="preserve">Most secondary establishments have adopted enquiry-based learning approaches or project-based learning approaches to improve attendance and engagement of SI and S2 learners. All establishments have been offered Education Scotland’s ‘Leading Play Pedagogy’ year’s training for session 26/27. </w:t>
      </w:r>
    </w:p>
    <w:p w14:paraId="55365533" w14:textId="674FD919" w:rsidR="000F7515" w:rsidRPr="00A63483" w:rsidRDefault="00482D4B" w:rsidP="00CC0CEA">
      <w:r>
        <w:t>A new t</w:t>
      </w:r>
      <w:r w:rsidR="000F7515" w:rsidRPr="00A63483">
        <w:t>ransition reading project ‘couch to classroom’ has been planned in collaboration with the</w:t>
      </w:r>
      <w:r>
        <w:t xml:space="preserve"> </w:t>
      </w:r>
      <w:r w:rsidR="000F7515" w:rsidRPr="00A63483">
        <w:t xml:space="preserve">library to improve attainment in reading and parental engagement. </w:t>
      </w:r>
    </w:p>
    <w:p w14:paraId="64D5D28D" w14:textId="070BE2CB" w:rsidR="000F7515" w:rsidRDefault="00743862" w:rsidP="000F7515">
      <w:pPr>
        <w:pStyle w:val="NoSpacing"/>
        <w:jc w:val="both"/>
        <w:rPr>
          <w:rFonts w:ascii="Arial" w:hAnsi="Arial" w:cs="Arial"/>
          <w:b/>
          <w:bCs/>
        </w:rPr>
      </w:pPr>
      <w:r w:rsidRPr="006C5718">
        <w:rPr>
          <w:b/>
          <w:bCs/>
        </w:rPr>
        <w:t>A</w:t>
      </w:r>
      <w:r w:rsidR="002C7DB2">
        <w:rPr>
          <w:b/>
          <w:bCs/>
        </w:rPr>
        <w:t>8</w:t>
      </w:r>
      <w:r w:rsidR="00390AF5" w:rsidRPr="006C5718">
        <w:rPr>
          <w:b/>
          <w:bCs/>
        </w:rPr>
        <w:tab/>
      </w:r>
      <w:r w:rsidR="000F7515" w:rsidRPr="000F7515">
        <w:rPr>
          <w:rFonts w:ascii="Arial" w:hAnsi="Arial" w:cs="Arial"/>
        </w:rPr>
        <w:t>The Digital Strategy is currently under review to ensure it remains robust, responsive, and fit for purpose</w:t>
      </w:r>
      <w:r w:rsidR="000F7515">
        <w:rPr>
          <w:rFonts w:ascii="Arial" w:hAnsi="Arial" w:cs="Arial"/>
        </w:rPr>
        <w:t xml:space="preserve"> and will be taken to the Educa</w:t>
      </w:r>
      <w:r w:rsidR="00682232">
        <w:rPr>
          <w:rFonts w:ascii="Arial" w:hAnsi="Arial" w:cs="Arial"/>
        </w:rPr>
        <w:t>ti</w:t>
      </w:r>
      <w:r w:rsidR="000F7515">
        <w:rPr>
          <w:rFonts w:ascii="Arial" w:hAnsi="Arial" w:cs="Arial"/>
        </w:rPr>
        <w:t>on Committee in September 2026</w:t>
      </w:r>
      <w:r w:rsidR="000F7515" w:rsidRPr="000F7515">
        <w:rPr>
          <w:rFonts w:ascii="Arial" w:hAnsi="Arial" w:cs="Arial"/>
        </w:rPr>
        <w:t xml:space="preserve">. As part of this process, qualitative consultation has been undertaken with learners, and there are plans to use a survey to gather the thoughts of parents, and practitioners. This will inform the development of a refreshed strategy that reflects the needs and priorities of all stakeholders. This collaborative approach has strengthened the quality and relevance of the revised strategy and will support a shared understanding of digital expectations across the learning clusters. </w:t>
      </w:r>
    </w:p>
    <w:p w14:paraId="322EA6BA" w14:textId="77777777" w:rsidR="000F7515" w:rsidRPr="000F7515" w:rsidRDefault="000F7515" w:rsidP="000F7515">
      <w:pPr>
        <w:pStyle w:val="NoSpacing"/>
        <w:jc w:val="both"/>
        <w:rPr>
          <w:rFonts w:ascii="Arial" w:hAnsi="Arial" w:cs="Arial"/>
        </w:rPr>
      </w:pPr>
    </w:p>
    <w:p w14:paraId="79FB6773" w14:textId="1FEBBD94" w:rsidR="000F7515" w:rsidRPr="000F7515" w:rsidRDefault="000F7515" w:rsidP="000F7515">
      <w:pPr>
        <w:pStyle w:val="NoSpacing"/>
        <w:jc w:val="both"/>
        <w:rPr>
          <w:rFonts w:ascii="Arial" w:hAnsi="Arial" w:cs="Arial"/>
        </w:rPr>
      </w:pPr>
      <w:r w:rsidRPr="000F7515">
        <w:rPr>
          <w:rFonts w:ascii="Arial" w:hAnsi="Arial" w:cs="Arial"/>
        </w:rPr>
        <w:t>The updated strategy takes account of significant and emerging developments, including the impact of artificial intelligence, digital security and data protection, and the need to align delivery with available budgetary resources. In addition, it places a strong emphasis on ensuring equitable access to digital devices and platforms, while recognising the importance of staff capacity and professional learning across our establishments in Inverclyde to enable high quality learning and teaching. The digital strategy will have a focus on equitable access for all learners in the senior phase with a provision for remote learning using technology as part of the Inverclyde Senior Phase Consortium. This provides a clear framework for the effective and sustainable use of digital technologies to enhance learner experiences and outcomes.</w:t>
      </w:r>
    </w:p>
    <w:p w14:paraId="6D95974D" w14:textId="43CB9B7E" w:rsidR="00A80914" w:rsidRPr="001A5932" w:rsidRDefault="00A80914" w:rsidP="00A80914">
      <w:pPr>
        <w:pStyle w:val="NoSpacing"/>
        <w:rPr>
          <w:rFonts w:ascii="Arial" w:hAnsi="Arial" w:cs="Arial"/>
          <w:b/>
        </w:rPr>
      </w:pPr>
    </w:p>
    <w:tbl>
      <w:tblPr>
        <w:tblStyle w:val="TableGrid"/>
        <w:tblW w:w="0" w:type="auto"/>
        <w:tblLook w:val="04A0" w:firstRow="1" w:lastRow="0" w:firstColumn="1" w:lastColumn="0" w:noHBand="0" w:noVBand="1"/>
      </w:tblPr>
      <w:tblGrid>
        <w:gridCol w:w="9464"/>
      </w:tblGrid>
      <w:tr w:rsidR="00A80914" w:rsidRPr="001A5932" w14:paraId="39CA53B8" w14:textId="3584DDA5" w:rsidTr="006120A9">
        <w:tc>
          <w:tcPr>
            <w:tcW w:w="9464" w:type="dxa"/>
            <w:shd w:val="clear" w:color="auto" w:fill="EAF1DD" w:themeFill="accent3" w:themeFillTint="33"/>
          </w:tcPr>
          <w:p w14:paraId="71529925" w14:textId="3C696E5B" w:rsidR="001A5932" w:rsidRDefault="001A5932" w:rsidP="00646572">
            <w:pPr>
              <w:pStyle w:val="NoSpacing"/>
              <w:rPr>
                <w:rFonts w:ascii="Arial" w:hAnsi="Arial" w:cs="Arial"/>
                <w:b/>
                <w:color w:val="0070C0"/>
                <w:u w:val="single"/>
              </w:rPr>
            </w:pPr>
          </w:p>
          <w:p w14:paraId="4AACCA35" w14:textId="322F2F56" w:rsidR="00A80914" w:rsidRPr="006120A9" w:rsidRDefault="00A80914" w:rsidP="00646572">
            <w:pPr>
              <w:pStyle w:val="NoSpacing"/>
              <w:rPr>
                <w:rFonts w:ascii="Arial" w:hAnsi="Arial" w:cs="Arial"/>
                <w:b/>
              </w:rPr>
            </w:pPr>
            <w:r w:rsidRPr="006120A9">
              <w:rPr>
                <w:rFonts w:ascii="Arial" w:hAnsi="Arial" w:cs="Arial"/>
                <w:b/>
              </w:rPr>
              <w:t>Next steps: Improvement in attainment, particularly in literacy and numeracy.</w:t>
            </w:r>
          </w:p>
          <w:p w14:paraId="1EDA5A63" w14:textId="33BB5A52" w:rsidR="001A5932" w:rsidRPr="001A5932" w:rsidRDefault="001A5932" w:rsidP="006B7121">
            <w:pPr>
              <w:pStyle w:val="NoSpacing"/>
              <w:rPr>
                <w:rFonts w:ascii="Arial" w:hAnsi="Arial" w:cs="Arial"/>
                <w:b/>
                <w:color w:val="0070C0"/>
                <w:u w:val="single"/>
              </w:rPr>
            </w:pPr>
          </w:p>
        </w:tc>
      </w:tr>
    </w:tbl>
    <w:p w14:paraId="21FA85D3" w14:textId="77777777" w:rsidR="00A80914" w:rsidRPr="001A5932" w:rsidRDefault="00A80914" w:rsidP="00A80914">
      <w:pPr>
        <w:pStyle w:val="NoSpacing"/>
        <w:rPr>
          <w:rFonts w:ascii="Arial" w:hAnsi="Arial" w:cs="Arial"/>
          <w:b/>
          <w:color w:val="0070C0"/>
        </w:rPr>
      </w:pPr>
    </w:p>
    <w:p w14:paraId="104E8DFB" w14:textId="3588050A" w:rsidR="00AC4C9B" w:rsidRDefault="00AC4C9B" w:rsidP="00AC4C9B">
      <w:pPr>
        <w:pStyle w:val="NoSpacing"/>
        <w:rPr>
          <w:rFonts w:ascii="Arial" w:hAnsi="Arial" w:cs="Arial"/>
          <w:bCs/>
        </w:rPr>
      </w:pPr>
      <w:r w:rsidRPr="000302FC">
        <w:rPr>
          <w:rFonts w:ascii="Arial" w:hAnsi="Arial" w:cs="Arial"/>
          <w:b/>
        </w:rPr>
        <w:t>A1</w:t>
      </w:r>
      <w:r w:rsidRPr="000302FC">
        <w:rPr>
          <w:rFonts w:ascii="Arial" w:hAnsi="Arial" w:cs="Arial"/>
          <w:bCs/>
        </w:rPr>
        <w:t xml:space="preserve"> </w:t>
      </w:r>
      <w:r>
        <w:rPr>
          <w:rFonts w:ascii="Arial" w:hAnsi="Arial" w:cs="Arial"/>
          <w:bCs/>
        </w:rPr>
        <w:t>Continue to embed</w:t>
      </w:r>
      <w:r w:rsidRPr="000302FC">
        <w:rPr>
          <w:rFonts w:ascii="Arial" w:hAnsi="Arial" w:cs="Arial"/>
          <w:bCs/>
        </w:rPr>
        <w:t xml:space="preserve"> the Establishment Improvement Framework </w:t>
      </w:r>
      <w:r>
        <w:rPr>
          <w:rFonts w:ascii="Arial" w:hAnsi="Arial" w:cs="Arial"/>
          <w:bCs/>
        </w:rPr>
        <w:t xml:space="preserve">for all establishments </w:t>
      </w:r>
      <w:r w:rsidRPr="000302FC">
        <w:rPr>
          <w:rFonts w:ascii="Arial" w:hAnsi="Arial" w:cs="Arial"/>
          <w:bCs/>
        </w:rPr>
        <w:t>from August 202</w:t>
      </w:r>
      <w:r>
        <w:rPr>
          <w:rFonts w:ascii="Arial" w:hAnsi="Arial" w:cs="Arial"/>
          <w:bCs/>
        </w:rPr>
        <w:t>6</w:t>
      </w:r>
      <w:r w:rsidRPr="000302FC">
        <w:rPr>
          <w:rFonts w:ascii="Arial" w:hAnsi="Arial" w:cs="Arial"/>
          <w:bCs/>
        </w:rPr>
        <w:t xml:space="preserve">, </w:t>
      </w:r>
      <w:proofErr w:type="gramStart"/>
      <w:r w:rsidRPr="000302FC">
        <w:rPr>
          <w:rFonts w:ascii="Arial" w:hAnsi="Arial" w:cs="Arial"/>
          <w:bCs/>
        </w:rPr>
        <w:t>taking into account</w:t>
      </w:r>
      <w:proofErr w:type="gramEnd"/>
      <w:r w:rsidRPr="000302FC">
        <w:rPr>
          <w:rFonts w:ascii="Arial" w:hAnsi="Arial" w:cs="Arial"/>
          <w:bCs/>
        </w:rPr>
        <w:t xml:space="preserve"> feedback and </w:t>
      </w:r>
      <w:r>
        <w:rPr>
          <w:rFonts w:ascii="Arial" w:hAnsi="Arial" w:cs="Arial"/>
          <w:bCs/>
        </w:rPr>
        <w:t>evaluations from session 2025/26.</w:t>
      </w:r>
      <w:r w:rsidR="00CC06D9">
        <w:rPr>
          <w:rFonts w:ascii="Arial" w:hAnsi="Arial" w:cs="Arial"/>
          <w:bCs/>
        </w:rPr>
        <w:t xml:space="preserve"> Support the second year of the revised approach to annual </w:t>
      </w:r>
      <w:proofErr w:type="spellStart"/>
      <w:r w:rsidR="00CC06D9">
        <w:rPr>
          <w:rFonts w:ascii="Arial" w:hAnsi="Arial" w:cs="Arial"/>
          <w:bCs/>
        </w:rPr>
        <w:t>achievment</w:t>
      </w:r>
      <w:proofErr w:type="spellEnd"/>
      <w:r w:rsidR="00CC06D9">
        <w:rPr>
          <w:rFonts w:ascii="Arial" w:hAnsi="Arial" w:cs="Arial"/>
          <w:bCs/>
        </w:rPr>
        <w:t xml:space="preserve"> meetings in </w:t>
      </w:r>
      <w:proofErr w:type="spellStart"/>
      <w:r w:rsidR="00CC06D9">
        <w:rPr>
          <w:rFonts w:ascii="Arial" w:hAnsi="Arial" w:cs="Arial"/>
          <w:bCs/>
        </w:rPr>
        <w:t>stand alone</w:t>
      </w:r>
      <w:proofErr w:type="spellEnd"/>
      <w:r w:rsidR="00CC06D9">
        <w:rPr>
          <w:rFonts w:ascii="Arial" w:hAnsi="Arial" w:cs="Arial"/>
          <w:bCs/>
        </w:rPr>
        <w:t xml:space="preserve"> early years establishments and review how this can be developed with nursery classes.</w:t>
      </w:r>
    </w:p>
    <w:p w14:paraId="56F4027B" w14:textId="77777777" w:rsidR="009C76E4" w:rsidRDefault="009C76E4" w:rsidP="00AC4C9B">
      <w:pPr>
        <w:pStyle w:val="NoSpacing"/>
        <w:rPr>
          <w:rFonts w:ascii="Arial" w:hAnsi="Arial" w:cs="Arial"/>
          <w:bCs/>
        </w:rPr>
      </w:pPr>
    </w:p>
    <w:p w14:paraId="0656FCA9" w14:textId="46D1655D" w:rsidR="009C76E4" w:rsidRPr="000302FC" w:rsidRDefault="009C76E4" w:rsidP="00AC4C9B">
      <w:pPr>
        <w:pStyle w:val="NoSpacing"/>
        <w:rPr>
          <w:rFonts w:ascii="Arial" w:hAnsi="Arial" w:cs="Arial"/>
          <w:bCs/>
        </w:rPr>
      </w:pPr>
      <w:r w:rsidRPr="00CC06D9">
        <w:rPr>
          <w:rFonts w:ascii="Arial" w:hAnsi="Arial" w:cs="Arial"/>
          <w:b/>
        </w:rPr>
        <w:t>A2</w:t>
      </w:r>
      <w:r>
        <w:rPr>
          <w:rFonts w:ascii="Arial" w:hAnsi="Arial" w:cs="Arial"/>
          <w:bCs/>
        </w:rPr>
        <w:t xml:space="preserve"> </w:t>
      </w:r>
      <w:r w:rsidR="00CC06D9">
        <w:rPr>
          <w:rFonts w:ascii="Arial" w:hAnsi="Arial" w:cs="Arial"/>
          <w:bCs/>
        </w:rPr>
        <w:t>Continue</w:t>
      </w:r>
      <w:r>
        <w:rPr>
          <w:rFonts w:ascii="Arial" w:hAnsi="Arial" w:cs="Arial"/>
          <w:bCs/>
        </w:rPr>
        <w:t xml:space="preserve"> to support </w:t>
      </w:r>
      <w:r w:rsidR="00CC06D9">
        <w:rPr>
          <w:rFonts w:ascii="Arial" w:hAnsi="Arial" w:cs="Arial"/>
          <w:bCs/>
        </w:rPr>
        <w:t xml:space="preserve">leaders of </w:t>
      </w:r>
      <w:r>
        <w:rPr>
          <w:rFonts w:ascii="Arial" w:hAnsi="Arial" w:cs="Arial"/>
          <w:bCs/>
        </w:rPr>
        <w:t xml:space="preserve">all early </w:t>
      </w:r>
      <w:proofErr w:type="gramStart"/>
      <w:r>
        <w:rPr>
          <w:rFonts w:ascii="Arial" w:hAnsi="Arial" w:cs="Arial"/>
          <w:bCs/>
        </w:rPr>
        <w:t>years</w:t>
      </w:r>
      <w:proofErr w:type="gramEnd"/>
      <w:r>
        <w:rPr>
          <w:rFonts w:ascii="Arial" w:hAnsi="Arial" w:cs="Arial"/>
          <w:bCs/>
        </w:rPr>
        <w:t xml:space="preserve"> est</w:t>
      </w:r>
      <w:r w:rsidR="00CC06D9">
        <w:rPr>
          <w:rFonts w:ascii="Arial" w:hAnsi="Arial" w:cs="Arial"/>
          <w:bCs/>
        </w:rPr>
        <w:t xml:space="preserve">ablishments and nursery classes with the revised early years framework for the Care Inspectorate and all school leaders to prepare for future changes to the </w:t>
      </w:r>
      <w:proofErr w:type="spellStart"/>
      <w:r w:rsidR="00CC06D9">
        <w:rPr>
          <w:rFonts w:ascii="Arial" w:hAnsi="Arial" w:cs="Arial"/>
          <w:bCs/>
        </w:rPr>
        <w:t>HMIe</w:t>
      </w:r>
      <w:proofErr w:type="spellEnd"/>
      <w:r w:rsidR="00CC06D9">
        <w:rPr>
          <w:rFonts w:ascii="Arial" w:hAnsi="Arial" w:cs="Arial"/>
          <w:bCs/>
        </w:rPr>
        <w:t xml:space="preserve"> inspection process.</w:t>
      </w:r>
    </w:p>
    <w:p w14:paraId="30A9877D" w14:textId="2175FD31" w:rsidR="00AC4C9B" w:rsidRPr="000302FC" w:rsidRDefault="00AC4C9B" w:rsidP="00AC4C9B">
      <w:pPr>
        <w:pStyle w:val="NoSpacing"/>
        <w:rPr>
          <w:rFonts w:ascii="Arial" w:hAnsi="Arial" w:cs="Arial"/>
        </w:rPr>
      </w:pPr>
    </w:p>
    <w:p w14:paraId="250BE7A6" w14:textId="419C6F16" w:rsidR="00AC4C9B" w:rsidRPr="001E5278" w:rsidRDefault="00AC4C9B" w:rsidP="00AC4C9B">
      <w:r w:rsidRPr="000302FC">
        <w:rPr>
          <w:b/>
          <w:bCs/>
        </w:rPr>
        <w:t>A</w:t>
      </w:r>
      <w:r w:rsidR="00CC06D9">
        <w:rPr>
          <w:b/>
          <w:bCs/>
        </w:rPr>
        <w:t>3</w:t>
      </w:r>
      <w:r w:rsidRPr="000302FC">
        <w:t xml:space="preserve"> </w:t>
      </w:r>
      <w:r>
        <w:t>Review the quality assurance and self-evaluation processes for the education service itself</w:t>
      </w:r>
      <w:r w:rsidR="001E5278">
        <w:t>,</w:t>
      </w:r>
      <w:r>
        <w:t xml:space="preserve"> in preparation for </w:t>
      </w:r>
      <w:r w:rsidR="001E5278">
        <w:t xml:space="preserve">the </w:t>
      </w:r>
      <w:r>
        <w:t>future inspection of local authority education services</w:t>
      </w:r>
      <w:r w:rsidRPr="000302FC">
        <w:t>.</w:t>
      </w:r>
      <w:r>
        <w:t xml:space="preserve"> This should include a </w:t>
      </w:r>
      <w:r>
        <w:lastRenderedPageBreak/>
        <w:t>review of the format and process</w:t>
      </w:r>
      <w:r w:rsidR="001E5278">
        <w:t>es</w:t>
      </w:r>
      <w:r>
        <w:t xml:space="preserve"> for generating the education service improvement plan going forwards.</w:t>
      </w:r>
    </w:p>
    <w:p w14:paraId="54C29A47" w14:textId="28DB2EB7" w:rsidR="00AC4C9B" w:rsidRPr="000302FC" w:rsidRDefault="00AC4C9B" w:rsidP="00AC4C9B">
      <w:pPr>
        <w:pStyle w:val="NoSpacing"/>
        <w:rPr>
          <w:rFonts w:ascii="Arial" w:hAnsi="Arial" w:cs="Arial"/>
        </w:rPr>
      </w:pPr>
      <w:r w:rsidRPr="000302FC">
        <w:rPr>
          <w:rFonts w:ascii="Arial" w:hAnsi="Arial" w:cs="Arial"/>
          <w:b/>
          <w:bCs/>
        </w:rPr>
        <w:t>A</w:t>
      </w:r>
      <w:r w:rsidR="00CC06D9">
        <w:rPr>
          <w:rFonts w:ascii="Arial" w:hAnsi="Arial" w:cs="Arial"/>
          <w:b/>
          <w:bCs/>
        </w:rPr>
        <w:t>4</w:t>
      </w:r>
      <w:r w:rsidRPr="000302FC">
        <w:rPr>
          <w:rFonts w:ascii="Arial" w:hAnsi="Arial" w:cs="Arial"/>
        </w:rPr>
        <w:t xml:space="preserve"> </w:t>
      </w:r>
      <w:r>
        <w:rPr>
          <w:rFonts w:ascii="Arial" w:hAnsi="Arial" w:cs="Arial"/>
        </w:rPr>
        <w:t>Continue t</w:t>
      </w:r>
      <w:r w:rsidR="001E5278">
        <w:rPr>
          <w:rFonts w:ascii="Arial" w:hAnsi="Arial" w:cs="Arial"/>
        </w:rPr>
        <w:t>he</w:t>
      </w:r>
      <w:r>
        <w:rPr>
          <w:rFonts w:ascii="Arial" w:hAnsi="Arial" w:cs="Arial"/>
        </w:rPr>
        <w:t xml:space="preserve"> work of the</w:t>
      </w:r>
      <w:r w:rsidRPr="000302FC">
        <w:rPr>
          <w:rFonts w:ascii="Arial" w:hAnsi="Arial" w:cs="Arial"/>
        </w:rPr>
        <w:t xml:space="preserve"> Curriculum Oversight Board</w:t>
      </w:r>
      <w:r>
        <w:rPr>
          <w:rFonts w:ascii="Arial" w:hAnsi="Arial" w:cs="Arial"/>
        </w:rPr>
        <w:t xml:space="preserve">, creating a clear </w:t>
      </w:r>
      <w:r w:rsidRPr="000302FC">
        <w:rPr>
          <w:rFonts w:ascii="Arial" w:hAnsi="Arial" w:cs="Arial"/>
        </w:rPr>
        <w:t>work plan</w:t>
      </w:r>
      <w:r>
        <w:rPr>
          <w:rFonts w:ascii="Arial" w:hAnsi="Arial" w:cs="Arial"/>
        </w:rPr>
        <w:t xml:space="preserve"> for 2026/27 supported by the appointment of a Curriculum Development Officer, and the work of the QUAD</w:t>
      </w:r>
      <w:r w:rsidRPr="000302FC">
        <w:rPr>
          <w:rFonts w:ascii="Arial" w:hAnsi="Arial" w:cs="Arial"/>
        </w:rPr>
        <w:t>.</w:t>
      </w:r>
      <w:r w:rsidR="001E5278">
        <w:rPr>
          <w:rFonts w:ascii="Arial" w:hAnsi="Arial" w:cs="Arial"/>
        </w:rPr>
        <w:t xml:space="preserve"> This should include raising greater awareness of national developments and supporting all establishments to ensure that their curriculum rationale has been reviewed by June 2027.</w:t>
      </w:r>
    </w:p>
    <w:p w14:paraId="48A580DE" w14:textId="77777777" w:rsidR="00AC4C9B" w:rsidRPr="000302FC" w:rsidRDefault="00AC4C9B" w:rsidP="00AC4C9B">
      <w:pPr>
        <w:pStyle w:val="NoSpacing"/>
        <w:rPr>
          <w:rFonts w:ascii="Arial" w:hAnsi="Arial" w:cs="Arial"/>
          <w:bCs/>
        </w:rPr>
      </w:pPr>
    </w:p>
    <w:p w14:paraId="104D8DC8" w14:textId="289659B3" w:rsidR="00AC4C9B" w:rsidRPr="000302FC" w:rsidRDefault="00AC4C9B" w:rsidP="00AC4C9B">
      <w:pPr>
        <w:pStyle w:val="NoSpacing"/>
        <w:rPr>
          <w:rFonts w:ascii="Arial" w:hAnsi="Arial" w:cs="Arial"/>
        </w:rPr>
      </w:pPr>
      <w:r w:rsidRPr="000302FC">
        <w:rPr>
          <w:rFonts w:ascii="Arial" w:hAnsi="Arial" w:cs="Arial"/>
          <w:b/>
          <w:bCs/>
        </w:rPr>
        <w:t>A</w:t>
      </w:r>
      <w:r w:rsidR="00CC06D9">
        <w:rPr>
          <w:rFonts w:ascii="Arial" w:hAnsi="Arial" w:cs="Arial"/>
          <w:b/>
          <w:bCs/>
        </w:rPr>
        <w:t>5</w:t>
      </w:r>
      <w:r w:rsidRPr="000302FC">
        <w:rPr>
          <w:rFonts w:ascii="Arial" w:hAnsi="Arial" w:cs="Arial"/>
        </w:rPr>
        <w:t xml:space="preserve"> </w:t>
      </w:r>
      <w:r w:rsidR="001E5278">
        <w:rPr>
          <w:rFonts w:ascii="Arial" w:hAnsi="Arial" w:cs="Arial"/>
        </w:rPr>
        <w:t>Review and develop the leadership strategy for the education service, with a focus on growing middle leadership capacity, linking to the ASN strategy, leading learning, teaching and curriculum design.</w:t>
      </w:r>
    </w:p>
    <w:p w14:paraId="0A44EFED" w14:textId="77777777" w:rsidR="00AC4C9B" w:rsidRPr="000302FC" w:rsidRDefault="00AC4C9B" w:rsidP="00AC4C9B">
      <w:pPr>
        <w:pStyle w:val="NoSpacing"/>
        <w:rPr>
          <w:rFonts w:ascii="Arial" w:hAnsi="Arial" w:cs="Arial"/>
        </w:rPr>
      </w:pPr>
    </w:p>
    <w:p w14:paraId="11B50867" w14:textId="1BE9EC7C" w:rsidR="00AC4C9B" w:rsidRPr="000302FC" w:rsidRDefault="00AC4C9B" w:rsidP="00AC4C9B">
      <w:pPr>
        <w:pStyle w:val="NoSpacing"/>
        <w:rPr>
          <w:rFonts w:ascii="Arial" w:hAnsi="Arial" w:cs="Arial"/>
        </w:rPr>
      </w:pPr>
      <w:r w:rsidRPr="000302FC">
        <w:rPr>
          <w:rFonts w:ascii="Arial" w:hAnsi="Arial" w:cs="Arial"/>
          <w:b/>
          <w:bCs/>
        </w:rPr>
        <w:t>A</w:t>
      </w:r>
      <w:r w:rsidR="00CC06D9">
        <w:rPr>
          <w:rFonts w:ascii="Arial" w:hAnsi="Arial" w:cs="Arial"/>
          <w:b/>
          <w:bCs/>
        </w:rPr>
        <w:t>6</w:t>
      </w:r>
      <w:r w:rsidRPr="000302FC">
        <w:rPr>
          <w:rFonts w:ascii="Arial" w:hAnsi="Arial" w:cs="Arial"/>
        </w:rPr>
        <w:t xml:space="preserve"> </w:t>
      </w:r>
      <w:r>
        <w:rPr>
          <w:rFonts w:ascii="Arial" w:hAnsi="Arial" w:cs="Arial"/>
        </w:rPr>
        <w:t>Implement</w:t>
      </w:r>
      <w:r w:rsidRPr="000302FC">
        <w:rPr>
          <w:rFonts w:ascii="Arial" w:hAnsi="Arial" w:cs="Arial"/>
        </w:rPr>
        <w:t xml:space="preserve"> the Digital Strategy from August 2026</w:t>
      </w:r>
      <w:r>
        <w:rPr>
          <w:rFonts w:ascii="Arial" w:hAnsi="Arial" w:cs="Arial"/>
        </w:rPr>
        <w:t>.</w:t>
      </w:r>
    </w:p>
    <w:p w14:paraId="4ED256CF" w14:textId="77777777" w:rsidR="00A63483" w:rsidRPr="00A63483" w:rsidRDefault="00A63483" w:rsidP="00CC0CEA">
      <w:pPr>
        <w:pStyle w:val="ListParagraph"/>
        <w:rPr>
          <w:sz w:val="24"/>
          <w:szCs w:val="24"/>
        </w:rPr>
      </w:pPr>
    </w:p>
    <w:p w14:paraId="5FB07CC4" w14:textId="77777777" w:rsidR="00482D4B" w:rsidRDefault="00482D4B" w:rsidP="003C6167">
      <w:pPr>
        <w:pStyle w:val="NoSpacing"/>
        <w:rPr>
          <w:rFonts w:ascii="Arial" w:hAnsi="Arial" w:cs="Arial"/>
          <w:b/>
        </w:rPr>
      </w:pPr>
    </w:p>
    <w:p w14:paraId="12162937" w14:textId="77777777" w:rsidR="001E5278" w:rsidRDefault="001E5278" w:rsidP="003C6167">
      <w:pPr>
        <w:pStyle w:val="NoSpacing"/>
        <w:rPr>
          <w:rFonts w:ascii="Arial" w:hAnsi="Arial" w:cs="Arial"/>
          <w:b/>
        </w:rPr>
      </w:pPr>
    </w:p>
    <w:p w14:paraId="3716768D" w14:textId="77777777" w:rsidR="001E5278" w:rsidRDefault="001E5278" w:rsidP="003C6167">
      <w:pPr>
        <w:pStyle w:val="NoSpacing"/>
        <w:rPr>
          <w:rFonts w:ascii="Arial" w:hAnsi="Arial" w:cs="Arial"/>
          <w:b/>
        </w:rPr>
      </w:pPr>
    </w:p>
    <w:p w14:paraId="61C60858" w14:textId="77777777" w:rsidR="001E5278" w:rsidRDefault="001E5278" w:rsidP="003C6167">
      <w:pPr>
        <w:pStyle w:val="NoSpacing"/>
        <w:rPr>
          <w:rFonts w:ascii="Arial" w:hAnsi="Arial" w:cs="Arial"/>
          <w:b/>
        </w:rPr>
      </w:pPr>
    </w:p>
    <w:p w14:paraId="448BBF24" w14:textId="77777777" w:rsidR="001E5278" w:rsidRDefault="001E5278" w:rsidP="003C6167">
      <w:pPr>
        <w:pStyle w:val="NoSpacing"/>
        <w:rPr>
          <w:rFonts w:ascii="Arial" w:hAnsi="Arial" w:cs="Arial"/>
          <w:b/>
        </w:rPr>
      </w:pPr>
    </w:p>
    <w:p w14:paraId="2783A63B" w14:textId="77777777" w:rsidR="001E5278" w:rsidRDefault="001E5278" w:rsidP="003C6167">
      <w:pPr>
        <w:pStyle w:val="NoSpacing"/>
        <w:rPr>
          <w:rFonts w:ascii="Arial" w:hAnsi="Arial" w:cs="Arial"/>
          <w:b/>
        </w:rPr>
      </w:pPr>
    </w:p>
    <w:p w14:paraId="39A60F12" w14:textId="77777777" w:rsidR="001E5278" w:rsidRDefault="001E5278" w:rsidP="003C6167">
      <w:pPr>
        <w:pStyle w:val="NoSpacing"/>
        <w:rPr>
          <w:rFonts w:ascii="Arial" w:hAnsi="Arial" w:cs="Arial"/>
          <w:b/>
        </w:rPr>
      </w:pPr>
    </w:p>
    <w:p w14:paraId="4C48C603" w14:textId="77777777" w:rsidR="001E5278" w:rsidRDefault="001E5278" w:rsidP="003C6167">
      <w:pPr>
        <w:pStyle w:val="NoSpacing"/>
        <w:rPr>
          <w:rFonts w:ascii="Arial" w:hAnsi="Arial" w:cs="Arial"/>
          <w:b/>
        </w:rPr>
      </w:pPr>
    </w:p>
    <w:p w14:paraId="418A6F0A" w14:textId="77777777" w:rsidR="001E5278" w:rsidRDefault="001E5278" w:rsidP="003C6167">
      <w:pPr>
        <w:pStyle w:val="NoSpacing"/>
        <w:rPr>
          <w:rFonts w:ascii="Arial" w:hAnsi="Arial" w:cs="Arial"/>
          <w:b/>
        </w:rPr>
      </w:pPr>
    </w:p>
    <w:p w14:paraId="09B120D5" w14:textId="77777777" w:rsidR="001E5278" w:rsidRDefault="001E5278" w:rsidP="003C6167">
      <w:pPr>
        <w:pStyle w:val="NoSpacing"/>
        <w:rPr>
          <w:rFonts w:ascii="Arial" w:hAnsi="Arial" w:cs="Arial"/>
          <w:b/>
        </w:rPr>
      </w:pPr>
    </w:p>
    <w:p w14:paraId="5C2156DD" w14:textId="77777777" w:rsidR="001E5278" w:rsidRDefault="001E5278" w:rsidP="003C6167">
      <w:pPr>
        <w:pStyle w:val="NoSpacing"/>
        <w:rPr>
          <w:rFonts w:ascii="Arial" w:hAnsi="Arial" w:cs="Arial"/>
          <w:b/>
        </w:rPr>
      </w:pPr>
    </w:p>
    <w:p w14:paraId="6E780AAB" w14:textId="77777777" w:rsidR="001E5278" w:rsidRDefault="001E5278" w:rsidP="003C6167">
      <w:pPr>
        <w:pStyle w:val="NoSpacing"/>
        <w:rPr>
          <w:rFonts w:ascii="Arial" w:hAnsi="Arial" w:cs="Arial"/>
          <w:b/>
        </w:rPr>
      </w:pPr>
    </w:p>
    <w:p w14:paraId="0333168B" w14:textId="77777777" w:rsidR="001E5278" w:rsidRDefault="001E5278" w:rsidP="003C6167">
      <w:pPr>
        <w:pStyle w:val="NoSpacing"/>
        <w:rPr>
          <w:rFonts w:ascii="Arial" w:hAnsi="Arial" w:cs="Arial"/>
          <w:b/>
        </w:rPr>
      </w:pPr>
    </w:p>
    <w:p w14:paraId="167C3F59" w14:textId="77777777" w:rsidR="001E5278" w:rsidRDefault="001E5278" w:rsidP="003C6167">
      <w:pPr>
        <w:pStyle w:val="NoSpacing"/>
        <w:rPr>
          <w:rFonts w:ascii="Arial" w:hAnsi="Arial" w:cs="Arial"/>
          <w:b/>
        </w:rPr>
      </w:pPr>
    </w:p>
    <w:p w14:paraId="34E7C8C9" w14:textId="77777777" w:rsidR="001E5278" w:rsidRDefault="001E5278" w:rsidP="003C6167">
      <w:pPr>
        <w:pStyle w:val="NoSpacing"/>
        <w:rPr>
          <w:rFonts w:ascii="Arial" w:hAnsi="Arial" w:cs="Arial"/>
          <w:b/>
        </w:rPr>
      </w:pPr>
    </w:p>
    <w:p w14:paraId="38FF0376" w14:textId="77777777" w:rsidR="001E5278" w:rsidRDefault="001E5278" w:rsidP="003C6167">
      <w:pPr>
        <w:pStyle w:val="NoSpacing"/>
        <w:rPr>
          <w:rFonts w:ascii="Arial" w:hAnsi="Arial" w:cs="Arial"/>
          <w:b/>
        </w:rPr>
      </w:pPr>
    </w:p>
    <w:p w14:paraId="3CD79758" w14:textId="77777777" w:rsidR="001E5278" w:rsidRDefault="001E5278" w:rsidP="003C6167">
      <w:pPr>
        <w:pStyle w:val="NoSpacing"/>
        <w:rPr>
          <w:rFonts w:ascii="Arial" w:hAnsi="Arial" w:cs="Arial"/>
          <w:b/>
        </w:rPr>
      </w:pPr>
    </w:p>
    <w:p w14:paraId="69AC2B63" w14:textId="77777777" w:rsidR="001E5278" w:rsidRDefault="001E5278" w:rsidP="003C6167">
      <w:pPr>
        <w:pStyle w:val="NoSpacing"/>
        <w:rPr>
          <w:rFonts w:ascii="Arial" w:hAnsi="Arial" w:cs="Arial"/>
          <w:b/>
        </w:rPr>
      </w:pPr>
    </w:p>
    <w:p w14:paraId="3B882AD5" w14:textId="77777777" w:rsidR="001E5278" w:rsidRDefault="001E5278" w:rsidP="003C6167">
      <w:pPr>
        <w:pStyle w:val="NoSpacing"/>
        <w:rPr>
          <w:rFonts w:ascii="Arial" w:hAnsi="Arial" w:cs="Arial"/>
          <w:b/>
        </w:rPr>
      </w:pPr>
    </w:p>
    <w:p w14:paraId="3A81C104" w14:textId="77777777" w:rsidR="001E5278" w:rsidRDefault="001E5278" w:rsidP="003C6167">
      <w:pPr>
        <w:pStyle w:val="NoSpacing"/>
        <w:rPr>
          <w:rFonts w:ascii="Arial" w:hAnsi="Arial" w:cs="Arial"/>
          <w:b/>
        </w:rPr>
      </w:pPr>
    </w:p>
    <w:p w14:paraId="285EDF70" w14:textId="77777777" w:rsidR="001E5278" w:rsidRDefault="001E5278" w:rsidP="003C6167">
      <w:pPr>
        <w:pStyle w:val="NoSpacing"/>
        <w:rPr>
          <w:rFonts w:ascii="Arial" w:hAnsi="Arial" w:cs="Arial"/>
          <w:b/>
        </w:rPr>
      </w:pPr>
    </w:p>
    <w:p w14:paraId="75B86440" w14:textId="77777777" w:rsidR="001E5278" w:rsidRDefault="001E5278" w:rsidP="003C6167">
      <w:pPr>
        <w:pStyle w:val="NoSpacing"/>
        <w:rPr>
          <w:rFonts w:ascii="Arial" w:hAnsi="Arial" w:cs="Arial"/>
          <w:b/>
        </w:rPr>
      </w:pPr>
    </w:p>
    <w:p w14:paraId="785792E2" w14:textId="77777777" w:rsidR="001E5278" w:rsidRDefault="001E5278" w:rsidP="003C6167">
      <w:pPr>
        <w:pStyle w:val="NoSpacing"/>
        <w:rPr>
          <w:rFonts w:ascii="Arial" w:hAnsi="Arial" w:cs="Arial"/>
          <w:b/>
        </w:rPr>
      </w:pPr>
    </w:p>
    <w:p w14:paraId="0298DEE9" w14:textId="77777777" w:rsidR="001E5278" w:rsidRDefault="001E5278" w:rsidP="003C6167">
      <w:pPr>
        <w:pStyle w:val="NoSpacing"/>
        <w:rPr>
          <w:rFonts w:ascii="Arial" w:hAnsi="Arial" w:cs="Arial"/>
          <w:b/>
        </w:rPr>
      </w:pPr>
    </w:p>
    <w:p w14:paraId="14C6CA8D" w14:textId="77777777" w:rsidR="001E5278" w:rsidRDefault="001E5278" w:rsidP="003C6167">
      <w:pPr>
        <w:pStyle w:val="NoSpacing"/>
        <w:rPr>
          <w:rFonts w:ascii="Arial" w:hAnsi="Arial" w:cs="Arial"/>
          <w:b/>
        </w:rPr>
      </w:pPr>
    </w:p>
    <w:p w14:paraId="46A7311C" w14:textId="77777777" w:rsidR="001E5278" w:rsidRDefault="001E5278" w:rsidP="003C6167">
      <w:pPr>
        <w:pStyle w:val="NoSpacing"/>
        <w:rPr>
          <w:rFonts w:ascii="Arial" w:hAnsi="Arial" w:cs="Arial"/>
          <w:b/>
        </w:rPr>
      </w:pPr>
    </w:p>
    <w:p w14:paraId="71A6C0AB" w14:textId="77777777" w:rsidR="001E5278" w:rsidRDefault="001E5278" w:rsidP="003C6167">
      <w:pPr>
        <w:pStyle w:val="NoSpacing"/>
        <w:rPr>
          <w:rFonts w:ascii="Arial" w:hAnsi="Arial" w:cs="Arial"/>
          <w:b/>
        </w:rPr>
      </w:pPr>
    </w:p>
    <w:p w14:paraId="4C689812" w14:textId="77777777" w:rsidR="001E5278" w:rsidRDefault="001E5278" w:rsidP="003C6167">
      <w:pPr>
        <w:pStyle w:val="NoSpacing"/>
        <w:rPr>
          <w:rFonts w:ascii="Arial" w:hAnsi="Arial" w:cs="Arial"/>
          <w:b/>
        </w:rPr>
      </w:pPr>
    </w:p>
    <w:p w14:paraId="5CE92E85" w14:textId="77777777" w:rsidR="001E5278" w:rsidRDefault="001E5278" w:rsidP="003C6167">
      <w:pPr>
        <w:pStyle w:val="NoSpacing"/>
        <w:rPr>
          <w:rFonts w:ascii="Arial" w:hAnsi="Arial" w:cs="Arial"/>
          <w:b/>
        </w:rPr>
      </w:pPr>
    </w:p>
    <w:p w14:paraId="438ACA1A" w14:textId="77777777" w:rsidR="001E5278" w:rsidRDefault="001E5278" w:rsidP="003C6167">
      <w:pPr>
        <w:pStyle w:val="NoSpacing"/>
        <w:rPr>
          <w:rFonts w:ascii="Arial" w:hAnsi="Arial" w:cs="Arial"/>
          <w:b/>
        </w:rPr>
      </w:pPr>
    </w:p>
    <w:p w14:paraId="23B2A766" w14:textId="77777777" w:rsidR="001E5278" w:rsidRDefault="001E5278" w:rsidP="003C6167">
      <w:pPr>
        <w:pStyle w:val="NoSpacing"/>
        <w:rPr>
          <w:rFonts w:ascii="Arial" w:hAnsi="Arial" w:cs="Arial"/>
          <w:b/>
        </w:rPr>
      </w:pPr>
    </w:p>
    <w:p w14:paraId="228B8F56" w14:textId="77777777" w:rsidR="001E5278" w:rsidRDefault="001E5278" w:rsidP="003C6167">
      <w:pPr>
        <w:pStyle w:val="NoSpacing"/>
        <w:rPr>
          <w:rFonts w:ascii="Arial" w:hAnsi="Arial" w:cs="Arial"/>
          <w:b/>
        </w:rPr>
      </w:pPr>
    </w:p>
    <w:p w14:paraId="1D227860" w14:textId="77777777" w:rsidR="001E5278" w:rsidRDefault="001E5278" w:rsidP="003C6167">
      <w:pPr>
        <w:pStyle w:val="NoSpacing"/>
        <w:rPr>
          <w:rFonts w:ascii="Arial" w:hAnsi="Arial" w:cs="Arial"/>
          <w:b/>
        </w:rPr>
      </w:pPr>
    </w:p>
    <w:p w14:paraId="54D4B93F" w14:textId="77777777" w:rsidR="001E5278" w:rsidRDefault="001E5278" w:rsidP="003C6167">
      <w:pPr>
        <w:pStyle w:val="NoSpacing"/>
        <w:rPr>
          <w:rFonts w:ascii="Arial" w:hAnsi="Arial" w:cs="Arial"/>
          <w:b/>
        </w:rPr>
      </w:pPr>
    </w:p>
    <w:p w14:paraId="6E67E4CB" w14:textId="77777777" w:rsidR="001E5278" w:rsidRDefault="001E5278" w:rsidP="003C6167">
      <w:pPr>
        <w:pStyle w:val="NoSpacing"/>
        <w:rPr>
          <w:rFonts w:ascii="Arial" w:hAnsi="Arial" w:cs="Arial"/>
          <w:b/>
        </w:rPr>
      </w:pPr>
    </w:p>
    <w:p w14:paraId="6943B018" w14:textId="77777777" w:rsidR="001E5278" w:rsidRDefault="001E5278" w:rsidP="003C6167">
      <w:pPr>
        <w:pStyle w:val="NoSpacing"/>
        <w:rPr>
          <w:rFonts w:ascii="Arial" w:hAnsi="Arial" w:cs="Arial"/>
          <w:b/>
        </w:rPr>
      </w:pPr>
    </w:p>
    <w:p w14:paraId="521F6279" w14:textId="77777777" w:rsidR="001E5278" w:rsidRDefault="001E5278" w:rsidP="003C6167">
      <w:pPr>
        <w:pStyle w:val="NoSpacing"/>
        <w:rPr>
          <w:rFonts w:ascii="Arial" w:hAnsi="Arial" w:cs="Arial"/>
          <w:b/>
        </w:rPr>
      </w:pPr>
    </w:p>
    <w:p w14:paraId="514AF4B0" w14:textId="77777777" w:rsidR="001E5278" w:rsidRDefault="001E5278" w:rsidP="003C6167">
      <w:pPr>
        <w:pStyle w:val="NoSpacing"/>
        <w:rPr>
          <w:rFonts w:ascii="Arial" w:hAnsi="Arial" w:cs="Arial"/>
          <w:b/>
        </w:rPr>
      </w:pPr>
    </w:p>
    <w:p w14:paraId="0205FFA6" w14:textId="77777777" w:rsidR="001E5278" w:rsidRDefault="001E5278" w:rsidP="003C6167">
      <w:pPr>
        <w:pStyle w:val="NoSpacing"/>
        <w:rPr>
          <w:rFonts w:ascii="Arial" w:hAnsi="Arial" w:cs="Arial"/>
          <w:b/>
        </w:rPr>
      </w:pPr>
    </w:p>
    <w:p w14:paraId="7EBE9717" w14:textId="77777777" w:rsidR="001E5278" w:rsidRDefault="001E5278" w:rsidP="003C6167">
      <w:pPr>
        <w:pStyle w:val="NoSpacing"/>
        <w:rPr>
          <w:rFonts w:ascii="Arial" w:hAnsi="Arial" w:cs="Arial"/>
          <w:b/>
        </w:rPr>
      </w:pPr>
    </w:p>
    <w:p w14:paraId="2F8494D7" w14:textId="77777777" w:rsidR="00815C59" w:rsidRDefault="00815C59" w:rsidP="003C6167">
      <w:pPr>
        <w:pStyle w:val="NoSpacing"/>
        <w:rPr>
          <w:rFonts w:ascii="Arial" w:hAnsi="Arial" w:cs="Arial"/>
          <w:b/>
        </w:rPr>
      </w:pPr>
    </w:p>
    <w:p w14:paraId="33310F29" w14:textId="7D4874A9" w:rsidR="003C6167" w:rsidRDefault="00785D20" w:rsidP="003C6167">
      <w:pPr>
        <w:pStyle w:val="NoSpacing"/>
        <w:rPr>
          <w:rFonts w:ascii="Arial" w:hAnsi="Arial" w:cs="Arial"/>
          <w:b/>
        </w:rPr>
      </w:pPr>
      <w:r>
        <w:rPr>
          <w:noProof/>
          <w:lang w:eastAsia="en-GB"/>
        </w:rPr>
        <w:lastRenderedPageBreak/>
        <mc:AlternateContent>
          <mc:Choice Requires="wps">
            <w:drawing>
              <wp:anchor distT="0" distB="0" distL="114300" distR="114300" simplePos="0" relativeHeight="251727360" behindDoc="0" locked="0" layoutInCell="1" allowOverlap="1" wp14:anchorId="5A564506" wp14:editId="3786132F">
                <wp:simplePos x="0" y="0"/>
                <wp:positionH relativeFrom="margin">
                  <wp:align>center</wp:align>
                </wp:positionH>
                <wp:positionV relativeFrom="paragraph">
                  <wp:posOffset>204153</wp:posOffset>
                </wp:positionV>
                <wp:extent cx="6624638" cy="358140"/>
                <wp:effectExtent l="0" t="0" r="24130" b="41910"/>
                <wp:wrapNone/>
                <wp:docPr id="93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638" cy="358140"/>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511A401B" w14:textId="77777777" w:rsidR="007E0210" w:rsidRPr="00DF1602" w:rsidRDefault="007E0210" w:rsidP="00785D20">
                            <w:pPr>
                              <w:jc w:val="center"/>
                              <w:rPr>
                                <w:color w:val="FFFFFF" w:themeColor="background1"/>
                                <w:sz w:val="28"/>
                                <w:szCs w:val="28"/>
                              </w:rPr>
                            </w:pPr>
                            <w:r w:rsidRPr="006120A9">
                              <w:rPr>
                                <w:b/>
                                <w:bCs/>
                                <w:color w:val="FFFFFF" w:themeColor="background1"/>
                                <w:sz w:val="28"/>
                                <w:szCs w:val="28"/>
                              </w:rPr>
                              <w:t xml:space="preserve">B: </w:t>
                            </w:r>
                            <w:r w:rsidRPr="006120A9">
                              <w:rPr>
                                <w:rStyle w:val="Heading1Char"/>
                              </w:rPr>
                              <w:t>Closing the attainment gap between the most and least disadvantaged</w:t>
                            </w:r>
                            <w:r w:rsidRPr="00DF1602">
                              <w:rPr>
                                <w:color w:val="FFFFFF" w:themeColor="background1"/>
                                <w:sz w:val="28"/>
                                <w:szCs w:val="28"/>
                              </w:rPr>
                              <w:t xml:space="preserve"> children and young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A564506" id="AutoShape 58" o:spid="_x0000_s1032" style="position:absolute;margin-left:0;margin-top:16.1pt;width:521.65pt;height:28.2pt;z-index:251727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" fillcolor="#4bacc6 [3208]" stroked="f" strokecolor="#f2f2f2 [3041]" strokeweight="3pt">
                <v:shadow on="t" color="#205867 [1608]" opacity=".5" offset="1pt"/>
                <v:textbox>
                  <w:txbxContent>
                    <w:p w14:paraId="511A401B" w14:textId="77777777" w:rsidR="007E0210" w:rsidRPr="00DF1602" w:rsidRDefault="007E0210" w:rsidP="00785D20">
                      <w:pPr>
                        <w:jc w:val="center"/>
                        <w:rPr>
                          <w:color w:val="FFFFFF" w:themeColor="background1"/>
                          <w:sz w:val="28"/>
                          <w:szCs w:val="28"/>
                        </w:rPr>
                      </w:pPr>
                      <w:r w:rsidRPr="006120A9">
                        <w:rPr>
                          <w:b/>
                          <w:bCs/>
                          <w:color w:val="FFFFFF" w:themeColor="background1"/>
                          <w:sz w:val="28"/>
                          <w:szCs w:val="28"/>
                        </w:rPr>
                        <w:t xml:space="preserve">B: </w:t>
                      </w:r>
                      <w:r w:rsidRPr="006120A9">
                        <w:rPr>
                          <w:rStyle w:val="Heading1Char"/>
                        </w:rPr>
                        <w:t>Closing the attainment gap between the most and least disadvantaged</w:t>
                      </w:r>
                      <w:r w:rsidRPr="00DF1602">
                        <w:rPr>
                          <w:color w:val="FFFFFF" w:themeColor="background1"/>
                          <w:sz w:val="28"/>
                          <w:szCs w:val="28"/>
                        </w:rPr>
                        <w:t xml:space="preserve"> children and young people</w:t>
                      </w:r>
                    </w:p>
                  </w:txbxContent>
                </v:textbox>
                <w10:wrap anchorx="margin"/>
              </v:roundrect>
            </w:pict>
          </mc:Fallback>
        </mc:AlternateContent>
      </w:r>
    </w:p>
    <w:p w14:paraId="2807D648" w14:textId="77777777" w:rsidR="00A35396" w:rsidRDefault="00A35396" w:rsidP="003C6167">
      <w:pPr>
        <w:pStyle w:val="NoSpacing"/>
        <w:rPr>
          <w:rFonts w:ascii="Arial" w:hAnsi="Arial" w:cs="Arial"/>
          <w:b/>
        </w:rPr>
      </w:pPr>
    </w:p>
    <w:p w14:paraId="128FE61F" w14:textId="77777777" w:rsidR="00785D20" w:rsidRDefault="00785D20" w:rsidP="003C6167">
      <w:pPr>
        <w:rPr>
          <w:b/>
          <w:sz w:val="28"/>
          <w:szCs w:val="28"/>
          <w:u w:val="single"/>
        </w:rPr>
      </w:pPr>
    </w:p>
    <w:tbl>
      <w:tblPr>
        <w:tblStyle w:val="TableGrid"/>
        <w:tblW w:w="0" w:type="auto"/>
        <w:tblLook w:val="04A0" w:firstRow="1" w:lastRow="0" w:firstColumn="1" w:lastColumn="0" w:noHBand="0" w:noVBand="1"/>
      </w:tblPr>
      <w:tblGrid>
        <w:gridCol w:w="9464"/>
      </w:tblGrid>
      <w:tr w:rsidR="00A80914" w14:paraId="6990568D" w14:textId="77777777" w:rsidTr="009C7BA0">
        <w:tc>
          <w:tcPr>
            <w:tcW w:w="9464" w:type="dxa"/>
            <w:shd w:val="clear" w:color="auto" w:fill="EAF1DD" w:themeFill="accent3" w:themeFillTint="33"/>
          </w:tcPr>
          <w:p w14:paraId="4B1B35AD" w14:textId="77777777" w:rsidR="00A80914" w:rsidRPr="002E7463" w:rsidRDefault="00A80914" w:rsidP="00646572">
            <w:pPr>
              <w:tabs>
                <w:tab w:val="left" w:pos="2505"/>
              </w:tabs>
              <w:rPr>
                <w:b/>
              </w:rPr>
            </w:pPr>
          </w:p>
          <w:p w14:paraId="63529837" w14:textId="4880727B" w:rsidR="00A63483" w:rsidRDefault="00A63483" w:rsidP="00A63483">
            <w:pPr>
              <w:spacing w:after="160" w:line="259" w:lineRule="auto"/>
              <w:ind w:left="720" w:hanging="720"/>
              <w:rPr>
                <w:b/>
                <w:bCs/>
              </w:rPr>
            </w:pPr>
            <w:r w:rsidRPr="00A63483">
              <w:rPr>
                <w:rFonts w:eastAsia="Calibri"/>
                <w:b/>
                <w:bCs/>
              </w:rPr>
              <w:t>B1</w:t>
            </w:r>
            <w:r>
              <w:rPr>
                <w:rFonts w:eastAsia="Calibri"/>
              </w:rPr>
              <w:t xml:space="preserve">       </w:t>
            </w:r>
            <w:r w:rsidRPr="00817409">
              <w:rPr>
                <w:rFonts w:eastAsia="Calibri"/>
              </w:rPr>
              <w:t xml:space="preserve">Implement the SEF Plan for sessions 25/26 and create a plan for session 2026/27: </w:t>
            </w:r>
            <w:hyperlink r:id="rId19" w:history="1">
              <w:r w:rsidRPr="00817409">
                <w:rPr>
                  <w:rFonts w:eastAsia="Calibri"/>
                  <w:color w:val="0000FF"/>
                  <w:u w:val="single"/>
                </w:rPr>
                <w:t>Education Services in Inverclyde - Inverclyde Council</w:t>
              </w:r>
            </w:hyperlink>
            <w:r w:rsidRPr="00817409">
              <w:t>. As part of this agree an exit strategy from the attainment challenge programme with a focus on sustainability from June 2027.</w:t>
            </w:r>
          </w:p>
          <w:p w14:paraId="72A663E6" w14:textId="77777777" w:rsidR="00A63483" w:rsidRPr="00817409" w:rsidRDefault="00A63483" w:rsidP="00A63483">
            <w:pPr>
              <w:spacing w:after="160" w:line="259" w:lineRule="auto"/>
              <w:ind w:left="720" w:hanging="720"/>
              <w:rPr>
                <w:highlight w:val="green"/>
              </w:rPr>
            </w:pPr>
            <w:r w:rsidRPr="00817409">
              <w:rPr>
                <w:b/>
              </w:rPr>
              <w:t>B2</w:t>
            </w:r>
            <w:r w:rsidRPr="00817409">
              <w:rPr>
                <w:b/>
              </w:rPr>
              <w:tab/>
            </w:r>
            <w:r w:rsidRPr="00817409">
              <w:rPr>
                <w:rFonts w:eastAsia="Calibri"/>
              </w:rPr>
              <w:t xml:space="preserve">Continue to track progress towards agreed Local Authority CORE and CORE+ Stretch   Aims </w:t>
            </w:r>
            <w:r w:rsidRPr="00817409">
              <w:t>supported by full implementation of the BGE and Senior Phase Trackers.</w:t>
            </w:r>
          </w:p>
          <w:p w14:paraId="74535A4C" w14:textId="77777777" w:rsidR="00A63483" w:rsidRDefault="00A63483" w:rsidP="00A63483">
            <w:pPr>
              <w:tabs>
                <w:tab w:val="left" w:pos="378"/>
              </w:tabs>
              <w:spacing w:after="160" w:line="259" w:lineRule="auto"/>
              <w:ind w:left="720" w:hanging="720"/>
            </w:pPr>
            <w:r w:rsidRPr="00B75704">
              <w:rPr>
                <w:b/>
              </w:rPr>
              <w:t>B3</w:t>
            </w:r>
            <w:r w:rsidRPr="00B75704">
              <w:rPr>
                <w:b/>
              </w:rPr>
              <w:tab/>
            </w:r>
            <w:r>
              <w:tab/>
              <w:t>Work with partners to evolve a revised family support offer and clear referral system, aligning the early intervention model from the</w:t>
            </w:r>
            <w:r w:rsidRPr="00817409">
              <w:t xml:space="preserve"> </w:t>
            </w:r>
            <w:r w:rsidRPr="00B75704">
              <w:t>Whole Family Wellbeing Fund</w:t>
            </w:r>
            <w:r>
              <w:t xml:space="preserve"> (</w:t>
            </w:r>
            <w:r w:rsidRPr="00B75704">
              <w:t>WFWF</w:t>
            </w:r>
            <w:r>
              <w:t xml:space="preserve">), the Family Link Workers as part of the Lomond View Academy offer and the reduced capacity of the Family Support service from within the Attainment Challenge.   </w:t>
            </w:r>
          </w:p>
          <w:p w14:paraId="5A9A392D" w14:textId="62AD10FF" w:rsidR="00A80914" w:rsidRPr="002E7463" w:rsidRDefault="00A63483" w:rsidP="00CE703F">
            <w:pPr>
              <w:tabs>
                <w:tab w:val="left" w:pos="378"/>
              </w:tabs>
              <w:spacing w:after="160" w:line="259" w:lineRule="auto"/>
              <w:ind w:left="720" w:hanging="720"/>
            </w:pPr>
            <w:r>
              <w:rPr>
                <w:b/>
              </w:rPr>
              <w:t>B4</w:t>
            </w:r>
            <w:r>
              <w:rPr>
                <w:b/>
              </w:rPr>
              <w:tab/>
            </w:r>
            <w:r>
              <w:rPr>
                <w:b/>
              </w:rPr>
              <w:tab/>
            </w:r>
            <w:r w:rsidRPr="0081141E">
              <w:rPr>
                <w:bCs/>
              </w:rPr>
              <w:t>Carry out a review of the Parental Engagement Strategy by June 202</w:t>
            </w:r>
            <w:r w:rsidR="00CE703F">
              <w:rPr>
                <w:bCs/>
              </w:rPr>
              <w:t>6</w:t>
            </w:r>
            <w:r w:rsidRPr="0081141E">
              <w:rPr>
                <w:bCs/>
              </w:rPr>
              <w:t>.</w:t>
            </w:r>
          </w:p>
        </w:tc>
      </w:tr>
    </w:tbl>
    <w:p w14:paraId="66988D3E" w14:textId="77777777" w:rsidR="00507491" w:rsidRDefault="00507491" w:rsidP="00507491">
      <w:pPr>
        <w:tabs>
          <w:tab w:val="left" w:pos="426"/>
        </w:tabs>
        <w:ind w:left="426" w:hanging="426"/>
        <w:rPr>
          <w:b/>
          <w:bCs/>
        </w:rPr>
      </w:pPr>
    </w:p>
    <w:p w14:paraId="0EC98CD9" w14:textId="79BE9CF6" w:rsidR="00A63483" w:rsidRPr="00A63483" w:rsidRDefault="002E7463" w:rsidP="00A63483">
      <w:r w:rsidRPr="00A63483">
        <w:rPr>
          <w:b/>
          <w:bCs/>
        </w:rPr>
        <w:t>B1</w:t>
      </w:r>
      <w:r w:rsidR="00507491" w:rsidRPr="00A63483">
        <w:rPr>
          <w:b/>
          <w:bCs/>
        </w:rPr>
        <w:tab/>
      </w:r>
      <w:r w:rsidR="00A63483" w:rsidRPr="00A63483">
        <w:t>Significant progress has been achieved in the development of the SEF Plan 2026/27, with clearly defined objectives and actions that build directly on the improvements secured over the previous five</w:t>
      </w:r>
      <w:r w:rsidR="00A63483" w:rsidRPr="00A63483">
        <w:rPr>
          <w:rFonts w:ascii="Cambria Math" w:hAnsi="Cambria Math" w:cs="Cambria Math"/>
        </w:rPr>
        <w:t>‑</w:t>
      </w:r>
      <w:r w:rsidR="00A63483" w:rsidRPr="00A63483">
        <w:t xml:space="preserve">year period. Funding is being deployed strategically to maximise impact, ensuring a continued focus on improving outcomes for all children and young people, particularly those experiencing the greatest levels of deprivation. </w:t>
      </w:r>
    </w:p>
    <w:p w14:paraId="502A6619" w14:textId="31C462D2" w:rsidR="0068260A" w:rsidRPr="00A63483" w:rsidRDefault="00A63483" w:rsidP="00A63483">
      <w:r w:rsidRPr="00A63483">
        <w:t>In preparation for the potential cessation of SEF funding in June 2027, a comprehensive exit strategy has been established. This forward</w:t>
      </w:r>
      <w:r w:rsidRPr="00A63483">
        <w:rPr>
          <w:rFonts w:ascii="Cambria Math" w:hAnsi="Cambria Math" w:cs="Cambria Math"/>
        </w:rPr>
        <w:t>‑</w:t>
      </w:r>
      <w:r w:rsidRPr="00A63483">
        <w:t>looking approach ensures that key priorities remain firmly embedded within the local authority</w:t>
      </w:r>
      <w:r w:rsidRPr="00A63483">
        <w:rPr>
          <w:rFonts w:ascii="Calibri" w:hAnsi="Calibri" w:cs="Calibri"/>
        </w:rPr>
        <w:t>’</w:t>
      </w:r>
      <w:r w:rsidRPr="00A63483">
        <w:t>s strategic work, with responsibilities distributed across the existing education team and wider directorates. As a result, the authority is well</w:t>
      </w:r>
      <w:r w:rsidRPr="00A63483">
        <w:rPr>
          <w:rFonts w:ascii="Cambria Math" w:hAnsi="Cambria Math" w:cs="Cambria Math"/>
        </w:rPr>
        <w:t>‑</w:t>
      </w:r>
      <w:r w:rsidRPr="00A63483">
        <w:t>placed to sustain progress and maintain a strong focus on equity and excellence beyond the current funding period.</w:t>
      </w:r>
    </w:p>
    <w:p w14:paraId="66718006" w14:textId="6285C858" w:rsidR="00A63483" w:rsidRPr="00A63483" w:rsidRDefault="002E7463" w:rsidP="00A63483">
      <w:pPr>
        <w:rPr>
          <w:b/>
          <w:bCs/>
        </w:rPr>
      </w:pPr>
      <w:r w:rsidRPr="00A63483">
        <w:rPr>
          <w:b/>
          <w:bCs/>
        </w:rPr>
        <w:t>B2</w:t>
      </w:r>
      <w:r w:rsidR="00507491" w:rsidRPr="00A63483">
        <w:tab/>
      </w:r>
      <w:r w:rsidR="00A63483" w:rsidRPr="00A63483">
        <w:t>Good progress continues to be made in tracking progress towards the authority’s agreed CORE and CORE+ Stretch Aims, supported by the full and effective implementation of the BGE and Senior Phase dashboards. The evolving tracking systems are now providing a coherent and robust framework for monitoring attainment, enabling establishments to analyse progress with increasing accuracy and confidence. This strengthened approach is ensuring that leaders at all levels have timely, high</w:t>
      </w:r>
      <w:r w:rsidR="00A63483" w:rsidRPr="00A63483">
        <w:rPr>
          <w:rFonts w:ascii="Cambria Math" w:hAnsi="Cambria Math" w:cs="Cambria Math"/>
        </w:rPr>
        <w:t>‑</w:t>
      </w:r>
      <w:r w:rsidR="00A63483" w:rsidRPr="00A63483">
        <w:t>quality data to inform decision</w:t>
      </w:r>
      <w:r w:rsidR="00A63483" w:rsidRPr="00A63483">
        <w:rPr>
          <w:rFonts w:ascii="Cambria Math" w:hAnsi="Cambria Math" w:cs="Cambria Math"/>
        </w:rPr>
        <w:t>‑</w:t>
      </w:r>
      <w:r w:rsidR="00A63483" w:rsidRPr="00A63483">
        <w:t>making, target interventions, and drive improvement across both the BGE and Senior Phase.</w:t>
      </w:r>
    </w:p>
    <w:p w14:paraId="3693D5AF" w14:textId="0AC27EC3" w:rsidR="00A63483" w:rsidRPr="00A63483" w:rsidRDefault="00A63483" w:rsidP="00A63483">
      <w:pPr>
        <w:rPr>
          <w:b/>
          <w:bCs/>
        </w:rPr>
      </w:pPr>
      <w:r w:rsidRPr="00A63483">
        <w:rPr>
          <w:b/>
          <w:bCs/>
        </w:rPr>
        <w:t>Stretch Aims – Progress on the trajectories for 2024-25</w:t>
      </w:r>
    </w:p>
    <w:p w14:paraId="6079704A" w14:textId="77777777" w:rsidR="00A63483" w:rsidRPr="00A63483" w:rsidRDefault="00A63483" w:rsidP="00364711">
      <w:pPr>
        <w:pStyle w:val="ListParagraph"/>
        <w:numPr>
          <w:ilvl w:val="0"/>
          <w:numId w:val="11"/>
        </w:numPr>
        <w:ind w:left="326"/>
        <w:rPr>
          <w:b/>
          <w:bCs/>
        </w:rPr>
      </w:pPr>
      <w:r w:rsidRPr="00A63483">
        <w:rPr>
          <w:b/>
          <w:bCs/>
        </w:rPr>
        <w:t>Stretch Aim 1 - ACEL Literacy Combined – P1, P4, P7</w:t>
      </w:r>
    </w:p>
    <w:p w14:paraId="7C18761C" w14:textId="36C6FC1C" w:rsidR="00A63483" w:rsidRPr="00A63483" w:rsidRDefault="00A63483" w:rsidP="00A63483">
      <w:r w:rsidRPr="00A63483">
        <w:t>Literacy Combined (June 2025) The local authority saw further improvement in overall attainment in combined literacy, increasing from 76.4% in June 2024 to 77.2%. Although this remains 0.9 percentage points below the lower threshold of the stretch aim window (78%–79.8%), progress continues.</w:t>
      </w:r>
    </w:p>
    <w:p w14:paraId="0704BA05" w14:textId="6502C831" w:rsidR="00A63483" w:rsidRPr="00A63483" w:rsidRDefault="00A63483" w:rsidP="00A63483">
      <w:pPr>
        <w:rPr>
          <w:b/>
          <w:bCs/>
        </w:rPr>
      </w:pPr>
      <w:r w:rsidRPr="00A63483">
        <w:t>There was a slight decline in Q1 attainment from 71.0% in June 2024 to 69.6%, which is still within the stretch aim range of 69.5%–71.6%, though representing a widening of the poverty-</w:t>
      </w:r>
      <w:r w:rsidRPr="00A63483">
        <w:lastRenderedPageBreak/>
        <w:t>related gap. The Q1 to Q5 gap increased from -17.8% to -19.3%, moving outside the agreed stretch aim gap window of (-18% to -16.5%). Similarly, the Q1 to Q2–5 gap widened from -11.8% to -15.1%. Despite the gap widening, Q5 attainment continued to rise to 88.9%, and Q2–5 increased to 84.7%.</w:t>
      </w:r>
    </w:p>
    <w:p w14:paraId="5B611327" w14:textId="77777777" w:rsidR="00A63483" w:rsidRPr="00A63483" w:rsidRDefault="00A63483" w:rsidP="00364711">
      <w:pPr>
        <w:pStyle w:val="ListParagraph"/>
        <w:numPr>
          <w:ilvl w:val="0"/>
          <w:numId w:val="11"/>
        </w:numPr>
        <w:ind w:left="326"/>
        <w:rPr>
          <w:b/>
          <w:bCs/>
        </w:rPr>
      </w:pPr>
      <w:r w:rsidRPr="00A63483">
        <w:rPr>
          <w:b/>
          <w:bCs/>
        </w:rPr>
        <w:t>Stretch aim 2 - ACEL Numeracy Combined – P1, P4, P7</w:t>
      </w:r>
    </w:p>
    <w:p w14:paraId="50C19988" w14:textId="6A73514C" w:rsidR="00A63483" w:rsidRPr="00A63483" w:rsidRDefault="00A63483" w:rsidP="00A63483">
      <w:r w:rsidRPr="00A63483">
        <w:t>Numeracy Combined (June 2025) Overall numeracy attainment improved slightly to 82.3%, up from 81.7% in 2024, but remains below the stretch aim window (84.5% - 85.7%)</w:t>
      </w:r>
    </w:p>
    <w:p w14:paraId="64C67131" w14:textId="5FEB8C54" w:rsidR="00A63483" w:rsidRPr="00A63483" w:rsidRDefault="00A63483" w:rsidP="00A63483">
      <w:r w:rsidRPr="00A63483">
        <w:t>Q1 attainment dipped marginally to 76.5%, just 0.3% below the previous year. Q5 attainment also saw a slight decline to 90.6%, from 92.3%. However, the Q1 to Q5 gap narrowed to -14.1%, now within the stretch aim gap window of (-14.5% / -13.1%). Comparing Q1 to Q2–5, the gap increased slightly from -10.6% to -11.7%, although this still reflects relatively steady progress in the wider cohort.</w:t>
      </w:r>
    </w:p>
    <w:p w14:paraId="2BF14922" w14:textId="77777777" w:rsidR="00A63483" w:rsidRPr="00A63483" w:rsidRDefault="00A63483" w:rsidP="00364711">
      <w:pPr>
        <w:pStyle w:val="ListParagraph"/>
        <w:numPr>
          <w:ilvl w:val="0"/>
          <w:numId w:val="11"/>
        </w:numPr>
        <w:ind w:left="326"/>
        <w:rPr>
          <w:b/>
          <w:bCs/>
        </w:rPr>
      </w:pPr>
      <w:r w:rsidRPr="00A63483">
        <w:rPr>
          <w:b/>
          <w:bCs/>
        </w:rPr>
        <w:t>CORE+ Stretch Aim 2 - SIMD Quintile 1 Reading (ACEL- P1, P4, P7)</w:t>
      </w:r>
    </w:p>
    <w:p w14:paraId="305BB855" w14:textId="19BF6DFF" w:rsidR="00A63483" w:rsidRPr="00A63483" w:rsidRDefault="00A63483" w:rsidP="00A63483">
      <w:r w:rsidRPr="00A63483">
        <w:t>Reading (ACEL – P1, P4, P7) for SIMD Quintile 1 pupils decreased from 79.1% to 77.8% (-1.3%)</w:t>
      </w:r>
    </w:p>
    <w:p w14:paraId="49BB7131" w14:textId="77777777" w:rsidR="00A63483" w:rsidRPr="00A63483" w:rsidRDefault="00A63483" w:rsidP="00364711">
      <w:pPr>
        <w:pStyle w:val="ListParagraph"/>
        <w:numPr>
          <w:ilvl w:val="0"/>
          <w:numId w:val="11"/>
        </w:numPr>
        <w:ind w:left="326"/>
        <w:rPr>
          <w:b/>
          <w:bCs/>
        </w:rPr>
      </w:pPr>
      <w:r w:rsidRPr="00A63483">
        <w:rPr>
          <w:b/>
          <w:bCs/>
        </w:rPr>
        <w:t>CORE+ Stretch Aim 3 - SIMD Quintile 1 Writing (ACEL- P1, P4, P7)</w:t>
      </w:r>
    </w:p>
    <w:p w14:paraId="0517F9BD" w14:textId="60590A1E" w:rsidR="00A63483" w:rsidRPr="00CE703F" w:rsidRDefault="00A63483" w:rsidP="00A63483">
      <w:r w:rsidRPr="00A63483">
        <w:t xml:space="preserve">Writing (ACEL – P1, P4, P7) also saw a dip from 72.7% to 71.2% (-1.5%), placing it 0.8% below the stretch aim </w:t>
      </w:r>
      <w:r w:rsidR="002113BB" w:rsidRPr="00A63483">
        <w:t>range.</w:t>
      </w:r>
    </w:p>
    <w:p w14:paraId="03D47BE4" w14:textId="77777777" w:rsidR="00A63483" w:rsidRPr="00A63483" w:rsidRDefault="00A63483" w:rsidP="00364711">
      <w:pPr>
        <w:pStyle w:val="ListParagraph"/>
        <w:numPr>
          <w:ilvl w:val="0"/>
          <w:numId w:val="11"/>
        </w:numPr>
        <w:ind w:left="326"/>
        <w:rPr>
          <w:b/>
          <w:bCs/>
        </w:rPr>
      </w:pPr>
      <w:r w:rsidRPr="00A63483">
        <w:rPr>
          <w:b/>
          <w:bCs/>
        </w:rPr>
        <w:t>Stretch Aim 3 - SCQF Level 5 (All)</w:t>
      </w:r>
    </w:p>
    <w:p w14:paraId="136F3544" w14:textId="4CB3AD93" w:rsidR="00A63483" w:rsidRPr="00CE703F" w:rsidRDefault="00A63483" w:rsidP="00A63483">
      <w:r w:rsidRPr="00A63483">
        <w:t>The data indicates significant progress in the proportion of school leavers achieving at least one pass at SCQF Level 5 between June 2024 and June 2025. Overall attainment increased from 82.4% to 88.15% (+5.75%). Notably, the most deprived quintile (Q1) improved from 75.8% to 83.12% (+7.32%), while the least deprived quintile (Q5) rose from 95.2% to 96.3% (+1.1%). The attainment gap between Q1 and Q5 narrowed from -19.4% to -13.2%, reflecting a 6.2 percentage point reduction.</w:t>
      </w:r>
    </w:p>
    <w:p w14:paraId="3E8054F6" w14:textId="4254DD1E" w:rsidR="00A63483" w:rsidRPr="00A63483" w:rsidRDefault="00A63483" w:rsidP="00A63483">
      <w:r w:rsidRPr="00A63483">
        <w:t>Despite this positive trajectory, the June 2025 results fell slightly short of the stretch aims set for 2024/25. Overall attainment was 1.95 percentage points below the lower end of the target window (90.1%), with Q1 and Q5 also not achieving their respective stretch aims by 2.88% and 1.3%. The Q1–Q5 gap, while reduced, remains 1.6 percentage points above the upper target (gap aim: -11.6% to -10.3%).</w:t>
      </w:r>
    </w:p>
    <w:p w14:paraId="5B9E0035" w14:textId="55E4B732" w:rsidR="00A63483" w:rsidRPr="00CE703F" w:rsidRDefault="00A63483" w:rsidP="00A63483">
      <w:r w:rsidRPr="00A63483">
        <w:t>In summary, the local authority has made strong progress in raising attainment and closing the equity gap, particularly for the most disadvantaged learners. Continued focus on targeted interventions will be essential to meet or exceed future stretch aims and further reduce the attainment gap.</w:t>
      </w:r>
    </w:p>
    <w:p w14:paraId="577AD582" w14:textId="77777777" w:rsidR="00A63483" w:rsidRPr="00A63483" w:rsidRDefault="00A63483" w:rsidP="00364711">
      <w:pPr>
        <w:pStyle w:val="ListParagraph"/>
        <w:numPr>
          <w:ilvl w:val="0"/>
          <w:numId w:val="11"/>
        </w:numPr>
        <w:ind w:left="326"/>
        <w:rPr>
          <w:b/>
          <w:bCs/>
        </w:rPr>
      </w:pPr>
      <w:r w:rsidRPr="00A63483">
        <w:rPr>
          <w:b/>
          <w:bCs/>
        </w:rPr>
        <w:t>Stretch Aim 4 - SCQF Level 6 (All)</w:t>
      </w:r>
    </w:p>
    <w:p w14:paraId="0C523986" w14:textId="3CA30ADE" w:rsidR="00A63483" w:rsidRPr="00A63483" w:rsidRDefault="00A63483" w:rsidP="00A63483">
      <w:r w:rsidRPr="00A63483">
        <w:t>The data for June 2025 shows continued progress in the proportion of school leavers achieving at least one pass at SCQF Level 6. Overall attainment increased from 65.9% in June 2024 to 67.44% (+1.59%). The most deprived quintile (Q1) improved from 55.0% to 56.62% (+1.62%), while the least deprived quintile (Q5) decreased slightly from 88.1% to 85.19% (-2.91%). The attainment gap between Q1 and Q5 narrowed from 33.1% to 28.57%, a reduction of 4.57 percentage points.</w:t>
      </w:r>
    </w:p>
    <w:p w14:paraId="3B9FB595" w14:textId="7697E7C3" w:rsidR="00A63483" w:rsidRPr="00CE703F" w:rsidRDefault="00A63483" w:rsidP="00A63483">
      <w:r w:rsidRPr="00A63483">
        <w:lastRenderedPageBreak/>
        <w:t>Despite these improvements, the June 2025 results remain below the stretch aims set for 2024/25. Overall attainment is 1.06 percentage points below the lower end of the target window (68.5%), with Q1 and Q5 also not achieving their respective stretch aims by 2.98% and 2.21%. The Q1–Q5 gap, while reduced, is still 0.77 percentage points above the upper target (gap aim: -27.8% to -27.5%).</w:t>
      </w:r>
    </w:p>
    <w:p w14:paraId="7390B30E" w14:textId="0D3648EA" w:rsidR="00A63483" w:rsidRPr="00CE703F" w:rsidRDefault="00A63483" w:rsidP="00A63483">
      <w:r w:rsidRPr="00A63483">
        <w:t>In summary, the local authority has made progress in raising attainment at SCQF Level 6 and in closing the equity gap. However, further targeted support and intervention will be required to accelerate progress, particularly for the most disadvantaged learners, and to achieve or exceed future stretch aims.</w:t>
      </w:r>
    </w:p>
    <w:p w14:paraId="113222B0" w14:textId="77777777" w:rsidR="00A63483" w:rsidRPr="00A63483" w:rsidRDefault="00A63483" w:rsidP="00364711">
      <w:pPr>
        <w:pStyle w:val="ListParagraph"/>
        <w:numPr>
          <w:ilvl w:val="0"/>
          <w:numId w:val="11"/>
        </w:numPr>
        <w:ind w:left="326"/>
        <w:rPr>
          <w:b/>
          <w:bCs/>
        </w:rPr>
      </w:pPr>
      <w:r w:rsidRPr="00A63483">
        <w:rPr>
          <w:b/>
          <w:bCs/>
        </w:rPr>
        <w:t>Stretch Aim 5 - APM – Annual Participation Measures</w:t>
      </w:r>
    </w:p>
    <w:p w14:paraId="2A0CA559" w14:textId="4CE5212B" w:rsidR="00A63483" w:rsidRPr="00CE703F" w:rsidRDefault="00A63483" w:rsidP="00A63483">
      <w:r w:rsidRPr="00A63483">
        <w:t>Annual Participation Measures for our young people have plateaued after increasing for the last 3 years. Overall participation has remained consistent with a 0.1% fall based on last year’s figures. The data also indicates a 0.8% gap between the stretch aim and actual performance. A 5-year analysis of the data indicates an overall improvement in APM of 1.6% and a reduction in the gap between most and least deprived of 2.1%.</w:t>
      </w:r>
    </w:p>
    <w:p w14:paraId="42301D6D" w14:textId="77777777" w:rsidR="00A63483" w:rsidRPr="00A63483" w:rsidRDefault="00A63483" w:rsidP="00364711">
      <w:pPr>
        <w:pStyle w:val="ListParagraph"/>
        <w:numPr>
          <w:ilvl w:val="0"/>
          <w:numId w:val="11"/>
        </w:numPr>
        <w:ind w:left="326"/>
        <w:rPr>
          <w:b/>
          <w:bCs/>
        </w:rPr>
      </w:pPr>
      <w:r w:rsidRPr="00A63483">
        <w:rPr>
          <w:b/>
          <w:bCs/>
        </w:rPr>
        <w:t>Stretch aim 6 - Health &amp; Wellbeing – Secondary Attendance</w:t>
      </w:r>
    </w:p>
    <w:p w14:paraId="682F65E3" w14:textId="223B02BF" w:rsidR="00A63483" w:rsidRPr="00CE703F" w:rsidRDefault="00A63483" w:rsidP="00A63483">
      <w:r w:rsidRPr="00A63483">
        <w:t>Attendance continues to be a challenge for the local authority, as it is nationally. However, through a sustained and focused approach, the local authority has made more significant progress in improving Secondary overall attendance levels. Between June 2024 and June 2025, overall attendance rose from 88.3% to 89.35%, marking a +1.05% improvement.</w:t>
      </w:r>
    </w:p>
    <w:p w14:paraId="7D649751" w14:textId="77777777" w:rsidR="00A63483" w:rsidRPr="00A63483" w:rsidRDefault="00A63483" w:rsidP="00364711">
      <w:pPr>
        <w:pStyle w:val="ListParagraph"/>
        <w:numPr>
          <w:ilvl w:val="0"/>
          <w:numId w:val="11"/>
        </w:numPr>
        <w:ind w:left="326"/>
      </w:pPr>
      <w:r w:rsidRPr="00A63483">
        <w:t>Q1 attendance increased from 86.3% to 87.55% (+1.25%), exceeding the stretch aim window upper bound of 87.81%.</w:t>
      </w:r>
    </w:p>
    <w:p w14:paraId="170E072C" w14:textId="77777777" w:rsidR="00A63483" w:rsidRPr="00A63483" w:rsidRDefault="00A63483" w:rsidP="00364711">
      <w:pPr>
        <w:pStyle w:val="ListParagraph"/>
        <w:numPr>
          <w:ilvl w:val="0"/>
          <w:numId w:val="11"/>
        </w:numPr>
        <w:ind w:left="326"/>
      </w:pPr>
      <w:r w:rsidRPr="00A63483">
        <w:t>Q5 attendance rose from 92.0% to 92.87% (+0.87%), also surpassing the stretch aim upper bound of 92.20%.</w:t>
      </w:r>
    </w:p>
    <w:p w14:paraId="7F4B5DB0" w14:textId="42C532CF" w:rsidR="00A63483" w:rsidRPr="00CE703F" w:rsidRDefault="00A63483" w:rsidP="00364711">
      <w:pPr>
        <w:pStyle w:val="ListParagraph"/>
        <w:numPr>
          <w:ilvl w:val="0"/>
          <w:numId w:val="11"/>
        </w:numPr>
        <w:ind w:left="326"/>
      </w:pPr>
      <w:r w:rsidRPr="00A63483">
        <w:t>Q2–5 attendance improved from 90.2% to 90.96% (+0.76%), remaining above the stretch aim range.</w:t>
      </w:r>
    </w:p>
    <w:p w14:paraId="47C02F7B" w14:textId="0B5FD739" w:rsidR="00A63483" w:rsidRPr="00CE703F" w:rsidRDefault="00A63483" w:rsidP="00A63483">
      <w:r w:rsidRPr="00A63483">
        <w:t>The attendance gap between Q1 and Q5 narrowed slightly from -5.7% to -5.32%, a +0.38% shift, though it remains 0.42% above the stretch aim target. The Q1 to Q2–5 gap also improved from -3.9% to -3.41% (+0.49%), indicating progress in reducing disparities.</w:t>
      </w:r>
    </w:p>
    <w:p w14:paraId="32EA6EA1" w14:textId="77777777" w:rsidR="00A63483" w:rsidRPr="00A63483" w:rsidRDefault="00A63483" w:rsidP="00364711">
      <w:pPr>
        <w:pStyle w:val="ListParagraph"/>
        <w:numPr>
          <w:ilvl w:val="0"/>
          <w:numId w:val="12"/>
        </w:numPr>
        <w:ind w:left="326"/>
        <w:rPr>
          <w:b/>
          <w:bCs/>
          <w:lang w:val="fr-FR"/>
        </w:rPr>
      </w:pPr>
      <w:r w:rsidRPr="00A63483">
        <w:rPr>
          <w:b/>
          <w:bCs/>
          <w:lang w:val="fr-FR"/>
        </w:rPr>
        <w:t xml:space="preserve">CORE+ Stretch Aim 1 - SIMD Quintile 1 Attendance – </w:t>
      </w:r>
      <w:r w:rsidRPr="00A63483">
        <w:rPr>
          <w:b/>
          <w:bCs/>
        </w:rPr>
        <w:t>Primary</w:t>
      </w:r>
    </w:p>
    <w:p w14:paraId="1485D135" w14:textId="02FEFDEB" w:rsidR="00A63483" w:rsidRPr="00CE703F" w:rsidRDefault="00A63483" w:rsidP="00A63483">
      <w:r w:rsidRPr="00A63483">
        <w:t>Attendance rose from 91.3% in June 2024 to 92.18% in June 2025, an increase of +0.88%, exceeding the lower target of the stretch aim window and landing +0.28% above the target range.</w:t>
      </w:r>
    </w:p>
    <w:p w14:paraId="6F358FED" w14:textId="08CEDCF3" w:rsidR="00A63483" w:rsidRPr="00CE703F" w:rsidRDefault="002E7463" w:rsidP="00A63483">
      <w:pPr>
        <w:rPr>
          <w:b/>
          <w:bCs/>
        </w:rPr>
      </w:pPr>
      <w:r w:rsidRPr="00A63483">
        <w:rPr>
          <w:b/>
          <w:bCs/>
        </w:rPr>
        <w:t>B3</w:t>
      </w:r>
      <w:r w:rsidR="00507491" w:rsidRPr="00A63483">
        <w:tab/>
      </w:r>
      <w:r w:rsidR="00A63483" w:rsidRPr="00A63483">
        <w:t>The continuation of the Family Support Service is further strengthening established processes, providing targeted and timely assistance to children, young people, and families who may be at risk of referral to social services. This approach is enhancing early intervention and contributing to improved long</w:t>
      </w:r>
      <w:r w:rsidR="00A63483" w:rsidRPr="00A63483">
        <w:rPr>
          <w:rFonts w:ascii="Cambria Math" w:hAnsi="Cambria Math" w:cs="Cambria Math"/>
        </w:rPr>
        <w:t>‑</w:t>
      </w:r>
      <w:r w:rsidR="00A63483" w:rsidRPr="00A63483">
        <w:t>term outcomes.</w:t>
      </w:r>
    </w:p>
    <w:p w14:paraId="3AABC569" w14:textId="676095D8" w:rsidR="00A63483" w:rsidRPr="00A63483" w:rsidRDefault="00A63483" w:rsidP="00A63483">
      <w:r w:rsidRPr="00A63483">
        <w:t>The Family Support Service continues to deliver highly effective early</w:t>
      </w:r>
      <w:r w:rsidRPr="00A63483">
        <w:rPr>
          <w:rFonts w:ascii="Cambria Math" w:hAnsi="Cambria Math" w:cs="Cambria Math"/>
        </w:rPr>
        <w:t>‑</w:t>
      </w:r>
      <w:r w:rsidRPr="00A63483">
        <w:t>intervention support that strengthens family wellbeing, enhances parental capacity and improves children and young people’s readiness to learn. Referrals are being picked up promptly, and strong partnership planning across Education, HSCP and third sector colleagues has ensured that needs are responded to.</w:t>
      </w:r>
    </w:p>
    <w:p w14:paraId="0C1604D9" w14:textId="3A1D881C" w:rsidR="00A63483" w:rsidRPr="00A63483" w:rsidRDefault="00A63483" w:rsidP="00A63483">
      <w:r w:rsidRPr="00A63483">
        <w:lastRenderedPageBreak/>
        <w:t>The service’s trauma</w:t>
      </w:r>
      <w:r w:rsidRPr="00A63483">
        <w:rPr>
          <w:rFonts w:ascii="Cambria Math" w:hAnsi="Cambria Math" w:cs="Cambria Math"/>
        </w:rPr>
        <w:t>‑</w:t>
      </w:r>
      <w:r w:rsidRPr="00A63483">
        <w:t>informed, relationship</w:t>
      </w:r>
      <w:r w:rsidRPr="00A63483">
        <w:rPr>
          <w:rFonts w:ascii="Cambria Math" w:hAnsi="Cambria Math" w:cs="Cambria Math"/>
        </w:rPr>
        <w:t>‑</w:t>
      </w:r>
      <w:r w:rsidRPr="00A63483">
        <w:t>based model</w:t>
      </w:r>
      <w:r w:rsidR="00CE703F">
        <w:t xml:space="preserve">, </w:t>
      </w:r>
      <w:r w:rsidRPr="00A63483">
        <w:t>grounded in the principles of GIRFEC and The Promise</w:t>
      </w:r>
      <w:r w:rsidR="00CE703F">
        <w:t xml:space="preserve">, </w:t>
      </w:r>
      <w:r w:rsidRPr="00A63483">
        <w:t>has allowed families to access skilled support quickly and in the setting that best meets their needs. A clear and collaborative operational plan for both early intervention and crisis management is now embedded, enabling a consistent, coordinated response that prevents escalation and ensures families receive timely, appropriate support.</w:t>
      </w:r>
    </w:p>
    <w:p w14:paraId="6A9A69CD" w14:textId="27B5FCDA" w:rsidR="00A63483" w:rsidRPr="00A63483" w:rsidRDefault="00A63483" w:rsidP="00A63483">
      <w:r w:rsidRPr="00A63483">
        <w:t>The impact of this coordinated approach is evident in the reduced need for statutory involvement among families accessing early intervention. By identifying concerns earlier and providing flexible, strengths</w:t>
      </w:r>
      <w:r w:rsidRPr="00A63483">
        <w:rPr>
          <w:rFonts w:ascii="Cambria Math" w:hAnsi="Cambria Math" w:cs="Cambria Math"/>
        </w:rPr>
        <w:t>‑</w:t>
      </w:r>
      <w:r w:rsidRPr="00A63483">
        <w:t>based support, the service has been effective in stabilising family relationships, improving emotional wellbeing and helping parents develop greater confidence in their capacity to meet their children’s needs. Children and young people report improved wellbeing through a range of measures, including increased emotional regulation, reduced anxiety, improved peer relationships and enhanced readiness to learn. Parents similarly describe improved agency, reflecting a stronger sense of control, confidence and ability to manage challenges within the home. These improvements are particularly significant given the high levels of adversity many families face, including trauma, poverty, mental health challenges and neurodiversity.</w:t>
      </w:r>
    </w:p>
    <w:p w14:paraId="19F40E4C" w14:textId="0039E3B0" w:rsidR="00300CAC" w:rsidRPr="00CE703F" w:rsidRDefault="00A63483" w:rsidP="00CE703F">
      <w:pPr>
        <w:rPr>
          <w:b/>
          <w:bCs/>
        </w:rPr>
      </w:pPr>
      <w:r w:rsidRPr="00A63483">
        <w:t>Overall, the service continues to deliver a high</w:t>
      </w:r>
      <w:r w:rsidRPr="00A63483">
        <w:rPr>
          <w:rFonts w:ascii="Cambria Math" w:hAnsi="Cambria Math" w:cs="Cambria Math"/>
        </w:rPr>
        <w:t>‑</w:t>
      </w:r>
      <w:r w:rsidRPr="00A63483">
        <w:t>quality, impactful response to the needs of some of Inverclyde’s most vulnerable families. The combination of timely referrals, coordinated planning, early intervention and trauma</w:t>
      </w:r>
      <w:r w:rsidRPr="00A63483">
        <w:rPr>
          <w:rFonts w:ascii="Cambria Math" w:hAnsi="Cambria Math" w:cs="Cambria Math"/>
        </w:rPr>
        <w:t>‑</w:t>
      </w:r>
      <w:r w:rsidRPr="00A63483">
        <w:t>informed practice has resulted in meaningful reductions in crisis and escalation, while enabling children, young people and adults to experience improved wellbeing and stronger family connections. Feedback from families highlights the profound impact of trusted relationships, consistent support and advocacy, contributing to reduced isolation, increased engagement with education and a clearer pathway to improved outcomes. The service remains a vital component of Inverclyde’s wider Attainment Challenge programme, ensuring families have the scaffolded support required to thrive.</w:t>
      </w:r>
    </w:p>
    <w:p w14:paraId="0D35DBD0" w14:textId="642C8098" w:rsidR="00CE703F" w:rsidRPr="00CE703F" w:rsidRDefault="00300CAC" w:rsidP="00CE703F">
      <w:r w:rsidRPr="00CE703F">
        <w:rPr>
          <w:b/>
          <w:bCs/>
        </w:rPr>
        <w:t>B4</w:t>
      </w:r>
      <w:r w:rsidR="00507491" w:rsidRPr="00CE703F">
        <w:tab/>
      </w:r>
      <w:r w:rsidR="00762474" w:rsidRPr="00CE703F">
        <w:tab/>
      </w:r>
      <w:r w:rsidR="00CE703F" w:rsidRPr="00CE703F">
        <w:t xml:space="preserve">We are in the process of reviewing and refreshing our Parental Engagement Strategy in line with the </w:t>
      </w:r>
      <w:r w:rsidR="00CE703F" w:rsidRPr="00CE703F">
        <w:rPr>
          <w:lang w:val="en"/>
        </w:rPr>
        <w:t>Scottish Schools (Parental Involvement) Act 2006</w:t>
      </w:r>
      <w:r w:rsidR="00CE703F" w:rsidRPr="00CE703F">
        <w:t> strategy requirements.</w:t>
      </w:r>
    </w:p>
    <w:p w14:paraId="069FA9D2" w14:textId="43D55CEC" w:rsidR="00CE703F" w:rsidRPr="00CE703F" w:rsidRDefault="00CE703F" w:rsidP="00CE703F">
      <w:r w:rsidRPr="00CE703F">
        <w:t>As part of a range of information gathered, data from the Authority Parental Engagement and Involvement Survey has been collected to inform the refreshed strategy and strengths and next steps. These will be shared with parents and Heads through the updated strategy, through Heads meetings and through our Parent Council Representatives network.</w:t>
      </w:r>
    </w:p>
    <w:p w14:paraId="3592A007" w14:textId="6B5A981B" w:rsidR="00CE703F" w:rsidRPr="00CE703F" w:rsidRDefault="00CE703F" w:rsidP="00CE703F">
      <w:r w:rsidRPr="00CE703F">
        <w:t xml:space="preserve">The survey data has been shared with individual schools to allow them to review and improve their impact regarding each of the three key aspects, that is, home-school partnerships, learning at home and parental representation, and to ensure that the legislative duties contained in the Scottish Schools Parental Involvement Act 2006 are also maintained. </w:t>
      </w:r>
    </w:p>
    <w:p w14:paraId="2DD6C2EF" w14:textId="47E09414" w:rsidR="00CE703F" w:rsidRPr="00CE703F" w:rsidRDefault="00CE703F" w:rsidP="00CE703F">
      <w:r w:rsidRPr="00CE703F">
        <w:t>A total of 1597 parents engaged with the survey and 1076 completed the survey.</w:t>
      </w:r>
    </w:p>
    <w:p w14:paraId="79FA4CB1" w14:textId="0D8A43DD" w:rsidR="00CE703F" w:rsidRPr="00CE703F" w:rsidRDefault="00CE703F" w:rsidP="00CE703F">
      <w:pPr>
        <w:rPr>
          <w:lang w:val="en"/>
        </w:rPr>
      </w:pPr>
      <w:r w:rsidRPr="00CE703F">
        <w:rPr>
          <w:lang w:val="en"/>
        </w:rPr>
        <w:t>A consultation template has been shared with primary, secondary and ASN settings and consultation groups have been identified to ensure that the views of all stakeholders are gathered and reflected in the refreshed strategy.</w:t>
      </w:r>
    </w:p>
    <w:p w14:paraId="17A01C08" w14:textId="0C5A3919" w:rsidR="00CE703F" w:rsidRPr="00CE703F" w:rsidRDefault="00CE703F" w:rsidP="00CE703F">
      <w:pPr>
        <w:rPr>
          <w:lang w:val="en"/>
        </w:rPr>
      </w:pPr>
      <w:r w:rsidRPr="00CE703F">
        <w:rPr>
          <w:lang w:val="en"/>
        </w:rPr>
        <w:t xml:space="preserve">Education Scotland, Education Officers, Barnardo’s, attainment Challenge Project Lead and </w:t>
      </w:r>
      <w:r w:rsidRPr="00CE703F">
        <w:t xml:space="preserve">Inverclyde Safer and Inclusive Communities </w:t>
      </w:r>
      <w:r w:rsidRPr="00CE703F">
        <w:rPr>
          <w:lang w:val="en"/>
        </w:rPr>
        <w:t>have also been consulted and have contributed to the refresh.</w:t>
      </w:r>
    </w:p>
    <w:p w14:paraId="74601035" w14:textId="156FE1E6" w:rsidR="00CE703F" w:rsidRPr="00CE703F" w:rsidRDefault="00CE703F" w:rsidP="00CE703F">
      <w:pPr>
        <w:rPr>
          <w:lang w:val="en"/>
        </w:rPr>
      </w:pPr>
      <w:r w:rsidRPr="00CE703F">
        <w:t>The updated strategy will be launched at the start of the new academic session</w:t>
      </w:r>
      <w:r>
        <w:t xml:space="preserve"> 2026/27</w:t>
      </w:r>
      <w:r w:rsidRPr="00CE703F">
        <w:t>. </w:t>
      </w:r>
    </w:p>
    <w:p w14:paraId="35184BA1" w14:textId="245AAF07" w:rsidR="00CE703F" w:rsidRPr="00A34B5D" w:rsidRDefault="00CE703F" w:rsidP="00762474">
      <w:pPr>
        <w:tabs>
          <w:tab w:val="left" w:pos="426"/>
        </w:tabs>
        <w:ind w:left="720" w:hanging="720"/>
        <w:rPr>
          <w:b/>
          <w:bCs/>
        </w:rPr>
      </w:pPr>
    </w:p>
    <w:tbl>
      <w:tblPr>
        <w:tblStyle w:val="TableGrid"/>
        <w:tblW w:w="0" w:type="auto"/>
        <w:tblLook w:val="04A0" w:firstRow="1" w:lastRow="0" w:firstColumn="1" w:lastColumn="0" w:noHBand="0" w:noVBand="1"/>
      </w:tblPr>
      <w:tblGrid>
        <w:gridCol w:w="9464"/>
      </w:tblGrid>
      <w:tr w:rsidR="00154C93" w14:paraId="105672DB" w14:textId="77777777" w:rsidTr="00507491">
        <w:tc>
          <w:tcPr>
            <w:tcW w:w="9464" w:type="dxa"/>
            <w:shd w:val="clear" w:color="auto" w:fill="EAF1DD" w:themeFill="accent3" w:themeFillTint="33"/>
          </w:tcPr>
          <w:p w14:paraId="66060764" w14:textId="63D79414" w:rsidR="00154C93" w:rsidRPr="00507491" w:rsidRDefault="00154C93" w:rsidP="00C71F0F">
            <w:pPr>
              <w:pStyle w:val="NoSpacing"/>
              <w:rPr>
                <w:rFonts w:ascii="Arial" w:hAnsi="Arial" w:cs="Arial"/>
                <w:b/>
                <w:color w:val="0070C0"/>
                <w:sz w:val="28"/>
                <w:szCs w:val="28"/>
              </w:rPr>
            </w:pPr>
            <w:r w:rsidRPr="00507491">
              <w:rPr>
                <w:rFonts w:ascii="Arial" w:hAnsi="Arial" w:cs="Arial"/>
                <w:b/>
                <w:sz w:val="24"/>
                <w:szCs w:val="24"/>
              </w:rPr>
              <w:t>Next steps: Closing the attainment gap between the most and least disadvantaged</w:t>
            </w:r>
            <w:r w:rsidRPr="00507491">
              <w:rPr>
                <w:sz w:val="24"/>
                <w:szCs w:val="24"/>
              </w:rPr>
              <w:t xml:space="preserve"> </w:t>
            </w:r>
          </w:p>
        </w:tc>
      </w:tr>
    </w:tbl>
    <w:p w14:paraId="47A1BC73" w14:textId="77777777" w:rsidR="0064047E" w:rsidRDefault="0064047E" w:rsidP="0064047E">
      <w:pPr>
        <w:spacing w:after="160" w:line="259" w:lineRule="auto"/>
        <w:rPr>
          <w:b/>
          <w:bCs/>
          <w:highlight w:val="green"/>
        </w:rPr>
      </w:pPr>
    </w:p>
    <w:p w14:paraId="74784244" w14:textId="168E502B" w:rsidR="001E5278" w:rsidRDefault="001E5278" w:rsidP="001E5278">
      <w:pPr>
        <w:spacing w:after="160" w:line="259" w:lineRule="auto"/>
        <w:ind w:left="720" w:hanging="720"/>
        <w:rPr>
          <w:b/>
          <w:bCs/>
        </w:rPr>
      </w:pPr>
      <w:r w:rsidRPr="00A63483">
        <w:rPr>
          <w:rFonts w:eastAsia="Calibri"/>
          <w:b/>
          <w:bCs/>
        </w:rPr>
        <w:t>B1</w:t>
      </w:r>
      <w:r>
        <w:rPr>
          <w:rFonts w:eastAsia="Calibri"/>
        </w:rPr>
        <w:t xml:space="preserve">       </w:t>
      </w:r>
      <w:r w:rsidRPr="00817409">
        <w:rPr>
          <w:rFonts w:eastAsia="Calibri"/>
        </w:rPr>
        <w:t>Implement the SEF Plan for session 2</w:t>
      </w:r>
      <w:r>
        <w:rPr>
          <w:rFonts w:eastAsia="Calibri"/>
        </w:rPr>
        <w:t>6</w:t>
      </w:r>
      <w:r w:rsidRPr="00817409">
        <w:rPr>
          <w:rFonts w:eastAsia="Calibri"/>
        </w:rPr>
        <w:t>/2</w:t>
      </w:r>
      <w:r>
        <w:rPr>
          <w:rFonts w:eastAsia="Calibri"/>
        </w:rPr>
        <w:t>7</w:t>
      </w:r>
      <w:r w:rsidRPr="00817409">
        <w:rPr>
          <w:rFonts w:eastAsia="Calibri"/>
        </w:rPr>
        <w:t xml:space="preserve"> and create a plan for session 202</w:t>
      </w:r>
      <w:r>
        <w:rPr>
          <w:rFonts w:eastAsia="Calibri"/>
        </w:rPr>
        <w:t>7</w:t>
      </w:r>
      <w:r w:rsidRPr="00817409">
        <w:rPr>
          <w:rFonts w:eastAsia="Calibri"/>
        </w:rPr>
        <w:t>/2</w:t>
      </w:r>
      <w:r>
        <w:rPr>
          <w:rFonts w:eastAsia="Calibri"/>
        </w:rPr>
        <w:t>8 if and when future budgets are confirmed</w:t>
      </w:r>
      <w:r w:rsidRPr="00817409">
        <w:rPr>
          <w:rFonts w:eastAsia="Calibri"/>
        </w:rPr>
        <w:t xml:space="preserve">: </w:t>
      </w:r>
      <w:hyperlink r:id="rId20" w:history="1">
        <w:r w:rsidRPr="00817409">
          <w:rPr>
            <w:rFonts w:eastAsia="Calibri"/>
            <w:color w:val="0000FF"/>
            <w:u w:val="single"/>
          </w:rPr>
          <w:t>Education Services in Inverclyde - Inverclyde Council</w:t>
        </w:r>
      </w:hyperlink>
      <w:r w:rsidRPr="00817409">
        <w:t xml:space="preserve">. </w:t>
      </w:r>
      <w:r>
        <w:t>If not</w:t>
      </w:r>
      <w:r w:rsidRPr="00817409">
        <w:t xml:space="preserve"> </w:t>
      </w:r>
      <w:r>
        <w:t>review and implement the agreed</w:t>
      </w:r>
      <w:r w:rsidRPr="00817409">
        <w:t xml:space="preserve"> exit strategy from the attainment challenge programme from June 2027.</w:t>
      </w:r>
    </w:p>
    <w:p w14:paraId="449322BD" w14:textId="77777777" w:rsidR="001E5278" w:rsidRPr="00817409" w:rsidRDefault="001E5278" w:rsidP="001E5278">
      <w:pPr>
        <w:spacing w:after="160" w:line="259" w:lineRule="auto"/>
        <w:ind w:left="720" w:hanging="720"/>
        <w:rPr>
          <w:highlight w:val="green"/>
        </w:rPr>
      </w:pPr>
      <w:r w:rsidRPr="00817409">
        <w:rPr>
          <w:b/>
        </w:rPr>
        <w:t>B2</w:t>
      </w:r>
      <w:r w:rsidRPr="00817409">
        <w:rPr>
          <w:b/>
        </w:rPr>
        <w:tab/>
      </w:r>
      <w:r w:rsidRPr="00817409">
        <w:rPr>
          <w:rFonts w:eastAsia="Calibri"/>
        </w:rPr>
        <w:t xml:space="preserve">Continue to track progress towards agreed Local Authority CORE and CORE+ Stretch   Aims </w:t>
      </w:r>
      <w:r w:rsidRPr="00817409">
        <w:t>supported by full implementation of the BGE and Senior Phase Trackers.</w:t>
      </w:r>
    </w:p>
    <w:p w14:paraId="5BA88633" w14:textId="25908E14" w:rsidR="001E5278" w:rsidRDefault="001E5278" w:rsidP="001E5278">
      <w:pPr>
        <w:tabs>
          <w:tab w:val="left" w:pos="378"/>
        </w:tabs>
        <w:spacing w:after="160" w:line="259" w:lineRule="auto"/>
        <w:ind w:left="720" w:hanging="720"/>
      </w:pPr>
      <w:r w:rsidRPr="00B75704">
        <w:rPr>
          <w:b/>
        </w:rPr>
        <w:t>B3</w:t>
      </w:r>
      <w:r w:rsidRPr="00B75704">
        <w:rPr>
          <w:b/>
        </w:rPr>
        <w:tab/>
      </w:r>
      <w:r>
        <w:tab/>
        <w:t>Continue to work with partners to deliver the family support offer and review alongside the wider offer as part of the Children’s services plan 2026 – 2029.</w:t>
      </w:r>
    </w:p>
    <w:p w14:paraId="36E227DC" w14:textId="13248C36" w:rsidR="0081141E" w:rsidRPr="00507491" w:rsidRDefault="001E5278" w:rsidP="001E5278">
      <w:pPr>
        <w:spacing w:after="160" w:line="259" w:lineRule="auto"/>
        <w:ind w:left="720" w:hanging="720"/>
      </w:pPr>
      <w:r>
        <w:rPr>
          <w:b/>
        </w:rPr>
        <w:t>B4</w:t>
      </w:r>
      <w:r>
        <w:rPr>
          <w:b/>
        </w:rPr>
        <w:tab/>
      </w:r>
      <w:r w:rsidRPr="001E5278">
        <w:rPr>
          <w:bCs/>
        </w:rPr>
        <w:t>Implement the revised Parental Engagement Strategy from August 2026.</w:t>
      </w:r>
    </w:p>
    <w:p w14:paraId="7D855CD0" w14:textId="687B8229" w:rsidR="00A80914" w:rsidRDefault="00A80914" w:rsidP="00A80914">
      <w:pPr>
        <w:spacing w:after="160" w:line="259" w:lineRule="auto"/>
      </w:pPr>
    </w:p>
    <w:p w14:paraId="169B65DD" w14:textId="77777777" w:rsidR="00FE7612" w:rsidRDefault="00FE7612" w:rsidP="000A7E99">
      <w:pPr>
        <w:rPr>
          <w:b/>
          <w:sz w:val="28"/>
          <w:szCs w:val="28"/>
          <w:highlight w:val="yellow"/>
          <w:u w:val="single"/>
        </w:rPr>
      </w:pPr>
    </w:p>
    <w:p w14:paraId="3B18BA96" w14:textId="77777777" w:rsidR="004B4037" w:rsidRDefault="004B4037" w:rsidP="000A7E99">
      <w:pPr>
        <w:rPr>
          <w:b/>
          <w:sz w:val="28"/>
          <w:szCs w:val="28"/>
          <w:highlight w:val="yellow"/>
          <w:u w:val="single"/>
        </w:rPr>
      </w:pPr>
    </w:p>
    <w:p w14:paraId="21852F2D" w14:textId="77777777" w:rsidR="004B4037" w:rsidRDefault="004B4037" w:rsidP="000A7E99">
      <w:pPr>
        <w:rPr>
          <w:b/>
          <w:sz w:val="28"/>
          <w:szCs w:val="28"/>
          <w:highlight w:val="yellow"/>
          <w:u w:val="single"/>
        </w:rPr>
      </w:pPr>
    </w:p>
    <w:p w14:paraId="0CE80611" w14:textId="77777777" w:rsidR="004B4037" w:rsidRDefault="004B4037" w:rsidP="000A7E99">
      <w:pPr>
        <w:rPr>
          <w:b/>
          <w:sz w:val="28"/>
          <w:szCs w:val="28"/>
          <w:highlight w:val="yellow"/>
          <w:u w:val="single"/>
        </w:rPr>
      </w:pPr>
    </w:p>
    <w:p w14:paraId="1AC9FB2C" w14:textId="77777777" w:rsidR="004B4037" w:rsidRDefault="004B4037" w:rsidP="000A7E99">
      <w:pPr>
        <w:rPr>
          <w:b/>
          <w:sz w:val="28"/>
          <w:szCs w:val="28"/>
          <w:highlight w:val="yellow"/>
          <w:u w:val="single"/>
        </w:rPr>
      </w:pPr>
    </w:p>
    <w:p w14:paraId="3B080874" w14:textId="77777777" w:rsidR="004B4037" w:rsidRDefault="004B4037" w:rsidP="000A7E99">
      <w:pPr>
        <w:rPr>
          <w:b/>
          <w:sz w:val="28"/>
          <w:szCs w:val="28"/>
          <w:highlight w:val="yellow"/>
          <w:u w:val="single"/>
        </w:rPr>
      </w:pPr>
    </w:p>
    <w:p w14:paraId="2EE73FB9" w14:textId="77777777" w:rsidR="004B4037" w:rsidRDefault="004B4037" w:rsidP="000A7E99">
      <w:pPr>
        <w:rPr>
          <w:b/>
          <w:sz w:val="28"/>
          <w:szCs w:val="28"/>
          <w:highlight w:val="yellow"/>
          <w:u w:val="single"/>
        </w:rPr>
      </w:pPr>
    </w:p>
    <w:p w14:paraId="09A95EF4" w14:textId="77777777" w:rsidR="004B4037" w:rsidRDefault="004B4037" w:rsidP="000A7E99">
      <w:pPr>
        <w:rPr>
          <w:b/>
          <w:sz w:val="28"/>
          <w:szCs w:val="28"/>
          <w:highlight w:val="yellow"/>
          <w:u w:val="single"/>
        </w:rPr>
      </w:pPr>
    </w:p>
    <w:p w14:paraId="0E645317" w14:textId="77777777" w:rsidR="004B4037" w:rsidRDefault="004B4037" w:rsidP="000A7E99">
      <w:pPr>
        <w:rPr>
          <w:b/>
          <w:sz w:val="28"/>
          <w:szCs w:val="28"/>
          <w:highlight w:val="yellow"/>
          <w:u w:val="single"/>
        </w:rPr>
      </w:pPr>
    </w:p>
    <w:p w14:paraId="22FB7D61" w14:textId="77777777" w:rsidR="004B4037" w:rsidRDefault="004B4037" w:rsidP="000A7E99">
      <w:pPr>
        <w:rPr>
          <w:b/>
          <w:sz w:val="28"/>
          <w:szCs w:val="28"/>
          <w:highlight w:val="yellow"/>
          <w:u w:val="single"/>
        </w:rPr>
      </w:pPr>
    </w:p>
    <w:p w14:paraId="64B32F27" w14:textId="77777777" w:rsidR="004B4037" w:rsidRDefault="004B4037" w:rsidP="000A7E99">
      <w:pPr>
        <w:rPr>
          <w:b/>
          <w:sz w:val="28"/>
          <w:szCs w:val="28"/>
          <w:highlight w:val="yellow"/>
          <w:u w:val="single"/>
        </w:rPr>
      </w:pPr>
    </w:p>
    <w:p w14:paraId="2295702D" w14:textId="77777777" w:rsidR="004B4037" w:rsidRDefault="004B4037" w:rsidP="000A7E99">
      <w:pPr>
        <w:rPr>
          <w:b/>
          <w:sz w:val="28"/>
          <w:szCs w:val="28"/>
          <w:highlight w:val="yellow"/>
          <w:u w:val="single"/>
        </w:rPr>
      </w:pPr>
    </w:p>
    <w:p w14:paraId="62AAC36C" w14:textId="77777777" w:rsidR="004B4037" w:rsidRDefault="004B4037" w:rsidP="000A7E99">
      <w:pPr>
        <w:rPr>
          <w:b/>
          <w:sz w:val="28"/>
          <w:szCs w:val="28"/>
          <w:highlight w:val="yellow"/>
          <w:u w:val="single"/>
        </w:rPr>
      </w:pPr>
    </w:p>
    <w:p w14:paraId="4C0A3E6B" w14:textId="77777777" w:rsidR="004B4037" w:rsidRDefault="004B4037" w:rsidP="000A7E99">
      <w:pPr>
        <w:rPr>
          <w:b/>
          <w:sz w:val="28"/>
          <w:szCs w:val="28"/>
          <w:highlight w:val="yellow"/>
          <w:u w:val="single"/>
        </w:rPr>
      </w:pPr>
    </w:p>
    <w:p w14:paraId="4361E708" w14:textId="77777777" w:rsidR="004B4037" w:rsidRDefault="004B4037" w:rsidP="000A7E99">
      <w:pPr>
        <w:rPr>
          <w:b/>
          <w:sz w:val="28"/>
          <w:szCs w:val="28"/>
          <w:highlight w:val="yellow"/>
          <w:u w:val="single"/>
        </w:rPr>
      </w:pPr>
    </w:p>
    <w:p w14:paraId="23970198" w14:textId="77777777" w:rsidR="004B4037" w:rsidRDefault="004B4037" w:rsidP="000A7E99">
      <w:pPr>
        <w:rPr>
          <w:b/>
          <w:sz w:val="28"/>
          <w:szCs w:val="28"/>
          <w:highlight w:val="yellow"/>
          <w:u w:val="single"/>
        </w:rPr>
      </w:pPr>
    </w:p>
    <w:p w14:paraId="06B8E987" w14:textId="77777777" w:rsidR="004B4037" w:rsidRPr="004B4037" w:rsidRDefault="004B4037" w:rsidP="004B4037">
      <w:pPr>
        <w:rPr>
          <w:b/>
          <w:sz w:val="28"/>
          <w:szCs w:val="28"/>
          <w:u w:val="single"/>
        </w:rPr>
      </w:pPr>
      <w:r w:rsidRPr="004B4037">
        <w:rPr>
          <w:b/>
          <w:sz w:val="28"/>
          <w:szCs w:val="28"/>
          <w:u w:val="single"/>
        </w:rPr>
        <w:lastRenderedPageBreak/>
        <w:t>Evaluation of attainment in Inverclyde</w:t>
      </w:r>
    </w:p>
    <w:p w14:paraId="7EE3A3C6" w14:textId="77777777" w:rsidR="004B4037" w:rsidRPr="004B4037" w:rsidRDefault="004B4037" w:rsidP="004B4037">
      <w:pPr>
        <w:spacing w:after="0"/>
        <w:rPr>
          <w:b/>
        </w:rPr>
      </w:pPr>
      <w:r w:rsidRPr="004B4037">
        <w:rPr>
          <w:b/>
        </w:rPr>
        <w:t>Curriculum for Excellence reported levels</w:t>
      </w:r>
    </w:p>
    <w:p w14:paraId="7E0EEAEC" w14:textId="77777777" w:rsidR="004B4037" w:rsidRPr="004B4037" w:rsidRDefault="004B4037" w:rsidP="004B4037">
      <w:pPr>
        <w:spacing w:after="0"/>
        <w:rPr>
          <w:b/>
        </w:rPr>
      </w:pPr>
    </w:p>
    <w:p w14:paraId="1D5753A7" w14:textId="77777777" w:rsidR="004B4037" w:rsidRPr="004B4037" w:rsidRDefault="004B4037" w:rsidP="004B4037">
      <w:pPr>
        <w:spacing w:after="0"/>
        <w:rPr>
          <w:bCs/>
        </w:rPr>
      </w:pPr>
      <w:r w:rsidRPr="004B4037">
        <w:rPr>
          <w:bCs/>
        </w:rPr>
        <w:t xml:space="preserve">The ACEL return collects data from all publicly funded schools and gathers information for all pupils in P1, P4, P7 and S3. The return measures national performance in </w:t>
      </w:r>
      <w:bookmarkStart w:id="5" w:name="_Hlk161656713"/>
      <w:r w:rsidRPr="004B4037">
        <w:rPr>
          <w:bCs/>
        </w:rPr>
        <w:t xml:space="preserve">aspects of literacy (i.e. reading, writing, listening and talking) </w:t>
      </w:r>
      <w:bookmarkEnd w:id="5"/>
      <w:r w:rsidRPr="004B4037">
        <w:rPr>
          <w:bCs/>
        </w:rPr>
        <w:t xml:space="preserve">and numeracy, and reports on the percentage of pupils who have achieved the expected level, based on teacher professional judgements relevant to their stage. </w:t>
      </w:r>
    </w:p>
    <w:p w14:paraId="3A30E125" w14:textId="77777777" w:rsidR="004B4037" w:rsidRPr="004B4037" w:rsidRDefault="004B4037" w:rsidP="004B4037">
      <w:pPr>
        <w:spacing w:after="0"/>
        <w:rPr>
          <w:bCs/>
        </w:rPr>
      </w:pPr>
    </w:p>
    <w:p w14:paraId="7FB22BFD" w14:textId="70D6572E" w:rsidR="004B5354" w:rsidRPr="004B4037" w:rsidRDefault="004B4037" w:rsidP="004B4037">
      <w:pPr>
        <w:rPr>
          <w:bCs/>
        </w:rPr>
      </w:pPr>
      <w:r w:rsidRPr="004B4037">
        <w:rPr>
          <w:bCs/>
        </w:rPr>
        <w:t xml:space="preserve">This table shows Inverclyde and national averages as </w:t>
      </w:r>
      <w:r w:rsidR="004B5354" w:rsidRPr="004B4037">
        <w:rPr>
          <w:bCs/>
        </w:rPr>
        <w:t>of</w:t>
      </w:r>
      <w:r w:rsidRPr="004B4037">
        <w:rPr>
          <w:bCs/>
        </w:rPr>
        <w:t xml:space="preserve"> June 2025. Overall, Inverclyde performs above national averages across most measures and stages, with particularly strong performance in </w:t>
      </w:r>
      <w:r w:rsidRPr="004B4037">
        <w:rPr>
          <w:bCs/>
          <w:i/>
          <w:iCs/>
        </w:rPr>
        <w:t>Listening &amp; Talking</w:t>
      </w:r>
      <w:r w:rsidRPr="004B4037">
        <w:rPr>
          <w:bCs/>
        </w:rPr>
        <w:t xml:space="preserve"> and </w:t>
      </w:r>
      <w:r w:rsidRPr="004B4037">
        <w:rPr>
          <w:bCs/>
          <w:i/>
          <w:iCs/>
        </w:rPr>
        <w:t>Reading</w:t>
      </w:r>
      <w:r w:rsidRPr="004B4037">
        <w:rPr>
          <w:bCs/>
        </w:rPr>
        <w:t>. The largest positive gaps are seen in Listening &amp; Talking (up to +5 points) and Literacy (+6 in P1), while Numeracy is broadly in line with or slightly below national levels at S3 (-1).</w:t>
      </w:r>
      <w:r w:rsidR="004B5354">
        <w:rPr>
          <w:bCs/>
        </w:rPr>
        <w:t xml:space="preserve"> Whilst Level 4 at S3 is below the national average, these percentages are an improvement over time, and a significant improvement on 2023/24.</w:t>
      </w:r>
    </w:p>
    <w:p w14:paraId="7BF20F4A" w14:textId="46CDF6EF" w:rsidR="004B4037" w:rsidRPr="004B4037" w:rsidRDefault="004B4037" w:rsidP="004B4037">
      <w:pPr>
        <w:pStyle w:val="Caption"/>
        <w:keepNext/>
        <w:spacing w:after="0"/>
        <w:rPr>
          <w:rFonts w:ascii="Arial Rounded MT Bold" w:hAnsi="Arial Rounded MT Bold"/>
          <w:sz w:val="20"/>
        </w:rPr>
      </w:pPr>
      <w:r w:rsidRPr="004B4037">
        <w:rPr>
          <w:rFonts w:ascii="Arial Rounded MT Bold" w:hAnsi="Arial Rounded MT Bold"/>
          <w:sz w:val="20"/>
        </w:rPr>
        <w:t>Attainment across the BGE (June 2025)</w:t>
      </w:r>
    </w:p>
    <w:p w14:paraId="10417782" w14:textId="25918B22" w:rsidR="004B4037" w:rsidRDefault="004B5354" w:rsidP="004B4037">
      <w:pPr>
        <w:spacing w:after="0"/>
        <w:rPr>
          <w:b/>
          <w:i/>
          <w:color w:val="548DD4" w:themeColor="text2" w:themeTint="99"/>
          <w:sz w:val="18"/>
          <w:szCs w:val="18"/>
        </w:rPr>
      </w:pPr>
      <w:r w:rsidRPr="00227B1A">
        <w:rPr>
          <w:noProof/>
        </w:rPr>
        <w:drawing>
          <wp:inline distT="0" distB="0" distL="0" distR="0" wp14:anchorId="5B9358EA" wp14:editId="3EC6E060">
            <wp:extent cx="5731510" cy="1307465"/>
            <wp:effectExtent l="0" t="0" r="2540" b="6985"/>
            <wp:docPr id="1912030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307465"/>
                    </a:xfrm>
                    <a:prstGeom prst="rect">
                      <a:avLst/>
                    </a:prstGeom>
                    <a:noFill/>
                    <a:ln>
                      <a:noFill/>
                    </a:ln>
                  </pic:spPr>
                </pic:pic>
              </a:graphicData>
            </a:graphic>
          </wp:inline>
        </w:drawing>
      </w:r>
    </w:p>
    <w:p w14:paraId="3A925FD0" w14:textId="77777777" w:rsidR="004B4037" w:rsidRDefault="004B4037" w:rsidP="004B4037">
      <w:pPr>
        <w:spacing w:after="0"/>
        <w:rPr>
          <w:b/>
          <w:i/>
          <w:color w:val="548DD4" w:themeColor="text2" w:themeTint="99"/>
          <w:sz w:val="18"/>
          <w:szCs w:val="18"/>
        </w:rPr>
      </w:pPr>
    </w:p>
    <w:p w14:paraId="1C728123" w14:textId="77777777" w:rsidR="004B4037" w:rsidRDefault="004B4037" w:rsidP="004B4037">
      <w:pPr>
        <w:spacing w:after="0"/>
        <w:rPr>
          <w:bCs/>
          <w:iCs/>
        </w:rPr>
      </w:pPr>
      <w:r w:rsidRPr="007E0E97">
        <w:rPr>
          <w:b/>
          <w:i/>
          <w:color w:val="548DD4" w:themeColor="text2" w:themeTint="99"/>
          <w:sz w:val="18"/>
          <w:szCs w:val="18"/>
        </w:rPr>
        <w:t>Source: Scottish Government, 202</w:t>
      </w:r>
      <w:r>
        <w:rPr>
          <w:b/>
          <w:i/>
          <w:color w:val="548DD4" w:themeColor="text2" w:themeTint="99"/>
          <w:sz w:val="18"/>
          <w:szCs w:val="18"/>
        </w:rPr>
        <w:t>5</w:t>
      </w:r>
    </w:p>
    <w:p w14:paraId="6FD0D5A2" w14:textId="77777777" w:rsidR="004B4037" w:rsidRDefault="004B4037" w:rsidP="004B4037">
      <w:pPr>
        <w:spacing w:after="0"/>
        <w:rPr>
          <w:bCs/>
          <w:iCs/>
        </w:rPr>
      </w:pPr>
      <w:r w:rsidRPr="006B69E1">
        <w:rPr>
          <w:color w:val="0000FF"/>
          <w:u w:val="single"/>
        </w:rPr>
        <w:t>Achievement of Curriculum for Excellence (CfE) levels: 202</w:t>
      </w:r>
      <w:r>
        <w:rPr>
          <w:color w:val="0000FF"/>
          <w:u w:val="single"/>
        </w:rPr>
        <w:t>4</w:t>
      </w:r>
      <w:r w:rsidRPr="006B69E1">
        <w:rPr>
          <w:color w:val="0000FF"/>
          <w:u w:val="single"/>
        </w:rPr>
        <w:t>/2</w:t>
      </w:r>
      <w:r>
        <w:rPr>
          <w:color w:val="0000FF"/>
          <w:u w:val="single"/>
        </w:rPr>
        <w:t>5</w:t>
      </w:r>
      <w:r w:rsidRPr="006B69E1">
        <w:rPr>
          <w:color w:val="0000FF"/>
          <w:u w:val="single"/>
        </w:rPr>
        <w:t xml:space="preserve"> - </w:t>
      </w:r>
      <w:proofErr w:type="spellStart"/>
      <w:proofErr w:type="gramStart"/>
      <w:r w:rsidRPr="006B69E1">
        <w:rPr>
          <w:color w:val="0000FF"/>
          <w:u w:val="single"/>
        </w:rPr>
        <w:t>gov.scot</w:t>
      </w:r>
      <w:proofErr w:type="spellEnd"/>
      <w:proofErr w:type="gramEnd"/>
      <w:r w:rsidRPr="006B69E1">
        <w:rPr>
          <w:color w:val="0000FF"/>
          <w:u w:val="single"/>
        </w:rPr>
        <w:t xml:space="preserve"> (www.gov.scot)</w:t>
      </w:r>
    </w:p>
    <w:p w14:paraId="5FF4F9F1" w14:textId="77777777" w:rsidR="004B4037" w:rsidRDefault="004B4037" w:rsidP="004B4037">
      <w:pPr>
        <w:spacing w:after="0"/>
        <w:rPr>
          <w:bCs/>
          <w:iCs/>
        </w:rPr>
      </w:pPr>
    </w:p>
    <w:p w14:paraId="387CF23B" w14:textId="2C658672" w:rsidR="00815EED" w:rsidRDefault="00815EED" w:rsidP="004B4037">
      <w:pPr>
        <w:spacing w:after="0"/>
        <w:rPr>
          <w:bCs/>
          <w:iCs/>
        </w:rPr>
      </w:pPr>
      <w:r>
        <w:rPr>
          <w:noProof/>
        </w:rPr>
        <w:drawing>
          <wp:inline distT="0" distB="0" distL="0" distR="0" wp14:anchorId="4DE3820E" wp14:editId="2C01273B">
            <wp:extent cx="5731510" cy="3213847"/>
            <wp:effectExtent l="0" t="0" r="2540" b="5715"/>
            <wp:docPr id="1481588699" name="Chart 1">
              <a:extLst xmlns:a="http://schemas.openxmlformats.org/drawingml/2006/main">
                <a:ext uri="{FF2B5EF4-FFF2-40B4-BE49-F238E27FC236}">
                  <a16:creationId xmlns:a16="http://schemas.microsoft.com/office/drawing/2014/main" id="{7B6111CC-36CF-014B-AD67-C10164CBE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E40A84" w14:textId="77777777" w:rsidR="00815EED" w:rsidRDefault="00815EED" w:rsidP="004B4037">
      <w:pPr>
        <w:spacing w:after="0"/>
        <w:rPr>
          <w:bCs/>
          <w:iCs/>
        </w:rPr>
      </w:pPr>
    </w:p>
    <w:p w14:paraId="0309F198" w14:textId="75DB1572" w:rsidR="00815EED" w:rsidRDefault="00815EED" w:rsidP="004B4037">
      <w:pPr>
        <w:spacing w:after="0"/>
        <w:rPr>
          <w:bCs/>
          <w:iCs/>
        </w:rPr>
      </w:pPr>
      <w:r>
        <w:rPr>
          <w:noProof/>
        </w:rPr>
        <w:lastRenderedPageBreak/>
        <w:drawing>
          <wp:inline distT="0" distB="0" distL="0" distR="0" wp14:anchorId="70D2BD6F" wp14:editId="5FBA3173">
            <wp:extent cx="5687695" cy="3361764"/>
            <wp:effectExtent l="0" t="0" r="8255" b="10160"/>
            <wp:docPr id="1479392972" name="Chart 1">
              <a:extLst xmlns:a="http://schemas.openxmlformats.org/drawingml/2006/main">
                <a:ext uri="{FF2B5EF4-FFF2-40B4-BE49-F238E27FC236}">
                  <a16:creationId xmlns:a16="http://schemas.microsoft.com/office/drawing/2014/main" id="{A6EEF96C-BEDA-A24F-CBF0-0AA2F3119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BCD688" w14:textId="77777777" w:rsidR="00815EED" w:rsidRDefault="00815EED" w:rsidP="004B4037">
      <w:pPr>
        <w:spacing w:after="0"/>
        <w:rPr>
          <w:bCs/>
          <w:iCs/>
        </w:rPr>
      </w:pPr>
    </w:p>
    <w:p w14:paraId="542580FF" w14:textId="2F86000E" w:rsidR="004B4037" w:rsidRPr="004B4037" w:rsidRDefault="004B4037" w:rsidP="004B4037">
      <w:pPr>
        <w:spacing w:after="0"/>
        <w:rPr>
          <w:bCs/>
          <w:iCs/>
        </w:rPr>
      </w:pPr>
      <w:r w:rsidRPr="004B4037">
        <w:rPr>
          <w:bCs/>
          <w:iCs/>
        </w:rPr>
        <w:t>Below is a comparison of Literacy &amp; Numeracy performance between Inverclyde and National across the years 2020-21 to 2024-25.</w:t>
      </w:r>
    </w:p>
    <w:p w14:paraId="3DD28670" w14:textId="77777777" w:rsidR="004B4037" w:rsidRPr="004B4037" w:rsidRDefault="004B4037" w:rsidP="004B4037">
      <w:pPr>
        <w:spacing w:after="0"/>
        <w:rPr>
          <w:bCs/>
          <w:iCs/>
        </w:rPr>
      </w:pPr>
    </w:p>
    <w:p w14:paraId="507C3B52" w14:textId="77777777" w:rsidR="004B4037" w:rsidRPr="004B4037" w:rsidRDefault="004B4037" w:rsidP="00364711">
      <w:pPr>
        <w:pStyle w:val="ListParagraph"/>
        <w:numPr>
          <w:ilvl w:val="0"/>
          <w:numId w:val="5"/>
        </w:numPr>
        <w:spacing w:after="0"/>
        <w:rPr>
          <w:iCs/>
        </w:rPr>
      </w:pPr>
      <w:r w:rsidRPr="004B4037">
        <w:rPr>
          <w:iCs/>
        </w:rPr>
        <w:t>Inverclyde has consistently outperformed the national average in both Literacy and Numeracy over the past five years, with the gap widening slightly in Literacy (now +2.8 points in 2024/25)</w:t>
      </w:r>
    </w:p>
    <w:p w14:paraId="48FCA150" w14:textId="77777777" w:rsidR="004B4037" w:rsidRPr="004B4037" w:rsidRDefault="004B4037" w:rsidP="00364711">
      <w:pPr>
        <w:pStyle w:val="ListParagraph"/>
        <w:numPr>
          <w:ilvl w:val="0"/>
          <w:numId w:val="5"/>
        </w:numPr>
        <w:spacing w:after="0"/>
        <w:rPr>
          <w:iCs/>
        </w:rPr>
      </w:pPr>
      <w:r w:rsidRPr="004B4037">
        <w:rPr>
          <w:iCs/>
        </w:rPr>
        <w:t>Both measures show strong improvement since 2020/21</w:t>
      </w:r>
    </w:p>
    <w:p w14:paraId="7FC440F3" w14:textId="3205E8F3" w:rsidR="004B4037" w:rsidRPr="00815EED" w:rsidRDefault="004B4037" w:rsidP="00815EED">
      <w:pPr>
        <w:pStyle w:val="ListParagraph"/>
        <w:numPr>
          <w:ilvl w:val="0"/>
          <w:numId w:val="5"/>
        </w:numPr>
        <w:spacing w:after="0"/>
        <w:rPr>
          <w:iCs/>
        </w:rPr>
      </w:pPr>
      <w:r w:rsidRPr="004B4037">
        <w:rPr>
          <w:iCs/>
        </w:rPr>
        <w:t>Numeracy has dipped slightly from its peak in 2022/23 but remains above national levels (+2.0).</w:t>
      </w:r>
    </w:p>
    <w:p w14:paraId="254BAF77" w14:textId="15468A46" w:rsidR="004B4037" w:rsidRPr="004B4037" w:rsidRDefault="004B4037" w:rsidP="004B4037">
      <w:pPr>
        <w:spacing w:after="0" w:line="240" w:lineRule="auto"/>
        <w:rPr>
          <w:rFonts w:ascii="Arial Rounded MT Bold" w:hAnsi="Arial Rounded MT Bold"/>
          <w:i/>
          <w:iCs/>
          <w:color w:val="1F497D" w:themeColor="text2"/>
          <w:sz w:val="20"/>
          <w:szCs w:val="18"/>
        </w:rPr>
      </w:pPr>
      <w:r w:rsidRPr="004B4037">
        <w:rPr>
          <w:rFonts w:ascii="Arial Rounded MT Bold" w:hAnsi="Arial Rounded MT Bold"/>
          <w:i/>
          <w:iCs/>
          <w:color w:val="1F497D" w:themeColor="text2"/>
          <w:sz w:val="20"/>
          <w:szCs w:val="18"/>
        </w:rPr>
        <w:t xml:space="preserve">Percentage of learners achieving expected levels in literacy and numeracy in P1, P4, and P7 </w:t>
      </w:r>
      <w:r w:rsidR="002113BB" w:rsidRPr="004B4037">
        <w:rPr>
          <w:rFonts w:ascii="Arial Rounded MT Bold" w:hAnsi="Arial Rounded MT Bold"/>
          <w:i/>
          <w:iCs/>
          <w:color w:val="1F497D" w:themeColor="text2"/>
          <w:sz w:val="20"/>
          <w:szCs w:val="18"/>
        </w:rPr>
        <w:t>combined.</w:t>
      </w:r>
    </w:p>
    <w:p w14:paraId="639729B8" w14:textId="77777777" w:rsidR="004B4037" w:rsidRPr="009D5291" w:rsidRDefault="004B4037" w:rsidP="004B4037">
      <w:pPr>
        <w:spacing w:after="0"/>
        <w:rPr>
          <w:iCs/>
          <w:highlight w:val="yellow"/>
        </w:rPr>
      </w:pPr>
    </w:p>
    <w:p w14:paraId="39285F3F" w14:textId="77777777" w:rsidR="004B4037" w:rsidRDefault="004B4037" w:rsidP="004B4037">
      <w:pPr>
        <w:rPr>
          <w:rFonts w:ascii="Arial Rounded MT Bold" w:hAnsi="Arial Rounded MT Bold"/>
          <w:i/>
          <w:iCs/>
          <w:color w:val="1F497D" w:themeColor="text2"/>
          <w:sz w:val="20"/>
          <w:szCs w:val="18"/>
        </w:rPr>
      </w:pPr>
      <w:r>
        <w:rPr>
          <w:noProof/>
        </w:rPr>
        <w:drawing>
          <wp:inline distT="0" distB="0" distL="0" distR="0" wp14:anchorId="20D430EE" wp14:editId="0765E0BF">
            <wp:extent cx="6015990" cy="2961640"/>
            <wp:effectExtent l="0" t="0" r="3810" b="10160"/>
            <wp:docPr id="1161068372" name="Chart 1">
              <a:extLst xmlns:a="http://schemas.openxmlformats.org/drawingml/2006/main">
                <a:ext uri="{FF2B5EF4-FFF2-40B4-BE49-F238E27FC236}">
                  <a16:creationId xmlns:a16="http://schemas.microsoft.com/office/drawing/2014/main" id="{E58DEF04-35B6-13F5-0E8E-7DEA013D5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DAC0D6" w14:textId="77777777" w:rsidR="004B4037" w:rsidRPr="004B4037" w:rsidRDefault="004B4037" w:rsidP="004B4037">
      <w:pPr>
        <w:spacing w:after="0"/>
        <w:rPr>
          <w:b/>
          <w:i/>
          <w:color w:val="548DD4" w:themeColor="text2" w:themeTint="99"/>
          <w:sz w:val="16"/>
          <w:szCs w:val="18"/>
        </w:rPr>
      </w:pPr>
      <w:r w:rsidRPr="004B4037">
        <w:rPr>
          <w:b/>
          <w:i/>
          <w:color w:val="548DD4" w:themeColor="text2" w:themeTint="99"/>
          <w:sz w:val="18"/>
          <w:szCs w:val="18"/>
        </w:rPr>
        <w:t xml:space="preserve">Source: Scottish Government, 2025 </w:t>
      </w:r>
      <w:r w:rsidRPr="004B4037">
        <w:rPr>
          <w:b/>
          <w:i/>
          <w:color w:val="548DD4" w:themeColor="text2" w:themeTint="99"/>
          <w:sz w:val="16"/>
          <w:szCs w:val="18"/>
        </w:rPr>
        <w:t>(</w:t>
      </w:r>
      <w:r w:rsidRPr="004B4037">
        <w:rPr>
          <w:sz w:val="18"/>
        </w:rPr>
        <w:t xml:space="preserve">Supporting documents - Achievement of Curriculum for Excellence (CfE) Levels 2024-25 - </w:t>
      </w:r>
      <w:proofErr w:type="spellStart"/>
      <w:proofErr w:type="gramStart"/>
      <w:r w:rsidRPr="004B4037">
        <w:rPr>
          <w:sz w:val="18"/>
        </w:rPr>
        <w:t>gov.scot</w:t>
      </w:r>
      <w:proofErr w:type="spellEnd"/>
      <w:proofErr w:type="gramEnd"/>
      <w:r w:rsidRPr="004B4037">
        <w:rPr>
          <w:sz w:val="18"/>
        </w:rPr>
        <w:t xml:space="preserve"> (www.gov.scot)</w:t>
      </w:r>
    </w:p>
    <w:p w14:paraId="4F24C07C" w14:textId="77777777" w:rsidR="004B4037" w:rsidRPr="004B4037" w:rsidRDefault="004B4037" w:rsidP="004B4037">
      <w:pPr>
        <w:tabs>
          <w:tab w:val="left" w:pos="2505"/>
        </w:tabs>
        <w:spacing w:after="0"/>
      </w:pPr>
    </w:p>
    <w:p w14:paraId="4FF940B8" w14:textId="77777777" w:rsidR="004B4037" w:rsidRDefault="004B4037" w:rsidP="004B4037">
      <w:pPr>
        <w:tabs>
          <w:tab w:val="left" w:pos="2505"/>
        </w:tabs>
        <w:spacing w:after="0"/>
      </w:pPr>
      <w:r w:rsidRPr="004B4037">
        <w:rPr>
          <w:noProof/>
          <w:lang w:eastAsia="en-GB"/>
        </w:rPr>
        <w:t xml:space="preserve">In measuring the poverty-related attainment gap, the comparison nationally is drawn between SIMD deciles 1-2 and deciles 9-10. However, Inverclyde have a very small percentage of the school population living in quintile 5 (deciles 9-10), and therefore locally the measure often used is between deciles 1-2 and deciles 3-10.  </w:t>
      </w:r>
      <w:r w:rsidRPr="004B4037">
        <w:t>The chart below shows the proportion of P1, P4 and P7 pupils who achieved the expected levels in literacy overall and numeracy for pupils in SIMD 1-2 compared to SIMD 3-10.</w:t>
      </w:r>
      <w:r w:rsidRPr="00E93560">
        <w:t xml:space="preserve"> </w:t>
      </w:r>
    </w:p>
    <w:p w14:paraId="2834AD5C" w14:textId="77777777" w:rsidR="004B4037" w:rsidRDefault="004B4037" w:rsidP="004B4037">
      <w:pPr>
        <w:tabs>
          <w:tab w:val="left" w:pos="2505"/>
        </w:tabs>
        <w:spacing w:after="0"/>
        <w:rPr>
          <w:b/>
          <w:bCs/>
        </w:rPr>
      </w:pPr>
    </w:p>
    <w:p w14:paraId="07EB6616" w14:textId="77777777" w:rsidR="004B4037" w:rsidRPr="00E93560" w:rsidRDefault="004B4037" w:rsidP="004B4037">
      <w:pPr>
        <w:tabs>
          <w:tab w:val="left" w:pos="2505"/>
        </w:tabs>
        <w:spacing w:after="0"/>
        <w:rPr>
          <w:b/>
          <w:bCs/>
        </w:rPr>
      </w:pPr>
      <w:r w:rsidRPr="00964637">
        <w:rPr>
          <w:rFonts w:ascii="Arial Rounded MT Bold" w:hAnsi="Arial Rounded MT Bold"/>
          <w:i/>
          <w:iCs/>
          <w:color w:val="1F497D" w:themeColor="text2"/>
          <w:sz w:val="20"/>
          <w:szCs w:val="18"/>
        </w:rPr>
        <w:t xml:space="preserve">% achieving literacy P1,4,7 by SIMD Band change </w:t>
      </w:r>
      <w:r>
        <w:rPr>
          <w:rFonts w:ascii="Arial Rounded MT Bold" w:hAnsi="Arial Rounded MT Bold"/>
          <w:i/>
          <w:iCs/>
          <w:color w:val="1F497D" w:themeColor="text2"/>
          <w:sz w:val="20"/>
          <w:szCs w:val="18"/>
        </w:rPr>
        <w:t>20</w:t>
      </w:r>
      <w:r w:rsidRPr="00964637">
        <w:rPr>
          <w:rFonts w:ascii="Arial Rounded MT Bold" w:hAnsi="Arial Rounded MT Bold"/>
          <w:i/>
          <w:iCs/>
          <w:color w:val="1F497D" w:themeColor="text2"/>
          <w:sz w:val="20"/>
          <w:szCs w:val="18"/>
        </w:rPr>
        <w:t>-</w:t>
      </w:r>
      <w:r>
        <w:rPr>
          <w:rFonts w:ascii="Arial Rounded MT Bold" w:hAnsi="Arial Rounded MT Bold"/>
          <w:i/>
          <w:iCs/>
          <w:color w:val="1F497D" w:themeColor="text2"/>
          <w:sz w:val="20"/>
          <w:szCs w:val="18"/>
        </w:rPr>
        <w:t>21</w:t>
      </w:r>
      <w:r w:rsidRPr="00964637">
        <w:rPr>
          <w:rFonts w:ascii="Arial Rounded MT Bold" w:hAnsi="Arial Rounded MT Bold"/>
          <w:i/>
          <w:iCs/>
          <w:color w:val="1F497D" w:themeColor="text2"/>
          <w:sz w:val="20"/>
          <w:szCs w:val="18"/>
        </w:rPr>
        <w:t xml:space="preserve"> to 2</w:t>
      </w:r>
      <w:r>
        <w:rPr>
          <w:rFonts w:ascii="Arial Rounded MT Bold" w:hAnsi="Arial Rounded MT Bold"/>
          <w:i/>
          <w:iCs/>
          <w:color w:val="1F497D" w:themeColor="text2"/>
          <w:sz w:val="20"/>
          <w:szCs w:val="18"/>
        </w:rPr>
        <w:t>4</w:t>
      </w:r>
      <w:r w:rsidRPr="00964637">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 (P1,4,7 combined)</w:t>
      </w:r>
      <w:r w:rsidRPr="007818B8">
        <w:rPr>
          <w:noProof/>
          <w:lang w:eastAsia="en-GB"/>
        </w:rPr>
        <w:t xml:space="preserve"> </w:t>
      </w:r>
    </w:p>
    <w:p w14:paraId="6CB80E4A" w14:textId="77777777" w:rsidR="004B4037" w:rsidRDefault="004B4037" w:rsidP="004B4037">
      <w:pPr>
        <w:tabs>
          <w:tab w:val="left" w:pos="2505"/>
        </w:tabs>
        <w:spacing w:after="0"/>
        <w:rPr>
          <w:noProof/>
          <w:lang w:eastAsia="en-GB"/>
        </w:rPr>
      </w:pPr>
      <w:r>
        <w:rPr>
          <w:noProof/>
        </w:rPr>
        <w:drawing>
          <wp:inline distT="0" distB="0" distL="0" distR="0" wp14:anchorId="6A6BC165" wp14:editId="42E740DE">
            <wp:extent cx="6015990" cy="2875280"/>
            <wp:effectExtent l="0" t="0" r="3810" b="1270"/>
            <wp:docPr id="1714012256" name="Chart 1">
              <a:extLst xmlns:a="http://schemas.openxmlformats.org/drawingml/2006/main">
                <a:ext uri="{FF2B5EF4-FFF2-40B4-BE49-F238E27FC236}">
                  <a16:creationId xmlns:a16="http://schemas.microsoft.com/office/drawing/2014/main" id="{494776F5-98EC-A654-598C-19D1719E2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0924D7" w14:textId="77777777" w:rsidR="004B4037" w:rsidRPr="004B4037" w:rsidRDefault="004B4037" w:rsidP="004B4037">
      <w:pPr>
        <w:spacing w:after="0"/>
        <w:rPr>
          <w:iCs/>
        </w:rPr>
      </w:pPr>
      <w:bookmarkStart w:id="6" w:name="_Hlk192489537"/>
      <w:r w:rsidRPr="004B4037">
        <w:rPr>
          <w:iCs/>
        </w:rPr>
        <w:t>The chart above compares literacy achievement in SIMD 1-2 (most deprived areas) and SIMD 3-10 (least deprived areas) from 2020-21 to 2024-25, highlighting the attainment gap.</w:t>
      </w:r>
    </w:p>
    <w:p w14:paraId="35D744F7" w14:textId="77777777" w:rsidR="004B4037" w:rsidRPr="004B4037" w:rsidRDefault="004B4037" w:rsidP="004B4037">
      <w:pPr>
        <w:spacing w:after="0"/>
        <w:rPr>
          <w:iCs/>
        </w:rPr>
      </w:pPr>
    </w:p>
    <w:bookmarkEnd w:id="6"/>
    <w:p w14:paraId="1E7D911F" w14:textId="77777777" w:rsidR="004B4037" w:rsidRPr="004B4037" w:rsidRDefault="004B4037" w:rsidP="004B4037">
      <w:pPr>
        <w:spacing w:after="0"/>
        <w:rPr>
          <w:iCs/>
        </w:rPr>
      </w:pPr>
      <w:r w:rsidRPr="004B4037">
        <w:rPr>
          <w:iCs/>
        </w:rPr>
        <w:t>Literacy attainment has improved over time for pupils in SIMD 1–2, rising from 55.2% to 69.6%, helping to significantly reduce the attainment gap from 24.0% to 15.5%. However, the gap has widened slightly in 2024/25 after steady reductions, reflecting a stronger increase in SIMD 3–10 compared to SIMD 1–2.</w:t>
      </w:r>
    </w:p>
    <w:p w14:paraId="5235207C" w14:textId="77777777" w:rsidR="004B4037" w:rsidRPr="004B4037" w:rsidRDefault="004B4037" w:rsidP="004B4037">
      <w:pPr>
        <w:spacing w:after="0"/>
      </w:pPr>
    </w:p>
    <w:p w14:paraId="5B2C2729" w14:textId="77777777" w:rsidR="004B4037" w:rsidRDefault="004B4037" w:rsidP="004B4037">
      <w:pPr>
        <w:spacing w:after="0"/>
        <w:rPr>
          <w:iCs/>
        </w:rPr>
      </w:pPr>
      <w:r w:rsidRPr="004B4037">
        <w:rPr>
          <w:iCs/>
        </w:rPr>
        <w:t>The chart below shows numeracy achievement between SIMD 1-2 (most deprived areas) and SIMD 3-10 (least deprived areas) over five years (2020-21 to 2024-25), highlighting the attainment gap.</w:t>
      </w:r>
    </w:p>
    <w:p w14:paraId="43030670" w14:textId="77777777" w:rsidR="004B4037" w:rsidRPr="004B4037" w:rsidRDefault="004B4037" w:rsidP="004B4037">
      <w:pPr>
        <w:spacing w:after="0"/>
        <w:rPr>
          <w:iCs/>
        </w:rPr>
      </w:pPr>
    </w:p>
    <w:p w14:paraId="47E7423C" w14:textId="77777777" w:rsidR="004B4037" w:rsidRPr="004B4037" w:rsidRDefault="004B4037" w:rsidP="004B4037">
      <w:pPr>
        <w:spacing w:after="0"/>
        <w:rPr>
          <w:iCs/>
        </w:rPr>
      </w:pPr>
      <w:r w:rsidRPr="004B4037">
        <w:rPr>
          <w:iCs/>
        </w:rPr>
        <w:t>Numeracy attainment for SIMD 1–2 has improved markedly since 2020/21 (63% to 76.7%), contributing to a substantial reduction in the attainment gap from 21.9% to 11.7%. The gap has narrowed overall but has slightly increased in 2024/25, following a peak reduction in 2023/24.</w:t>
      </w:r>
    </w:p>
    <w:p w14:paraId="0DE4D8AF" w14:textId="77777777" w:rsidR="004B4037" w:rsidRDefault="004B4037" w:rsidP="004B4037">
      <w:pPr>
        <w:spacing w:after="0"/>
        <w:rPr>
          <w:iCs/>
        </w:rPr>
      </w:pPr>
    </w:p>
    <w:p w14:paraId="34DD1D94" w14:textId="77777777" w:rsidR="005C1F7E" w:rsidRDefault="005C1F7E" w:rsidP="004B4037">
      <w:pPr>
        <w:spacing w:after="0"/>
        <w:rPr>
          <w:iCs/>
        </w:rPr>
      </w:pPr>
    </w:p>
    <w:p w14:paraId="0B73CCED" w14:textId="77777777" w:rsidR="005C1F7E" w:rsidRDefault="005C1F7E" w:rsidP="004B4037">
      <w:pPr>
        <w:spacing w:after="0"/>
        <w:rPr>
          <w:iCs/>
        </w:rPr>
      </w:pPr>
    </w:p>
    <w:p w14:paraId="53B11C10" w14:textId="77777777" w:rsidR="005C1F7E" w:rsidRDefault="005C1F7E" w:rsidP="004B4037">
      <w:pPr>
        <w:spacing w:after="0"/>
        <w:rPr>
          <w:iCs/>
        </w:rPr>
      </w:pPr>
    </w:p>
    <w:p w14:paraId="12904BA1" w14:textId="77777777" w:rsidR="005C1F7E" w:rsidRDefault="005C1F7E" w:rsidP="004B4037">
      <w:pPr>
        <w:spacing w:after="0"/>
        <w:rPr>
          <w:iCs/>
        </w:rPr>
      </w:pPr>
    </w:p>
    <w:p w14:paraId="0276B267" w14:textId="77777777" w:rsidR="005C1F7E" w:rsidRDefault="005C1F7E" w:rsidP="004B4037">
      <w:pPr>
        <w:spacing w:after="0"/>
        <w:rPr>
          <w:iCs/>
        </w:rPr>
      </w:pPr>
    </w:p>
    <w:p w14:paraId="7DCA98FC" w14:textId="77777777" w:rsidR="005C1F7E" w:rsidRDefault="005C1F7E" w:rsidP="004B4037">
      <w:pPr>
        <w:spacing w:after="0"/>
        <w:rPr>
          <w:iCs/>
        </w:rPr>
      </w:pPr>
    </w:p>
    <w:p w14:paraId="457C5390" w14:textId="77777777" w:rsidR="005C1F7E" w:rsidRDefault="005C1F7E" w:rsidP="004B4037">
      <w:pPr>
        <w:spacing w:after="0"/>
        <w:rPr>
          <w:iCs/>
        </w:rPr>
      </w:pPr>
    </w:p>
    <w:p w14:paraId="554607F0" w14:textId="77777777" w:rsidR="005C1F7E" w:rsidRDefault="005C1F7E" w:rsidP="004B4037">
      <w:pPr>
        <w:spacing w:after="0"/>
        <w:rPr>
          <w:iCs/>
        </w:rPr>
      </w:pPr>
    </w:p>
    <w:p w14:paraId="1BDF1FBE" w14:textId="77777777" w:rsidR="005C1F7E" w:rsidRDefault="005C1F7E" w:rsidP="004B4037">
      <w:pPr>
        <w:spacing w:after="0"/>
        <w:rPr>
          <w:iCs/>
        </w:rPr>
      </w:pPr>
    </w:p>
    <w:p w14:paraId="1F595FBB" w14:textId="77777777" w:rsidR="004B4037" w:rsidRDefault="004B4037" w:rsidP="004B4037">
      <w:pPr>
        <w:rPr>
          <w:bCs/>
        </w:rPr>
      </w:pPr>
      <w:r>
        <w:rPr>
          <w:rFonts w:ascii="Arial Rounded MT Bold" w:hAnsi="Arial Rounded MT Bold"/>
          <w:i/>
          <w:iCs/>
          <w:color w:val="1F497D" w:themeColor="text2"/>
          <w:sz w:val="20"/>
          <w:szCs w:val="18"/>
        </w:rPr>
        <w:lastRenderedPageBreak/>
        <w:t>% achieving numeracy</w:t>
      </w:r>
      <w:r w:rsidRPr="00964637">
        <w:rPr>
          <w:rFonts w:ascii="Arial Rounded MT Bold" w:hAnsi="Arial Rounded MT Bold"/>
          <w:i/>
          <w:iCs/>
          <w:color w:val="1F497D" w:themeColor="text2"/>
          <w:sz w:val="20"/>
          <w:szCs w:val="18"/>
        </w:rPr>
        <w:t xml:space="preserve"> P1,4,7 by SIMD Band change </w:t>
      </w:r>
      <w:r>
        <w:rPr>
          <w:rFonts w:ascii="Arial Rounded MT Bold" w:hAnsi="Arial Rounded MT Bold"/>
          <w:i/>
          <w:iCs/>
          <w:color w:val="1F497D" w:themeColor="text2"/>
          <w:sz w:val="20"/>
          <w:szCs w:val="18"/>
        </w:rPr>
        <w:t>20</w:t>
      </w:r>
      <w:r w:rsidRPr="00964637">
        <w:rPr>
          <w:rFonts w:ascii="Arial Rounded MT Bold" w:hAnsi="Arial Rounded MT Bold"/>
          <w:i/>
          <w:iCs/>
          <w:color w:val="1F497D" w:themeColor="text2"/>
          <w:sz w:val="20"/>
          <w:szCs w:val="18"/>
        </w:rPr>
        <w:t>-</w:t>
      </w:r>
      <w:r>
        <w:rPr>
          <w:rFonts w:ascii="Arial Rounded MT Bold" w:hAnsi="Arial Rounded MT Bold"/>
          <w:i/>
          <w:iCs/>
          <w:color w:val="1F497D" w:themeColor="text2"/>
          <w:sz w:val="20"/>
          <w:szCs w:val="18"/>
        </w:rPr>
        <w:t>21</w:t>
      </w:r>
      <w:r w:rsidRPr="00964637">
        <w:rPr>
          <w:rFonts w:ascii="Arial Rounded MT Bold" w:hAnsi="Arial Rounded MT Bold"/>
          <w:i/>
          <w:iCs/>
          <w:color w:val="1F497D" w:themeColor="text2"/>
          <w:sz w:val="20"/>
          <w:szCs w:val="18"/>
        </w:rPr>
        <w:t xml:space="preserve"> to 2</w:t>
      </w:r>
      <w:r>
        <w:rPr>
          <w:rFonts w:ascii="Arial Rounded MT Bold" w:hAnsi="Arial Rounded MT Bold"/>
          <w:i/>
          <w:iCs/>
          <w:color w:val="1F497D" w:themeColor="text2"/>
          <w:sz w:val="20"/>
          <w:szCs w:val="18"/>
        </w:rPr>
        <w:t>4</w:t>
      </w:r>
      <w:r w:rsidRPr="00964637">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 (P1,4,7 combined)</w:t>
      </w:r>
    </w:p>
    <w:p w14:paraId="42BA5E94" w14:textId="77777777" w:rsidR="004B4037" w:rsidRDefault="004B4037" w:rsidP="004B4037">
      <w:pPr>
        <w:rPr>
          <w:bCs/>
        </w:rPr>
      </w:pPr>
      <w:r>
        <w:rPr>
          <w:noProof/>
        </w:rPr>
        <w:drawing>
          <wp:inline distT="0" distB="0" distL="0" distR="0" wp14:anchorId="3CB0642F" wp14:editId="56002941">
            <wp:extent cx="6015990" cy="2160104"/>
            <wp:effectExtent l="0" t="0" r="3810" b="12065"/>
            <wp:docPr id="1444091882" name="Chart 1">
              <a:extLst xmlns:a="http://schemas.openxmlformats.org/drawingml/2006/main">
                <a:ext uri="{FF2B5EF4-FFF2-40B4-BE49-F238E27FC236}">
                  <a16:creationId xmlns:a16="http://schemas.microsoft.com/office/drawing/2014/main" id="{F8046E2F-0AC4-4FE5-CC28-4DA4F95F8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56B1E75" w14:textId="77777777" w:rsidR="004B4037" w:rsidRDefault="004B4037" w:rsidP="004B4037">
      <w:pPr>
        <w:spacing w:after="0"/>
        <w:rPr>
          <w:b/>
        </w:rPr>
      </w:pPr>
    </w:p>
    <w:p w14:paraId="397C4E1E" w14:textId="77777777" w:rsidR="004B4037" w:rsidRPr="00AF4A29" w:rsidRDefault="004B4037" w:rsidP="004B4037">
      <w:pPr>
        <w:spacing w:after="0"/>
        <w:rPr>
          <w:b/>
        </w:rPr>
      </w:pPr>
      <w:r>
        <w:rPr>
          <w:b/>
        </w:rPr>
        <w:t>INSIGHT</w:t>
      </w:r>
      <w:r w:rsidRPr="00AF4A29">
        <w:rPr>
          <w:b/>
        </w:rPr>
        <w:t>: Awards at</w:t>
      </w:r>
      <w:r>
        <w:rPr>
          <w:b/>
        </w:rPr>
        <w:t xml:space="preserve"> SCQF</w:t>
      </w:r>
      <w:r w:rsidRPr="00AF4A29">
        <w:rPr>
          <w:b/>
        </w:rPr>
        <w:t xml:space="preserve"> </w:t>
      </w:r>
      <w:r>
        <w:rPr>
          <w:b/>
        </w:rPr>
        <w:t>l</w:t>
      </w:r>
      <w:r w:rsidRPr="00AF4A29">
        <w:rPr>
          <w:b/>
        </w:rPr>
        <w:t>evel 5 and 6</w:t>
      </w:r>
    </w:p>
    <w:p w14:paraId="70CD96AF" w14:textId="77777777" w:rsidR="004B4037" w:rsidRPr="00AF4A29" w:rsidRDefault="004B4037" w:rsidP="004B4037">
      <w:pPr>
        <w:spacing w:after="0"/>
        <w:rPr>
          <w:b/>
        </w:rPr>
      </w:pPr>
    </w:p>
    <w:p w14:paraId="1A1AA3D9" w14:textId="21E960FD" w:rsidR="004B4037" w:rsidRPr="004B4037" w:rsidRDefault="004B4037" w:rsidP="004B4037">
      <w:r w:rsidRPr="004B4037">
        <w:t xml:space="preserve">Insight is the professional benchmarking tool for analysing attainment data in the senior phase, accessible by secondary schools and local authorities. It is designed to support </w:t>
      </w:r>
      <w:r w:rsidR="002113BB" w:rsidRPr="004B4037">
        <w:t>self-evaluation</w:t>
      </w:r>
      <w:r w:rsidRPr="004B4037">
        <w:t xml:space="preserve"> and provide schools with their attainment information in a format that makes it straightforward to identify possible areas for improvement for young people in S4 to S6.</w:t>
      </w:r>
    </w:p>
    <w:p w14:paraId="0B0C8172" w14:textId="77777777" w:rsidR="004B4037" w:rsidRPr="004B4037" w:rsidRDefault="004B4037" w:rsidP="004B4037">
      <w:r w:rsidRPr="004B4037">
        <w:t xml:space="preserve">The following charts are a sample from the Insight suite of indicators which relate to the achievement of awards at SCQF level 5 and 6 for senior phase pupils. </w:t>
      </w:r>
    </w:p>
    <w:p w14:paraId="79CE9C12" w14:textId="77777777" w:rsidR="004B4037" w:rsidRPr="004B4037" w:rsidRDefault="004B4037" w:rsidP="004B4037">
      <w:r w:rsidRPr="004B4037">
        <w:t>The data highlights pupil achievement across four key metrics.</w:t>
      </w:r>
      <w:r w:rsidRPr="004B4037">
        <w:rPr>
          <w:rFonts w:asciiTheme="minorHAnsi" w:eastAsiaTheme="minorEastAsia" w:hAnsi="Aptos Narrow" w:cstheme="minorBidi"/>
          <w:color w:val="000000" w:themeColor="dark1"/>
          <w:lang w:eastAsia="en-GB"/>
        </w:rPr>
        <w:t xml:space="preserve"> </w:t>
      </w:r>
      <w:r w:rsidRPr="004B4037">
        <w:t>Overall, Inverclyde’s performance shows some fluctuation across the period and is generally in line with or slightly below national levels, particularly in recent years. Attainment at Level 5 has declined since a peak in 2021/22 and now sits below the national figure, while Level 6 attainment remains consistently below national levels, despite a slight improvement in 2024/25.</w:t>
      </w:r>
    </w:p>
    <w:p w14:paraId="359F31FB" w14:textId="59D17A96" w:rsidR="004B4037" w:rsidRPr="004B4037" w:rsidRDefault="004B4037" w:rsidP="004B4037">
      <w:r w:rsidRPr="004B4037">
        <w:t>For pupils from the most deprived areas, Inverclyde demonstrates a stronger position at Level 5, consistently outperforming national figures. However, at Level 6, performance is more mixed, aligning with or falling slightly below national levels in the most recent years.</w:t>
      </w:r>
    </w:p>
    <w:p w14:paraId="54A1F149" w14:textId="77777777" w:rsidR="004B4037" w:rsidRDefault="004B4037" w:rsidP="004B4037">
      <w:pPr>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905C58">
        <w:rPr>
          <w:rFonts w:ascii="Arial Rounded MT Bold" w:hAnsi="Arial Rounded MT Bold"/>
          <w:i/>
          <w:iCs/>
          <w:color w:val="1F497D" w:themeColor="text2"/>
          <w:sz w:val="20"/>
          <w:szCs w:val="18"/>
        </w:rPr>
        <w:t xml:space="preserve"> of pupils gaining 5+ awards at Level 5</w:t>
      </w:r>
    </w:p>
    <w:p w14:paraId="63B26E5C" w14:textId="77777777" w:rsidR="004B4037" w:rsidRDefault="004B4037" w:rsidP="004B4037">
      <w:pPr>
        <w:rPr>
          <w:noProof/>
          <w:lang w:eastAsia="en-GB"/>
        </w:rPr>
      </w:pPr>
      <w:r>
        <w:rPr>
          <w:noProof/>
        </w:rPr>
        <w:drawing>
          <wp:inline distT="0" distB="0" distL="0" distR="0" wp14:anchorId="5F3B75B5" wp14:editId="071F8B75">
            <wp:extent cx="6015600" cy="2383200"/>
            <wp:effectExtent l="0" t="0" r="4445" b="17145"/>
            <wp:docPr id="306717601" name="Chart 1">
              <a:extLst xmlns:a="http://schemas.openxmlformats.org/drawingml/2006/main">
                <a:ext uri="{FF2B5EF4-FFF2-40B4-BE49-F238E27FC236}">
                  <a16:creationId xmlns:a16="http://schemas.microsoft.com/office/drawing/2014/main" id="{BAF6E399-3134-E6DA-2ACD-4A8C84DAE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F40AE64" w14:textId="77777777" w:rsidR="004B4037" w:rsidRDefault="004B4037" w:rsidP="004B4037">
      <w:pPr>
        <w:rPr>
          <w:b/>
          <w:i/>
          <w:color w:val="548DD4" w:themeColor="text2" w:themeTint="99"/>
          <w:sz w:val="18"/>
          <w:szCs w:val="18"/>
        </w:rPr>
      </w:pPr>
      <w:r>
        <w:rPr>
          <w:b/>
          <w:i/>
          <w:color w:val="548DD4" w:themeColor="text2" w:themeTint="99"/>
          <w:sz w:val="18"/>
          <w:szCs w:val="18"/>
        </w:rPr>
        <w:lastRenderedPageBreak/>
        <w:t>Source: Insight</w:t>
      </w:r>
      <w:r w:rsidRPr="007E0E97">
        <w:rPr>
          <w:b/>
          <w:i/>
          <w:color w:val="548DD4" w:themeColor="text2" w:themeTint="99"/>
          <w:sz w:val="18"/>
          <w:szCs w:val="18"/>
        </w:rPr>
        <w:t>, 202</w:t>
      </w:r>
      <w:r>
        <w:rPr>
          <w:b/>
          <w:i/>
          <w:color w:val="548DD4" w:themeColor="text2" w:themeTint="99"/>
          <w:sz w:val="18"/>
          <w:szCs w:val="18"/>
        </w:rPr>
        <w:t>5 (Breadth &amp; Depth All Candidates)</w:t>
      </w:r>
    </w:p>
    <w:p w14:paraId="7F6F0C8A" w14:textId="77777777" w:rsidR="004B4037" w:rsidRDefault="004B4037" w:rsidP="004B4037">
      <w:pPr>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905C58">
        <w:rPr>
          <w:rFonts w:ascii="Arial Rounded MT Bold" w:hAnsi="Arial Rounded MT Bold"/>
          <w:i/>
          <w:iCs/>
          <w:color w:val="1F497D" w:themeColor="text2"/>
          <w:sz w:val="20"/>
          <w:szCs w:val="18"/>
        </w:rPr>
        <w:t xml:space="preserve"> of pupils gaining 5+ awards at Level 6</w:t>
      </w:r>
    </w:p>
    <w:p w14:paraId="6240FEA5" w14:textId="77777777" w:rsidR="004B4037" w:rsidRDefault="004B4037" w:rsidP="004B4037">
      <w:pPr>
        <w:rPr>
          <w:b/>
          <w:i/>
          <w:color w:val="548DD4" w:themeColor="text2" w:themeTint="99"/>
          <w:sz w:val="18"/>
          <w:szCs w:val="18"/>
        </w:rPr>
      </w:pPr>
      <w:r>
        <w:rPr>
          <w:noProof/>
        </w:rPr>
        <w:drawing>
          <wp:inline distT="0" distB="0" distL="0" distR="0" wp14:anchorId="6035ADCA" wp14:editId="0659179F">
            <wp:extent cx="6015600" cy="2383200"/>
            <wp:effectExtent l="0" t="0" r="4445" b="17145"/>
            <wp:docPr id="740142349" name="Chart 1">
              <a:extLst xmlns:a="http://schemas.openxmlformats.org/drawingml/2006/main">
                <a:ext uri="{FF2B5EF4-FFF2-40B4-BE49-F238E27FC236}">
                  <a16:creationId xmlns:a16="http://schemas.microsoft.com/office/drawing/2014/main" id="{BBFAEB0E-0B94-167B-32B1-D5553106A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275EB29" w14:textId="77777777" w:rsidR="004B4037" w:rsidRDefault="004B4037" w:rsidP="004B4037">
      <w:pPr>
        <w:rPr>
          <w:b/>
          <w:i/>
          <w:color w:val="548DD4" w:themeColor="text2" w:themeTint="99"/>
          <w:sz w:val="18"/>
          <w:szCs w:val="18"/>
        </w:rPr>
      </w:pPr>
      <w:r>
        <w:rPr>
          <w:b/>
          <w:i/>
          <w:color w:val="548DD4" w:themeColor="text2" w:themeTint="99"/>
          <w:sz w:val="18"/>
          <w:szCs w:val="18"/>
        </w:rPr>
        <w:t>Source: Insight</w:t>
      </w:r>
      <w:r w:rsidRPr="007E0E97">
        <w:rPr>
          <w:b/>
          <w:i/>
          <w:color w:val="548DD4" w:themeColor="text2" w:themeTint="99"/>
          <w:sz w:val="18"/>
          <w:szCs w:val="18"/>
        </w:rPr>
        <w:t>, 202</w:t>
      </w:r>
      <w:r>
        <w:rPr>
          <w:b/>
          <w:i/>
          <w:color w:val="548DD4" w:themeColor="text2" w:themeTint="99"/>
          <w:sz w:val="18"/>
          <w:szCs w:val="18"/>
        </w:rPr>
        <w:t>5 (Breadth &amp; Depth All Candidates)</w:t>
      </w:r>
    </w:p>
    <w:p w14:paraId="30CB8153" w14:textId="77777777" w:rsidR="004B4037" w:rsidRDefault="004B4037" w:rsidP="004B4037">
      <w:pPr>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905C58">
        <w:rPr>
          <w:rFonts w:ascii="Arial Rounded MT Bold" w:hAnsi="Arial Rounded MT Bold"/>
          <w:i/>
          <w:iCs/>
          <w:color w:val="1F497D" w:themeColor="text2"/>
          <w:sz w:val="20"/>
          <w:szCs w:val="18"/>
        </w:rPr>
        <w:t xml:space="preserve"> of pupils living in the 20% most deprived areas gaining 5+ awards at level </w:t>
      </w:r>
      <w:r>
        <w:rPr>
          <w:rFonts w:ascii="Arial Rounded MT Bold" w:hAnsi="Arial Rounded MT Bold"/>
          <w:i/>
          <w:iCs/>
          <w:color w:val="1F497D" w:themeColor="text2"/>
          <w:sz w:val="20"/>
          <w:szCs w:val="18"/>
        </w:rPr>
        <w:t>5</w:t>
      </w:r>
    </w:p>
    <w:p w14:paraId="0A2D29B1" w14:textId="77777777" w:rsidR="004B4037" w:rsidRDefault="004B4037" w:rsidP="004B4037">
      <w:pPr>
        <w:rPr>
          <w:rFonts w:ascii="Arial Rounded MT Bold" w:hAnsi="Arial Rounded MT Bold"/>
          <w:i/>
          <w:iCs/>
          <w:color w:val="1F497D" w:themeColor="text2"/>
          <w:sz w:val="20"/>
          <w:szCs w:val="18"/>
        </w:rPr>
      </w:pPr>
      <w:r>
        <w:rPr>
          <w:noProof/>
        </w:rPr>
        <w:drawing>
          <wp:inline distT="0" distB="0" distL="0" distR="0" wp14:anchorId="22EBDE32" wp14:editId="4DB7D6D1">
            <wp:extent cx="6015600" cy="2383200"/>
            <wp:effectExtent l="0" t="0" r="4445" b="17145"/>
            <wp:docPr id="225345274" name="Chart 1">
              <a:extLst xmlns:a="http://schemas.openxmlformats.org/drawingml/2006/main">
                <a:ext uri="{FF2B5EF4-FFF2-40B4-BE49-F238E27FC236}">
                  <a16:creationId xmlns:a16="http://schemas.microsoft.com/office/drawing/2014/main" id="{F0435087-13D7-18D4-05C4-596F0C691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1A52B4B" w14:textId="77777777" w:rsidR="004B4037" w:rsidRDefault="004B4037" w:rsidP="004B4037">
      <w:pPr>
        <w:rPr>
          <w:b/>
          <w:i/>
          <w:color w:val="548DD4" w:themeColor="text2" w:themeTint="99"/>
          <w:sz w:val="18"/>
          <w:szCs w:val="18"/>
        </w:rPr>
      </w:pPr>
      <w:r>
        <w:rPr>
          <w:b/>
          <w:i/>
          <w:color w:val="548DD4" w:themeColor="text2" w:themeTint="99"/>
          <w:sz w:val="18"/>
          <w:szCs w:val="18"/>
        </w:rPr>
        <w:t>Source: Insight</w:t>
      </w:r>
      <w:r w:rsidRPr="007E0E97">
        <w:rPr>
          <w:b/>
          <w:i/>
          <w:color w:val="548DD4" w:themeColor="text2" w:themeTint="99"/>
          <w:sz w:val="18"/>
          <w:szCs w:val="18"/>
        </w:rPr>
        <w:t>, 202</w:t>
      </w:r>
      <w:r>
        <w:rPr>
          <w:b/>
          <w:i/>
          <w:color w:val="548DD4" w:themeColor="text2" w:themeTint="99"/>
          <w:sz w:val="18"/>
          <w:szCs w:val="18"/>
        </w:rPr>
        <w:t>5 (Breadth &amp; Depth All Candidates)</w:t>
      </w:r>
    </w:p>
    <w:p w14:paraId="6BCBD031" w14:textId="77777777" w:rsidR="005C1F7E" w:rsidRDefault="005C1F7E" w:rsidP="004B4037">
      <w:pPr>
        <w:rPr>
          <w:rFonts w:ascii="Arial Rounded MT Bold" w:hAnsi="Arial Rounded MT Bold"/>
          <w:i/>
          <w:iCs/>
          <w:color w:val="1F497D" w:themeColor="text2"/>
          <w:sz w:val="20"/>
          <w:szCs w:val="18"/>
        </w:rPr>
      </w:pPr>
    </w:p>
    <w:p w14:paraId="3D2958CF" w14:textId="77777777" w:rsidR="005C1F7E" w:rsidRDefault="005C1F7E" w:rsidP="004B4037">
      <w:pPr>
        <w:rPr>
          <w:rFonts w:ascii="Arial Rounded MT Bold" w:hAnsi="Arial Rounded MT Bold"/>
          <w:i/>
          <w:iCs/>
          <w:color w:val="1F497D" w:themeColor="text2"/>
          <w:sz w:val="20"/>
          <w:szCs w:val="18"/>
        </w:rPr>
      </w:pPr>
    </w:p>
    <w:p w14:paraId="315E029B" w14:textId="77777777" w:rsidR="005C1F7E" w:rsidRDefault="005C1F7E" w:rsidP="004B4037">
      <w:pPr>
        <w:rPr>
          <w:rFonts w:ascii="Arial Rounded MT Bold" w:hAnsi="Arial Rounded MT Bold"/>
          <w:i/>
          <w:iCs/>
          <w:color w:val="1F497D" w:themeColor="text2"/>
          <w:sz w:val="20"/>
          <w:szCs w:val="18"/>
        </w:rPr>
      </w:pPr>
    </w:p>
    <w:p w14:paraId="7A0D9DDF" w14:textId="77777777" w:rsidR="005C1F7E" w:rsidRDefault="005C1F7E" w:rsidP="004B4037">
      <w:pPr>
        <w:rPr>
          <w:rFonts w:ascii="Arial Rounded MT Bold" w:hAnsi="Arial Rounded MT Bold"/>
          <w:i/>
          <w:iCs/>
          <w:color w:val="1F497D" w:themeColor="text2"/>
          <w:sz w:val="20"/>
          <w:szCs w:val="18"/>
        </w:rPr>
      </w:pPr>
    </w:p>
    <w:p w14:paraId="615C4B86" w14:textId="77777777" w:rsidR="005C1F7E" w:rsidRDefault="005C1F7E" w:rsidP="004B4037">
      <w:pPr>
        <w:rPr>
          <w:rFonts w:ascii="Arial Rounded MT Bold" w:hAnsi="Arial Rounded MT Bold"/>
          <w:i/>
          <w:iCs/>
          <w:color w:val="1F497D" w:themeColor="text2"/>
          <w:sz w:val="20"/>
          <w:szCs w:val="18"/>
        </w:rPr>
      </w:pPr>
    </w:p>
    <w:p w14:paraId="62E51D20" w14:textId="77777777" w:rsidR="005C1F7E" w:rsidRDefault="005C1F7E" w:rsidP="004B4037">
      <w:pPr>
        <w:rPr>
          <w:rFonts w:ascii="Arial Rounded MT Bold" w:hAnsi="Arial Rounded MT Bold"/>
          <w:i/>
          <w:iCs/>
          <w:color w:val="1F497D" w:themeColor="text2"/>
          <w:sz w:val="20"/>
          <w:szCs w:val="18"/>
        </w:rPr>
      </w:pPr>
    </w:p>
    <w:p w14:paraId="00C500B7" w14:textId="77777777" w:rsidR="005C1F7E" w:rsidRDefault="005C1F7E" w:rsidP="004B4037">
      <w:pPr>
        <w:rPr>
          <w:rFonts w:ascii="Arial Rounded MT Bold" w:hAnsi="Arial Rounded MT Bold"/>
          <w:i/>
          <w:iCs/>
          <w:color w:val="1F497D" w:themeColor="text2"/>
          <w:sz w:val="20"/>
          <w:szCs w:val="18"/>
        </w:rPr>
      </w:pPr>
    </w:p>
    <w:p w14:paraId="76936820" w14:textId="77777777" w:rsidR="005C1F7E" w:rsidRDefault="005C1F7E" w:rsidP="004B4037">
      <w:pPr>
        <w:rPr>
          <w:rFonts w:ascii="Arial Rounded MT Bold" w:hAnsi="Arial Rounded MT Bold"/>
          <w:i/>
          <w:iCs/>
          <w:color w:val="1F497D" w:themeColor="text2"/>
          <w:sz w:val="20"/>
          <w:szCs w:val="18"/>
        </w:rPr>
      </w:pPr>
    </w:p>
    <w:p w14:paraId="19D5930A" w14:textId="77777777" w:rsidR="005C1F7E" w:rsidRDefault="005C1F7E" w:rsidP="004B4037">
      <w:pPr>
        <w:rPr>
          <w:rFonts w:ascii="Arial Rounded MT Bold" w:hAnsi="Arial Rounded MT Bold"/>
          <w:i/>
          <w:iCs/>
          <w:color w:val="1F497D" w:themeColor="text2"/>
          <w:sz w:val="20"/>
          <w:szCs w:val="18"/>
        </w:rPr>
      </w:pPr>
    </w:p>
    <w:p w14:paraId="387A945E" w14:textId="100E90CC" w:rsidR="004B4037" w:rsidRDefault="004B4037" w:rsidP="004B4037">
      <w:pPr>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lastRenderedPageBreak/>
        <w:t xml:space="preserve">Percentage </w:t>
      </w:r>
      <w:r w:rsidRPr="00905C58">
        <w:rPr>
          <w:rFonts w:ascii="Arial Rounded MT Bold" w:hAnsi="Arial Rounded MT Bold"/>
          <w:i/>
          <w:iCs/>
          <w:color w:val="1F497D" w:themeColor="text2"/>
          <w:sz w:val="20"/>
          <w:szCs w:val="18"/>
        </w:rPr>
        <w:t xml:space="preserve">of pupils living in the 20% most deprived areas gaining 5+ awards at level </w:t>
      </w:r>
      <w:r>
        <w:rPr>
          <w:rFonts w:ascii="Arial Rounded MT Bold" w:hAnsi="Arial Rounded MT Bold"/>
          <w:i/>
          <w:iCs/>
          <w:color w:val="1F497D" w:themeColor="text2"/>
          <w:sz w:val="20"/>
          <w:szCs w:val="18"/>
        </w:rPr>
        <w:t>6</w:t>
      </w:r>
    </w:p>
    <w:p w14:paraId="519AB5DC" w14:textId="77777777" w:rsidR="004B4037" w:rsidRDefault="004B4037" w:rsidP="004B4037">
      <w:pPr>
        <w:rPr>
          <w:noProof/>
          <w:lang w:eastAsia="en-GB"/>
        </w:rPr>
      </w:pPr>
      <w:r>
        <w:rPr>
          <w:noProof/>
        </w:rPr>
        <w:drawing>
          <wp:inline distT="0" distB="0" distL="0" distR="0" wp14:anchorId="20B8E1AD" wp14:editId="6FB663D7">
            <wp:extent cx="6015600" cy="2383200"/>
            <wp:effectExtent l="0" t="0" r="4445" b="17145"/>
            <wp:docPr id="1073088214" name="Chart 1">
              <a:extLst xmlns:a="http://schemas.openxmlformats.org/drawingml/2006/main">
                <a:ext uri="{FF2B5EF4-FFF2-40B4-BE49-F238E27FC236}">
                  <a16:creationId xmlns:a16="http://schemas.microsoft.com/office/drawing/2014/main" id="{C9A4CD70-556E-5EE2-5371-7A4BF8B337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905C58">
        <w:rPr>
          <w:noProof/>
          <w:lang w:eastAsia="en-GB"/>
        </w:rPr>
        <w:t xml:space="preserve"> </w:t>
      </w:r>
    </w:p>
    <w:p w14:paraId="373FAAD0" w14:textId="77777777" w:rsidR="004B4037" w:rsidRDefault="004B4037" w:rsidP="004B4037">
      <w:pPr>
        <w:rPr>
          <w:b/>
          <w:i/>
          <w:color w:val="548DD4" w:themeColor="text2" w:themeTint="99"/>
          <w:sz w:val="18"/>
          <w:szCs w:val="18"/>
        </w:rPr>
      </w:pPr>
      <w:r>
        <w:rPr>
          <w:b/>
          <w:i/>
          <w:color w:val="548DD4" w:themeColor="text2" w:themeTint="99"/>
          <w:sz w:val="18"/>
          <w:szCs w:val="18"/>
        </w:rPr>
        <w:t>Source: Insight</w:t>
      </w:r>
      <w:r w:rsidRPr="007E0E97">
        <w:rPr>
          <w:b/>
          <w:i/>
          <w:color w:val="548DD4" w:themeColor="text2" w:themeTint="99"/>
          <w:sz w:val="18"/>
          <w:szCs w:val="18"/>
        </w:rPr>
        <w:t>, 202</w:t>
      </w:r>
      <w:r>
        <w:rPr>
          <w:b/>
          <w:i/>
          <w:color w:val="548DD4" w:themeColor="text2" w:themeTint="99"/>
          <w:sz w:val="18"/>
          <w:szCs w:val="18"/>
        </w:rPr>
        <w:t>5 (Breadth &amp; Depth All Candidates)</w:t>
      </w:r>
    </w:p>
    <w:p w14:paraId="2088CB00" w14:textId="77777777" w:rsidR="004B4037" w:rsidRDefault="004B4037" w:rsidP="004B4037">
      <w:pPr>
        <w:rPr>
          <w:b/>
          <w:sz w:val="28"/>
          <w:szCs w:val="28"/>
        </w:rPr>
      </w:pPr>
      <w:r>
        <w:rPr>
          <w:b/>
          <w:sz w:val="28"/>
          <w:szCs w:val="28"/>
        </w:rPr>
        <w:br w:type="page"/>
      </w:r>
    </w:p>
    <w:p w14:paraId="3AE085E2" w14:textId="77777777" w:rsidR="004B4037" w:rsidRDefault="004B4037" w:rsidP="004B4037">
      <w:pPr>
        <w:tabs>
          <w:tab w:val="left" w:pos="2505"/>
        </w:tabs>
        <w:spacing w:after="0"/>
        <w:rPr>
          <w:b/>
          <w:sz w:val="28"/>
          <w:szCs w:val="28"/>
        </w:rPr>
      </w:pPr>
      <w:r>
        <w:rPr>
          <w:b/>
          <w:sz w:val="28"/>
          <w:szCs w:val="28"/>
        </w:rPr>
        <w:lastRenderedPageBreak/>
        <w:t>INSIGHT Comparison Leavers Data</w:t>
      </w:r>
    </w:p>
    <w:p w14:paraId="527D027F" w14:textId="77777777" w:rsidR="004B4037" w:rsidRPr="00AF4A29" w:rsidRDefault="004B4037" w:rsidP="004B4037">
      <w:pPr>
        <w:tabs>
          <w:tab w:val="left" w:pos="2505"/>
        </w:tabs>
        <w:spacing w:after="0"/>
        <w:rPr>
          <w:b/>
          <w:bCs/>
          <w:u w:val="single"/>
        </w:rPr>
      </w:pPr>
      <w:r w:rsidRPr="00AF4A29">
        <w:rPr>
          <w:b/>
          <w:bCs/>
          <w:u w:val="single"/>
        </w:rPr>
        <w:t>National Benchmarking Measure: Literacy &amp; Numeracy</w:t>
      </w:r>
    </w:p>
    <w:p w14:paraId="20D5A259" w14:textId="77777777" w:rsidR="004B4037" w:rsidRPr="00AF4A29" w:rsidRDefault="004B4037" w:rsidP="004B4037">
      <w:pPr>
        <w:tabs>
          <w:tab w:val="left" w:pos="2505"/>
        </w:tabs>
        <w:spacing w:after="0"/>
      </w:pPr>
    </w:p>
    <w:p w14:paraId="3EC1EC80" w14:textId="77777777" w:rsidR="004B4037" w:rsidRPr="004B4037" w:rsidRDefault="004B4037" w:rsidP="004B4037">
      <w:pPr>
        <w:tabs>
          <w:tab w:val="left" w:pos="2505"/>
        </w:tabs>
        <w:spacing w:after="0"/>
        <w:jc w:val="both"/>
      </w:pPr>
      <w:r w:rsidRPr="004B4037">
        <w:t>This set of charts presents the performance of school leavers achieving SCQF Level 4 and Level 5 in Literacy and Numeracy over time, compared to national figures.</w:t>
      </w:r>
    </w:p>
    <w:p w14:paraId="309ABEDF" w14:textId="77777777" w:rsidR="004B4037" w:rsidRPr="004B4037" w:rsidRDefault="004B4037" w:rsidP="004B4037">
      <w:pPr>
        <w:tabs>
          <w:tab w:val="left" w:pos="2505"/>
        </w:tabs>
        <w:spacing w:after="0"/>
        <w:jc w:val="both"/>
      </w:pPr>
      <w:r w:rsidRPr="004B4037">
        <w:t>Overall, Inverclyde demonstrates consistently strong performance across both Literacy and Numeracy at Levels 4 and 5, maintaining a clear and sustained advantage over national averages. While there are minor year-on-year fluctuations, attainment remains high, particularly at Level 4 where performance is consistently above 90%.</w:t>
      </w:r>
    </w:p>
    <w:p w14:paraId="3B9938B8" w14:textId="77777777" w:rsidR="004B4037" w:rsidRPr="004B4037" w:rsidRDefault="004B4037" w:rsidP="004B4037">
      <w:pPr>
        <w:tabs>
          <w:tab w:val="left" w:pos="2505"/>
        </w:tabs>
        <w:spacing w:after="0"/>
        <w:jc w:val="both"/>
      </w:pPr>
    </w:p>
    <w:p w14:paraId="0021BE2B" w14:textId="77777777" w:rsidR="004B4037" w:rsidRPr="004B4037" w:rsidRDefault="004B4037" w:rsidP="00364711">
      <w:pPr>
        <w:pStyle w:val="ListParagraph"/>
        <w:numPr>
          <w:ilvl w:val="0"/>
          <w:numId w:val="6"/>
        </w:numPr>
        <w:tabs>
          <w:tab w:val="left" w:pos="2505"/>
        </w:tabs>
        <w:spacing w:after="0"/>
        <w:jc w:val="both"/>
      </w:pPr>
      <w:r w:rsidRPr="004B4037">
        <w:t>Inverclyde outperforms national figures across all measures, with the gap particularly notable in Literacy at both Level 4 and Level 5.</w:t>
      </w:r>
    </w:p>
    <w:p w14:paraId="29892A80" w14:textId="77777777" w:rsidR="004B4037" w:rsidRPr="004B4037" w:rsidRDefault="004B4037" w:rsidP="00364711">
      <w:pPr>
        <w:pStyle w:val="ListParagraph"/>
        <w:numPr>
          <w:ilvl w:val="0"/>
          <w:numId w:val="6"/>
        </w:numPr>
        <w:tabs>
          <w:tab w:val="left" w:pos="2505"/>
        </w:tabs>
        <w:spacing w:after="0"/>
        <w:jc w:val="both"/>
      </w:pPr>
      <w:r w:rsidRPr="004B4037">
        <w:t>Performance at Level 5 shows some variation over time, but recent data indicates an upward trend, especially Numeracy.</w:t>
      </w:r>
    </w:p>
    <w:p w14:paraId="0E3030CB" w14:textId="77777777" w:rsidR="004B4037" w:rsidRPr="004B4037" w:rsidRDefault="004B4037" w:rsidP="00364711">
      <w:pPr>
        <w:pStyle w:val="ListParagraph"/>
        <w:numPr>
          <w:ilvl w:val="0"/>
          <w:numId w:val="6"/>
        </w:numPr>
        <w:tabs>
          <w:tab w:val="left" w:pos="2505"/>
        </w:tabs>
        <w:spacing w:after="0"/>
        <w:jc w:val="both"/>
      </w:pPr>
      <w:r w:rsidRPr="004B4037">
        <w:t>Level 4 attainment remains consistently high and stable.</w:t>
      </w:r>
    </w:p>
    <w:p w14:paraId="69CC97C3" w14:textId="77777777" w:rsidR="004B4037" w:rsidRPr="004B4037" w:rsidRDefault="004B4037" w:rsidP="004B4037">
      <w:pPr>
        <w:tabs>
          <w:tab w:val="left" w:pos="2505"/>
        </w:tabs>
        <w:spacing w:after="0"/>
        <w:jc w:val="both"/>
      </w:pPr>
    </w:p>
    <w:p w14:paraId="68E700A2" w14:textId="77777777" w:rsidR="004B4037" w:rsidRPr="00AF4A29" w:rsidRDefault="004B4037" w:rsidP="004B4037">
      <w:pPr>
        <w:tabs>
          <w:tab w:val="left" w:pos="2505"/>
        </w:tabs>
        <w:spacing w:after="0"/>
        <w:jc w:val="both"/>
      </w:pPr>
      <w:r w:rsidRPr="004B4037">
        <w:t>Overall Inverclyde has maintained a strong and consistent position above the national average across all measures.</w:t>
      </w:r>
      <w:r w:rsidRPr="00AF4A29">
        <w:t xml:space="preserve">  </w:t>
      </w:r>
    </w:p>
    <w:p w14:paraId="01103D2B" w14:textId="77777777" w:rsidR="004B4037" w:rsidRDefault="004B4037" w:rsidP="004B4037">
      <w:pPr>
        <w:tabs>
          <w:tab w:val="left" w:pos="2505"/>
        </w:tabs>
        <w:spacing w:after="0"/>
        <w:jc w:val="both"/>
        <w:rPr>
          <w:rFonts w:ascii="Arial Rounded MT Bold" w:hAnsi="Arial Rounded MT Bold"/>
          <w:i/>
          <w:iCs/>
          <w:color w:val="1F497D" w:themeColor="text2"/>
          <w:sz w:val="20"/>
          <w:szCs w:val="18"/>
        </w:rPr>
      </w:pPr>
    </w:p>
    <w:p w14:paraId="670746D4" w14:textId="77777777" w:rsidR="004B4037" w:rsidRDefault="004B4037" w:rsidP="004B4037">
      <w:pPr>
        <w:tabs>
          <w:tab w:val="left" w:pos="2505"/>
        </w:tabs>
        <w:spacing w:after="0"/>
        <w:jc w:val="both"/>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340CC9">
        <w:rPr>
          <w:rFonts w:ascii="Arial Rounded MT Bold" w:hAnsi="Arial Rounded MT Bold"/>
          <w:i/>
          <w:iCs/>
          <w:color w:val="1F497D" w:themeColor="text2"/>
          <w:sz w:val="20"/>
          <w:szCs w:val="18"/>
        </w:rPr>
        <w:t xml:space="preserve"> of leavers achieving level 4 and 5 in literacy and numeracy</w:t>
      </w:r>
    </w:p>
    <w:p w14:paraId="1D35134D" w14:textId="77777777" w:rsidR="004B4037" w:rsidRDefault="004B4037" w:rsidP="004B4037">
      <w:pPr>
        <w:tabs>
          <w:tab w:val="left" w:pos="2505"/>
        </w:tabs>
        <w:spacing w:after="0"/>
        <w:jc w:val="both"/>
        <w:rPr>
          <w:rFonts w:ascii="Arial Rounded MT Bold" w:hAnsi="Arial Rounded MT Bold"/>
          <w:i/>
          <w:iCs/>
          <w:color w:val="1F497D" w:themeColor="text2"/>
          <w:sz w:val="20"/>
          <w:szCs w:val="18"/>
        </w:rPr>
      </w:pPr>
      <w:r>
        <w:rPr>
          <w:noProof/>
        </w:rPr>
        <w:drawing>
          <wp:inline distT="0" distB="0" distL="0" distR="0" wp14:anchorId="43211F93" wp14:editId="68C5169A">
            <wp:extent cx="6015990" cy="3846830"/>
            <wp:effectExtent l="0" t="0" r="3810" b="1270"/>
            <wp:docPr id="1832161565" name="Chart 1">
              <a:extLst xmlns:a="http://schemas.openxmlformats.org/drawingml/2006/main">
                <a:ext uri="{FF2B5EF4-FFF2-40B4-BE49-F238E27FC236}">
                  <a16:creationId xmlns:a16="http://schemas.microsoft.com/office/drawing/2014/main" id="{CDC2716D-511F-40F7-B077-CF6F18A4B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8323F93" w14:textId="77777777" w:rsidR="004B4037" w:rsidRPr="00E54279" w:rsidRDefault="004B4037" w:rsidP="004B4037">
      <w:pPr>
        <w:tabs>
          <w:tab w:val="left" w:pos="2505"/>
        </w:tabs>
        <w:spacing w:after="0"/>
        <w:jc w:val="both"/>
        <w:rPr>
          <w:rFonts w:ascii="Arial Rounded MT Bold" w:hAnsi="Arial Rounded MT Bold"/>
          <w:i/>
          <w:iCs/>
          <w:color w:val="1F497D" w:themeColor="text2"/>
          <w:sz w:val="20"/>
          <w:szCs w:val="18"/>
        </w:rPr>
      </w:pPr>
    </w:p>
    <w:p w14:paraId="5ABDB2A2" w14:textId="77777777" w:rsidR="004B4037" w:rsidRPr="00234DE9" w:rsidRDefault="004B4037" w:rsidP="004B4037">
      <w:pPr>
        <w:tabs>
          <w:tab w:val="left" w:pos="2505"/>
        </w:tabs>
        <w:spacing w:after="0"/>
        <w:jc w:val="both"/>
        <w:rPr>
          <w:i/>
          <w:iCs/>
          <w:color w:val="0F243E" w:themeColor="text2" w:themeShade="80"/>
        </w:rPr>
      </w:pPr>
      <w:r w:rsidRPr="00524B4A">
        <w:rPr>
          <w:b/>
          <w:i/>
          <w:color w:val="548DD4" w:themeColor="text2" w:themeTint="99"/>
          <w:sz w:val="18"/>
          <w:szCs w:val="18"/>
        </w:rPr>
        <w:t>Source: Insight, 202</w:t>
      </w:r>
      <w:r>
        <w:rPr>
          <w:b/>
          <w:i/>
          <w:color w:val="548DD4" w:themeColor="text2" w:themeTint="99"/>
          <w:sz w:val="18"/>
          <w:szCs w:val="18"/>
        </w:rPr>
        <w:t>5 (</w:t>
      </w:r>
      <w:proofErr w:type="spellStart"/>
      <w:proofErr w:type="gramStart"/>
      <w:r>
        <w:rPr>
          <w:b/>
          <w:i/>
          <w:color w:val="548DD4" w:themeColor="text2" w:themeTint="99"/>
          <w:sz w:val="18"/>
          <w:szCs w:val="18"/>
        </w:rPr>
        <w:t>INSIGHT:National</w:t>
      </w:r>
      <w:proofErr w:type="spellEnd"/>
      <w:proofErr w:type="gramEnd"/>
      <w:r>
        <w:rPr>
          <w:b/>
          <w:i/>
          <w:color w:val="548DD4" w:themeColor="text2" w:themeTint="99"/>
          <w:sz w:val="18"/>
          <w:szCs w:val="18"/>
        </w:rPr>
        <w:t xml:space="preserve"> Benchmarking Measure: Literacy and Numeracy</w:t>
      </w:r>
      <w:hyperlink r:id="rId32" w:history="1"/>
      <w:r>
        <w:rPr>
          <w:b/>
          <w:i/>
          <w:color w:val="548DD4" w:themeColor="text2" w:themeTint="99"/>
          <w:sz w:val="18"/>
          <w:szCs w:val="18"/>
        </w:rPr>
        <w:t>)</w:t>
      </w:r>
    </w:p>
    <w:p w14:paraId="3A7ACE96" w14:textId="77777777" w:rsidR="004B4037" w:rsidRDefault="004B4037" w:rsidP="004B4037">
      <w:pPr>
        <w:spacing w:after="0"/>
        <w:rPr>
          <w:bCs/>
          <w:szCs w:val="28"/>
          <w:highlight w:val="magenta"/>
        </w:rPr>
      </w:pPr>
    </w:p>
    <w:p w14:paraId="14543340" w14:textId="77777777" w:rsidR="004B4037" w:rsidRPr="0016439D" w:rsidRDefault="004B4037" w:rsidP="004B4037">
      <w:pPr>
        <w:spacing w:after="0"/>
        <w:rPr>
          <w:bCs/>
          <w:color w:val="000000" w:themeColor="text1"/>
          <w:szCs w:val="28"/>
        </w:rPr>
      </w:pPr>
      <w:r w:rsidRPr="004B4037">
        <w:rPr>
          <w:bCs/>
          <w:color w:val="000000" w:themeColor="text1"/>
          <w:szCs w:val="28"/>
        </w:rPr>
        <w:t>Viewing literacy and numeracy separately shows the same trend of consistently being above the national average.</w:t>
      </w:r>
      <w:r w:rsidRPr="0016439D">
        <w:rPr>
          <w:bCs/>
          <w:color w:val="000000" w:themeColor="text1"/>
          <w:szCs w:val="28"/>
        </w:rPr>
        <w:t xml:space="preserve"> </w:t>
      </w:r>
    </w:p>
    <w:p w14:paraId="7D3EE128" w14:textId="77777777" w:rsidR="004B4037" w:rsidRDefault="004B4037" w:rsidP="004B4037">
      <w:pPr>
        <w:rPr>
          <w:i/>
          <w:iCs/>
          <w:color w:val="0F243E" w:themeColor="text2" w:themeShade="80"/>
        </w:rPr>
      </w:pPr>
      <w:r>
        <w:rPr>
          <w:i/>
          <w:iCs/>
          <w:color w:val="0F243E" w:themeColor="text2" w:themeShade="80"/>
        </w:rPr>
        <w:br w:type="page"/>
      </w:r>
    </w:p>
    <w:p w14:paraId="7050C399" w14:textId="77777777" w:rsidR="004B4037" w:rsidRDefault="004B4037" w:rsidP="004B4037">
      <w:pPr>
        <w:spacing w:after="0"/>
        <w:rPr>
          <w:i/>
          <w:iCs/>
          <w:color w:val="0F243E" w:themeColor="text2" w:themeShade="80"/>
        </w:rPr>
      </w:pPr>
    </w:p>
    <w:p w14:paraId="656CBF63" w14:textId="77777777" w:rsidR="004B4037" w:rsidRPr="00E54279" w:rsidRDefault="004B4037" w:rsidP="004B4037">
      <w:pPr>
        <w:spacing w:after="0"/>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176122">
        <w:rPr>
          <w:rFonts w:ascii="Arial Rounded MT Bold" w:hAnsi="Arial Rounded MT Bold"/>
          <w:i/>
          <w:iCs/>
          <w:color w:val="1F497D" w:themeColor="text2"/>
          <w:sz w:val="20"/>
          <w:szCs w:val="18"/>
        </w:rPr>
        <w:t xml:space="preserve"> of leavers achieving level 4 and 5 in literacy</w:t>
      </w:r>
    </w:p>
    <w:p w14:paraId="17F72E15" w14:textId="77777777" w:rsidR="004B4037" w:rsidRPr="007A564E" w:rsidRDefault="004B4037" w:rsidP="004B4037">
      <w:pPr>
        <w:spacing w:after="0"/>
        <w:rPr>
          <w:bCs/>
          <w:sz w:val="28"/>
          <w:szCs w:val="28"/>
        </w:rPr>
      </w:pPr>
      <w:r>
        <w:rPr>
          <w:noProof/>
        </w:rPr>
        <w:drawing>
          <wp:inline distT="0" distB="0" distL="0" distR="0" wp14:anchorId="6C0107BB" wp14:editId="7E927F73">
            <wp:extent cx="6015990" cy="2828925"/>
            <wp:effectExtent l="0" t="0" r="3810" b="9525"/>
            <wp:docPr id="810545339" name="Chart 1">
              <a:extLst xmlns:a="http://schemas.openxmlformats.org/drawingml/2006/main">
                <a:ext uri="{FF2B5EF4-FFF2-40B4-BE49-F238E27FC236}">
                  <a16:creationId xmlns:a16="http://schemas.microsoft.com/office/drawing/2014/main" id="{662E11A5-9307-CCD1-5669-FFEFB7B7D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0AF8B70" w14:textId="77777777" w:rsidR="004B4037" w:rsidRDefault="004B4037" w:rsidP="004B4037">
      <w:pPr>
        <w:tabs>
          <w:tab w:val="left" w:pos="2505"/>
        </w:tabs>
        <w:spacing w:after="0"/>
        <w:rPr>
          <w:i/>
          <w:iCs/>
          <w:color w:val="0F243E" w:themeColor="text2" w:themeShade="80"/>
        </w:rPr>
      </w:pPr>
      <w:r w:rsidRPr="00524B4A">
        <w:rPr>
          <w:b/>
          <w:i/>
          <w:color w:val="548DD4" w:themeColor="text2" w:themeTint="99"/>
          <w:sz w:val="18"/>
          <w:szCs w:val="18"/>
        </w:rPr>
        <w:t>Source: Insight, 202</w:t>
      </w:r>
      <w:r>
        <w:rPr>
          <w:b/>
          <w:i/>
          <w:color w:val="548DD4" w:themeColor="text2" w:themeTint="99"/>
          <w:sz w:val="18"/>
          <w:szCs w:val="18"/>
        </w:rPr>
        <w:t>5 (</w:t>
      </w:r>
      <w:proofErr w:type="spellStart"/>
      <w:proofErr w:type="gramStart"/>
      <w:r>
        <w:rPr>
          <w:b/>
          <w:i/>
          <w:color w:val="548DD4" w:themeColor="text2" w:themeTint="99"/>
          <w:sz w:val="18"/>
          <w:szCs w:val="18"/>
        </w:rPr>
        <w:t>INSIGHT:National</w:t>
      </w:r>
      <w:proofErr w:type="spellEnd"/>
      <w:proofErr w:type="gramEnd"/>
      <w:r>
        <w:rPr>
          <w:b/>
          <w:i/>
          <w:color w:val="548DD4" w:themeColor="text2" w:themeTint="99"/>
          <w:sz w:val="18"/>
          <w:szCs w:val="18"/>
        </w:rPr>
        <w:t xml:space="preserve"> Benchmarking Measure: Literacy and Numeracy</w:t>
      </w:r>
      <w:hyperlink r:id="rId34" w:history="1"/>
      <w:r>
        <w:rPr>
          <w:b/>
          <w:i/>
          <w:color w:val="548DD4" w:themeColor="text2" w:themeTint="99"/>
          <w:sz w:val="18"/>
          <w:szCs w:val="18"/>
        </w:rPr>
        <w:t>)</w:t>
      </w:r>
    </w:p>
    <w:p w14:paraId="6984F6D1" w14:textId="77777777" w:rsidR="004B4037" w:rsidRDefault="004B4037" w:rsidP="004B4037">
      <w:pPr>
        <w:tabs>
          <w:tab w:val="left" w:pos="2505"/>
        </w:tabs>
        <w:spacing w:after="0"/>
        <w:rPr>
          <w:rFonts w:ascii="Arial Rounded MT Bold" w:hAnsi="Arial Rounded MT Bold"/>
          <w:i/>
          <w:iCs/>
          <w:color w:val="1F497D" w:themeColor="text2"/>
          <w:sz w:val="20"/>
          <w:szCs w:val="18"/>
        </w:rPr>
      </w:pPr>
    </w:p>
    <w:p w14:paraId="2CFD936F" w14:textId="77777777" w:rsidR="004B4037" w:rsidRDefault="004B4037" w:rsidP="004B4037">
      <w:pPr>
        <w:tabs>
          <w:tab w:val="left" w:pos="2505"/>
        </w:tabs>
        <w:spacing w:after="0"/>
        <w:rPr>
          <w:noProof/>
          <w:lang w:eastAsia="en-GB"/>
        </w:rPr>
      </w:pPr>
      <w:r>
        <w:rPr>
          <w:rFonts w:ascii="Arial Rounded MT Bold" w:hAnsi="Arial Rounded MT Bold"/>
          <w:i/>
          <w:iCs/>
          <w:color w:val="1F497D" w:themeColor="text2"/>
          <w:sz w:val="20"/>
          <w:szCs w:val="18"/>
        </w:rPr>
        <w:t>Percentage</w:t>
      </w:r>
      <w:r w:rsidRPr="00176122">
        <w:rPr>
          <w:rFonts w:ascii="Arial Rounded MT Bold" w:hAnsi="Arial Rounded MT Bold"/>
          <w:i/>
          <w:iCs/>
          <w:color w:val="1F497D" w:themeColor="text2"/>
          <w:sz w:val="20"/>
          <w:szCs w:val="18"/>
        </w:rPr>
        <w:t xml:space="preserve"> of leavers achieving level 4 and 5 in Numeracy</w:t>
      </w:r>
      <w:r w:rsidRPr="003C6DE4">
        <w:rPr>
          <w:noProof/>
          <w:lang w:eastAsia="en-GB"/>
        </w:rPr>
        <w:t xml:space="preserve"> </w:t>
      </w:r>
    </w:p>
    <w:p w14:paraId="170DD0A9" w14:textId="77777777" w:rsidR="004B4037" w:rsidRDefault="004B4037" w:rsidP="004B4037">
      <w:pPr>
        <w:tabs>
          <w:tab w:val="left" w:pos="2505"/>
        </w:tabs>
        <w:spacing w:after="0"/>
        <w:rPr>
          <w:noProof/>
          <w:lang w:eastAsia="en-GB"/>
        </w:rPr>
      </w:pPr>
      <w:r>
        <w:rPr>
          <w:noProof/>
        </w:rPr>
        <w:drawing>
          <wp:inline distT="0" distB="0" distL="0" distR="0" wp14:anchorId="55305BFB" wp14:editId="3B459A1B">
            <wp:extent cx="6015990" cy="3027680"/>
            <wp:effectExtent l="0" t="0" r="3810" b="1270"/>
            <wp:docPr id="1422271321" name="Chart 1">
              <a:extLst xmlns:a="http://schemas.openxmlformats.org/drawingml/2006/main">
                <a:ext uri="{FF2B5EF4-FFF2-40B4-BE49-F238E27FC236}">
                  <a16:creationId xmlns:a16="http://schemas.microsoft.com/office/drawing/2014/main" id="{7E34DFA9-4195-1B71-F03A-E42911E8F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0A93E0" w14:textId="77777777" w:rsidR="004B4037" w:rsidRDefault="004B4037" w:rsidP="004B4037">
      <w:pPr>
        <w:tabs>
          <w:tab w:val="left" w:pos="2505"/>
        </w:tabs>
        <w:spacing w:after="0"/>
        <w:rPr>
          <w:bCs/>
          <w:sz w:val="28"/>
          <w:szCs w:val="28"/>
          <w:u w:val="single"/>
        </w:rPr>
      </w:pPr>
    </w:p>
    <w:p w14:paraId="18D7BFDC" w14:textId="77777777" w:rsidR="004B4037" w:rsidRPr="00524B4A" w:rsidRDefault="004B4037" w:rsidP="004B4037">
      <w:pPr>
        <w:tabs>
          <w:tab w:val="left" w:pos="2505"/>
        </w:tabs>
        <w:spacing w:after="0"/>
        <w:jc w:val="both"/>
        <w:rPr>
          <w:b/>
          <w:i/>
          <w:color w:val="548DD4" w:themeColor="text2" w:themeTint="99"/>
          <w:sz w:val="18"/>
          <w:szCs w:val="18"/>
        </w:rPr>
      </w:pPr>
      <w:r w:rsidRPr="00524B4A">
        <w:rPr>
          <w:b/>
          <w:i/>
          <w:color w:val="548DD4" w:themeColor="text2" w:themeTint="99"/>
          <w:sz w:val="18"/>
          <w:szCs w:val="18"/>
        </w:rPr>
        <w:t>Source: Insight, 202</w:t>
      </w:r>
      <w:r>
        <w:rPr>
          <w:b/>
          <w:i/>
          <w:color w:val="548DD4" w:themeColor="text2" w:themeTint="99"/>
          <w:sz w:val="18"/>
          <w:szCs w:val="18"/>
        </w:rPr>
        <w:t>5 (</w:t>
      </w:r>
      <w:proofErr w:type="spellStart"/>
      <w:proofErr w:type="gramStart"/>
      <w:r>
        <w:rPr>
          <w:b/>
          <w:i/>
          <w:color w:val="548DD4" w:themeColor="text2" w:themeTint="99"/>
          <w:sz w:val="18"/>
          <w:szCs w:val="18"/>
        </w:rPr>
        <w:t>INSIGHT:National</w:t>
      </w:r>
      <w:proofErr w:type="spellEnd"/>
      <w:proofErr w:type="gramEnd"/>
      <w:r>
        <w:rPr>
          <w:b/>
          <w:i/>
          <w:color w:val="548DD4" w:themeColor="text2" w:themeTint="99"/>
          <w:sz w:val="18"/>
          <w:szCs w:val="18"/>
        </w:rPr>
        <w:t xml:space="preserve"> Benchmarking Measure: Literacy and Numeracy</w:t>
      </w:r>
      <w:hyperlink r:id="rId36" w:history="1"/>
      <w:r>
        <w:rPr>
          <w:b/>
          <w:i/>
          <w:color w:val="548DD4" w:themeColor="text2" w:themeTint="99"/>
          <w:sz w:val="18"/>
          <w:szCs w:val="18"/>
        </w:rPr>
        <w:t>)</w:t>
      </w:r>
    </w:p>
    <w:p w14:paraId="27E81957" w14:textId="77777777" w:rsidR="004B4037" w:rsidRDefault="004B4037" w:rsidP="004B4037">
      <w:pPr>
        <w:tabs>
          <w:tab w:val="left" w:pos="2505"/>
        </w:tabs>
        <w:spacing w:after="0"/>
        <w:rPr>
          <w:bCs/>
          <w:sz w:val="28"/>
          <w:szCs w:val="28"/>
          <w:u w:val="single"/>
        </w:rPr>
      </w:pPr>
    </w:p>
    <w:p w14:paraId="0E20DDD9" w14:textId="77777777" w:rsidR="004B4037" w:rsidRDefault="004B4037" w:rsidP="004B4037">
      <w:pPr>
        <w:tabs>
          <w:tab w:val="left" w:pos="2505"/>
        </w:tabs>
        <w:spacing w:after="0"/>
        <w:rPr>
          <w:bCs/>
          <w:sz w:val="28"/>
          <w:szCs w:val="28"/>
          <w:u w:val="single"/>
        </w:rPr>
      </w:pPr>
    </w:p>
    <w:p w14:paraId="1DEB8D00" w14:textId="77777777" w:rsidR="004B4037" w:rsidRPr="00B51790" w:rsidRDefault="004B4037" w:rsidP="004B4037">
      <w:pPr>
        <w:tabs>
          <w:tab w:val="left" w:pos="2505"/>
        </w:tabs>
        <w:spacing w:after="0"/>
        <w:rPr>
          <w:bCs/>
          <w:sz w:val="28"/>
          <w:szCs w:val="28"/>
          <w:u w:val="single"/>
        </w:rPr>
      </w:pPr>
    </w:p>
    <w:p w14:paraId="27B388D3" w14:textId="77777777" w:rsidR="004B4037" w:rsidRDefault="004B4037" w:rsidP="004B4037">
      <w:pPr>
        <w:tabs>
          <w:tab w:val="left" w:pos="2505"/>
        </w:tabs>
        <w:spacing w:after="0"/>
        <w:rPr>
          <w:b/>
          <w:bCs/>
          <w:highlight w:val="yellow"/>
          <w:u w:val="single"/>
        </w:rPr>
      </w:pPr>
    </w:p>
    <w:p w14:paraId="3E00124C" w14:textId="77777777" w:rsidR="004B4037" w:rsidRDefault="004B4037" w:rsidP="004B4037">
      <w:pPr>
        <w:tabs>
          <w:tab w:val="left" w:pos="2505"/>
        </w:tabs>
        <w:spacing w:after="0"/>
        <w:rPr>
          <w:b/>
          <w:bCs/>
          <w:highlight w:val="yellow"/>
          <w:u w:val="single"/>
        </w:rPr>
      </w:pPr>
    </w:p>
    <w:p w14:paraId="3671CB84" w14:textId="77777777" w:rsidR="004B4037" w:rsidRDefault="004B4037" w:rsidP="004B4037">
      <w:pPr>
        <w:tabs>
          <w:tab w:val="left" w:pos="2505"/>
        </w:tabs>
        <w:spacing w:after="0"/>
        <w:rPr>
          <w:b/>
          <w:bCs/>
          <w:highlight w:val="yellow"/>
          <w:u w:val="single"/>
        </w:rPr>
      </w:pPr>
    </w:p>
    <w:p w14:paraId="068D4D20" w14:textId="77777777" w:rsidR="004B4037" w:rsidRDefault="004B4037" w:rsidP="004B4037">
      <w:pPr>
        <w:tabs>
          <w:tab w:val="left" w:pos="2505"/>
        </w:tabs>
        <w:spacing w:after="0"/>
        <w:rPr>
          <w:b/>
          <w:bCs/>
          <w:highlight w:val="yellow"/>
          <w:u w:val="single"/>
        </w:rPr>
      </w:pPr>
    </w:p>
    <w:p w14:paraId="75AB311C" w14:textId="77777777" w:rsidR="004B4037" w:rsidRDefault="004B4037" w:rsidP="004B4037">
      <w:pPr>
        <w:tabs>
          <w:tab w:val="left" w:pos="2505"/>
        </w:tabs>
        <w:spacing w:after="0"/>
        <w:rPr>
          <w:b/>
          <w:bCs/>
          <w:highlight w:val="yellow"/>
          <w:u w:val="single"/>
        </w:rPr>
      </w:pPr>
    </w:p>
    <w:p w14:paraId="53C452F7" w14:textId="77777777" w:rsidR="004B4037" w:rsidRDefault="004B4037" w:rsidP="004B4037">
      <w:pPr>
        <w:tabs>
          <w:tab w:val="left" w:pos="2505"/>
        </w:tabs>
        <w:spacing w:after="0"/>
        <w:rPr>
          <w:b/>
          <w:bCs/>
          <w:highlight w:val="yellow"/>
          <w:u w:val="single"/>
        </w:rPr>
      </w:pPr>
    </w:p>
    <w:p w14:paraId="4879E9AA" w14:textId="77777777" w:rsidR="004B4037" w:rsidRDefault="004B4037" w:rsidP="004B4037">
      <w:pPr>
        <w:tabs>
          <w:tab w:val="left" w:pos="2505"/>
        </w:tabs>
        <w:spacing w:after="0"/>
        <w:rPr>
          <w:b/>
          <w:bCs/>
          <w:highlight w:val="yellow"/>
          <w:u w:val="single"/>
        </w:rPr>
      </w:pPr>
    </w:p>
    <w:p w14:paraId="708CF132" w14:textId="2DAFB32F" w:rsidR="004B4037" w:rsidRPr="004B4037" w:rsidRDefault="004B4037" w:rsidP="004B4037">
      <w:pPr>
        <w:tabs>
          <w:tab w:val="left" w:pos="2505"/>
        </w:tabs>
        <w:spacing w:after="0"/>
        <w:rPr>
          <w:b/>
          <w:bCs/>
          <w:u w:val="single"/>
        </w:rPr>
      </w:pPr>
      <w:r w:rsidRPr="004B4037">
        <w:rPr>
          <w:b/>
          <w:bCs/>
          <w:u w:val="single"/>
        </w:rPr>
        <w:lastRenderedPageBreak/>
        <w:t xml:space="preserve">National Benchmarking Measure: Attainment for All </w:t>
      </w:r>
    </w:p>
    <w:p w14:paraId="6A0DEDD8" w14:textId="77777777" w:rsidR="004B4037" w:rsidRDefault="004B4037" w:rsidP="004B4037">
      <w:pPr>
        <w:tabs>
          <w:tab w:val="left" w:pos="2505"/>
        </w:tabs>
        <w:spacing w:after="0"/>
        <w:jc w:val="both"/>
      </w:pPr>
      <w:r w:rsidRPr="004B4037">
        <w:t>This chart shows the complementary tariff scores of leavers divided into the lowest, middle and highest percentage of attainment cohorts. The lowest attaining 20% are consistently above the national average.  The middle 60% show a mixed position, with Inverclyde below the national average in most years. The highest 20% remain below the national average.</w:t>
      </w:r>
    </w:p>
    <w:p w14:paraId="02A1DE71" w14:textId="77777777" w:rsidR="004B4037" w:rsidRDefault="004B4037" w:rsidP="004B4037">
      <w:pPr>
        <w:tabs>
          <w:tab w:val="left" w:pos="2505"/>
        </w:tabs>
        <w:spacing w:after="0"/>
        <w:rPr>
          <w:rFonts w:ascii="Arial Rounded MT Bold" w:hAnsi="Arial Rounded MT Bold"/>
          <w:i/>
          <w:iCs/>
          <w:color w:val="1F497D" w:themeColor="text2"/>
          <w:sz w:val="20"/>
          <w:szCs w:val="18"/>
        </w:rPr>
      </w:pPr>
    </w:p>
    <w:p w14:paraId="16DF4143" w14:textId="77777777" w:rsidR="004B4037" w:rsidRDefault="004B4037" w:rsidP="004B4037">
      <w:pPr>
        <w:tabs>
          <w:tab w:val="left" w:pos="2505"/>
        </w:tabs>
        <w:spacing w:after="0"/>
        <w:rPr>
          <w:rFonts w:ascii="Arial Rounded MT Bold" w:hAnsi="Arial Rounded MT Bold"/>
          <w:i/>
          <w:iCs/>
          <w:color w:val="1F497D" w:themeColor="text2"/>
          <w:sz w:val="20"/>
          <w:szCs w:val="18"/>
        </w:rPr>
      </w:pPr>
      <w:r w:rsidRPr="00176122">
        <w:rPr>
          <w:rFonts w:ascii="Arial Rounded MT Bold" w:hAnsi="Arial Rounded MT Bold"/>
          <w:i/>
          <w:iCs/>
          <w:color w:val="1F497D" w:themeColor="text2"/>
          <w:sz w:val="20"/>
          <w:szCs w:val="18"/>
        </w:rPr>
        <w:t xml:space="preserve">Average </w:t>
      </w:r>
      <w:r>
        <w:rPr>
          <w:rFonts w:ascii="Arial Rounded MT Bold" w:hAnsi="Arial Rounded MT Bold"/>
          <w:i/>
          <w:iCs/>
          <w:color w:val="1F497D" w:themeColor="text2"/>
          <w:sz w:val="20"/>
          <w:szCs w:val="18"/>
        </w:rPr>
        <w:t>complementary</w:t>
      </w:r>
      <w:r w:rsidRPr="00176122">
        <w:rPr>
          <w:rFonts w:ascii="Arial Rounded MT Bold" w:hAnsi="Arial Rounded MT Bold"/>
          <w:i/>
          <w:iCs/>
          <w:color w:val="1F497D" w:themeColor="text2"/>
          <w:sz w:val="20"/>
          <w:szCs w:val="18"/>
        </w:rPr>
        <w:t xml:space="preserve"> tariff points for leaver cohorts in selected years</w:t>
      </w:r>
    </w:p>
    <w:p w14:paraId="0DD76144" w14:textId="77777777" w:rsidR="004B4037" w:rsidRDefault="004B4037" w:rsidP="004B4037">
      <w:pPr>
        <w:tabs>
          <w:tab w:val="left" w:pos="2505"/>
        </w:tabs>
        <w:spacing w:after="0"/>
        <w:rPr>
          <w:noProof/>
          <w:lang w:eastAsia="en-GB"/>
        </w:rPr>
      </w:pPr>
      <w:r>
        <w:rPr>
          <w:noProof/>
        </w:rPr>
        <w:drawing>
          <wp:inline distT="0" distB="0" distL="0" distR="0" wp14:anchorId="7835C330" wp14:editId="418E1048">
            <wp:extent cx="6015600" cy="2743200"/>
            <wp:effectExtent l="0" t="0" r="4445" b="0"/>
            <wp:docPr id="1235216206" name="Chart 1">
              <a:extLst xmlns:a="http://schemas.openxmlformats.org/drawingml/2006/main">
                <a:ext uri="{FF2B5EF4-FFF2-40B4-BE49-F238E27FC236}">
                  <a16:creationId xmlns:a16="http://schemas.microsoft.com/office/drawing/2014/main" id="{5363237B-8D70-B21B-0DB0-C28711763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ABB217B" w14:textId="77777777" w:rsidR="004B4037" w:rsidRDefault="004B4037" w:rsidP="004B4037">
      <w:pPr>
        <w:tabs>
          <w:tab w:val="left" w:pos="2505"/>
        </w:tabs>
        <w:spacing w:after="0"/>
        <w:rPr>
          <w:noProof/>
          <w:lang w:eastAsia="en-GB"/>
        </w:rPr>
      </w:pPr>
    </w:p>
    <w:p w14:paraId="180032DE" w14:textId="77777777" w:rsidR="004B4037" w:rsidRDefault="004B4037" w:rsidP="004B4037">
      <w:pPr>
        <w:tabs>
          <w:tab w:val="left" w:pos="2505"/>
        </w:tabs>
        <w:spacing w:after="0"/>
        <w:rPr>
          <w:noProof/>
          <w:lang w:eastAsia="en-GB"/>
        </w:rPr>
      </w:pPr>
    </w:p>
    <w:p w14:paraId="5AAC378D" w14:textId="77777777" w:rsidR="004B4037" w:rsidRPr="00524B4A" w:rsidRDefault="004B4037" w:rsidP="004B4037">
      <w:pPr>
        <w:tabs>
          <w:tab w:val="left" w:pos="2505"/>
        </w:tabs>
        <w:spacing w:after="0"/>
        <w:rPr>
          <w:b/>
          <w:i/>
          <w:color w:val="548DD4" w:themeColor="text2" w:themeTint="99"/>
          <w:sz w:val="18"/>
          <w:szCs w:val="18"/>
        </w:rPr>
      </w:pPr>
      <w:r w:rsidRPr="002E7368">
        <w:rPr>
          <w:noProof/>
          <w:color w:val="0F243E" w:themeColor="text2" w:themeShade="80"/>
          <w:sz w:val="16"/>
          <w:szCs w:val="16"/>
          <w:lang w:eastAsia="en-GB"/>
        </w:rPr>
        <w:t xml:space="preserve"> </w:t>
      </w:r>
      <w:r w:rsidRPr="00524B4A">
        <w:rPr>
          <w:b/>
          <w:i/>
          <w:color w:val="548DD4" w:themeColor="text2" w:themeTint="99"/>
          <w:sz w:val="18"/>
          <w:szCs w:val="18"/>
        </w:rPr>
        <w:t>Source: Insight, 202</w:t>
      </w:r>
      <w:r>
        <w:rPr>
          <w:b/>
          <w:i/>
          <w:color w:val="548DD4" w:themeColor="text2" w:themeTint="99"/>
          <w:sz w:val="18"/>
          <w:szCs w:val="18"/>
        </w:rPr>
        <w:t>5 (</w:t>
      </w:r>
      <w:proofErr w:type="spellStart"/>
      <w:proofErr w:type="gramStart"/>
      <w:r>
        <w:rPr>
          <w:b/>
          <w:i/>
          <w:color w:val="548DD4" w:themeColor="text2" w:themeTint="99"/>
          <w:sz w:val="18"/>
          <w:szCs w:val="18"/>
        </w:rPr>
        <w:t>INSIGHT:National</w:t>
      </w:r>
      <w:proofErr w:type="spellEnd"/>
      <w:proofErr w:type="gramEnd"/>
      <w:r>
        <w:rPr>
          <w:b/>
          <w:i/>
          <w:color w:val="548DD4" w:themeColor="text2" w:themeTint="99"/>
          <w:sz w:val="18"/>
          <w:szCs w:val="18"/>
        </w:rPr>
        <w:t xml:space="preserve"> Benchmarking Measure: Improving Attainment for All</w:t>
      </w:r>
      <w:hyperlink r:id="rId38" w:history="1"/>
      <w:r>
        <w:rPr>
          <w:b/>
          <w:i/>
          <w:color w:val="548DD4" w:themeColor="text2" w:themeTint="99"/>
          <w:sz w:val="18"/>
          <w:szCs w:val="18"/>
        </w:rPr>
        <w:t>)</w:t>
      </w:r>
    </w:p>
    <w:p w14:paraId="1BDC1250" w14:textId="77777777" w:rsidR="004B4037" w:rsidRPr="009865AC" w:rsidRDefault="004B4037" w:rsidP="004B4037">
      <w:pPr>
        <w:tabs>
          <w:tab w:val="left" w:pos="2505"/>
        </w:tabs>
        <w:spacing w:after="0"/>
        <w:rPr>
          <w:noProof/>
          <w:color w:val="0F243E" w:themeColor="text2" w:themeShade="80"/>
          <w:sz w:val="16"/>
          <w:szCs w:val="16"/>
          <w:lang w:eastAsia="en-GB"/>
        </w:rPr>
      </w:pPr>
    </w:p>
    <w:p w14:paraId="64B744BA" w14:textId="77777777" w:rsidR="004B4037" w:rsidRPr="00AF4A29" w:rsidRDefault="004B4037" w:rsidP="004B4037">
      <w:pPr>
        <w:tabs>
          <w:tab w:val="left" w:pos="2505"/>
        </w:tabs>
        <w:spacing w:after="0"/>
        <w:rPr>
          <w:b/>
          <w:bCs/>
          <w:u w:val="single"/>
        </w:rPr>
      </w:pPr>
      <w:r w:rsidRPr="00AF4A29">
        <w:rPr>
          <w:b/>
          <w:bCs/>
          <w:u w:val="single"/>
        </w:rPr>
        <w:t>National Benchmarking Measure: Attainment versus Deprivation</w:t>
      </w:r>
    </w:p>
    <w:p w14:paraId="65D48037" w14:textId="77777777" w:rsidR="004B4037" w:rsidRPr="004B4037" w:rsidRDefault="004B4037" w:rsidP="004B4037">
      <w:pPr>
        <w:tabs>
          <w:tab w:val="left" w:pos="2505"/>
        </w:tabs>
        <w:spacing w:after="0"/>
        <w:jc w:val="both"/>
      </w:pPr>
      <w:r w:rsidRPr="004B4037">
        <w:t>This national measure looks at the average total tariff score of school leavers by SIMD. The SIMD enables schools to map their performance against the social context in which they operate.  The table below shows the total tariff scores of leavers against their deprivation area for 2024/25.  SIMD 1 being the most deprived and SIMD 10 being the least.</w:t>
      </w:r>
    </w:p>
    <w:p w14:paraId="2447A65C" w14:textId="77777777" w:rsidR="004B4037" w:rsidRPr="004B4037" w:rsidRDefault="004B4037" w:rsidP="004B4037">
      <w:pPr>
        <w:tabs>
          <w:tab w:val="left" w:pos="2505"/>
        </w:tabs>
        <w:spacing w:after="0"/>
        <w:jc w:val="both"/>
        <w:rPr>
          <w:color w:val="FF0000"/>
        </w:rPr>
      </w:pPr>
    </w:p>
    <w:p w14:paraId="6BC5CBDF" w14:textId="07CA4117" w:rsidR="004B4037" w:rsidRDefault="004B4037" w:rsidP="004B4037">
      <w:pPr>
        <w:tabs>
          <w:tab w:val="left" w:pos="2505"/>
        </w:tabs>
        <w:spacing w:after="0"/>
        <w:jc w:val="both"/>
      </w:pPr>
      <w:r w:rsidRPr="004B4037">
        <w:t xml:space="preserve">Inverclyde outperforms the national average in average tariff points across </w:t>
      </w:r>
      <w:proofErr w:type="gramStart"/>
      <w:r w:rsidRPr="004B4037">
        <w:t>the majority of</w:t>
      </w:r>
      <w:proofErr w:type="gramEnd"/>
      <w:r w:rsidRPr="004B4037">
        <w:t xml:space="preserve"> SIMD deciles, particularly within the most deprived groups (SIMD 1–6), where the gaps are most pronounced. Performance is more mixed in the least deprived deciles, with Inverclyde slightly below the national average in SIMD 8–10. Inverclyde’s cohort is heavily concentrated in the most deprived deciles, with a significantly higher proportion of SIMD 1 compared to the national picture</w:t>
      </w:r>
      <w:r>
        <w:t>.</w:t>
      </w:r>
    </w:p>
    <w:p w14:paraId="1E2B098C" w14:textId="77777777" w:rsidR="004B4037" w:rsidRDefault="004B4037" w:rsidP="004B4037">
      <w:pPr>
        <w:tabs>
          <w:tab w:val="left" w:pos="2505"/>
        </w:tabs>
        <w:spacing w:after="0"/>
        <w:jc w:val="both"/>
      </w:pPr>
    </w:p>
    <w:p w14:paraId="741A0A1C" w14:textId="77777777" w:rsidR="004B4037" w:rsidRDefault="004B4037" w:rsidP="004B4037">
      <w:pPr>
        <w:tabs>
          <w:tab w:val="left" w:pos="2505"/>
        </w:tabs>
        <w:spacing w:after="0"/>
        <w:jc w:val="both"/>
        <w:rPr>
          <w:rFonts w:ascii="Arial Rounded MT Bold" w:hAnsi="Arial Rounded MT Bold"/>
          <w:i/>
          <w:iCs/>
          <w:color w:val="1F497D" w:themeColor="text2"/>
          <w:sz w:val="20"/>
          <w:szCs w:val="18"/>
        </w:rPr>
      </w:pPr>
      <w:r w:rsidRPr="008328B3">
        <w:rPr>
          <w:rFonts w:ascii="Arial Rounded MT Bold" w:hAnsi="Arial Rounded MT Bold"/>
          <w:i/>
          <w:iCs/>
          <w:color w:val="1F497D" w:themeColor="text2"/>
          <w:sz w:val="20"/>
          <w:szCs w:val="18"/>
        </w:rPr>
        <w:t>Average complementary tariff points for leaver cohorts by SIMD, 202</w:t>
      </w:r>
      <w:r>
        <w:rPr>
          <w:rFonts w:ascii="Arial Rounded MT Bold" w:hAnsi="Arial Rounded MT Bold"/>
          <w:i/>
          <w:iCs/>
          <w:color w:val="1F497D" w:themeColor="text2"/>
          <w:sz w:val="20"/>
          <w:szCs w:val="18"/>
        </w:rPr>
        <w:t>4</w:t>
      </w:r>
      <w:r w:rsidRPr="008328B3">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w:t>
      </w:r>
    </w:p>
    <w:p w14:paraId="2602D49A" w14:textId="77777777" w:rsidR="004B4037" w:rsidRDefault="004B4037" w:rsidP="004B4037">
      <w:pPr>
        <w:rPr>
          <w:rFonts w:ascii="Arial Rounded MT Bold" w:hAnsi="Arial Rounded MT Bold"/>
          <w:i/>
          <w:iCs/>
          <w:color w:val="1F497D" w:themeColor="text2"/>
          <w:sz w:val="20"/>
          <w:szCs w:val="18"/>
        </w:rPr>
      </w:pPr>
      <w:r w:rsidRPr="00B52EB6">
        <w:rPr>
          <w:noProof/>
        </w:rPr>
        <w:drawing>
          <wp:inline distT="0" distB="0" distL="0" distR="0" wp14:anchorId="02138023" wp14:editId="41277A5C">
            <wp:extent cx="6015990" cy="1333500"/>
            <wp:effectExtent l="0" t="0" r="3810" b="0"/>
            <wp:docPr id="197414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15990" cy="1333500"/>
                    </a:xfrm>
                    <a:prstGeom prst="rect">
                      <a:avLst/>
                    </a:prstGeom>
                    <a:noFill/>
                    <a:ln>
                      <a:noFill/>
                    </a:ln>
                  </pic:spPr>
                </pic:pic>
              </a:graphicData>
            </a:graphic>
          </wp:inline>
        </w:drawing>
      </w:r>
      <w:r>
        <w:rPr>
          <w:rFonts w:ascii="Arial Rounded MT Bold" w:hAnsi="Arial Rounded MT Bold"/>
          <w:i/>
          <w:iCs/>
          <w:color w:val="1F497D" w:themeColor="text2"/>
          <w:sz w:val="20"/>
          <w:szCs w:val="18"/>
        </w:rPr>
        <w:br w:type="page"/>
      </w:r>
    </w:p>
    <w:p w14:paraId="22917796" w14:textId="77777777" w:rsidR="004B4037" w:rsidRPr="009A7380" w:rsidRDefault="004B4037" w:rsidP="004B4037">
      <w:pPr>
        <w:tabs>
          <w:tab w:val="left" w:pos="2505"/>
        </w:tabs>
        <w:spacing w:after="0"/>
        <w:jc w:val="both"/>
      </w:pPr>
      <w:r w:rsidRPr="004B4037">
        <w:lastRenderedPageBreak/>
        <w:t>In the chart below the size of the bubble is proportionate to the percentage of individuals in each SIMD decile. It shows that performance in SIMD 5 and 8 was significantly greater than the national establishment.  The next chart shows the point gap between Inverclyde and the national average.</w:t>
      </w:r>
    </w:p>
    <w:p w14:paraId="41A58956" w14:textId="77777777" w:rsidR="004B4037" w:rsidRPr="003270BB" w:rsidRDefault="004B4037" w:rsidP="004B4037">
      <w:pPr>
        <w:tabs>
          <w:tab w:val="left" w:pos="2505"/>
        </w:tabs>
        <w:spacing w:after="0"/>
        <w:rPr>
          <w:highlight w:val="yellow"/>
        </w:rPr>
      </w:pPr>
    </w:p>
    <w:p w14:paraId="06928BE7" w14:textId="77777777" w:rsidR="004B4037" w:rsidRDefault="004B4037" w:rsidP="004B4037">
      <w:pPr>
        <w:tabs>
          <w:tab w:val="left" w:pos="2505"/>
        </w:tabs>
        <w:spacing w:after="0"/>
        <w:rPr>
          <w:rFonts w:ascii="Arial Rounded MT Bold" w:hAnsi="Arial Rounded MT Bold"/>
          <w:i/>
          <w:iCs/>
          <w:color w:val="1F497D" w:themeColor="text2"/>
          <w:sz w:val="20"/>
          <w:szCs w:val="18"/>
        </w:rPr>
      </w:pPr>
      <w:r w:rsidRPr="00821C38">
        <w:rPr>
          <w:rFonts w:ascii="Arial Rounded MT Bold" w:hAnsi="Arial Rounded MT Bold"/>
          <w:i/>
          <w:iCs/>
          <w:color w:val="1F497D" w:themeColor="text2"/>
          <w:sz w:val="20"/>
          <w:szCs w:val="18"/>
        </w:rPr>
        <w:t xml:space="preserve">Average </w:t>
      </w:r>
      <w:r>
        <w:rPr>
          <w:rFonts w:ascii="Arial Rounded MT Bold" w:hAnsi="Arial Rounded MT Bold"/>
          <w:i/>
          <w:iCs/>
          <w:color w:val="1F497D" w:themeColor="text2"/>
          <w:sz w:val="20"/>
          <w:szCs w:val="18"/>
        </w:rPr>
        <w:t>complementary</w:t>
      </w:r>
      <w:r w:rsidRPr="00821C38">
        <w:rPr>
          <w:rFonts w:ascii="Arial Rounded MT Bold" w:hAnsi="Arial Rounded MT Bold"/>
          <w:i/>
          <w:iCs/>
          <w:color w:val="1F497D" w:themeColor="text2"/>
          <w:sz w:val="20"/>
          <w:szCs w:val="18"/>
        </w:rPr>
        <w:t xml:space="preserve"> tariff points for leaver cohorts by SIMD, 20</w:t>
      </w:r>
      <w:r>
        <w:rPr>
          <w:rFonts w:ascii="Arial Rounded MT Bold" w:hAnsi="Arial Rounded MT Bold"/>
          <w:i/>
          <w:iCs/>
          <w:color w:val="1F497D" w:themeColor="text2"/>
          <w:sz w:val="20"/>
          <w:szCs w:val="18"/>
        </w:rPr>
        <w:t>24/25</w:t>
      </w:r>
    </w:p>
    <w:p w14:paraId="3F0DC05C" w14:textId="5A4DE46A" w:rsidR="004B4037" w:rsidRDefault="006E7469" w:rsidP="004B4037">
      <w:pPr>
        <w:tabs>
          <w:tab w:val="left" w:pos="2505"/>
        </w:tabs>
        <w:spacing w:after="0"/>
        <w:rPr>
          <w:b/>
          <w:i/>
          <w:color w:val="548DD4" w:themeColor="text2" w:themeTint="99"/>
          <w:sz w:val="18"/>
          <w:szCs w:val="18"/>
        </w:rPr>
      </w:pPr>
      <w:r w:rsidRPr="006E7469">
        <w:rPr>
          <w:b/>
          <w:i/>
          <w:noProof/>
          <w:color w:val="548DD4" w:themeColor="text2" w:themeTint="99"/>
          <w:sz w:val="18"/>
          <w:szCs w:val="18"/>
        </w:rPr>
        <w:drawing>
          <wp:inline distT="0" distB="0" distL="0" distR="0" wp14:anchorId="7940AA7E" wp14:editId="40D9AADF">
            <wp:extent cx="5876925" cy="3076575"/>
            <wp:effectExtent l="0" t="0" r="9525" b="9525"/>
            <wp:docPr id="893428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28878" name=""/>
                    <pic:cNvPicPr/>
                  </pic:nvPicPr>
                  <pic:blipFill>
                    <a:blip r:embed="rId40"/>
                    <a:stretch>
                      <a:fillRect/>
                    </a:stretch>
                  </pic:blipFill>
                  <pic:spPr>
                    <a:xfrm>
                      <a:off x="0" y="0"/>
                      <a:ext cx="5876925" cy="3076575"/>
                    </a:xfrm>
                    <a:prstGeom prst="rect">
                      <a:avLst/>
                    </a:prstGeom>
                  </pic:spPr>
                </pic:pic>
              </a:graphicData>
            </a:graphic>
          </wp:inline>
        </w:drawing>
      </w:r>
    </w:p>
    <w:p w14:paraId="499CCBF9" w14:textId="77777777" w:rsidR="006E7469" w:rsidRDefault="006E7469" w:rsidP="004B4037">
      <w:pPr>
        <w:tabs>
          <w:tab w:val="left" w:pos="2505"/>
        </w:tabs>
        <w:spacing w:after="0"/>
        <w:rPr>
          <w:b/>
          <w:i/>
          <w:color w:val="548DD4" w:themeColor="text2" w:themeTint="99"/>
          <w:sz w:val="18"/>
          <w:szCs w:val="18"/>
        </w:rPr>
      </w:pPr>
    </w:p>
    <w:p w14:paraId="0D99600B" w14:textId="77777777" w:rsidR="004B4037" w:rsidRDefault="004B4037" w:rsidP="004B4037">
      <w:pPr>
        <w:tabs>
          <w:tab w:val="left" w:pos="2505"/>
        </w:tabs>
        <w:spacing w:after="0"/>
        <w:rPr>
          <w:b/>
          <w:i/>
          <w:color w:val="548DD4" w:themeColor="text2" w:themeTint="99"/>
          <w:sz w:val="18"/>
          <w:szCs w:val="18"/>
        </w:rPr>
      </w:pPr>
      <w:r w:rsidRPr="00524B4A">
        <w:rPr>
          <w:b/>
          <w:i/>
          <w:color w:val="548DD4" w:themeColor="text2" w:themeTint="99"/>
          <w:sz w:val="18"/>
          <w:szCs w:val="18"/>
        </w:rPr>
        <w:t>Source: Insight, 202</w:t>
      </w:r>
      <w:r>
        <w:rPr>
          <w:b/>
          <w:i/>
          <w:color w:val="548DD4" w:themeColor="text2" w:themeTint="99"/>
          <w:sz w:val="18"/>
          <w:szCs w:val="18"/>
        </w:rPr>
        <w:t>5 (</w:t>
      </w:r>
      <w:proofErr w:type="spellStart"/>
      <w:proofErr w:type="gramStart"/>
      <w:r>
        <w:rPr>
          <w:b/>
          <w:i/>
          <w:color w:val="548DD4" w:themeColor="text2" w:themeTint="99"/>
          <w:sz w:val="18"/>
          <w:szCs w:val="18"/>
        </w:rPr>
        <w:t>INSIGHT:National</w:t>
      </w:r>
      <w:proofErr w:type="spellEnd"/>
      <w:proofErr w:type="gramEnd"/>
      <w:r>
        <w:rPr>
          <w:b/>
          <w:i/>
          <w:color w:val="548DD4" w:themeColor="text2" w:themeTint="99"/>
          <w:sz w:val="18"/>
          <w:szCs w:val="18"/>
        </w:rPr>
        <w:t xml:space="preserve"> Benchmarking Measure: Attainment versus Deprivation</w:t>
      </w:r>
      <w:hyperlink r:id="rId41" w:history="1"/>
      <w:r>
        <w:rPr>
          <w:b/>
          <w:i/>
          <w:color w:val="548DD4" w:themeColor="text2" w:themeTint="99"/>
          <w:sz w:val="18"/>
          <w:szCs w:val="18"/>
        </w:rPr>
        <w:t>)</w:t>
      </w:r>
    </w:p>
    <w:p w14:paraId="50063892" w14:textId="3B23563A" w:rsidR="004B4037" w:rsidRDefault="004B4037" w:rsidP="004B4037">
      <w:pPr>
        <w:tabs>
          <w:tab w:val="left" w:pos="2505"/>
        </w:tabs>
        <w:spacing w:after="0"/>
        <w:rPr>
          <w:b/>
          <w:i/>
          <w:color w:val="548DD4" w:themeColor="text2" w:themeTint="99"/>
          <w:sz w:val="18"/>
          <w:szCs w:val="18"/>
        </w:rPr>
      </w:pPr>
    </w:p>
    <w:p w14:paraId="19B52A2F" w14:textId="77777777" w:rsidR="004B4037" w:rsidRDefault="004B4037" w:rsidP="004B4037">
      <w:pPr>
        <w:pStyle w:val="Caption"/>
        <w:keepNext/>
        <w:rPr>
          <w:rFonts w:ascii="Arial Rounded MT Bold" w:hAnsi="Arial Rounded MT Bold"/>
          <w:sz w:val="20"/>
        </w:rPr>
      </w:pPr>
      <w:r w:rsidRPr="00821C38">
        <w:rPr>
          <w:rFonts w:ascii="Arial Rounded MT Bold" w:hAnsi="Arial Rounded MT Bold"/>
          <w:sz w:val="20"/>
        </w:rPr>
        <w:t>Average</w:t>
      </w:r>
      <w:r>
        <w:rPr>
          <w:rFonts w:ascii="Arial Rounded MT Bold" w:hAnsi="Arial Rounded MT Bold"/>
          <w:sz w:val="20"/>
        </w:rPr>
        <w:t xml:space="preserve"> complementary</w:t>
      </w:r>
      <w:r w:rsidRPr="00821C38">
        <w:rPr>
          <w:rFonts w:ascii="Arial Rounded MT Bold" w:hAnsi="Arial Rounded MT Bold"/>
          <w:sz w:val="20"/>
        </w:rPr>
        <w:t xml:space="preserve"> tariff point gap between Inverclyde and national at each SIMD decile</w:t>
      </w:r>
    </w:p>
    <w:p w14:paraId="56200B30" w14:textId="77777777" w:rsidR="004B4037" w:rsidRPr="00285326" w:rsidRDefault="004B4037" w:rsidP="004B4037">
      <w:r>
        <w:rPr>
          <w:noProof/>
        </w:rPr>
        <mc:AlternateContent>
          <mc:Choice Requires="cx1">
            <w:drawing>
              <wp:inline distT="0" distB="0" distL="0" distR="0" wp14:anchorId="427C5CF5" wp14:editId="3806EF5B">
                <wp:extent cx="6015355" cy="2743200"/>
                <wp:effectExtent l="0" t="0" r="4445" b="0"/>
                <wp:docPr id="333707183" name="Chart 1">
                  <a:extLst xmlns:a="http://schemas.openxmlformats.org/drawingml/2006/main">
                    <a:ext uri="{FF2B5EF4-FFF2-40B4-BE49-F238E27FC236}">
                      <a16:creationId xmlns:a16="http://schemas.microsoft.com/office/drawing/2014/main" id="{B18FA12D-F439-42BE-83EA-E0013E1CC0E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2"/>
                  </a:graphicData>
                </a:graphic>
              </wp:inline>
            </w:drawing>
          </mc:Choice>
          <mc:Fallback xmlns:w16sdtfl="http://schemas.microsoft.com/office/word/2024/wordml/sdtformatlock" xmlns:w16du="http://schemas.microsoft.com/office/word/2023/wordml/word16du" xmlns:oel="http://schemas.microsoft.com/office/2019/extlst">
            <w:drawing>
              <wp:inline distT="0" distB="0" distL="0" distR="0" wp14:anchorId="427C5CF5" wp14:editId="3806EF5B">
                <wp:extent cx="6015355" cy="2743200"/>
                <wp:effectExtent l="0" t="0" r="4445" b="0"/>
                <wp:docPr id="333707183" name="Chart 1">
                  <a:extLst xmlns:a="http://schemas.openxmlformats.org/drawingml/2006/main">
                    <a:ext uri="{FF2B5EF4-FFF2-40B4-BE49-F238E27FC236}">
                      <a16:creationId xmlns:a16="http://schemas.microsoft.com/office/drawing/2014/main" id="{B18FA12D-F439-42BE-83EA-E0013E1CC0E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33707183" name="Chart 1">
                          <a:extLst>
                            <a:ext uri="{FF2B5EF4-FFF2-40B4-BE49-F238E27FC236}">
                              <a16:creationId xmlns:a16="http://schemas.microsoft.com/office/drawing/2014/main" id="{B18FA12D-F439-42BE-83EA-E0013E1CC0E6}"/>
                            </a:ext>
                          </a:extLst>
                        </pic:cNvPr>
                        <pic:cNvPicPr>
                          <a:picLocks noGrp="1" noRot="1" noChangeAspect="1" noMove="1" noResize="1" noEditPoints="1" noAdjustHandles="1" noChangeArrowheads="1" noChangeShapeType="1"/>
                        </pic:cNvPicPr>
                      </pic:nvPicPr>
                      <pic:blipFill>
                        <a:blip r:embed="rId43"/>
                        <a:stretch>
                          <a:fillRect/>
                        </a:stretch>
                      </pic:blipFill>
                      <pic:spPr>
                        <a:xfrm>
                          <a:off x="0" y="0"/>
                          <a:ext cx="6015355" cy="2743200"/>
                        </a:xfrm>
                        <a:prstGeom prst="rect">
                          <a:avLst/>
                        </a:prstGeom>
                      </pic:spPr>
                    </pic:pic>
                  </a:graphicData>
                </a:graphic>
              </wp:inline>
            </w:drawing>
          </mc:Fallback>
        </mc:AlternateContent>
      </w:r>
    </w:p>
    <w:p w14:paraId="265A2088" w14:textId="1074A9A5" w:rsidR="004B4037" w:rsidRPr="004B4037" w:rsidRDefault="004B4037" w:rsidP="004B4037">
      <w:pPr>
        <w:tabs>
          <w:tab w:val="left" w:pos="2505"/>
        </w:tabs>
        <w:spacing w:after="0"/>
        <w:rPr>
          <w:noProof/>
          <w:lang w:eastAsia="en-GB"/>
        </w:rPr>
      </w:pPr>
      <w:r w:rsidRPr="004B4037">
        <w:rPr>
          <w:noProof/>
          <w:lang w:eastAsia="en-GB"/>
        </w:rPr>
        <w:t>The charts below groups SIMD pupils into two bands of deciles, 1-2 and 3-10, to allow the measurement of the SIMD attainment gap. Inverclyde’s  and the National figures are decreasing but Inverclyde remains consistently higher then the National Figure. The same pattern is</w:t>
      </w:r>
      <w:r w:rsidR="000C5B2E">
        <w:rPr>
          <w:noProof/>
          <w:lang w:eastAsia="en-GB"/>
        </w:rPr>
        <w:t xml:space="preserve"> s</w:t>
      </w:r>
      <w:r w:rsidRPr="004B4037">
        <w:rPr>
          <w:noProof/>
          <w:lang w:eastAsia="en-GB"/>
        </w:rPr>
        <w:t>ho</w:t>
      </w:r>
      <w:r w:rsidR="000C5B2E">
        <w:rPr>
          <w:noProof/>
          <w:lang w:eastAsia="en-GB"/>
        </w:rPr>
        <w:t>w</w:t>
      </w:r>
      <w:r w:rsidRPr="004B4037">
        <w:rPr>
          <w:noProof/>
          <w:lang w:eastAsia="en-GB"/>
        </w:rPr>
        <w:t>ing in the 3-10 SIMD group.</w:t>
      </w:r>
    </w:p>
    <w:p w14:paraId="468B5D72" w14:textId="77777777" w:rsidR="004B4037" w:rsidRPr="004B4037" w:rsidRDefault="004B4037" w:rsidP="004B4037">
      <w:pPr>
        <w:tabs>
          <w:tab w:val="left" w:pos="2505"/>
        </w:tabs>
        <w:spacing w:after="0"/>
        <w:rPr>
          <w:noProof/>
          <w:lang w:eastAsia="en-GB"/>
        </w:rPr>
      </w:pPr>
    </w:p>
    <w:p w14:paraId="6E8B3F69" w14:textId="3186AD5E" w:rsidR="004B4037" w:rsidRPr="005C1F7E" w:rsidRDefault="004B4037" w:rsidP="005C1F7E">
      <w:pPr>
        <w:tabs>
          <w:tab w:val="left" w:pos="2505"/>
        </w:tabs>
        <w:spacing w:after="0"/>
        <w:rPr>
          <w:noProof/>
          <w:lang w:eastAsia="en-GB"/>
        </w:rPr>
      </w:pPr>
      <w:r w:rsidRPr="004B4037">
        <w:rPr>
          <w:noProof/>
          <w:lang w:eastAsia="en-GB"/>
        </w:rPr>
        <w:t>The attainment gap in Inverclyde is consistently slightly wider than the national gap, particularly in more recent years, indicating that although overall performance is stronger, the disparity between the most and least deprived groups remains more pronounced</w:t>
      </w:r>
    </w:p>
    <w:p w14:paraId="6EF32040" w14:textId="77777777" w:rsidR="004B4037" w:rsidRDefault="004B4037" w:rsidP="004B4037">
      <w:pPr>
        <w:tabs>
          <w:tab w:val="left" w:pos="2505"/>
        </w:tabs>
        <w:spacing w:after="0"/>
        <w:rPr>
          <w:b/>
          <w:bCs/>
          <w:i/>
          <w:iCs/>
          <w:color w:val="44546A"/>
          <w:sz w:val="20"/>
          <w:szCs w:val="20"/>
        </w:rPr>
      </w:pPr>
      <w:r>
        <w:rPr>
          <w:b/>
          <w:bCs/>
          <w:i/>
          <w:iCs/>
          <w:color w:val="44546A"/>
          <w:sz w:val="20"/>
          <w:szCs w:val="20"/>
        </w:rPr>
        <w:lastRenderedPageBreak/>
        <w:t>Attainment gap by average complementary</w:t>
      </w:r>
      <w:r w:rsidRPr="003270BB">
        <w:rPr>
          <w:b/>
          <w:bCs/>
          <w:i/>
          <w:iCs/>
          <w:color w:val="44546A"/>
          <w:sz w:val="20"/>
          <w:szCs w:val="20"/>
        </w:rPr>
        <w:t xml:space="preserve"> tariff points by SIMD local banding, 20</w:t>
      </w:r>
      <w:r>
        <w:rPr>
          <w:b/>
          <w:bCs/>
          <w:i/>
          <w:iCs/>
          <w:color w:val="44546A"/>
          <w:sz w:val="20"/>
          <w:szCs w:val="20"/>
        </w:rPr>
        <w:t>20</w:t>
      </w:r>
      <w:r w:rsidRPr="003270BB">
        <w:rPr>
          <w:b/>
          <w:bCs/>
          <w:i/>
          <w:iCs/>
          <w:color w:val="44546A"/>
          <w:sz w:val="20"/>
          <w:szCs w:val="20"/>
        </w:rPr>
        <w:t>/</w:t>
      </w:r>
      <w:r>
        <w:rPr>
          <w:b/>
          <w:bCs/>
          <w:i/>
          <w:iCs/>
          <w:color w:val="44546A"/>
          <w:sz w:val="20"/>
          <w:szCs w:val="20"/>
        </w:rPr>
        <w:t>21</w:t>
      </w:r>
      <w:r w:rsidRPr="003270BB">
        <w:rPr>
          <w:b/>
          <w:bCs/>
          <w:i/>
          <w:iCs/>
          <w:color w:val="44546A"/>
          <w:sz w:val="20"/>
          <w:szCs w:val="20"/>
        </w:rPr>
        <w:t xml:space="preserve"> to 202</w:t>
      </w:r>
      <w:r>
        <w:rPr>
          <w:b/>
          <w:bCs/>
          <w:i/>
          <w:iCs/>
          <w:color w:val="44546A"/>
          <w:sz w:val="20"/>
          <w:szCs w:val="20"/>
        </w:rPr>
        <w:t>4/25</w:t>
      </w:r>
    </w:p>
    <w:p w14:paraId="00293BF4" w14:textId="77777777" w:rsidR="004B4037" w:rsidRDefault="004B4037" w:rsidP="004B4037">
      <w:pPr>
        <w:tabs>
          <w:tab w:val="left" w:pos="2505"/>
        </w:tabs>
        <w:spacing w:after="0"/>
        <w:rPr>
          <w:b/>
          <w:bCs/>
          <w:i/>
          <w:iCs/>
          <w:color w:val="44546A"/>
          <w:sz w:val="20"/>
          <w:szCs w:val="20"/>
        </w:rPr>
      </w:pPr>
      <w:r>
        <w:rPr>
          <w:b/>
          <w:bCs/>
          <w:i/>
          <w:iCs/>
          <w:color w:val="44546A"/>
          <w:sz w:val="20"/>
          <w:szCs w:val="20"/>
        </w:rPr>
        <w:t xml:space="preserve"> </w:t>
      </w:r>
      <w:r>
        <w:rPr>
          <w:noProof/>
        </w:rPr>
        <w:drawing>
          <wp:inline distT="0" distB="0" distL="0" distR="0" wp14:anchorId="7D19536A" wp14:editId="4FA21626">
            <wp:extent cx="6015990" cy="3582035"/>
            <wp:effectExtent l="0" t="0" r="3810" b="0"/>
            <wp:docPr id="836459414" name="Chart 1">
              <a:extLst xmlns:a="http://schemas.openxmlformats.org/drawingml/2006/main">
                <a:ext uri="{FF2B5EF4-FFF2-40B4-BE49-F238E27FC236}">
                  <a16:creationId xmlns:a16="http://schemas.microsoft.com/office/drawing/2014/main" id="{EBA2C7F6-531D-4EB8-84AE-487D5E686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8EDA721" w14:textId="77777777" w:rsidR="004B4037" w:rsidRDefault="004B4037" w:rsidP="004B4037">
      <w:pPr>
        <w:tabs>
          <w:tab w:val="left" w:pos="2505"/>
        </w:tabs>
        <w:spacing w:after="0"/>
        <w:rPr>
          <w:b/>
          <w:bCs/>
          <w:i/>
          <w:iCs/>
          <w:color w:val="44546A"/>
          <w:sz w:val="20"/>
          <w:szCs w:val="20"/>
        </w:rPr>
      </w:pPr>
    </w:p>
    <w:p w14:paraId="60316C43" w14:textId="77777777" w:rsidR="004B4037" w:rsidRDefault="004B4037" w:rsidP="004B4037">
      <w:pPr>
        <w:tabs>
          <w:tab w:val="left" w:pos="2505"/>
        </w:tabs>
        <w:spacing w:after="0"/>
        <w:rPr>
          <w:noProof/>
          <w:color w:val="FF0000"/>
          <w:sz w:val="16"/>
          <w:szCs w:val="16"/>
          <w:lang w:eastAsia="en-GB"/>
        </w:rPr>
      </w:pPr>
    </w:p>
    <w:p w14:paraId="6313354F" w14:textId="77777777" w:rsidR="004B4037" w:rsidRDefault="004B4037" w:rsidP="004B4037">
      <w:pPr>
        <w:tabs>
          <w:tab w:val="left" w:pos="2505"/>
        </w:tabs>
        <w:spacing w:after="0"/>
        <w:rPr>
          <w:bCs/>
          <w:sz w:val="28"/>
          <w:szCs w:val="28"/>
          <w:u w:val="single"/>
        </w:rPr>
      </w:pPr>
      <w:r w:rsidRPr="00524B4A">
        <w:rPr>
          <w:b/>
          <w:i/>
          <w:color w:val="548DD4" w:themeColor="text2" w:themeTint="99"/>
          <w:sz w:val="18"/>
          <w:szCs w:val="18"/>
        </w:rPr>
        <w:t>Source: Insight, 202</w:t>
      </w:r>
      <w:r>
        <w:rPr>
          <w:b/>
          <w:i/>
          <w:color w:val="548DD4" w:themeColor="text2" w:themeTint="99"/>
          <w:sz w:val="18"/>
          <w:szCs w:val="18"/>
        </w:rPr>
        <w:t>5 (</w:t>
      </w:r>
      <w:proofErr w:type="spellStart"/>
      <w:proofErr w:type="gramStart"/>
      <w:r>
        <w:rPr>
          <w:b/>
          <w:i/>
          <w:color w:val="548DD4" w:themeColor="text2" w:themeTint="99"/>
          <w:sz w:val="18"/>
          <w:szCs w:val="18"/>
        </w:rPr>
        <w:t>INSIGHT:National</w:t>
      </w:r>
      <w:proofErr w:type="spellEnd"/>
      <w:proofErr w:type="gramEnd"/>
      <w:r>
        <w:rPr>
          <w:b/>
          <w:i/>
          <w:color w:val="548DD4" w:themeColor="text2" w:themeTint="99"/>
          <w:sz w:val="18"/>
          <w:szCs w:val="18"/>
        </w:rPr>
        <w:t xml:space="preserve"> Benchmarking Measure: Attainment versus Deprivation</w:t>
      </w:r>
      <w:hyperlink r:id="rId45" w:history="1"/>
      <w:r>
        <w:rPr>
          <w:b/>
          <w:i/>
          <w:color w:val="548DD4" w:themeColor="text2" w:themeTint="99"/>
          <w:sz w:val="18"/>
          <w:szCs w:val="18"/>
        </w:rPr>
        <w:t>)</w:t>
      </w:r>
    </w:p>
    <w:p w14:paraId="72F0F1E9" w14:textId="77777777" w:rsidR="004B4037" w:rsidRDefault="004B4037" w:rsidP="004B4037">
      <w:pPr>
        <w:rPr>
          <w:b/>
          <w:bCs/>
          <w:u w:val="single"/>
        </w:rPr>
      </w:pPr>
      <w:r>
        <w:rPr>
          <w:b/>
          <w:bCs/>
          <w:u w:val="single"/>
        </w:rPr>
        <w:br w:type="page"/>
      </w:r>
    </w:p>
    <w:p w14:paraId="207D6C29" w14:textId="77777777" w:rsidR="004B4037" w:rsidRPr="00AF4A29" w:rsidRDefault="004B4037" w:rsidP="004B4037">
      <w:pPr>
        <w:tabs>
          <w:tab w:val="left" w:pos="2505"/>
        </w:tabs>
        <w:spacing w:after="0"/>
        <w:rPr>
          <w:b/>
          <w:bCs/>
          <w:u w:val="single"/>
        </w:rPr>
      </w:pPr>
      <w:r w:rsidRPr="00AF4A29">
        <w:rPr>
          <w:b/>
          <w:bCs/>
          <w:u w:val="single"/>
        </w:rPr>
        <w:lastRenderedPageBreak/>
        <w:t>Breadth and Depth: All Candidates</w:t>
      </w:r>
      <w:r>
        <w:rPr>
          <w:b/>
          <w:bCs/>
          <w:u w:val="single"/>
        </w:rPr>
        <w:t xml:space="preserve"> </w:t>
      </w:r>
    </w:p>
    <w:p w14:paraId="06AB25C2" w14:textId="77777777" w:rsidR="004B4037" w:rsidRPr="004B4037" w:rsidRDefault="004B4037" w:rsidP="004B4037">
      <w:pPr>
        <w:jc w:val="both"/>
      </w:pPr>
      <w:r w:rsidRPr="004B4037">
        <w:t xml:space="preserve">The charts below show our performance at in key measures in the percentage of pupils gaining awards at SQA national at SCQF levels 5, 6 and 7. Data from 2020 through to 2022 cannot be used for direct comparison with previous years to show improved performance due to the different awarding model that were used over this period. </w:t>
      </w:r>
    </w:p>
    <w:p w14:paraId="6ED4342D" w14:textId="77777777" w:rsidR="004B4037" w:rsidRDefault="004B4037" w:rsidP="004B4037">
      <w:pPr>
        <w:jc w:val="both"/>
        <w:rPr>
          <w:color w:val="FF0000"/>
        </w:rPr>
      </w:pPr>
      <w:r w:rsidRPr="004B4037">
        <w:t>Inverclyde performance dipped in 2023 (47.3%</w:t>
      </w:r>
      <w:proofErr w:type="gramStart"/>
      <w:r w:rsidRPr="004B4037">
        <w:t>), and</w:t>
      </w:r>
      <w:proofErr w:type="gramEnd"/>
      <w:r w:rsidRPr="004B4037">
        <w:t xml:space="preserve"> rose steadily to 53.9% in 2025 overtaking the National figure.</w:t>
      </w:r>
    </w:p>
    <w:p w14:paraId="5DE2A519" w14:textId="77777777" w:rsidR="004B4037" w:rsidRDefault="004B4037" w:rsidP="004B4037">
      <w:pPr>
        <w:tabs>
          <w:tab w:val="left" w:pos="2505"/>
        </w:tabs>
        <w:spacing w:after="0"/>
        <w:jc w:val="both"/>
      </w:pPr>
      <w:r w:rsidRPr="003270BB">
        <w:rPr>
          <w:rFonts w:ascii="Arial Rounded MT Bold" w:hAnsi="Arial Rounded MT Bold"/>
          <w:i/>
          <w:iCs/>
          <w:color w:val="1F497D" w:themeColor="text2"/>
          <w:sz w:val="20"/>
          <w:szCs w:val="18"/>
        </w:rPr>
        <w:t xml:space="preserve">% of pupils achieving 5+ Awards at </w:t>
      </w:r>
      <w:r>
        <w:rPr>
          <w:rFonts w:ascii="Arial Rounded MT Bold" w:hAnsi="Arial Rounded MT Bold"/>
          <w:i/>
          <w:iCs/>
          <w:color w:val="1F497D" w:themeColor="text2"/>
          <w:sz w:val="20"/>
          <w:szCs w:val="18"/>
        </w:rPr>
        <w:t>National 5</w:t>
      </w:r>
      <w:r w:rsidRPr="003270BB">
        <w:rPr>
          <w:rFonts w:ascii="Arial Rounded MT Bold" w:hAnsi="Arial Rounded MT Bold"/>
          <w:i/>
          <w:iCs/>
          <w:color w:val="1F497D" w:themeColor="text2"/>
          <w:sz w:val="20"/>
          <w:szCs w:val="18"/>
        </w:rPr>
        <w:t xml:space="preserve"> </w:t>
      </w:r>
      <w:r>
        <w:rPr>
          <w:rFonts w:ascii="Arial Rounded MT Bold" w:hAnsi="Arial Rounded MT Bold"/>
          <w:i/>
          <w:iCs/>
          <w:color w:val="1F497D" w:themeColor="text2"/>
          <w:sz w:val="20"/>
          <w:szCs w:val="18"/>
        </w:rPr>
        <w:t xml:space="preserve">level </w:t>
      </w:r>
      <w:r w:rsidRPr="003270BB">
        <w:rPr>
          <w:rFonts w:ascii="Arial Rounded MT Bold" w:hAnsi="Arial Rounded MT Bold"/>
          <w:i/>
          <w:iCs/>
          <w:color w:val="1F497D" w:themeColor="text2"/>
          <w:sz w:val="20"/>
          <w:szCs w:val="18"/>
        </w:rPr>
        <w:t>(grade A-D) by end S4, 20</w:t>
      </w:r>
      <w:r>
        <w:rPr>
          <w:rFonts w:ascii="Arial Rounded MT Bold" w:hAnsi="Arial Rounded MT Bold"/>
          <w:i/>
          <w:iCs/>
          <w:color w:val="1F497D" w:themeColor="text2"/>
          <w:sz w:val="20"/>
          <w:szCs w:val="18"/>
        </w:rPr>
        <w:t>20</w:t>
      </w:r>
      <w:r w:rsidRPr="003270BB">
        <w:rPr>
          <w:rFonts w:ascii="Arial Rounded MT Bold" w:hAnsi="Arial Rounded MT Bold"/>
          <w:i/>
          <w:iCs/>
          <w:color w:val="1F497D" w:themeColor="text2"/>
          <w:sz w:val="20"/>
          <w:szCs w:val="18"/>
        </w:rPr>
        <w:t>/</w:t>
      </w:r>
      <w:r>
        <w:rPr>
          <w:rFonts w:ascii="Arial Rounded MT Bold" w:hAnsi="Arial Rounded MT Bold"/>
          <w:i/>
          <w:iCs/>
          <w:color w:val="1F497D" w:themeColor="text2"/>
          <w:sz w:val="20"/>
          <w:szCs w:val="18"/>
        </w:rPr>
        <w:t>21</w:t>
      </w:r>
      <w:r w:rsidRPr="003270BB">
        <w:rPr>
          <w:rFonts w:ascii="Arial Rounded MT Bold" w:hAnsi="Arial Rounded MT Bold"/>
          <w:i/>
          <w:iCs/>
          <w:color w:val="1F497D" w:themeColor="text2"/>
          <w:sz w:val="20"/>
          <w:szCs w:val="18"/>
        </w:rPr>
        <w:t xml:space="preserve"> to 202</w:t>
      </w:r>
      <w:r>
        <w:rPr>
          <w:rFonts w:ascii="Arial Rounded MT Bold" w:hAnsi="Arial Rounded MT Bold"/>
          <w:i/>
          <w:iCs/>
          <w:color w:val="1F497D" w:themeColor="text2"/>
          <w:sz w:val="20"/>
          <w:szCs w:val="18"/>
        </w:rPr>
        <w:t>4</w:t>
      </w:r>
      <w:r w:rsidRPr="003270BB">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w:t>
      </w:r>
    </w:p>
    <w:p w14:paraId="5AE48892" w14:textId="77777777" w:rsidR="004B4037" w:rsidRDefault="004B4037" w:rsidP="004B4037">
      <w:pPr>
        <w:jc w:val="both"/>
        <w:rPr>
          <w:rStyle w:val="Hyperlink"/>
        </w:rPr>
      </w:pPr>
      <w:r>
        <w:rPr>
          <w:noProof/>
        </w:rPr>
        <w:drawing>
          <wp:inline distT="0" distB="0" distL="0" distR="0" wp14:anchorId="18388766" wp14:editId="4BAF147E">
            <wp:extent cx="6015990" cy="2472055"/>
            <wp:effectExtent l="0" t="0" r="3810" b="4445"/>
            <wp:docPr id="903434886" name="Chart 1">
              <a:extLst xmlns:a="http://schemas.openxmlformats.org/drawingml/2006/main">
                <a:ext uri="{FF2B5EF4-FFF2-40B4-BE49-F238E27FC236}">
                  <a16:creationId xmlns:a16="http://schemas.microsoft.com/office/drawing/2014/main" id="{5F96222D-EA25-44AD-9539-726677670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234DE9">
        <w:rPr>
          <w:b/>
          <w:i/>
          <w:color w:val="548DD4" w:themeColor="text2" w:themeTint="99"/>
          <w:sz w:val="18"/>
          <w:szCs w:val="18"/>
        </w:rPr>
        <w:t xml:space="preserve"> </w:t>
      </w:r>
      <w:r w:rsidRPr="00524B4A">
        <w:rPr>
          <w:b/>
          <w:i/>
          <w:color w:val="548DD4" w:themeColor="text2" w:themeTint="99"/>
          <w:sz w:val="18"/>
          <w:szCs w:val="18"/>
        </w:rPr>
        <w:t>Source: Insight, 202</w:t>
      </w:r>
      <w:r>
        <w:rPr>
          <w:b/>
          <w:i/>
          <w:color w:val="548DD4" w:themeColor="text2" w:themeTint="99"/>
          <w:sz w:val="18"/>
          <w:szCs w:val="18"/>
        </w:rPr>
        <w:t>5 (</w:t>
      </w:r>
      <w:proofErr w:type="gramStart"/>
      <w:r>
        <w:rPr>
          <w:b/>
          <w:i/>
          <w:color w:val="548DD4" w:themeColor="text2" w:themeTint="99"/>
          <w:sz w:val="18"/>
          <w:szCs w:val="18"/>
        </w:rPr>
        <w:t>INSIGHT::</w:t>
      </w:r>
      <w:proofErr w:type="gramEnd"/>
      <w:r>
        <w:rPr>
          <w:b/>
          <w:i/>
          <w:color w:val="548DD4" w:themeColor="text2" w:themeTint="99"/>
          <w:sz w:val="18"/>
          <w:szCs w:val="18"/>
        </w:rPr>
        <w:t>Breadth and Depth: All Candidates</w:t>
      </w:r>
      <w:hyperlink r:id="rId47" w:history="1"/>
      <w:r>
        <w:rPr>
          <w:b/>
          <w:i/>
          <w:color w:val="548DD4" w:themeColor="text2" w:themeTint="99"/>
          <w:sz w:val="18"/>
          <w:szCs w:val="18"/>
        </w:rPr>
        <w:t>)</w:t>
      </w:r>
    </w:p>
    <w:p w14:paraId="0C5836BD" w14:textId="77777777" w:rsidR="004B4037" w:rsidRDefault="004B4037" w:rsidP="004B4037">
      <w:pPr>
        <w:tabs>
          <w:tab w:val="left" w:pos="2505"/>
        </w:tabs>
        <w:spacing w:after="0"/>
      </w:pPr>
      <w:r w:rsidRPr="004B4037">
        <w:t xml:space="preserve">At SQA Higher level, Inverclyde has consistently performed above the national average across all years. </w:t>
      </w:r>
    </w:p>
    <w:p w14:paraId="2F38A124" w14:textId="77777777" w:rsidR="004B4037" w:rsidRDefault="004B4037" w:rsidP="004B4037">
      <w:pPr>
        <w:tabs>
          <w:tab w:val="left" w:pos="2505"/>
        </w:tabs>
        <w:spacing w:after="0"/>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3270BB">
        <w:rPr>
          <w:rFonts w:ascii="Arial Rounded MT Bold" w:hAnsi="Arial Rounded MT Bold"/>
          <w:i/>
          <w:iCs/>
          <w:color w:val="1F497D" w:themeColor="text2"/>
          <w:sz w:val="20"/>
          <w:szCs w:val="18"/>
        </w:rPr>
        <w:t xml:space="preserve"> of pupils achieving 1+ awards at </w:t>
      </w:r>
      <w:r>
        <w:rPr>
          <w:rFonts w:ascii="Arial Rounded MT Bold" w:hAnsi="Arial Rounded MT Bold"/>
          <w:i/>
          <w:iCs/>
          <w:color w:val="1F497D" w:themeColor="text2"/>
          <w:sz w:val="20"/>
          <w:szCs w:val="18"/>
        </w:rPr>
        <w:t>Higher</w:t>
      </w:r>
      <w:r w:rsidRPr="003270BB">
        <w:rPr>
          <w:rFonts w:ascii="Arial Rounded MT Bold" w:hAnsi="Arial Rounded MT Bold"/>
          <w:i/>
          <w:iCs/>
          <w:color w:val="1F497D" w:themeColor="text2"/>
          <w:sz w:val="20"/>
          <w:szCs w:val="18"/>
        </w:rPr>
        <w:t xml:space="preserve"> </w:t>
      </w:r>
      <w:r>
        <w:rPr>
          <w:rFonts w:ascii="Arial Rounded MT Bold" w:hAnsi="Arial Rounded MT Bold"/>
          <w:i/>
          <w:iCs/>
          <w:color w:val="1F497D" w:themeColor="text2"/>
          <w:sz w:val="20"/>
          <w:szCs w:val="18"/>
        </w:rPr>
        <w:t xml:space="preserve">level </w:t>
      </w:r>
      <w:r w:rsidRPr="003270BB">
        <w:rPr>
          <w:rFonts w:ascii="Arial Rounded MT Bold" w:hAnsi="Arial Rounded MT Bold"/>
          <w:i/>
          <w:iCs/>
          <w:color w:val="1F497D" w:themeColor="text2"/>
          <w:sz w:val="20"/>
          <w:szCs w:val="18"/>
        </w:rPr>
        <w:t>(grade A-D) by end S5, 20</w:t>
      </w:r>
      <w:r>
        <w:rPr>
          <w:rFonts w:ascii="Arial Rounded MT Bold" w:hAnsi="Arial Rounded MT Bold"/>
          <w:i/>
          <w:iCs/>
          <w:color w:val="1F497D" w:themeColor="text2"/>
          <w:sz w:val="20"/>
          <w:szCs w:val="18"/>
        </w:rPr>
        <w:t>20</w:t>
      </w:r>
      <w:r w:rsidRPr="003270BB">
        <w:rPr>
          <w:rFonts w:ascii="Arial Rounded MT Bold" w:hAnsi="Arial Rounded MT Bold"/>
          <w:i/>
          <w:iCs/>
          <w:color w:val="1F497D" w:themeColor="text2"/>
          <w:sz w:val="20"/>
          <w:szCs w:val="18"/>
        </w:rPr>
        <w:t>/</w:t>
      </w:r>
      <w:r>
        <w:rPr>
          <w:rFonts w:ascii="Arial Rounded MT Bold" w:hAnsi="Arial Rounded MT Bold"/>
          <w:i/>
          <w:iCs/>
          <w:color w:val="1F497D" w:themeColor="text2"/>
          <w:sz w:val="20"/>
          <w:szCs w:val="18"/>
        </w:rPr>
        <w:t>21</w:t>
      </w:r>
      <w:r w:rsidRPr="003270BB">
        <w:rPr>
          <w:rFonts w:ascii="Arial Rounded MT Bold" w:hAnsi="Arial Rounded MT Bold"/>
          <w:i/>
          <w:iCs/>
          <w:color w:val="1F497D" w:themeColor="text2"/>
          <w:sz w:val="20"/>
          <w:szCs w:val="18"/>
        </w:rPr>
        <w:t xml:space="preserve"> to 202</w:t>
      </w:r>
      <w:r>
        <w:rPr>
          <w:rFonts w:ascii="Arial Rounded MT Bold" w:hAnsi="Arial Rounded MT Bold"/>
          <w:i/>
          <w:iCs/>
          <w:color w:val="1F497D" w:themeColor="text2"/>
          <w:sz w:val="20"/>
          <w:szCs w:val="18"/>
        </w:rPr>
        <w:t>4</w:t>
      </w:r>
      <w:r w:rsidRPr="003270BB">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w:t>
      </w:r>
    </w:p>
    <w:p w14:paraId="2A8AA990" w14:textId="77777777" w:rsidR="004B4037" w:rsidRDefault="004B4037" w:rsidP="004B4037">
      <w:pPr>
        <w:tabs>
          <w:tab w:val="left" w:pos="2505"/>
        </w:tabs>
        <w:spacing w:after="0"/>
        <w:rPr>
          <w:b/>
          <w:i/>
          <w:color w:val="548DD4" w:themeColor="text2" w:themeTint="99"/>
          <w:sz w:val="18"/>
          <w:szCs w:val="18"/>
        </w:rPr>
      </w:pPr>
      <w:r>
        <w:rPr>
          <w:noProof/>
        </w:rPr>
        <w:drawing>
          <wp:inline distT="0" distB="0" distL="0" distR="0" wp14:anchorId="16B207B5" wp14:editId="46DE6DBD">
            <wp:extent cx="6015990" cy="2409190"/>
            <wp:effectExtent l="0" t="0" r="3810" b="0"/>
            <wp:docPr id="1002929559" name="Chart 1">
              <a:extLst xmlns:a="http://schemas.openxmlformats.org/drawingml/2006/main">
                <a:ext uri="{FF2B5EF4-FFF2-40B4-BE49-F238E27FC236}">
                  <a16:creationId xmlns:a16="http://schemas.microsoft.com/office/drawing/2014/main" id="{8A360517-73F3-4002-BC18-3E5D90938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524B4A">
        <w:rPr>
          <w:b/>
          <w:i/>
          <w:color w:val="548DD4" w:themeColor="text2" w:themeTint="99"/>
          <w:sz w:val="18"/>
          <w:szCs w:val="18"/>
        </w:rPr>
        <w:t>Source: Insight, 202</w:t>
      </w:r>
      <w:r>
        <w:rPr>
          <w:b/>
          <w:i/>
          <w:color w:val="548DD4" w:themeColor="text2" w:themeTint="99"/>
          <w:sz w:val="18"/>
          <w:szCs w:val="18"/>
        </w:rPr>
        <w:t>5 (INSIGHT: Breadth and Depth: All Candidates</w:t>
      </w:r>
      <w:hyperlink r:id="rId49" w:history="1"/>
      <w:r>
        <w:rPr>
          <w:b/>
          <w:i/>
          <w:color w:val="548DD4" w:themeColor="text2" w:themeTint="99"/>
          <w:sz w:val="18"/>
          <w:szCs w:val="18"/>
        </w:rPr>
        <w:t>)</w:t>
      </w:r>
    </w:p>
    <w:p w14:paraId="2497B7BB" w14:textId="77777777" w:rsidR="004B4037" w:rsidRPr="00E5377C" w:rsidRDefault="004B4037" w:rsidP="004B4037">
      <w:pPr>
        <w:tabs>
          <w:tab w:val="left" w:pos="2505"/>
        </w:tabs>
        <w:spacing w:after="0"/>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3270BB">
        <w:rPr>
          <w:rFonts w:ascii="Arial Rounded MT Bold" w:hAnsi="Arial Rounded MT Bold"/>
          <w:i/>
          <w:iCs/>
          <w:color w:val="1F497D" w:themeColor="text2"/>
          <w:sz w:val="20"/>
          <w:szCs w:val="18"/>
        </w:rPr>
        <w:t xml:space="preserve"> of pupils achieving 3+ awards at SQA </w:t>
      </w:r>
      <w:r>
        <w:rPr>
          <w:rFonts w:ascii="Arial Rounded MT Bold" w:hAnsi="Arial Rounded MT Bold"/>
          <w:i/>
          <w:iCs/>
          <w:color w:val="1F497D" w:themeColor="text2"/>
          <w:sz w:val="20"/>
          <w:szCs w:val="18"/>
        </w:rPr>
        <w:t>Higher level</w:t>
      </w:r>
      <w:r w:rsidRPr="003270BB">
        <w:rPr>
          <w:rFonts w:ascii="Arial Rounded MT Bold" w:hAnsi="Arial Rounded MT Bold"/>
          <w:i/>
          <w:iCs/>
          <w:color w:val="1F497D" w:themeColor="text2"/>
          <w:sz w:val="20"/>
          <w:szCs w:val="18"/>
        </w:rPr>
        <w:t xml:space="preserve"> (grade A-D) by end S5, 20</w:t>
      </w:r>
      <w:r>
        <w:rPr>
          <w:rFonts w:ascii="Arial Rounded MT Bold" w:hAnsi="Arial Rounded MT Bold"/>
          <w:i/>
          <w:iCs/>
          <w:color w:val="1F497D" w:themeColor="text2"/>
          <w:sz w:val="20"/>
          <w:szCs w:val="18"/>
        </w:rPr>
        <w:t>20</w:t>
      </w:r>
      <w:r w:rsidRPr="003270BB">
        <w:rPr>
          <w:rFonts w:ascii="Arial Rounded MT Bold" w:hAnsi="Arial Rounded MT Bold"/>
          <w:i/>
          <w:iCs/>
          <w:color w:val="1F497D" w:themeColor="text2"/>
          <w:sz w:val="20"/>
          <w:szCs w:val="18"/>
        </w:rPr>
        <w:t>/</w:t>
      </w:r>
      <w:r>
        <w:rPr>
          <w:rFonts w:ascii="Arial Rounded MT Bold" w:hAnsi="Arial Rounded MT Bold"/>
          <w:i/>
          <w:iCs/>
          <w:color w:val="1F497D" w:themeColor="text2"/>
          <w:sz w:val="20"/>
          <w:szCs w:val="18"/>
        </w:rPr>
        <w:t>21</w:t>
      </w:r>
      <w:r w:rsidRPr="003270BB">
        <w:rPr>
          <w:rFonts w:ascii="Arial Rounded MT Bold" w:hAnsi="Arial Rounded MT Bold"/>
          <w:i/>
          <w:iCs/>
          <w:color w:val="1F497D" w:themeColor="text2"/>
          <w:sz w:val="20"/>
          <w:szCs w:val="18"/>
        </w:rPr>
        <w:t xml:space="preserve"> to 202</w:t>
      </w:r>
      <w:r>
        <w:rPr>
          <w:rFonts w:ascii="Arial Rounded MT Bold" w:hAnsi="Arial Rounded MT Bold"/>
          <w:i/>
          <w:iCs/>
          <w:color w:val="1F497D" w:themeColor="text2"/>
          <w:sz w:val="20"/>
          <w:szCs w:val="18"/>
        </w:rPr>
        <w:t>4</w:t>
      </w:r>
      <w:r w:rsidRPr="003270BB">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w:t>
      </w:r>
      <w:r w:rsidRPr="00E72091">
        <w:rPr>
          <w:noProof/>
        </w:rPr>
        <w:t xml:space="preserve"> </w:t>
      </w:r>
      <w:r>
        <w:rPr>
          <w:noProof/>
        </w:rPr>
        <w:lastRenderedPageBreak/>
        <w:drawing>
          <wp:inline distT="0" distB="0" distL="0" distR="0" wp14:anchorId="5E24D455" wp14:editId="45F2B791">
            <wp:extent cx="6015990" cy="2524125"/>
            <wp:effectExtent l="0" t="0" r="3810" b="0"/>
            <wp:docPr id="1183640250" name="Chart 1">
              <a:extLst xmlns:a="http://schemas.openxmlformats.org/drawingml/2006/main">
                <a:ext uri="{FF2B5EF4-FFF2-40B4-BE49-F238E27FC236}">
                  <a16:creationId xmlns:a16="http://schemas.microsoft.com/office/drawing/2014/main" id="{98D6B4C2-8E62-4A1D-93AA-C6596A9A6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524B4A">
        <w:rPr>
          <w:b/>
          <w:i/>
          <w:color w:val="548DD4" w:themeColor="text2" w:themeTint="99"/>
          <w:sz w:val="18"/>
          <w:szCs w:val="18"/>
        </w:rPr>
        <w:t>Source: Insight, 202</w:t>
      </w:r>
      <w:r>
        <w:rPr>
          <w:b/>
          <w:i/>
          <w:color w:val="548DD4" w:themeColor="text2" w:themeTint="99"/>
          <w:sz w:val="18"/>
          <w:szCs w:val="18"/>
        </w:rPr>
        <w:t>5 (INSIGHT: Breadth and Depth: All Candidates</w:t>
      </w:r>
      <w:hyperlink r:id="rId51" w:history="1"/>
      <w:r>
        <w:rPr>
          <w:b/>
          <w:i/>
          <w:color w:val="548DD4" w:themeColor="text2" w:themeTint="99"/>
          <w:sz w:val="18"/>
          <w:szCs w:val="18"/>
        </w:rPr>
        <w:t>)</w:t>
      </w:r>
    </w:p>
    <w:p w14:paraId="6B70402C" w14:textId="77777777" w:rsidR="004B4037" w:rsidRDefault="004B4037" w:rsidP="004B4037">
      <w:pPr>
        <w:rPr>
          <w:rFonts w:ascii="Arial Rounded MT Bold" w:hAnsi="Arial Rounded MT Bold"/>
          <w:i/>
          <w:iCs/>
          <w:color w:val="1F497D" w:themeColor="text2"/>
          <w:sz w:val="20"/>
          <w:szCs w:val="18"/>
        </w:rPr>
      </w:pPr>
    </w:p>
    <w:p w14:paraId="4C5ABD83" w14:textId="77777777" w:rsidR="004B4037" w:rsidRPr="00234DE9" w:rsidRDefault="004B4037" w:rsidP="004B4037">
      <w:pPr>
        <w:rPr>
          <w:color w:val="1F3864"/>
          <w:sz w:val="24"/>
          <w:szCs w:val="24"/>
        </w:rPr>
      </w:pPr>
      <w:r>
        <w:rPr>
          <w:rFonts w:ascii="Arial Rounded MT Bold" w:hAnsi="Arial Rounded MT Bold"/>
          <w:i/>
          <w:iCs/>
          <w:color w:val="1F497D" w:themeColor="text2"/>
          <w:sz w:val="20"/>
          <w:szCs w:val="18"/>
        </w:rPr>
        <w:t>Percentage</w:t>
      </w:r>
      <w:r w:rsidRPr="003270BB">
        <w:rPr>
          <w:rFonts w:ascii="Arial Rounded MT Bold" w:hAnsi="Arial Rounded MT Bold"/>
          <w:i/>
          <w:iCs/>
          <w:color w:val="1F497D" w:themeColor="text2"/>
          <w:sz w:val="20"/>
          <w:szCs w:val="18"/>
        </w:rPr>
        <w:t xml:space="preserve"> of pupils achieving 5+ awards at </w:t>
      </w:r>
      <w:r>
        <w:rPr>
          <w:rFonts w:ascii="Arial Rounded MT Bold" w:hAnsi="Arial Rounded MT Bold"/>
          <w:i/>
          <w:iCs/>
          <w:color w:val="1F497D" w:themeColor="text2"/>
          <w:sz w:val="20"/>
          <w:szCs w:val="18"/>
        </w:rPr>
        <w:t>Higher level</w:t>
      </w:r>
      <w:r w:rsidRPr="003270BB">
        <w:rPr>
          <w:rFonts w:ascii="Arial Rounded MT Bold" w:hAnsi="Arial Rounded MT Bold"/>
          <w:i/>
          <w:iCs/>
          <w:color w:val="1F497D" w:themeColor="text2"/>
          <w:sz w:val="20"/>
          <w:szCs w:val="18"/>
        </w:rPr>
        <w:t xml:space="preserve"> (grade A-D) by end S5, 20</w:t>
      </w:r>
      <w:r>
        <w:rPr>
          <w:rFonts w:ascii="Arial Rounded MT Bold" w:hAnsi="Arial Rounded MT Bold"/>
          <w:i/>
          <w:iCs/>
          <w:color w:val="1F497D" w:themeColor="text2"/>
          <w:sz w:val="20"/>
          <w:szCs w:val="18"/>
        </w:rPr>
        <w:t>20</w:t>
      </w:r>
      <w:r w:rsidRPr="003270BB">
        <w:rPr>
          <w:rFonts w:ascii="Arial Rounded MT Bold" w:hAnsi="Arial Rounded MT Bold"/>
          <w:i/>
          <w:iCs/>
          <w:color w:val="1F497D" w:themeColor="text2"/>
          <w:sz w:val="20"/>
          <w:szCs w:val="18"/>
        </w:rPr>
        <w:t>/</w:t>
      </w:r>
      <w:r>
        <w:rPr>
          <w:rFonts w:ascii="Arial Rounded MT Bold" w:hAnsi="Arial Rounded MT Bold"/>
          <w:i/>
          <w:iCs/>
          <w:color w:val="1F497D" w:themeColor="text2"/>
          <w:sz w:val="20"/>
          <w:szCs w:val="18"/>
        </w:rPr>
        <w:t>21</w:t>
      </w:r>
      <w:r w:rsidRPr="003270BB">
        <w:rPr>
          <w:rFonts w:ascii="Arial Rounded MT Bold" w:hAnsi="Arial Rounded MT Bold"/>
          <w:i/>
          <w:iCs/>
          <w:color w:val="1F497D" w:themeColor="text2"/>
          <w:sz w:val="20"/>
          <w:szCs w:val="18"/>
        </w:rPr>
        <w:t xml:space="preserve"> to 202</w:t>
      </w:r>
      <w:r>
        <w:rPr>
          <w:rFonts w:ascii="Arial Rounded MT Bold" w:hAnsi="Arial Rounded MT Bold"/>
          <w:i/>
          <w:iCs/>
          <w:color w:val="1F497D" w:themeColor="text2"/>
          <w:sz w:val="20"/>
          <w:szCs w:val="18"/>
        </w:rPr>
        <w:t>4</w:t>
      </w:r>
      <w:r w:rsidRPr="003270BB">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w:t>
      </w:r>
      <w:r w:rsidRPr="00E72091">
        <w:rPr>
          <w:noProof/>
        </w:rPr>
        <w:t xml:space="preserve"> </w:t>
      </w:r>
      <w:r>
        <w:rPr>
          <w:noProof/>
        </w:rPr>
        <w:drawing>
          <wp:inline distT="0" distB="0" distL="0" distR="0" wp14:anchorId="0B7904BB" wp14:editId="3CB71F40">
            <wp:extent cx="6015990" cy="2499995"/>
            <wp:effectExtent l="0" t="0" r="3810" b="0"/>
            <wp:docPr id="268963983" name="Chart 1">
              <a:extLst xmlns:a="http://schemas.openxmlformats.org/drawingml/2006/main">
                <a:ext uri="{FF2B5EF4-FFF2-40B4-BE49-F238E27FC236}">
                  <a16:creationId xmlns:a16="http://schemas.microsoft.com/office/drawing/2014/main" id="{044F5E4E-BA1A-4DE8-82B9-5C4B17AAAE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524B4A">
        <w:rPr>
          <w:b/>
          <w:i/>
          <w:color w:val="548DD4" w:themeColor="text2" w:themeTint="99"/>
          <w:sz w:val="18"/>
          <w:szCs w:val="18"/>
        </w:rPr>
        <w:t>Source: Insight, 202</w:t>
      </w:r>
      <w:r>
        <w:rPr>
          <w:b/>
          <w:i/>
          <w:color w:val="548DD4" w:themeColor="text2" w:themeTint="99"/>
          <w:sz w:val="18"/>
          <w:szCs w:val="18"/>
        </w:rPr>
        <w:t>5 (INSIGHT: Breadth and Depth: All Candidates</w:t>
      </w:r>
      <w:hyperlink r:id="rId53" w:history="1"/>
      <w:r>
        <w:rPr>
          <w:b/>
          <w:i/>
          <w:color w:val="548DD4" w:themeColor="text2" w:themeTint="99"/>
          <w:sz w:val="18"/>
          <w:szCs w:val="18"/>
        </w:rPr>
        <w:t>)</w:t>
      </w:r>
    </w:p>
    <w:p w14:paraId="50252939" w14:textId="77777777" w:rsidR="004B4037" w:rsidRDefault="004B4037" w:rsidP="004B4037">
      <w:pPr>
        <w:tabs>
          <w:tab w:val="left" w:pos="2505"/>
        </w:tabs>
        <w:spacing w:after="0"/>
        <w:jc w:val="both"/>
        <w:rPr>
          <w:rFonts w:ascii="Arial Rounded MT Bold" w:hAnsi="Arial Rounded MT Bold"/>
          <w:i/>
          <w:iCs/>
          <w:color w:val="1F497D" w:themeColor="text2"/>
          <w:sz w:val="20"/>
          <w:szCs w:val="18"/>
        </w:rPr>
      </w:pPr>
      <w:r>
        <w:rPr>
          <w:rFonts w:ascii="Arial Rounded MT Bold" w:hAnsi="Arial Rounded MT Bold"/>
          <w:i/>
          <w:iCs/>
          <w:color w:val="1F497D" w:themeColor="text2"/>
          <w:sz w:val="20"/>
          <w:szCs w:val="18"/>
        </w:rPr>
        <w:t>Percentage</w:t>
      </w:r>
      <w:r w:rsidRPr="003270BB">
        <w:rPr>
          <w:rFonts w:ascii="Arial Rounded MT Bold" w:hAnsi="Arial Rounded MT Bold"/>
          <w:i/>
          <w:iCs/>
          <w:color w:val="1F497D" w:themeColor="text2"/>
          <w:sz w:val="20"/>
          <w:szCs w:val="18"/>
        </w:rPr>
        <w:t xml:space="preserve"> of pupils achieving awards at </w:t>
      </w:r>
      <w:r>
        <w:rPr>
          <w:rFonts w:ascii="Arial Rounded MT Bold" w:hAnsi="Arial Rounded MT Bold"/>
          <w:i/>
          <w:iCs/>
          <w:color w:val="1F497D" w:themeColor="text2"/>
          <w:sz w:val="20"/>
          <w:szCs w:val="18"/>
        </w:rPr>
        <w:t>1+ Advanced Higher level</w:t>
      </w:r>
      <w:r w:rsidRPr="003270BB">
        <w:rPr>
          <w:rFonts w:ascii="Arial Rounded MT Bold" w:hAnsi="Arial Rounded MT Bold"/>
          <w:i/>
          <w:iCs/>
          <w:color w:val="1F497D" w:themeColor="text2"/>
          <w:sz w:val="20"/>
          <w:szCs w:val="18"/>
        </w:rPr>
        <w:t xml:space="preserve"> (grade A-D) by end S6, 20</w:t>
      </w:r>
      <w:r>
        <w:rPr>
          <w:rFonts w:ascii="Arial Rounded MT Bold" w:hAnsi="Arial Rounded MT Bold"/>
          <w:i/>
          <w:iCs/>
          <w:color w:val="1F497D" w:themeColor="text2"/>
          <w:sz w:val="20"/>
          <w:szCs w:val="18"/>
        </w:rPr>
        <w:t>20</w:t>
      </w:r>
      <w:r w:rsidRPr="003270BB">
        <w:rPr>
          <w:rFonts w:ascii="Arial Rounded MT Bold" w:hAnsi="Arial Rounded MT Bold"/>
          <w:i/>
          <w:iCs/>
          <w:color w:val="1F497D" w:themeColor="text2"/>
          <w:sz w:val="20"/>
          <w:szCs w:val="18"/>
        </w:rPr>
        <w:t>/</w:t>
      </w:r>
      <w:r>
        <w:rPr>
          <w:rFonts w:ascii="Arial Rounded MT Bold" w:hAnsi="Arial Rounded MT Bold"/>
          <w:i/>
          <w:iCs/>
          <w:color w:val="1F497D" w:themeColor="text2"/>
          <w:sz w:val="20"/>
          <w:szCs w:val="18"/>
        </w:rPr>
        <w:t>21</w:t>
      </w:r>
      <w:r w:rsidRPr="003270BB">
        <w:rPr>
          <w:rFonts w:ascii="Arial Rounded MT Bold" w:hAnsi="Arial Rounded MT Bold"/>
          <w:i/>
          <w:iCs/>
          <w:color w:val="1F497D" w:themeColor="text2"/>
          <w:sz w:val="20"/>
          <w:szCs w:val="18"/>
        </w:rPr>
        <w:t xml:space="preserve"> to 202</w:t>
      </w:r>
      <w:r>
        <w:rPr>
          <w:rFonts w:ascii="Arial Rounded MT Bold" w:hAnsi="Arial Rounded MT Bold"/>
          <w:i/>
          <w:iCs/>
          <w:color w:val="1F497D" w:themeColor="text2"/>
          <w:sz w:val="20"/>
          <w:szCs w:val="18"/>
        </w:rPr>
        <w:t>4</w:t>
      </w:r>
      <w:r w:rsidRPr="003270BB">
        <w:rPr>
          <w:rFonts w:ascii="Arial Rounded MT Bold" w:hAnsi="Arial Rounded MT Bold"/>
          <w:i/>
          <w:iCs/>
          <w:color w:val="1F497D" w:themeColor="text2"/>
          <w:sz w:val="20"/>
          <w:szCs w:val="18"/>
        </w:rPr>
        <w:t>/2</w:t>
      </w:r>
      <w:r>
        <w:rPr>
          <w:rFonts w:ascii="Arial Rounded MT Bold" w:hAnsi="Arial Rounded MT Bold"/>
          <w:i/>
          <w:iCs/>
          <w:color w:val="1F497D" w:themeColor="text2"/>
          <w:sz w:val="20"/>
          <w:szCs w:val="18"/>
        </w:rPr>
        <w:t>5</w:t>
      </w:r>
    </w:p>
    <w:p w14:paraId="3CAB595B" w14:textId="77777777" w:rsidR="004B4037" w:rsidRDefault="004B4037" w:rsidP="004B4037">
      <w:pPr>
        <w:tabs>
          <w:tab w:val="left" w:pos="2505"/>
        </w:tabs>
        <w:spacing w:after="0"/>
        <w:jc w:val="both"/>
        <w:rPr>
          <w:color w:val="FF0000"/>
        </w:rPr>
      </w:pPr>
      <w:r>
        <w:rPr>
          <w:noProof/>
        </w:rPr>
        <w:drawing>
          <wp:inline distT="0" distB="0" distL="0" distR="0" wp14:anchorId="58369F42" wp14:editId="42888BFB">
            <wp:extent cx="6015990" cy="2498090"/>
            <wp:effectExtent l="0" t="0" r="3810" b="0"/>
            <wp:docPr id="2039911815" name="Chart 1">
              <a:extLst xmlns:a="http://schemas.openxmlformats.org/drawingml/2006/main">
                <a:ext uri="{FF2B5EF4-FFF2-40B4-BE49-F238E27FC236}">
                  <a16:creationId xmlns:a16="http://schemas.microsoft.com/office/drawing/2014/main" id="{27CA4746-6CE8-448D-BF0E-44DA84CFC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4A343CB" w14:textId="77777777" w:rsidR="00C2095D" w:rsidRDefault="004B4037" w:rsidP="00C2095D">
      <w:pPr>
        <w:tabs>
          <w:tab w:val="left" w:pos="6480"/>
        </w:tabs>
        <w:spacing w:after="0" w:line="240" w:lineRule="auto"/>
        <w:rPr>
          <w:color w:val="FF0000"/>
        </w:rPr>
      </w:pPr>
      <w:r w:rsidRPr="00524B4A">
        <w:rPr>
          <w:b/>
          <w:i/>
          <w:color w:val="548DD4" w:themeColor="text2" w:themeTint="99"/>
          <w:sz w:val="18"/>
          <w:szCs w:val="18"/>
        </w:rPr>
        <w:t>Source: Insight, 202</w:t>
      </w:r>
      <w:r>
        <w:rPr>
          <w:b/>
          <w:i/>
          <w:color w:val="548DD4" w:themeColor="text2" w:themeTint="99"/>
          <w:sz w:val="18"/>
          <w:szCs w:val="18"/>
        </w:rPr>
        <w:t>5 (INSIGHT: Breadth and Depth: All Candidates</w:t>
      </w:r>
      <w:hyperlink r:id="rId55" w:history="1"/>
      <w:r>
        <w:rPr>
          <w:b/>
          <w:i/>
          <w:color w:val="548DD4" w:themeColor="text2" w:themeTint="99"/>
          <w:sz w:val="18"/>
          <w:szCs w:val="18"/>
        </w:rPr>
        <w:t>)</w:t>
      </w:r>
    </w:p>
    <w:p w14:paraId="12B58FAB" w14:textId="62AFFDAA" w:rsidR="00CD4A79" w:rsidRPr="00C2095D" w:rsidRDefault="00FB1FDE" w:rsidP="00C2095D">
      <w:pPr>
        <w:tabs>
          <w:tab w:val="left" w:pos="6480"/>
        </w:tabs>
        <w:spacing w:after="0" w:line="240" w:lineRule="auto"/>
        <w:rPr>
          <w:color w:val="FF0000"/>
        </w:rPr>
      </w:pPr>
      <w:r>
        <w:rPr>
          <w:noProof/>
          <w:lang w:eastAsia="en-GB"/>
        </w:rPr>
        <w:lastRenderedPageBreak/>
        <mc:AlternateContent>
          <mc:Choice Requires="wps">
            <w:drawing>
              <wp:anchor distT="0" distB="0" distL="114300" distR="114300" simplePos="0" relativeHeight="251731456" behindDoc="0" locked="0" layoutInCell="1" allowOverlap="1" wp14:anchorId="10EACCCA" wp14:editId="1B535213">
                <wp:simplePos x="0" y="0"/>
                <wp:positionH relativeFrom="column">
                  <wp:posOffset>-538480</wp:posOffset>
                </wp:positionH>
                <wp:positionV relativeFrom="paragraph">
                  <wp:posOffset>190182</wp:posOffset>
                </wp:positionV>
                <wp:extent cx="6901497" cy="358140"/>
                <wp:effectExtent l="0" t="0" r="13970" b="41910"/>
                <wp:wrapNone/>
                <wp:docPr id="1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497" cy="358140"/>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39D16B94" w14:textId="10790022" w:rsidR="007E0210" w:rsidRPr="00CD23A3" w:rsidRDefault="007E0210" w:rsidP="00FB1FDE">
                            <w:pPr>
                              <w:tabs>
                                <w:tab w:val="left" w:pos="2505"/>
                              </w:tabs>
                              <w:spacing w:after="0" w:line="240" w:lineRule="auto"/>
                              <w:ind w:left="32"/>
                              <w:jc w:val="center"/>
                              <w:rPr>
                                <w:color w:val="FFFFFF" w:themeColor="background1"/>
                                <w:sz w:val="28"/>
                                <w:szCs w:val="28"/>
                              </w:rPr>
                            </w:pPr>
                            <w:r w:rsidRPr="006120A9">
                              <w:rPr>
                                <w:b/>
                                <w:bCs/>
                                <w:color w:val="FFFFFF" w:themeColor="background1"/>
                                <w:sz w:val="28"/>
                                <w:szCs w:val="28"/>
                              </w:rPr>
                              <w:t>C:</w:t>
                            </w:r>
                            <w:r>
                              <w:rPr>
                                <w:color w:val="FFFFFF" w:themeColor="background1"/>
                                <w:sz w:val="28"/>
                                <w:szCs w:val="28"/>
                              </w:rPr>
                              <w:t xml:space="preserve"> </w:t>
                            </w:r>
                            <w:r w:rsidRPr="006120A9">
                              <w:rPr>
                                <w:rStyle w:val="Heading1Char"/>
                              </w:rPr>
                              <w:t>Improvement in children’s and young people’s health and wellbeing</w:t>
                            </w:r>
                          </w:p>
                          <w:p w14:paraId="3218D812" w14:textId="77777777" w:rsidR="007E0210" w:rsidRDefault="007E0210" w:rsidP="00FB1F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0EACCCA" id="_x0000_s1033" style="position:absolute;margin-left:-42.4pt;margin-top:14.95pt;width:543.4pt;height:28.2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" fillcolor="#4bacc6 [3208]" stroked="f" strokecolor="#f2f2f2 [3041]" strokeweight="3pt">
                <v:shadow on="t" color="#205867 [1608]" opacity=".5" offset="1pt"/>
                <v:textbox>
                  <w:txbxContent>
                    <w:p w14:paraId="39D16B94" w14:textId="10790022" w:rsidR="007E0210" w:rsidRPr="00CD23A3" w:rsidRDefault="007E0210" w:rsidP="00FB1FDE">
                      <w:pPr>
                        <w:tabs>
                          <w:tab w:val="left" w:pos="2505"/>
                        </w:tabs>
                        <w:spacing w:after="0" w:line="240" w:lineRule="auto"/>
                        <w:ind w:left="32"/>
                        <w:jc w:val="center"/>
                        <w:rPr>
                          <w:color w:val="FFFFFF" w:themeColor="background1"/>
                          <w:sz w:val="28"/>
                          <w:szCs w:val="28"/>
                        </w:rPr>
                      </w:pPr>
                      <w:r w:rsidRPr="006120A9">
                        <w:rPr>
                          <w:b/>
                          <w:bCs/>
                          <w:color w:val="FFFFFF" w:themeColor="background1"/>
                          <w:sz w:val="28"/>
                          <w:szCs w:val="28"/>
                        </w:rPr>
                        <w:t>C:</w:t>
                      </w:r>
                      <w:r>
                        <w:rPr>
                          <w:color w:val="FFFFFF" w:themeColor="background1"/>
                          <w:sz w:val="28"/>
                          <w:szCs w:val="28"/>
                        </w:rPr>
                        <w:t xml:space="preserve"> </w:t>
                      </w:r>
                      <w:r w:rsidRPr="006120A9">
                        <w:rPr>
                          <w:rStyle w:val="Heading1Char"/>
                        </w:rPr>
                        <w:t>Improvement in children’s and young people’s health and wellbeing</w:t>
                      </w:r>
                    </w:p>
                    <w:p w14:paraId="3218D812" w14:textId="77777777" w:rsidR="007E0210" w:rsidRDefault="007E0210" w:rsidP="00FB1FDE"/>
                  </w:txbxContent>
                </v:textbox>
              </v:roundrect>
            </w:pict>
          </mc:Fallback>
        </mc:AlternateContent>
      </w:r>
    </w:p>
    <w:p w14:paraId="5A5544DF" w14:textId="77777777" w:rsidR="00CD4A79" w:rsidRDefault="00CD4A79" w:rsidP="000D3A41">
      <w:pPr>
        <w:rPr>
          <w:b/>
          <w:color w:val="000000" w:themeColor="text1"/>
        </w:rPr>
      </w:pPr>
    </w:p>
    <w:tbl>
      <w:tblPr>
        <w:tblStyle w:val="TableGrid"/>
        <w:tblW w:w="0" w:type="auto"/>
        <w:tblLook w:val="04A0" w:firstRow="1" w:lastRow="0" w:firstColumn="1" w:lastColumn="0" w:noHBand="0" w:noVBand="1"/>
      </w:tblPr>
      <w:tblGrid>
        <w:gridCol w:w="9464"/>
      </w:tblGrid>
      <w:tr w:rsidR="007A019A" w14:paraId="6BD4BADA" w14:textId="77777777" w:rsidTr="006120A9">
        <w:tc>
          <w:tcPr>
            <w:tcW w:w="9464" w:type="dxa"/>
            <w:shd w:val="clear" w:color="auto" w:fill="EAF1DD" w:themeFill="accent3" w:themeFillTint="33"/>
          </w:tcPr>
          <w:p w14:paraId="730335B4" w14:textId="77777777" w:rsidR="007A019A" w:rsidRDefault="007A019A" w:rsidP="00646572">
            <w:pPr>
              <w:rPr>
                <w:b/>
                <w:color w:val="000000" w:themeColor="text1"/>
              </w:rPr>
            </w:pPr>
          </w:p>
          <w:p w14:paraId="5D5E424C" w14:textId="77777777" w:rsidR="00BC00A7" w:rsidRPr="007B1B7A" w:rsidRDefault="00BC00A7" w:rsidP="00BC00A7">
            <w:pPr>
              <w:tabs>
                <w:tab w:val="left" w:pos="426"/>
              </w:tabs>
              <w:spacing w:after="160" w:line="259" w:lineRule="auto"/>
              <w:ind w:left="426" w:hanging="426"/>
            </w:pPr>
            <w:r w:rsidRPr="007B1B7A">
              <w:rPr>
                <w:b/>
              </w:rPr>
              <w:t>C1</w:t>
            </w:r>
            <w:r w:rsidRPr="007B1B7A">
              <w:tab/>
              <w:t>Continue to roll out the attendance strategy as outlined above in C1, ensuring all establishments have their own attendance policies in place</w:t>
            </w:r>
            <w:r>
              <w:t xml:space="preserve"> during 2025/26</w:t>
            </w:r>
            <w:r w:rsidRPr="007B1B7A">
              <w:t xml:space="preserve"> and maintain an ongoing focus on ensuring highly effective planning for pupils with less than 20% attendance.</w:t>
            </w:r>
          </w:p>
          <w:p w14:paraId="0422356E" w14:textId="7A8F9B26" w:rsidR="00BC00A7" w:rsidRDefault="00BC00A7" w:rsidP="00BC00A7">
            <w:pPr>
              <w:tabs>
                <w:tab w:val="left" w:pos="426"/>
              </w:tabs>
              <w:ind w:left="426" w:hanging="426"/>
            </w:pPr>
            <w:r w:rsidRPr="007B1B7A">
              <w:rPr>
                <w:b/>
                <w:bCs/>
              </w:rPr>
              <w:t>C2</w:t>
            </w:r>
            <w:r w:rsidRPr="007B1B7A">
              <w:tab/>
              <w:t xml:space="preserve">Publish and implement the revised Inverclyde Anti-bullying policy in </w:t>
            </w:r>
            <w:r w:rsidR="002113BB">
              <w:t>May</w:t>
            </w:r>
            <w:r w:rsidR="002113BB" w:rsidRPr="007B1B7A">
              <w:t xml:space="preserve"> 2025 and</w:t>
            </w:r>
            <w:r w:rsidRPr="007B1B7A">
              <w:t xml:space="preserve"> provide support and CLPL for establishments to implement and revise their own in line with it.</w:t>
            </w:r>
          </w:p>
          <w:p w14:paraId="1B7B6319" w14:textId="77777777" w:rsidR="00C0028E" w:rsidRDefault="00C0028E" w:rsidP="00BC00A7">
            <w:pPr>
              <w:tabs>
                <w:tab w:val="left" w:pos="426"/>
              </w:tabs>
              <w:ind w:left="426" w:hanging="426"/>
            </w:pPr>
          </w:p>
          <w:p w14:paraId="2F686BF1" w14:textId="77777777" w:rsidR="00BC00A7" w:rsidRDefault="00BC00A7" w:rsidP="00BC00A7">
            <w:pPr>
              <w:tabs>
                <w:tab w:val="left" w:pos="426"/>
              </w:tabs>
              <w:ind w:left="426" w:hanging="426"/>
            </w:pPr>
            <w:r>
              <w:rPr>
                <w:b/>
                <w:bCs/>
              </w:rPr>
              <w:t xml:space="preserve">C3 </w:t>
            </w:r>
            <w:r>
              <w:rPr>
                <w:b/>
                <w:bCs/>
              </w:rPr>
              <w:tab/>
            </w:r>
            <w:r w:rsidRPr="00AA337F">
              <w:t>Review the Inverclyde Promoting Positive Relationships and in doing so support all establishments to review their Promoting Positive Relationships policy in line with the Scottish Government action plan relating to behaviour.</w:t>
            </w:r>
          </w:p>
          <w:p w14:paraId="6E942FDB" w14:textId="77777777" w:rsidR="00C0028E" w:rsidRPr="007B1B7A" w:rsidRDefault="00C0028E" w:rsidP="00BC00A7">
            <w:pPr>
              <w:tabs>
                <w:tab w:val="left" w:pos="426"/>
              </w:tabs>
              <w:ind w:left="426" w:hanging="426"/>
            </w:pPr>
          </w:p>
          <w:p w14:paraId="5401D21E" w14:textId="77777777" w:rsidR="00BC00A7" w:rsidRDefault="00BC00A7" w:rsidP="00BC00A7">
            <w:pPr>
              <w:tabs>
                <w:tab w:val="left" w:pos="426"/>
              </w:tabs>
              <w:ind w:left="426" w:hanging="426"/>
            </w:pPr>
            <w:r w:rsidRPr="007B1B7A">
              <w:rPr>
                <w:b/>
                <w:bCs/>
              </w:rPr>
              <w:t>C</w:t>
            </w:r>
            <w:r>
              <w:rPr>
                <w:b/>
                <w:bCs/>
              </w:rPr>
              <w:t>4</w:t>
            </w:r>
            <w:r w:rsidRPr="007B1B7A">
              <w:tab/>
              <w:t xml:space="preserve">Continue to work with HSCP to further develop knowledge and understanding of the dangers of vaping for our young people in secondary schools by developing learning materials and a further training offer relating to vaping. </w:t>
            </w:r>
          </w:p>
          <w:p w14:paraId="0D0CD633" w14:textId="77777777" w:rsidR="00C0028E" w:rsidRPr="007B1B7A" w:rsidRDefault="00C0028E" w:rsidP="00BC00A7">
            <w:pPr>
              <w:tabs>
                <w:tab w:val="left" w:pos="426"/>
              </w:tabs>
              <w:ind w:left="426" w:hanging="426"/>
            </w:pPr>
          </w:p>
          <w:p w14:paraId="64E6B35F" w14:textId="5E43EADE" w:rsidR="00BC00A7" w:rsidRDefault="00BC00A7" w:rsidP="00BC00A7">
            <w:pPr>
              <w:tabs>
                <w:tab w:val="left" w:pos="426"/>
              </w:tabs>
              <w:ind w:left="426" w:hanging="426"/>
            </w:pPr>
            <w:r w:rsidRPr="007B1B7A">
              <w:rPr>
                <w:b/>
                <w:bCs/>
              </w:rPr>
              <w:t>C</w:t>
            </w:r>
            <w:r w:rsidR="002113BB">
              <w:rPr>
                <w:b/>
                <w:bCs/>
              </w:rPr>
              <w:t>5</w:t>
            </w:r>
            <w:r w:rsidR="002113BB" w:rsidRPr="007B1B7A">
              <w:t xml:space="preserve"> Collate</w:t>
            </w:r>
            <w:r w:rsidRPr="007B1B7A">
              <w:t xml:space="preserve"> data from individual schools’ HWB surveys to produce a data set for the authority </w:t>
            </w:r>
            <w:proofErr w:type="gramStart"/>
            <w:r w:rsidRPr="007B1B7A">
              <w:t>in order to</w:t>
            </w:r>
            <w:proofErr w:type="gramEnd"/>
            <w:r w:rsidRPr="007B1B7A">
              <w:t xml:space="preserve"> support HWB planning. Work in partnership with East Renfrewshire Council to compare data sets / identify commonalities and work together on development needs.</w:t>
            </w:r>
          </w:p>
          <w:p w14:paraId="5BA6BE1C" w14:textId="77777777" w:rsidR="00C0028E" w:rsidRPr="007B1B7A" w:rsidRDefault="00C0028E" w:rsidP="00BC00A7">
            <w:pPr>
              <w:tabs>
                <w:tab w:val="left" w:pos="426"/>
              </w:tabs>
              <w:ind w:left="426" w:hanging="426"/>
            </w:pPr>
          </w:p>
          <w:p w14:paraId="017C21A0" w14:textId="77777777" w:rsidR="00BC00A7" w:rsidRPr="007B1B7A" w:rsidRDefault="00BC00A7" w:rsidP="00BC00A7">
            <w:pPr>
              <w:tabs>
                <w:tab w:val="left" w:pos="426"/>
              </w:tabs>
              <w:ind w:left="426" w:hanging="426"/>
            </w:pPr>
            <w:r w:rsidRPr="007B1B7A">
              <w:rPr>
                <w:b/>
                <w:bCs/>
              </w:rPr>
              <w:t>C</w:t>
            </w:r>
            <w:r>
              <w:rPr>
                <w:b/>
                <w:bCs/>
              </w:rPr>
              <w:t>6</w:t>
            </w:r>
            <w:r w:rsidRPr="007B1B7A">
              <w:tab/>
              <w:t>Further develop approaches to Financial Education by working with targeted schools to develop tests of change in partnership with Scotland’s Financial Schools through a bespoke CLPL offer for middle leaders and teachers.</w:t>
            </w:r>
          </w:p>
          <w:p w14:paraId="47B246D2" w14:textId="77777777" w:rsidR="00A235DD" w:rsidRPr="004F69DC" w:rsidRDefault="00A235DD" w:rsidP="006120A9">
            <w:pPr>
              <w:tabs>
                <w:tab w:val="left" w:pos="452"/>
              </w:tabs>
            </w:pPr>
            <w:bookmarkStart w:id="7" w:name="_Hlk163216787"/>
          </w:p>
          <w:bookmarkEnd w:id="7"/>
          <w:p w14:paraId="18CF82AC" w14:textId="035D1D98" w:rsidR="004F69DC" w:rsidRPr="004F69DC" w:rsidRDefault="004F69DC" w:rsidP="004F69DC">
            <w:pPr>
              <w:spacing w:after="160" w:line="259" w:lineRule="auto"/>
              <w:rPr>
                <w:b/>
              </w:rPr>
            </w:pPr>
          </w:p>
        </w:tc>
      </w:tr>
    </w:tbl>
    <w:p w14:paraId="484E0165" w14:textId="77777777" w:rsidR="007A019A" w:rsidRDefault="007A019A" w:rsidP="007A019A"/>
    <w:p w14:paraId="4F44D196" w14:textId="18A6D7D3" w:rsidR="0013400F" w:rsidRPr="0013400F" w:rsidRDefault="004F69DC" w:rsidP="0013400F">
      <w:pPr>
        <w:rPr>
          <w:rFonts w:eastAsia="Calibri"/>
        </w:rPr>
      </w:pPr>
      <w:r w:rsidRPr="0013400F">
        <w:rPr>
          <w:b/>
          <w:bCs/>
        </w:rPr>
        <w:t>C1</w:t>
      </w:r>
      <w:r w:rsidR="00A00D2A" w:rsidRPr="0013400F">
        <w:rPr>
          <w:b/>
          <w:bCs/>
        </w:rPr>
        <w:tab/>
      </w:r>
      <w:r w:rsidR="0013400F" w:rsidRPr="0013400F">
        <w:rPr>
          <w:rFonts w:eastAsia="Calibri"/>
        </w:rPr>
        <w:t>During this session, almost all establishments have continued to make positive progress in improving attendance, supported by the revised attendance strategy agreed by committee in January 2026. Staff across almost all settings demonstrate a strong understanding of the relationship between improved attendance and better outcomes in health and wellbeing, progression, and attainment. Strengthened and more accurate use of attendance data has enabled almost all establishments to identify their key strengths and areas for development with increasing confidence.</w:t>
      </w:r>
    </w:p>
    <w:p w14:paraId="2DCDC1CC" w14:textId="01EB7BD1" w:rsidR="0013400F" w:rsidRPr="0013400F" w:rsidRDefault="0013400F" w:rsidP="0013400F">
      <w:pPr>
        <w:rPr>
          <w:rFonts w:eastAsia="Calibri"/>
        </w:rPr>
      </w:pPr>
      <w:r w:rsidRPr="0013400F">
        <w:rPr>
          <w:rFonts w:eastAsia="Calibri"/>
        </w:rPr>
        <w:t xml:space="preserve">Building on this, almost all establishments have now reviewed and begun implementing their updated attendance policies, with all on track for full implementation by August 2026. </w:t>
      </w:r>
      <w:proofErr w:type="gramStart"/>
      <w:r w:rsidRPr="0013400F">
        <w:rPr>
          <w:rFonts w:eastAsia="Calibri"/>
        </w:rPr>
        <w:t>The majority of</w:t>
      </w:r>
      <w:proofErr w:type="gramEnd"/>
      <w:r w:rsidRPr="0013400F">
        <w:rPr>
          <w:rFonts w:eastAsia="Calibri"/>
        </w:rPr>
        <w:t xml:space="preserve"> establishments are adopting a cluster</w:t>
      </w:r>
      <w:r w:rsidRPr="0013400F">
        <w:rPr>
          <w:rFonts w:eastAsia="Calibri"/>
        </w:rPr>
        <w:noBreakHyphen/>
        <w:t>based approach, which is contributing to greater consistency in expectations and procedures for families across associated school groups.</w:t>
      </w:r>
    </w:p>
    <w:p w14:paraId="45CF0762" w14:textId="21D5B8C0" w:rsidR="0013400F" w:rsidRPr="0013400F" w:rsidRDefault="0013400F" w:rsidP="0013400F">
      <w:pPr>
        <w:rPr>
          <w:rFonts w:eastAsia="Calibri"/>
        </w:rPr>
      </w:pPr>
      <w:r w:rsidRPr="0013400F">
        <w:rPr>
          <w:rFonts w:eastAsia="Calibri"/>
        </w:rPr>
        <w:t>Quality assurance activity has further supported this improvement journey. A controlled self</w:t>
      </w:r>
      <w:r w:rsidRPr="0013400F">
        <w:rPr>
          <w:rFonts w:eastAsia="Calibri"/>
        </w:rPr>
        <w:noBreakHyphen/>
        <w:t>assessment audit undertaken in January 2026 indicates that all establishments are tracking and monitoring attendance effectively. Recording practices are now more robust, enabling most establishments to analyse attendance trends with greater precision. As a result, many settings are applying targeted interventions more promptly and with increased impact.</w:t>
      </w:r>
    </w:p>
    <w:p w14:paraId="6D98E8C9" w14:textId="4AE16722" w:rsidR="0013400F" w:rsidRPr="0013400F" w:rsidRDefault="0013400F" w:rsidP="0013400F">
      <w:pPr>
        <w:rPr>
          <w:rFonts w:eastAsia="Calibri"/>
        </w:rPr>
      </w:pPr>
      <w:r w:rsidRPr="0013400F">
        <w:rPr>
          <w:rFonts w:eastAsia="Calibri"/>
        </w:rPr>
        <w:t xml:space="preserve">These developments have contributed to a sustained improvement in overall attendance across the authority, with performance reaching 91.59% in session 24/25. This places Inverclyde’s attendance above the national 2024/25 rate of 91.0% and continues the upward trajectory from the 2023/24 national figure of 90.3%. This improvement reflects increased staff confidence in </w:t>
      </w:r>
      <w:r w:rsidRPr="0013400F">
        <w:rPr>
          <w:rFonts w:eastAsia="Calibri"/>
        </w:rPr>
        <w:lastRenderedPageBreak/>
        <w:t>implementing attendance procedures and a more coherent, authority</w:t>
      </w:r>
      <w:r w:rsidRPr="0013400F">
        <w:rPr>
          <w:rFonts w:eastAsia="Calibri"/>
        </w:rPr>
        <w:noBreakHyphen/>
        <w:t>wide approach to identifying and responding to emerging concerns.</w:t>
      </w:r>
    </w:p>
    <w:p w14:paraId="1E275EFB" w14:textId="77777777" w:rsidR="0013400F" w:rsidRPr="0013400F" w:rsidRDefault="0013400F" w:rsidP="0013400F">
      <w:pPr>
        <w:rPr>
          <w:rFonts w:eastAsia="Calibri"/>
        </w:rPr>
      </w:pPr>
      <w:r w:rsidRPr="0013400F">
        <w:rPr>
          <w:rFonts w:eastAsia="Calibri"/>
        </w:rPr>
        <w:t>Overall, there is clear evidence that almost all establishments are implementing the attendance strategy effectively, with strengthened systems, improved consistency of practice, and increasing use of data to inform interventions. Continued focus will be required to sustain improvements and counter wider national trends.</w:t>
      </w:r>
    </w:p>
    <w:p w14:paraId="4122B18D" w14:textId="7B2D15B1" w:rsidR="00E55AA7" w:rsidRPr="0013400F" w:rsidRDefault="00E55AA7" w:rsidP="00CC0CEA">
      <w:pPr>
        <w:tabs>
          <w:tab w:val="left" w:pos="0"/>
        </w:tabs>
      </w:pPr>
      <w:r w:rsidRPr="0013400F">
        <w:t xml:space="preserve">The appointment of a </w:t>
      </w:r>
      <w:r w:rsidR="00535926" w:rsidRPr="0013400F">
        <w:t xml:space="preserve">Strategic </w:t>
      </w:r>
      <w:r w:rsidRPr="0013400F">
        <w:t>Attendance Lead</w:t>
      </w:r>
      <w:r w:rsidR="0013400F">
        <w:t xml:space="preserve"> </w:t>
      </w:r>
      <w:r w:rsidR="00535926" w:rsidRPr="0013400F">
        <w:t xml:space="preserve">in the summer term of 2024/25, </w:t>
      </w:r>
      <w:r w:rsidR="0013400F">
        <w:t xml:space="preserve">has </w:t>
      </w:r>
      <w:r w:rsidR="00535926" w:rsidRPr="0013400F">
        <w:t>support</w:t>
      </w:r>
      <w:r w:rsidR="0013400F">
        <w:t>ed</w:t>
      </w:r>
      <w:r w:rsidR="00535926" w:rsidRPr="0013400F">
        <w:t xml:space="preserve"> us </w:t>
      </w:r>
      <w:r w:rsidR="0013400F">
        <w:t>to revise and deliver</w:t>
      </w:r>
      <w:r w:rsidRPr="0013400F">
        <w:t xml:space="preserve"> the strategy</w:t>
      </w:r>
      <w:r w:rsidR="00535926" w:rsidRPr="0013400F">
        <w:t>, work across the children’s service partnership as well as</w:t>
      </w:r>
      <w:r w:rsidRPr="0013400F">
        <w:t xml:space="preserve"> support establishment in maximising attendance and supporting absence</w:t>
      </w:r>
      <w:r w:rsidR="00535926" w:rsidRPr="0013400F">
        <w:t xml:space="preserve"> through developing their own attendance </w:t>
      </w:r>
      <w:r w:rsidR="0013400F" w:rsidRPr="0013400F">
        <w:t>policies</w:t>
      </w:r>
      <w:r w:rsidR="0013400F">
        <w:t xml:space="preserve"> as above</w:t>
      </w:r>
      <w:r w:rsidR="00535926" w:rsidRPr="0013400F">
        <w:t>.</w:t>
      </w:r>
    </w:p>
    <w:p w14:paraId="4EB3E217" w14:textId="77777777" w:rsidR="00E55AA7" w:rsidRPr="007E3545" w:rsidRDefault="00E55AA7" w:rsidP="00E55AA7">
      <w:pPr>
        <w:pStyle w:val="ListParagraph"/>
        <w:spacing w:after="0" w:line="240" w:lineRule="auto"/>
      </w:pPr>
    </w:p>
    <w:p w14:paraId="4F05B841" w14:textId="45B95AD3" w:rsidR="004F69DC" w:rsidRPr="001812DA" w:rsidRDefault="004F69DC" w:rsidP="00CC0CEA">
      <w:pPr>
        <w:rPr>
          <w:rFonts w:eastAsia="Times New Roman"/>
          <w:color w:val="000000"/>
        </w:rPr>
      </w:pPr>
      <w:r w:rsidRPr="004F69DC">
        <w:rPr>
          <w:b/>
          <w:bCs/>
        </w:rPr>
        <w:t>C2</w:t>
      </w:r>
      <w:r w:rsidR="00A00D2A">
        <w:rPr>
          <w:b/>
          <w:bCs/>
        </w:rPr>
        <w:tab/>
      </w:r>
      <w:r w:rsidR="00E818AC" w:rsidRPr="00A34B5D">
        <w:t>The re</w:t>
      </w:r>
      <w:r w:rsidR="00685C70">
        <w:t>vised Education Service</w:t>
      </w:r>
      <w:r w:rsidR="00E818AC" w:rsidRPr="00A34B5D">
        <w:t xml:space="preserve"> Anti-Bullying policy </w:t>
      </w:r>
      <w:r w:rsidR="00685C70">
        <w:t>was approved by</w:t>
      </w:r>
      <w:r w:rsidR="00E818AC" w:rsidRPr="00A34B5D">
        <w:t xml:space="preserve"> Committee in May</w:t>
      </w:r>
      <w:r w:rsidR="00685C70">
        <w:t xml:space="preserve"> </w:t>
      </w:r>
      <w:r w:rsidR="00E818AC" w:rsidRPr="00A34B5D">
        <w:t>2025. The refreshed policy align</w:t>
      </w:r>
      <w:r w:rsidR="00685C70">
        <w:t>s</w:t>
      </w:r>
      <w:r w:rsidR="00E818AC" w:rsidRPr="00A34B5D">
        <w:t xml:space="preserve"> to the document Respect for All (2024), which is the core guidance provided to local authorities by the Scottish Government related to the creation of policies in this area of work. </w:t>
      </w:r>
      <w:r w:rsidR="00685C70">
        <w:t>T</w:t>
      </w:r>
      <w:r w:rsidR="00E818AC" w:rsidRPr="00A34B5D">
        <w:t xml:space="preserve">he policy </w:t>
      </w:r>
      <w:r w:rsidR="00685C70">
        <w:t>was then</w:t>
      </w:r>
      <w:r w:rsidR="00E818AC" w:rsidRPr="00A34B5D">
        <w:t xml:space="preserve"> launch</w:t>
      </w:r>
      <w:r w:rsidR="00685C70">
        <w:t>ed to all schools</w:t>
      </w:r>
      <w:r w:rsidR="00E818AC" w:rsidRPr="00A34B5D">
        <w:t xml:space="preserve"> in August 2025 </w:t>
      </w:r>
      <w:r w:rsidR="00685C70">
        <w:t>alongside a</w:t>
      </w:r>
      <w:r w:rsidR="00E818AC" w:rsidRPr="00A34B5D">
        <w:t xml:space="preserve"> training </w:t>
      </w:r>
      <w:r w:rsidR="00685C70">
        <w:t>o</w:t>
      </w:r>
      <w:r w:rsidR="00E818AC" w:rsidRPr="00A34B5D">
        <w:t>f</w:t>
      </w:r>
      <w:r w:rsidR="00685C70">
        <w:t>fe</w:t>
      </w:r>
      <w:r w:rsidR="00E818AC" w:rsidRPr="00A34B5D">
        <w:t>r</w:t>
      </w:r>
      <w:r w:rsidR="00685C70">
        <w:t>. All schools are expected to have reviewed their Anti-bullying policies by June 2025.</w:t>
      </w:r>
    </w:p>
    <w:p w14:paraId="70DEC785" w14:textId="295046DE" w:rsidR="00FB5D0C" w:rsidRDefault="004F69DC" w:rsidP="00CC0CEA">
      <w:r w:rsidRPr="00D02C93">
        <w:rPr>
          <w:b/>
          <w:bCs/>
        </w:rPr>
        <w:t>C3</w:t>
      </w:r>
      <w:r w:rsidR="00762474">
        <w:rPr>
          <w:b/>
          <w:bCs/>
        </w:rPr>
        <w:tab/>
      </w:r>
      <w:r w:rsidR="00685C70">
        <w:t>The Education Service’s P</w:t>
      </w:r>
      <w:r w:rsidR="00E818AC" w:rsidRPr="00AA337F">
        <w:t xml:space="preserve">romoting Positive Relationships </w:t>
      </w:r>
      <w:r w:rsidR="00685C70">
        <w:t>policy was reviewed by the end of June 2025</w:t>
      </w:r>
      <w:r w:rsidR="001812DA" w:rsidRPr="00D97688">
        <w:t xml:space="preserve"> </w:t>
      </w:r>
      <w:r w:rsidR="00685C70">
        <w:t>in line with a request from the Scottish Government to then support all schools to do the same. This has taken place and we continue to support schools to ensure that their polices are in line with ongoing reviews of government guidance.</w:t>
      </w:r>
      <w:r w:rsidR="00FB5D0C">
        <w:t xml:space="preserve"> </w:t>
      </w:r>
      <w:r w:rsidR="00FB5D0C" w:rsidRPr="009E778E">
        <w:t>This has provided greater clarity and consistency in expectations across establishments and has strengthened alignment with current policy and inclusive practice.</w:t>
      </w:r>
    </w:p>
    <w:p w14:paraId="4A603DF0" w14:textId="07BB6F6B" w:rsidR="00FB5D0C" w:rsidRPr="009E778E" w:rsidRDefault="00FB5D0C" w:rsidP="00FB5D0C">
      <w:r w:rsidRPr="009E778E">
        <w:t>To support implementation, PPB professional learning, incorporating both theoretical and practical components, was delivered to 82 staff. This training has supported staff understanding of the revised Promoting Positive Relationships policy and contributed positively to consistent practice. However, engagement with PPB training during the current session has been lower than in previous years, indicating a need to strengthen promotion and accessibility of professional learning. A targeted plan will be developed to increase uptake and ensure wider staff participation in the coming session.</w:t>
      </w:r>
    </w:p>
    <w:p w14:paraId="33319025" w14:textId="0B3FC311" w:rsidR="00FB5D0C" w:rsidRPr="009E778E" w:rsidRDefault="00FB5D0C" w:rsidP="00FB5D0C">
      <w:r w:rsidRPr="009E778E">
        <w:t xml:space="preserve">Most establishments have now completed their updated Promoting Positive Relationships policies, with clear progress evident. All establishments are expected to have completed this work by the end of </w:t>
      </w:r>
      <w:r>
        <w:t>June 2026</w:t>
      </w:r>
      <w:r w:rsidRPr="009E778E">
        <w:t>. Progress and quality are effectively monitored through education officer visits and through the review of Standards and Quality reports supporting accountability and continuous improvement.</w:t>
      </w:r>
    </w:p>
    <w:p w14:paraId="0F739C42" w14:textId="77777777" w:rsidR="00FB5D0C" w:rsidRPr="009E778E" w:rsidRDefault="00FB5D0C" w:rsidP="00FB5D0C">
      <w:r w:rsidRPr="009E778E">
        <w:t>Importantly, there has been a reduction in the number of recorded critical incidents between sessions 2024/25 and 2025/26. This indicates a positive impact of strengthened policy, improved consistency in approaches to relationships and behaviour, and increased staff confidence in promoting positive learning environments.</w:t>
      </w:r>
    </w:p>
    <w:p w14:paraId="613E4805" w14:textId="77777777" w:rsidR="00FB5D0C" w:rsidRDefault="00FB5D0C" w:rsidP="00FB5D0C">
      <w:r>
        <w:rPr>
          <w:noProof/>
        </w:rPr>
        <w:lastRenderedPageBreak/>
        <w:drawing>
          <wp:anchor distT="0" distB="0" distL="114300" distR="114300" simplePos="0" relativeHeight="251753984" behindDoc="0" locked="0" layoutInCell="1" allowOverlap="1" wp14:anchorId="2E205DE9" wp14:editId="2ABF88B1">
            <wp:simplePos x="0" y="0"/>
            <wp:positionH relativeFrom="column">
              <wp:posOffset>82550</wp:posOffset>
            </wp:positionH>
            <wp:positionV relativeFrom="paragraph">
              <wp:posOffset>298450</wp:posOffset>
            </wp:positionV>
            <wp:extent cx="3686810" cy="2094230"/>
            <wp:effectExtent l="0" t="0" r="8890" b="1270"/>
            <wp:wrapSquare wrapText="bothSides"/>
            <wp:docPr id="172430642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p>
    <w:p w14:paraId="2D5DE2ED" w14:textId="77777777" w:rsidR="00FB5D0C" w:rsidRDefault="00FB5D0C" w:rsidP="00FB5D0C"/>
    <w:p w14:paraId="05D76249" w14:textId="77777777" w:rsidR="00FB5D0C" w:rsidRDefault="00FB5D0C" w:rsidP="00FB5D0C"/>
    <w:p w14:paraId="19868588" w14:textId="77777777" w:rsidR="00FB5D0C" w:rsidRDefault="00FB5D0C" w:rsidP="0015275F">
      <w:pPr>
        <w:ind w:left="567"/>
      </w:pPr>
    </w:p>
    <w:p w14:paraId="751CDF38" w14:textId="77777777" w:rsidR="00FB5D0C" w:rsidRDefault="00FB5D0C" w:rsidP="0015275F">
      <w:pPr>
        <w:ind w:left="567"/>
      </w:pPr>
    </w:p>
    <w:p w14:paraId="42528B86" w14:textId="77777777" w:rsidR="00FB5D0C" w:rsidRDefault="00FB5D0C" w:rsidP="0015275F">
      <w:pPr>
        <w:ind w:left="567"/>
      </w:pPr>
    </w:p>
    <w:p w14:paraId="1035ABE0" w14:textId="77777777" w:rsidR="00FB5D0C" w:rsidRDefault="00FB5D0C" w:rsidP="0015275F">
      <w:pPr>
        <w:ind w:left="567"/>
      </w:pPr>
    </w:p>
    <w:p w14:paraId="45938998" w14:textId="77777777" w:rsidR="00FB5D0C" w:rsidRDefault="00FB5D0C" w:rsidP="0015275F">
      <w:pPr>
        <w:ind w:left="567"/>
      </w:pPr>
    </w:p>
    <w:p w14:paraId="7774B01E" w14:textId="46931099" w:rsidR="0015275F" w:rsidRPr="00D97688" w:rsidRDefault="0015275F" w:rsidP="00FB5D0C">
      <w:r>
        <w:t xml:space="preserve">In year tracking of exclusion rates </w:t>
      </w:r>
      <w:r w:rsidR="00FB5D0C">
        <w:t xml:space="preserve">also </w:t>
      </w:r>
      <w:r>
        <w:t>shows a marked decrease in secondary exclusions throughout 2025/26.</w:t>
      </w:r>
    </w:p>
    <w:p w14:paraId="350689B4" w14:textId="1834A6A5" w:rsidR="00E818AC" w:rsidRPr="00685C70" w:rsidRDefault="004F69DC" w:rsidP="00E818AC">
      <w:pPr>
        <w:pStyle w:val="NoSpacing"/>
        <w:rPr>
          <w:rFonts w:ascii="Arial" w:hAnsi="Arial" w:cs="Arial"/>
          <w:bCs/>
        </w:rPr>
      </w:pPr>
      <w:r w:rsidRPr="00685C70">
        <w:rPr>
          <w:rFonts w:ascii="Arial" w:hAnsi="Arial" w:cs="Arial"/>
          <w:b/>
          <w:bCs/>
        </w:rPr>
        <w:t>C4</w:t>
      </w:r>
      <w:r w:rsidR="009941D5" w:rsidRPr="00685C70">
        <w:rPr>
          <w:rFonts w:ascii="Arial" w:hAnsi="Arial" w:cs="Arial"/>
          <w:b/>
          <w:bCs/>
        </w:rPr>
        <w:tab/>
      </w:r>
      <w:r w:rsidR="00E818AC" w:rsidRPr="00685C70">
        <w:rPr>
          <w:rFonts w:ascii="Arial" w:hAnsi="Arial" w:cs="Arial"/>
          <w:bCs/>
        </w:rPr>
        <w:t>Education Services and the Health Improvement Team have continued to meet across this session to further develop supports for young people and schools around risks associated with vaping.</w:t>
      </w:r>
    </w:p>
    <w:p w14:paraId="56DD84BF" w14:textId="77777777" w:rsidR="00E818AC" w:rsidRPr="00685C70" w:rsidRDefault="00E818AC" w:rsidP="00E818AC">
      <w:pPr>
        <w:pStyle w:val="NoSpacing"/>
        <w:rPr>
          <w:rFonts w:ascii="Arial" w:hAnsi="Arial" w:cs="Arial"/>
          <w:bCs/>
          <w:highlight w:val="yellow"/>
        </w:rPr>
      </w:pPr>
    </w:p>
    <w:p w14:paraId="0B3A82BC" w14:textId="77777777" w:rsidR="00E818AC" w:rsidRPr="00685C70" w:rsidRDefault="00E818AC" w:rsidP="00E818AC">
      <w:pPr>
        <w:pStyle w:val="NoSpacing"/>
        <w:rPr>
          <w:rFonts w:ascii="Arial" w:hAnsi="Arial" w:cs="Arial"/>
          <w:bCs/>
        </w:rPr>
      </w:pPr>
      <w:r w:rsidRPr="00685C70">
        <w:rPr>
          <w:rFonts w:ascii="Arial" w:hAnsi="Arial" w:cs="Arial"/>
          <w:bCs/>
        </w:rPr>
        <w:t xml:space="preserve">A joint commission between Education and the Health improvement team has led to enhanced focus around vaping being delivered, with lessons rolled out to every year group across all secondary schools as well as the development of lessons for primary 5-7 age groups. These lessons focus on the risks associated with vaping, both in terms of health, brain development and mental health as well as related issues like illicit vapes, organised crime and child exploitation. Lessons are age and stage appropriate and are delivered by subject matter experts. </w:t>
      </w:r>
    </w:p>
    <w:p w14:paraId="5EB616A0" w14:textId="77777777" w:rsidR="00E818AC" w:rsidRPr="00685C70" w:rsidRDefault="00E818AC" w:rsidP="00E818AC">
      <w:pPr>
        <w:pStyle w:val="NoSpacing"/>
        <w:rPr>
          <w:rFonts w:ascii="Arial" w:hAnsi="Arial" w:cs="Arial"/>
          <w:bCs/>
        </w:rPr>
      </w:pPr>
    </w:p>
    <w:p w14:paraId="0A8ED809" w14:textId="77777777" w:rsidR="00E818AC" w:rsidRPr="00685C70" w:rsidRDefault="00E818AC" w:rsidP="00E818AC">
      <w:pPr>
        <w:pStyle w:val="NoSpacing"/>
        <w:rPr>
          <w:rFonts w:ascii="Arial" w:hAnsi="Arial" w:cs="Arial"/>
          <w:bCs/>
        </w:rPr>
      </w:pPr>
      <w:r w:rsidRPr="00685C70">
        <w:rPr>
          <w:rFonts w:ascii="Arial" w:hAnsi="Arial" w:cs="Arial"/>
          <w:bCs/>
        </w:rPr>
        <w:t xml:space="preserve">Pilot schools supported the development of P5-7 materials, attended staff training and trialled the lessons and feedback was sought. Lessons will now be rolled out to all primary schools and teachers will be provided with an information session to support them to engage successfully and confidently with the new materials. </w:t>
      </w:r>
    </w:p>
    <w:p w14:paraId="250297EE" w14:textId="77777777" w:rsidR="00E818AC" w:rsidRPr="00685C70" w:rsidRDefault="00E818AC" w:rsidP="00E818AC">
      <w:pPr>
        <w:pStyle w:val="NoSpacing"/>
        <w:rPr>
          <w:rFonts w:ascii="Arial" w:hAnsi="Arial" w:cs="Arial"/>
          <w:bCs/>
        </w:rPr>
      </w:pPr>
      <w:r w:rsidRPr="00685C70">
        <w:rPr>
          <w:rFonts w:ascii="Arial" w:hAnsi="Arial" w:cs="Arial"/>
          <w:bCs/>
        </w:rPr>
        <w:t> </w:t>
      </w:r>
    </w:p>
    <w:p w14:paraId="6F8B43F3" w14:textId="77777777" w:rsidR="00E818AC" w:rsidRPr="00685C70" w:rsidRDefault="00E818AC" w:rsidP="00E818AC">
      <w:pPr>
        <w:pStyle w:val="NoSpacing"/>
        <w:rPr>
          <w:rFonts w:ascii="Arial" w:hAnsi="Arial" w:cs="Arial"/>
          <w:bCs/>
        </w:rPr>
      </w:pPr>
      <w:r w:rsidRPr="00685C70">
        <w:rPr>
          <w:rFonts w:ascii="Arial" w:hAnsi="Arial" w:cs="Arial"/>
          <w:bCs/>
        </w:rPr>
        <w:t>Health Improvement led a vaping roadshow in each secondary school along with key partners such as the smoking cessation team, the fire service and mental health providers.  This aimed to educate the young people on the Disposable Vape Ban which came into force on 1st June 2025, as well as reinforcing the key health messages and showcasing the resources available for support to stop vaping.</w:t>
      </w:r>
    </w:p>
    <w:p w14:paraId="4CBAADD9" w14:textId="77777777" w:rsidR="00E818AC" w:rsidRPr="00685C70" w:rsidRDefault="00E818AC" w:rsidP="00E818AC">
      <w:pPr>
        <w:pStyle w:val="NoSpacing"/>
        <w:rPr>
          <w:rFonts w:ascii="Arial" w:hAnsi="Arial" w:cs="Arial"/>
          <w:bCs/>
        </w:rPr>
      </w:pPr>
      <w:r w:rsidRPr="00685C70">
        <w:rPr>
          <w:rFonts w:ascii="Arial" w:hAnsi="Arial" w:cs="Arial"/>
          <w:bCs/>
        </w:rPr>
        <w:t> </w:t>
      </w:r>
    </w:p>
    <w:p w14:paraId="30AC3F51" w14:textId="77777777" w:rsidR="00E818AC" w:rsidRPr="00685C70" w:rsidRDefault="00E818AC" w:rsidP="00E818AC">
      <w:pPr>
        <w:pStyle w:val="NoSpacing"/>
        <w:rPr>
          <w:rFonts w:ascii="Arial" w:hAnsi="Arial" w:cs="Arial"/>
          <w:bCs/>
        </w:rPr>
      </w:pPr>
      <w:r w:rsidRPr="00685C70">
        <w:rPr>
          <w:rFonts w:ascii="Arial" w:hAnsi="Arial" w:cs="Arial"/>
          <w:bCs/>
        </w:rPr>
        <w:t xml:space="preserve">Awareness sessions are on offer to school staff within their CLPL options, delivered by the Inverclyde Health Improvement team to raise awareness of the risks of vaping, the health impacts and the support available. </w:t>
      </w:r>
    </w:p>
    <w:p w14:paraId="415477B2" w14:textId="77777777" w:rsidR="00E818AC" w:rsidRPr="00CF4870" w:rsidRDefault="00E818AC" w:rsidP="00E818AC">
      <w:pPr>
        <w:pStyle w:val="NoSpacing"/>
        <w:rPr>
          <w:rFonts w:asciiTheme="majorHAnsi" w:hAnsiTheme="majorHAnsi" w:cs="Arial"/>
          <w:bCs/>
          <w:sz w:val="20"/>
          <w:szCs w:val="20"/>
        </w:rPr>
      </w:pPr>
    </w:p>
    <w:p w14:paraId="514F8B03" w14:textId="20DF882A" w:rsidR="007A019A" w:rsidRDefault="00E818AC" w:rsidP="0036281A">
      <w:r w:rsidRPr="00CF4870">
        <w:rPr>
          <w:rFonts w:asciiTheme="majorHAnsi" w:hAnsiTheme="majorHAnsi"/>
          <w:bCs/>
          <w:sz w:val="20"/>
          <w:szCs w:val="20"/>
        </w:rPr>
        <w:t> </w:t>
      </w:r>
      <w:r w:rsidR="00D17362" w:rsidRPr="00D17362">
        <w:rPr>
          <w:b/>
          <w:bCs/>
        </w:rPr>
        <w:t>C5</w:t>
      </w:r>
      <w:r w:rsidR="009941D5">
        <w:rPr>
          <w:b/>
          <w:bCs/>
        </w:rPr>
        <w:tab/>
      </w:r>
      <w:r w:rsidR="00D86378" w:rsidRPr="00D86378">
        <w:t>No progress has been made against this action due to the Scot</w:t>
      </w:r>
      <w:r w:rsidR="00C0028E">
        <w:t>tish</w:t>
      </w:r>
      <w:r w:rsidR="00EF3DE9">
        <w:t xml:space="preserve"> </w:t>
      </w:r>
      <w:r w:rsidR="00D86378">
        <w:t>Government</w:t>
      </w:r>
      <w:r w:rsidR="00D86378" w:rsidRPr="00D86378">
        <w:t xml:space="preserve"> deciding to ret</w:t>
      </w:r>
      <w:r w:rsidR="00D86378">
        <w:t>ire</w:t>
      </w:r>
      <w:r w:rsidR="00D86378" w:rsidRPr="00D86378">
        <w:t xml:space="preserve"> it</w:t>
      </w:r>
      <w:r w:rsidR="00D86378">
        <w:t>s</w:t>
      </w:r>
      <w:r w:rsidR="00D86378" w:rsidRPr="00D86378">
        <w:t xml:space="preserve"> health and well-being s</w:t>
      </w:r>
      <w:r w:rsidR="00D86378">
        <w:t>urvey</w:t>
      </w:r>
      <w:r w:rsidR="00D86378" w:rsidRPr="00D86378">
        <w:t>. An action for the 2026/27 serv</w:t>
      </w:r>
      <w:r w:rsidR="00D86378">
        <w:t>ice</w:t>
      </w:r>
      <w:r w:rsidR="00D86378" w:rsidRPr="00D86378">
        <w:t xml:space="preserve"> plan will be for options to be brough</w:t>
      </w:r>
      <w:r w:rsidR="00D86378">
        <w:t>t</w:t>
      </w:r>
      <w:r w:rsidR="00D86378" w:rsidRPr="00D86378">
        <w:t xml:space="preserve"> forward to decide on a way forward for the </w:t>
      </w:r>
      <w:r w:rsidR="00D86378">
        <w:t>s</w:t>
      </w:r>
      <w:r w:rsidR="00D86378" w:rsidRPr="00D86378">
        <w:t>ervice to carry out its own survey.</w:t>
      </w:r>
    </w:p>
    <w:p w14:paraId="15F15AD4" w14:textId="64A17A6C" w:rsidR="0036281A" w:rsidRPr="0036281A" w:rsidRDefault="0036281A" w:rsidP="0036281A">
      <w:pPr>
        <w:rPr>
          <w:b/>
          <w:bCs/>
          <w:highlight w:val="yellow"/>
        </w:rPr>
      </w:pPr>
      <w:r w:rsidRPr="0081298F">
        <w:rPr>
          <w:b/>
          <w:bCs/>
        </w:rPr>
        <w:t xml:space="preserve">C6   </w:t>
      </w:r>
      <w:r>
        <w:t xml:space="preserve">   The Clydeview Cluster developed a cluster approach to financial education from Early Years to Secondary age pupils. This was delivered using an IDL model and showcased to families at Clydeview Academy. Partners were invited to along to attend and present to the community on Financial Fitness, Foodbanks. This event was in run in partnership with Scotland’s Financial Schools and was a response to feedback from ‘Clyde Conversations’ where our young people identified that financial education was an important life skill that they wanted to learn about.</w:t>
      </w:r>
      <w:r w:rsidR="00AE66DF">
        <w:t xml:space="preserve"> This work will be shared across all clusters during 2026/27.</w:t>
      </w:r>
    </w:p>
    <w:p w14:paraId="31B1AA22" w14:textId="77777777" w:rsidR="003A6C73" w:rsidRDefault="003A6C73" w:rsidP="007A019A">
      <w:pPr>
        <w:pStyle w:val="NoSpacing"/>
        <w:rPr>
          <w:rFonts w:ascii="Arial" w:hAnsi="Arial" w:cs="Arial"/>
          <w:b/>
        </w:rPr>
      </w:pPr>
    </w:p>
    <w:p w14:paraId="1E661A68" w14:textId="77777777" w:rsidR="003A6C73" w:rsidRDefault="003A6C73" w:rsidP="007A019A">
      <w:pPr>
        <w:pStyle w:val="NoSpacing"/>
        <w:rPr>
          <w:rFonts w:ascii="Arial" w:hAnsi="Arial" w:cs="Arial"/>
          <w:b/>
        </w:rPr>
      </w:pPr>
    </w:p>
    <w:p w14:paraId="1E52404A" w14:textId="77777777" w:rsidR="00CC0CEA" w:rsidRDefault="00CC0CEA" w:rsidP="007A019A">
      <w:pPr>
        <w:pStyle w:val="NoSpacing"/>
        <w:rPr>
          <w:rFonts w:ascii="Arial" w:hAnsi="Arial" w:cs="Arial"/>
          <w:b/>
        </w:rPr>
      </w:pPr>
    </w:p>
    <w:tbl>
      <w:tblPr>
        <w:tblStyle w:val="TableGrid"/>
        <w:tblW w:w="0" w:type="auto"/>
        <w:tblLook w:val="04A0" w:firstRow="1" w:lastRow="0" w:firstColumn="1" w:lastColumn="0" w:noHBand="0" w:noVBand="1"/>
      </w:tblPr>
      <w:tblGrid>
        <w:gridCol w:w="9464"/>
      </w:tblGrid>
      <w:tr w:rsidR="007A019A" w14:paraId="2FFE2883" w14:textId="77777777" w:rsidTr="006120A9">
        <w:tc>
          <w:tcPr>
            <w:tcW w:w="9464" w:type="dxa"/>
            <w:shd w:val="clear" w:color="auto" w:fill="EAF1DD" w:themeFill="accent3" w:themeFillTint="33"/>
          </w:tcPr>
          <w:p w14:paraId="7394D6B7" w14:textId="6C903C36" w:rsidR="007A019A" w:rsidRPr="006120A9" w:rsidRDefault="007A019A" w:rsidP="00646572">
            <w:pPr>
              <w:pStyle w:val="NoSpacing"/>
              <w:rPr>
                <w:rFonts w:ascii="Arial" w:hAnsi="Arial" w:cs="Arial"/>
                <w:b/>
                <w:color w:val="0070C0"/>
                <w:sz w:val="24"/>
                <w:szCs w:val="24"/>
              </w:rPr>
            </w:pPr>
            <w:r w:rsidRPr="006120A9">
              <w:rPr>
                <w:rFonts w:ascii="Arial" w:hAnsi="Arial" w:cs="Arial"/>
                <w:b/>
                <w:sz w:val="24"/>
                <w:szCs w:val="24"/>
              </w:rPr>
              <w:t xml:space="preserve">Next steps: </w:t>
            </w:r>
            <w:r w:rsidRPr="006120A9">
              <w:rPr>
                <w:b/>
                <w:sz w:val="28"/>
                <w:szCs w:val="28"/>
              </w:rPr>
              <w:t>Improvement in children’s and young people’s health and wellbeing</w:t>
            </w:r>
          </w:p>
        </w:tc>
      </w:tr>
    </w:tbl>
    <w:p w14:paraId="4464F125" w14:textId="77777777" w:rsidR="007A019A" w:rsidRDefault="007A019A" w:rsidP="007A019A">
      <w:pPr>
        <w:pStyle w:val="NoSpacing"/>
        <w:rPr>
          <w:rFonts w:ascii="Arial" w:hAnsi="Arial" w:cs="Arial"/>
          <w:b/>
        </w:rPr>
      </w:pPr>
    </w:p>
    <w:p w14:paraId="3350C5BC" w14:textId="5EB75EEC" w:rsidR="003A6C73" w:rsidRDefault="003A6C73" w:rsidP="003A6C73">
      <w:pPr>
        <w:tabs>
          <w:tab w:val="left" w:pos="426"/>
        </w:tabs>
        <w:spacing w:after="160" w:line="259" w:lineRule="auto"/>
        <w:ind w:left="426" w:hanging="426"/>
      </w:pPr>
      <w:r w:rsidRPr="003A6C73">
        <w:rPr>
          <w:b/>
          <w:bCs/>
        </w:rPr>
        <w:t>C1</w:t>
      </w:r>
      <w:r>
        <w:t xml:space="preserve"> </w:t>
      </w:r>
      <w:r>
        <w:tab/>
      </w:r>
      <w:r w:rsidRPr="007B1B7A">
        <w:t>Continue to roll out the attendance strategy</w:t>
      </w:r>
      <w:r>
        <w:t>, as agreed, during 2026/27.</w:t>
      </w:r>
    </w:p>
    <w:p w14:paraId="17BE6196" w14:textId="37A72952" w:rsidR="003A6C73" w:rsidRPr="003A6C73" w:rsidRDefault="003A6C73" w:rsidP="003A6C73">
      <w:pPr>
        <w:tabs>
          <w:tab w:val="left" w:pos="426"/>
        </w:tabs>
        <w:ind w:left="426" w:hanging="426"/>
        <w:rPr>
          <w:b/>
          <w:bCs/>
        </w:rPr>
      </w:pPr>
      <w:r w:rsidRPr="007B1B7A">
        <w:rPr>
          <w:b/>
          <w:bCs/>
        </w:rPr>
        <w:t>C2</w:t>
      </w:r>
      <w:r w:rsidRPr="007B1B7A">
        <w:tab/>
      </w:r>
      <w:r w:rsidRPr="003A6C73">
        <w:t>Continue to support all establishments to implement the Inverclyde Promoting Positive Relationships policy, thus ensuring alignment with the Scottish Government action plan relating to behaviour, as well as changes to key guidance and legislation such as Included, Engaged and Invovled and Calum’s law (Legal framework for restraint in schools).</w:t>
      </w:r>
    </w:p>
    <w:p w14:paraId="451CAB75" w14:textId="46D4E751" w:rsidR="003A6C73" w:rsidRPr="007B1B7A" w:rsidRDefault="003A6C73" w:rsidP="003A6C73">
      <w:pPr>
        <w:tabs>
          <w:tab w:val="left" w:pos="426"/>
        </w:tabs>
        <w:ind w:left="426" w:hanging="426"/>
      </w:pPr>
      <w:r w:rsidRPr="007B1B7A">
        <w:rPr>
          <w:b/>
          <w:bCs/>
        </w:rPr>
        <w:t>C</w:t>
      </w:r>
      <w:r>
        <w:rPr>
          <w:b/>
          <w:bCs/>
        </w:rPr>
        <w:t>3</w:t>
      </w:r>
      <w:r w:rsidRPr="007B1B7A">
        <w:tab/>
        <w:t xml:space="preserve">Continue to work with HSCP </w:t>
      </w:r>
      <w:r>
        <w:t xml:space="preserve">colleagues </w:t>
      </w:r>
      <w:r w:rsidRPr="007B1B7A">
        <w:t>to further develop knowledge and understanding of the dangers of vaping for our young people in secondary schools</w:t>
      </w:r>
      <w:r>
        <w:t>.</w:t>
      </w:r>
    </w:p>
    <w:p w14:paraId="77EA8922" w14:textId="2CB23966" w:rsidR="003A6C73" w:rsidRDefault="003A6C73" w:rsidP="003A6C73">
      <w:pPr>
        <w:tabs>
          <w:tab w:val="left" w:pos="426"/>
        </w:tabs>
        <w:ind w:left="426" w:hanging="426"/>
      </w:pPr>
      <w:r w:rsidRPr="007B1B7A">
        <w:rPr>
          <w:b/>
          <w:bCs/>
        </w:rPr>
        <w:t>C</w:t>
      </w:r>
      <w:r w:rsidR="002113BB">
        <w:rPr>
          <w:b/>
          <w:bCs/>
        </w:rPr>
        <w:t>4</w:t>
      </w:r>
      <w:r w:rsidR="002113BB" w:rsidRPr="007B1B7A">
        <w:t xml:space="preserve"> Review</w:t>
      </w:r>
      <w:r>
        <w:t xml:space="preserve"> and agree options for an approach to a Health and Well-being survey for Inverclyde.</w:t>
      </w:r>
    </w:p>
    <w:p w14:paraId="1CCD3E80" w14:textId="19A2F6DB" w:rsidR="00C17C48" w:rsidRDefault="003A6C73">
      <w:r w:rsidRPr="003A6C73">
        <w:rPr>
          <w:b/>
          <w:bCs/>
        </w:rPr>
        <w:t>C</w:t>
      </w:r>
      <w:r w:rsidR="002113BB" w:rsidRPr="003A6C73">
        <w:rPr>
          <w:b/>
          <w:bCs/>
        </w:rPr>
        <w:t>5</w:t>
      </w:r>
      <w:r w:rsidR="002113BB">
        <w:t xml:space="preserve"> Review</w:t>
      </w:r>
      <w:r>
        <w:t xml:space="preserve"> approaches to supporting pupils and families with anxiety management.</w:t>
      </w:r>
    </w:p>
    <w:p w14:paraId="12648267" w14:textId="6F74978D" w:rsidR="0036281A" w:rsidRPr="0036281A" w:rsidRDefault="0036281A">
      <w:pPr>
        <w:rPr>
          <w:b/>
          <w:bCs/>
          <w:color w:val="000000" w:themeColor="text1"/>
        </w:rPr>
      </w:pPr>
      <w:r w:rsidRPr="0036281A">
        <w:rPr>
          <w:b/>
          <w:bCs/>
        </w:rPr>
        <w:t>C6</w:t>
      </w:r>
      <w:r>
        <w:rPr>
          <w:b/>
          <w:bCs/>
        </w:rPr>
        <w:t xml:space="preserve"> </w:t>
      </w:r>
      <w:r w:rsidRPr="0036281A">
        <w:t xml:space="preserve">Continue to develop the cluster approach to financial education </w:t>
      </w:r>
      <w:r w:rsidR="00AE66DF">
        <w:t>across Inverclyde.</w:t>
      </w:r>
    </w:p>
    <w:p w14:paraId="684DC4FA" w14:textId="77777777" w:rsidR="00D97688" w:rsidRDefault="00D97688">
      <w:pPr>
        <w:rPr>
          <w:b/>
          <w:color w:val="000000" w:themeColor="text1"/>
        </w:rPr>
      </w:pPr>
    </w:p>
    <w:p w14:paraId="036B66E4" w14:textId="77777777" w:rsidR="00D97688" w:rsidRDefault="00D97688">
      <w:pPr>
        <w:rPr>
          <w:b/>
          <w:color w:val="000000" w:themeColor="text1"/>
        </w:rPr>
      </w:pPr>
    </w:p>
    <w:p w14:paraId="057A6994" w14:textId="77777777" w:rsidR="00D97688" w:rsidRDefault="00D97688">
      <w:pPr>
        <w:rPr>
          <w:b/>
          <w:color w:val="000000" w:themeColor="text1"/>
        </w:rPr>
      </w:pPr>
    </w:p>
    <w:p w14:paraId="27E0492A" w14:textId="77777777" w:rsidR="00D97688" w:rsidRDefault="00D97688">
      <w:pPr>
        <w:rPr>
          <w:b/>
          <w:color w:val="000000" w:themeColor="text1"/>
        </w:rPr>
      </w:pPr>
    </w:p>
    <w:p w14:paraId="1F7F4C6F" w14:textId="77777777" w:rsidR="00D97688" w:rsidRDefault="00D97688">
      <w:pPr>
        <w:rPr>
          <w:b/>
          <w:color w:val="000000" w:themeColor="text1"/>
        </w:rPr>
      </w:pPr>
    </w:p>
    <w:p w14:paraId="3EAA5BA8" w14:textId="77777777" w:rsidR="00D97688" w:rsidRDefault="00D97688">
      <w:pPr>
        <w:rPr>
          <w:b/>
          <w:color w:val="000000" w:themeColor="text1"/>
        </w:rPr>
      </w:pPr>
    </w:p>
    <w:p w14:paraId="7865F99D" w14:textId="77777777" w:rsidR="00D97688" w:rsidRDefault="00D97688">
      <w:pPr>
        <w:rPr>
          <w:b/>
          <w:color w:val="000000" w:themeColor="text1"/>
        </w:rPr>
      </w:pPr>
    </w:p>
    <w:p w14:paraId="78E9B3D8" w14:textId="77777777" w:rsidR="00AA337F" w:rsidRDefault="00AA337F">
      <w:pPr>
        <w:rPr>
          <w:b/>
          <w:color w:val="000000" w:themeColor="text1"/>
        </w:rPr>
      </w:pPr>
    </w:p>
    <w:p w14:paraId="7C64353B" w14:textId="77777777" w:rsidR="00D97688" w:rsidRDefault="00D97688">
      <w:pPr>
        <w:rPr>
          <w:b/>
          <w:color w:val="000000" w:themeColor="text1"/>
        </w:rPr>
      </w:pPr>
    </w:p>
    <w:p w14:paraId="632AFB09" w14:textId="77777777" w:rsidR="00AA337F" w:rsidRDefault="00AA337F">
      <w:pPr>
        <w:rPr>
          <w:b/>
          <w:color w:val="000000" w:themeColor="text1"/>
        </w:rPr>
      </w:pPr>
    </w:p>
    <w:p w14:paraId="478B7012" w14:textId="77777777" w:rsidR="00A34B5D" w:rsidRDefault="00A34B5D">
      <w:pPr>
        <w:rPr>
          <w:b/>
          <w:color w:val="000000" w:themeColor="text1"/>
        </w:rPr>
      </w:pPr>
    </w:p>
    <w:p w14:paraId="6DB9C69A" w14:textId="77777777" w:rsidR="00A34B5D" w:rsidRDefault="00A34B5D">
      <w:pPr>
        <w:rPr>
          <w:b/>
          <w:color w:val="000000" w:themeColor="text1"/>
        </w:rPr>
      </w:pPr>
    </w:p>
    <w:p w14:paraId="5A35FD4B" w14:textId="77777777" w:rsidR="00A34B5D" w:rsidRDefault="00A34B5D">
      <w:pPr>
        <w:rPr>
          <w:b/>
          <w:color w:val="000000" w:themeColor="text1"/>
        </w:rPr>
      </w:pPr>
    </w:p>
    <w:p w14:paraId="792500A3" w14:textId="77777777" w:rsidR="00A34B5D" w:rsidRDefault="00A34B5D">
      <w:pPr>
        <w:rPr>
          <w:b/>
          <w:color w:val="000000" w:themeColor="text1"/>
        </w:rPr>
      </w:pPr>
    </w:p>
    <w:p w14:paraId="73EAA462" w14:textId="77777777" w:rsidR="00B77640" w:rsidRDefault="00B77640">
      <w:pPr>
        <w:rPr>
          <w:b/>
          <w:color w:val="000000" w:themeColor="text1"/>
        </w:rPr>
      </w:pPr>
    </w:p>
    <w:p w14:paraId="0637A3EA" w14:textId="77777777" w:rsidR="0015275F" w:rsidRDefault="0015275F">
      <w:pPr>
        <w:rPr>
          <w:b/>
          <w:color w:val="000000" w:themeColor="text1"/>
        </w:rPr>
      </w:pPr>
    </w:p>
    <w:p w14:paraId="53462D9D" w14:textId="77777777" w:rsidR="005C1F7E" w:rsidRDefault="005C1F7E">
      <w:pPr>
        <w:rPr>
          <w:b/>
          <w:color w:val="000000" w:themeColor="text1"/>
        </w:rPr>
      </w:pPr>
    </w:p>
    <w:p w14:paraId="2A9292A0" w14:textId="77777777" w:rsidR="0015275F" w:rsidRDefault="0015275F">
      <w:pPr>
        <w:rPr>
          <w:b/>
          <w:color w:val="000000" w:themeColor="text1"/>
        </w:rPr>
      </w:pPr>
    </w:p>
    <w:p w14:paraId="0E872733" w14:textId="130D5DCE" w:rsidR="00CD4A79" w:rsidRDefault="00371CE2" w:rsidP="000D3A41">
      <w:pPr>
        <w:rPr>
          <w:b/>
          <w:color w:val="000000" w:themeColor="text1"/>
        </w:rPr>
      </w:pPr>
      <w:r>
        <w:rPr>
          <w:noProof/>
          <w:lang w:eastAsia="en-GB"/>
        </w:rPr>
        <w:lastRenderedPageBreak/>
        <mc:AlternateContent>
          <mc:Choice Requires="wps">
            <w:drawing>
              <wp:anchor distT="0" distB="0" distL="114300" distR="114300" simplePos="0" relativeHeight="251733504" behindDoc="0" locked="0" layoutInCell="1" allowOverlap="1" wp14:anchorId="27A768E9" wp14:editId="216C365A">
                <wp:simplePos x="0" y="0"/>
                <wp:positionH relativeFrom="margin">
                  <wp:posOffset>-395287</wp:posOffset>
                </wp:positionH>
                <wp:positionV relativeFrom="paragraph">
                  <wp:posOffset>73024</wp:posOffset>
                </wp:positionV>
                <wp:extent cx="6753860" cy="657225"/>
                <wp:effectExtent l="0" t="0" r="27940" b="47625"/>
                <wp:wrapNone/>
                <wp:docPr id="93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657225"/>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3B2D174F" w14:textId="0D06C7DC" w:rsidR="007E0210" w:rsidRPr="00E44146" w:rsidRDefault="007E0210" w:rsidP="00327844">
                            <w:pPr>
                              <w:tabs>
                                <w:tab w:val="left" w:pos="2505"/>
                              </w:tabs>
                              <w:spacing w:after="0" w:line="240" w:lineRule="auto"/>
                              <w:ind w:left="32"/>
                              <w:jc w:val="center"/>
                              <w:rPr>
                                <w:color w:val="FFFFFF" w:themeColor="background1"/>
                                <w:sz w:val="28"/>
                                <w:szCs w:val="28"/>
                              </w:rPr>
                            </w:pPr>
                            <w:r w:rsidRPr="006120A9">
                              <w:rPr>
                                <w:b/>
                                <w:bCs/>
                                <w:color w:val="FFFFFF" w:themeColor="background1"/>
                                <w:sz w:val="28"/>
                                <w:szCs w:val="28"/>
                              </w:rPr>
                              <w:t>D:</w:t>
                            </w:r>
                            <w:r>
                              <w:rPr>
                                <w:color w:val="FFFFFF" w:themeColor="background1"/>
                                <w:sz w:val="28"/>
                                <w:szCs w:val="28"/>
                              </w:rPr>
                              <w:t xml:space="preserve"> </w:t>
                            </w:r>
                            <w:r w:rsidRPr="006120A9">
                              <w:rPr>
                                <w:rStyle w:val="Heading1Char"/>
                              </w:rPr>
                              <w:t>Improvement in employability skills and sustained, positive school leaver destinations for all young people</w:t>
                            </w:r>
                          </w:p>
                          <w:p w14:paraId="4BE4010C" w14:textId="77777777" w:rsidR="007E0210" w:rsidRDefault="007E0210" w:rsidP="00327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7A768E9" id="_x0000_s1034" style="position:absolute;margin-left:-31.1pt;margin-top:5.75pt;width:531.8pt;height:51.7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" fillcolor="#4bacc6 [3208]" stroked="f" strokecolor="#f2f2f2 [3041]" strokeweight="3pt">
                <v:shadow on="t" color="#205867 [1608]" opacity=".5" offset="1pt"/>
                <v:textbox>
                  <w:txbxContent>
                    <w:p w14:paraId="3B2D174F" w14:textId="0D06C7DC" w:rsidR="007E0210" w:rsidRPr="00E44146" w:rsidRDefault="007E0210" w:rsidP="00327844">
                      <w:pPr>
                        <w:tabs>
                          <w:tab w:val="left" w:pos="2505"/>
                        </w:tabs>
                        <w:spacing w:after="0" w:line="240" w:lineRule="auto"/>
                        <w:ind w:left="32"/>
                        <w:jc w:val="center"/>
                        <w:rPr>
                          <w:color w:val="FFFFFF" w:themeColor="background1"/>
                          <w:sz w:val="28"/>
                          <w:szCs w:val="28"/>
                        </w:rPr>
                      </w:pPr>
                      <w:r w:rsidRPr="006120A9">
                        <w:rPr>
                          <w:b/>
                          <w:bCs/>
                          <w:color w:val="FFFFFF" w:themeColor="background1"/>
                          <w:sz w:val="28"/>
                          <w:szCs w:val="28"/>
                        </w:rPr>
                        <w:t>D:</w:t>
                      </w:r>
                      <w:r>
                        <w:rPr>
                          <w:color w:val="FFFFFF" w:themeColor="background1"/>
                          <w:sz w:val="28"/>
                          <w:szCs w:val="28"/>
                        </w:rPr>
                        <w:t xml:space="preserve"> </w:t>
                      </w:r>
                      <w:r w:rsidRPr="006120A9">
                        <w:rPr>
                          <w:rStyle w:val="Heading1Char"/>
                        </w:rPr>
                        <w:t>Improvement in employability skills and sustained, positive school leaver destinations for all young people</w:t>
                      </w:r>
                    </w:p>
                    <w:p w14:paraId="4BE4010C" w14:textId="77777777" w:rsidR="007E0210" w:rsidRDefault="007E0210" w:rsidP="00327844"/>
                  </w:txbxContent>
                </v:textbox>
                <w10:wrap anchorx="margin"/>
              </v:roundrect>
            </w:pict>
          </mc:Fallback>
        </mc:AlternateContent>
      </w:r>
    </w:p>
    <w:p w14:paraId="71F789AB" w14:textId="77777777" w:rsidR="00CD4A79" w:rsidRDefault="00CD4A79" w:rsidP="000D3A41">
      <w:pPr>
        <w:rPr>
          <w:b/>
          <w:color w:val="000000" w:themeColor="text1"/>
        </w:rPr>
      </w:pPr>
    </w:p>
    <w:p w14:paraId="0C5E726D" w14:textId="77777777" w:rsidR="009575A0" w:rsidRDefault="009575A0" w:rsidP="000D3A41">
      <w:pPr>
        <w:rPr>
          <w:b/>
          <w:color w:val="000000" w:themeColor="text1"/>
        </w:rPr>
      </w:pPr>
    </w:p>
    <w:tbl>
      <w:tblPr>
        <w:tblStyle w:val="TableGrid"/>
        <w:tblW w:w="0" w:type="auto"/>
        <w:tblLook w:val="04A0" w:firstRow="1" w:lastRow="0" w:firstColumn="1" w:lastColumn="0" w:noHBand="0" w:noVBand="1"/>
      </w:tblPr>
      <w:tblGrid>
        <w:gridCol w:w="9464"/>
      </w:tblGrid>
      <w:tr w:rsidR="007A019A" w14:paraId="0C6321C6" w14:textId="77777777" w:rsidTr="006120A9">
        <w:tc>
          <w:tcPr>
            <w:tcW w:w="9464" w:type="dxa"/>
            <w:shd w:val="clear" w:color="auto" w:fill="EAF1DD" w:themeFill="accent3" w:themeFillTint="33"/>
          </w:tcPr>
          <w:p w14:paraId="3B7849AE" w14:textId="77777777" w:rsidR="007A019A" w:rsidRPr="00B547D3" w:rsidRDefault="007A019A" w:rsidP="00646572">
            <w:pPr>
              <w:tabs>
                <w:tab w:val="left" w:pos="2505"/>
              </w:tabs>
              <w:rPr>
                <w:b/>
              </w:rPr>
            </w:pPr>
          </w:p>
          <w:p w14:paraId="17B07DB9" w14:textId="77777777" w:rsidR="008C3459" w:rsidRDefault="0090211C" w:rsidP="006120A9">
            <w:pPr>
              <w:tabs>
                <w:tab w:val="left" w:pos="480"/>
                <w:tab w:val="left" w:pos="2505"/>
              </w:tabs>
            </w:pPr>
            <w:r w:rsidRPr="00535926">
              <w:rPr>
                <w:b/>
                <w:bCs/>
              </w:rPr>
              <w:t>D1</w:t>
            </w:r>
            <w:r w:rsidR="0015275F" w:rsidRPr="00A8248F">
              <w:t xml:space="preserve"> Continue to review and develop the post school offer in partnership with colleagues in the Environment and Regeneration team. </w:t>
            </w:r>
          </w:p>
          <w:p w14:paraId="24430F05" w14:textId="77777777" w:rsidR="0015275F" w:rsidRDefault="0015275F" w:rsidP="006120A9">
            <w:pPr>
              <w:tabs>
                <w:tab w:val="left" w:pos="480"/>
                <w:tab w:val="left" w:pos="2505"/>
              </w:tabs>
              <w:rPr>
                <w:b/>
              </w:rPr>
            </w:pPr>
          </w:p>
          <w:p w14:paraId="1DDCEDD9" w14:textId="77777777" w:rsidR="0015275F" w:rsidRDefault="0015275F" w:rsidP="006120A9">
            <w:pPr>
              <w:tabs>
                <w:tab w:val="left" w:pos="480"/>
                <w:tab w:val="left" w:pos="2505"/>
              </w:tabs>
              <w:rPr>
                <w:b/>
              </w:rPr>
            </w:pPr>
          </w:p>
          <w:p w14:paraId="265DB93F" w14:textId="77777777" w:rsidR="0015275F" w:rsidRPr="00A8248F" w:rsidRDefault="0015275F" w:rsidP="0015275F">
            <w:r w:rsidRPr="00A8248F">
              <w:rPr>
                <w:b/>
                <w:bCs/>
              </w:rPr>
              <w:t>D2</w:t>
            </w:r>
            <w:r w:rsidRPr="00A8248F">
              <w:t xml:space="preserve"> Work alongside colleagues in HSCP to implement the ASN leavers guidance in full by June 2026</w:t>
            </w:r>
          </w:p>
          <w:p w14:paraId="5BB773E4" w14:textId="77777777" w:rsidR="0015275F" w:rsidRDefault="0015275F" w:rsidP="006120A9">
            <w:pPr>
              <w:tabs>
                <w:tab w:val="left" w:pos="480"/>
                <w:tab w:val="left" w:pos="2505"/>
              </w:tabs>
              <w:rPr>
                <w:b/>
              </w:rPr>
            </w:pPr>
          </w:p>
          <w:p w14:paraId="34FA73ED" w14:textId="77777777" w:rsidR="0015275F" w:rsidRDefault="0015275F" w:rsidP="006120A9">
            <w:pPr>
              <w:tabs>
                <w:tab w:val="left" w:pos="480"/>
                <w:tab w:val="left" w:pos="2505"/>
              </w:tabs>
            </w:pPr>
            <w:r w:rsidRPr="00A8248F">
              <w:rPr>
                <w:b/>
                <w:bCs/>
              </w:rPr>
              <w:t>D3</w:t>
            </w:r>
            <w:r w:rsidRPr="00A8248F">
              <w:t xml:space="preserve"> All establishments to continue to develop their journey on the SCQF ambassador programme.</w:t>
            </w:r>
          </w:p>
          <w:p w14:paraId="73AC18EC" w14:textId="77777777" w:rsidR="0015275F" w:rsidRDefault="0015275F" w:rsidP="006120A9">
            <w:pPr>
              <w:tabs>
                <w:tab w:val="left" w:pos="480"/>
                <w:tab w:val="left" w:pos="2505"/>
              </w:tabs>
              <w:rPr>
                <w:b/>
              </w:rPr>
            </w:pPr>
          </w:p>
          <w:p w14:paraId="0BB4D920" w14:textId="3725DDD5" w:rsidR="0015275F" w:rsidRDefault="0015275F" w:rsidP="006120A9">
            <w:pPr>
              <w:tabs>
                <w:tab w:val="left" w:pos="480"/>
                <w:tab w:val="left" w:pos="2505"/>
              </w:tabs>
            </w:pPr>
            <w:r w:rsidRPr="00A8248F">
              <w:rPr>
                <w:b/>
                <w:bCs/>
              </w:rPr>
              <w:t>D4</w:t>
            </w:r>
            <w:r w:rsidRPr="00A8248F">
              <w:t xml:space="preserve"> Continue to develop opportunities for more work-based learning and qualifications leading to employment and continued business links and </w:t>
            </w:r>
            <w:r w:rsidR="002113BB" w:rsidRPr="00A8248F">
              <w:t>partnerships.</w:t>
            </w:r>
          </w:p>
          <w:p w14:paraId="237C7203" w14:textId="77777777" w:rsidR="0015275F" w:rsidRDefault="0015275F" w:rsidP="006120A9">
            <w:pPr>
              <w:tabs>
                <w:tab w:val="left" w:pos="480"/>
                <w:tab w:val="left" w:pos="2505"/>
              </w:tabs>
              <w:rPr>
                <w:b/>
              </w:rPr>
            </w:pPr>
          </w:p>
          <w:p w14:paraId="3691A491" w14:textId="2C44FB0A" w:rsidR="0015275F" w:rsidRPr="00B547D3" w:rsidRDefault="0015275F" w:rsidP="006120A9">
            <w:pPr>
              <w:tabs>
                <w:tab w:val="left" w:pos="480"/>
                <w:tab w:val="left" w:pos="2505"/>
              </w:tabs>
              <w:rPr>
                <w:b/>
              </w:rPr>
            </w:pPr>
          </w:p>
        </w:tc>
      </w:tr>
    </w:tbl>
    <w:p w14:paraId="5D41A529" w14:textId="77777777" w:rsidR="003B77FD" w:rsidRDefault="003B77FD" w:rsidP="00327844">
      <w:pPr>
        <w:tabs>
          <w:tab w:val="left" w:pos="2505"/>
        </w:tabs>
        <w:spacing w:after="0" w:line="240" w:lineRule="auto"/>
        <w:rPr>
          <w:b/>
        </w:rPr>
      </w:pPr>
    </w:p>
    <w:p w14:paraId="23D01087" w14:textId="701BE035" w:rsidR="0015275F" w:rsidRPr="004C6C3A" w:rsidRDefault="0015275F" w:rsidP="0015275F">
      <w:pPr>
        <w:jc w:val="both"/>
        <w:rPr>
          <w:b/>
        </w:rPr>
      </w:pPr>
      <w:r>
        <w:rPr>
          <w:b/>
        </w:rPr>
        <w:t xml:space="preserve">D1 </w:t>
      </w:r>
      <w:r w:rsidRPr="004C6C3A">
        <w:rPr>
          <w:b/>
        </w:rPr>
        <w:t>Broadening the Range of Post</w:t>
      </w:r>
      <w:r w:rsidRPr="004C6C3A">
        <w:rPr>
          <w:b/>
        </w:rPr>
        <w:noBreakHyphen/>
        <w:t>School Options</w:t>
      </w:r>
    </w:p>
    <w:p w14:paraId="0757DACC" w14:textId="4510E64A" w:rsidR="0015275F" w:rsidRPr="004C6C3A" w:rsidRDefault="0015275F" w:rsidP="0015275F">
      <w:pPr>
        <w:jc w:val="both"/>
        <w:rPr>
          <w:bCs/>
        </w:rPr>
      </w:pPr>
      <w:r w:rsidRPr="004C6C3A">
        <w:rPr>
          <w:bCs/>
        </w:rPr>
        <w:t>There has been demonstrable progress in expanding the breadth and quality of post</w:t>
      </w:r>
      <w:r w:rsidRPr="004C6C3A">
        <w:rPr>
          <w:bCs/>
        </w:rPr>
        <w:noBreakHyphen/>
        <w:t>school options available to young people. Education continues to work effectively in partnership with employability colleagues to strengthen and diversify the post</w:t>
      </w:r>
      <w:r w:rsidRPr="004C6C3A">
        <w:rPr>
          <w:bCs/>
        </w:rPr>
        <w:noBreakHyphen/>
        <w:t>school offer. This collaborative approach has resulted in a notable increase in the availability of training opportunities. Key contributions from partners including Action for Children, The Fisherman’s Trust, Babcock (Modern Apprenticeship offer), The Trust, and Street League have significantly enhanced pathways for learners. Collectively, these developments have supported a record high initial positive destination figure of 96.4% for school leavers, evidencing the impact of a more responsive and inclusive post</w:t>
      </w:r>
      <w:r w:rsidRPr="004C6C3A">
        <w:rPr>
          <w:bCs/>
        </w:rPr>
        <w:noBreakHyphen/>
        <w:t>school landscape.</w:t>
      </w:r>
    </w:p>
    <w:p w14:paraId="50717BC8" w14:textId="77777777" w:rsidR="0015275F" w:rsidRPr="004C6C3A" w:rsidRDefault="0015275F" w:rsidP="0015275F">
      <w:pPr>
        <w:jc w:val="both"/>
        <w:rPr>
          <w:b/>
        </w:rPr>
      </w:pPr>
      <w:r w:rsidRPr="004C6C3A">
        <w:rPr>
          <w:b/>
        </w:rPr>
        <w:t>Increase in Positive Destinations and Annual Participation Measure</w:t>
      </w:r>
    </w:p>
    <w:p w14:paraId="0C9239F1" w14:textId="4E4853FB" w:rsidR="0015275F" w:rsidRPr="004C6C3A" w:rsidRDefault="0015275F" w:rsidP="0015275F">
      <w:pPr>
        <w:jc w:val="both"/>
        <w:rPr>
          <w:bCs/>
        </w:rPr>
      </w:pPr>
      <w:r w:rsidRPr="004C6C3A">
        <w:rPr>
          <w:bCs/>
        </w:rPr>
        <w:t>Performance in relation to positive destinations has continued to strengthen. The initial school leaver positive destination rate of 96.4% represents a year</w:t>
      </w:r>
      <w:r w:rsidRPr="004C6C3A">
        <w:rPr>
          <w:bCs/>
        </w:rPr>
        <w:noBreakHyphen/>
        <w:t>on</w:t>
      </w:r>
      <w:r w:rsidRPr="004C6C3A">
        <w:rPr>
          <w:bCs/>
        </w:rPr>
        <w:noBreakHyphen/>
        <w:t>year improvement from 95.</w:t>
      </w:r>
      <w:r w:rsidRPr="006B3E5F">
        <w:rPr>
          <w:bCs/>
        </w:rPr>
        <w:t>5%</w:t>
      </w:r>
      <w:r w:rsidRPr="004C6C3A">
        <w:rPr>
          <w:bCs/>
        </w:rPr>
        <w:t>, and is the</w:t>
      </w:r>
      <w:r w:rsidRPr="006B3E5F">
        <w:rPr>
          <w:bCs/>
        </w:rPr>
        <w:t xml:space="preserve"> joint</w:t>
      </w:r>
      <w:r w:rsidRPr="004C6C3A">
        <w:rPr>
          <w:bCs/>
        </w:rPr>
        <w:t xml:space="preserve"> highest figure recorded </w:t>
      </w:r>
      <w:r w:rsidRPr="006B3E5F">
        <w:rPr>
          <w:bCs/>
        </w:rPr>
        <w:t>for Inverclyde achieved in 2024</w:t>
      </w:r>
      <w:r w:rsidRPr="004C6C3A">
        <w:rPr>
          <w:bCs/>
        </w:rPr>
        <w:t>. This improvement has also translated into a marked rise in national standing, with Inverclyde now ranked 13th of 32 local authorities, compared to 29th of 32 in 2023. The Annual Participation Measure (APM) has remained stable at 93.4%, indicating sustained engagement of young people in education, training, or employment beyond leaving</w:t>
      </w:r>
      <w:r w:rsidRPr="006B3E5F">
        <w:rPr>
          <w:bCs/>
        </w:rPr>
        <w:t xml:space="preserve"> school</w:t>
      </w:r>
      <w:r w:rsidRPr="004C6C3A">
        <w:rPr>
          <w:bCs/>
        </w:rPr>
        <w:t>. Together, these measures reflect both improved outcomes at the point of transition and continued participation over time.</w:t>
      </w:r>
    </w:p>
    <w:p w14:paraId="60C5777D" w14:textId="77777777" w:rsidR="0015275F" w:rsidRPr="004C6C3A" w:rsidRDefault="0015275F" w:rsidP="0015275F">
      <w:pPr>
        <w:jc w:val="both"/>
        <w:rPr>
          <w:b/>
        </w:rPr>
      </w:pPr>
      <w:r w:rsidRPr="004C6C3A">
        <w:rPr>
          <w:b/>
        </w:rPr>
        <w:t>Increased Access to Local Regeneration and Employment Opportunities</w:t>
      </w:r>
    </w:p>
    <w:p w14:paraId="010055D5" w14:textId="4D1F8791" w:rsidR="0015275F" w:rsidRPr="004C6C3A" w:rsidRDefault="0015275F" w:rsidP="0015275F">
      <w:pPr>
        <w:jc w:val="both"/>
        <w:rPr>
          <w:bCs/>
        </w:rPr>
      </w:pPr>
      <w:r w:rsidRPr="004C6C3A">
        <w:rPr>
          <w:bCs/>
        </w:rPr>
        <w:t>There has been a</w:t>
      </w:r>
      <w:r w:rsidRPr="006B3E5F">
        <w:rPr>
          <w:bCs/>
        </w:rPr>
        <w:t xml:space="preserve">n </w:t>
      </w:r>
      <w:r w:rsidRPr="004C6C3A">
        <w:rPr>
          <w:bCs/>
        </w:rPr>
        <w:t xml:space="preserve">increase in effective partnership working between Education and </w:t>
      </w:r>
      <w:r w:rsidRPr="006B3E5F">
        <w:rPr>
          <w:bCs/>
        </w:rPr>
        <w:t xml:space="preserve">the Inverclyde </w:t>
      </w:r>
      <w:r w:rsidRPr="004C6C3A">
        <w:rPr>
          <w:bCs/>
        </w:rPr>
        <w:t>Community Benefits</w:t>
      </w:r>
      <w:r w:rsidRPr="006B3E5F">
        <w:rPr>
          <w:bCs/>
        </w:rPr>
        <w:t xml:space="preserve"> Team</w:t>
      </w:r>
      <w:r w:rsidRPr="004C6C3A">
        <w:rPr>
          <w:bCs/>
        </w:rPr>
        <w:t xml:space="preserve">, strengthening links between learning and local regeneration activity. As a result, more young people are benefiting from meaningful work experience opportunities with industry partners, including Ogilvie Construction, Balfour Beatty, and Alba Engineering. These placements provide valuable exposure to the world of work and support the development of employability skills aligned to local labour market needs. In addition, Balfour Beatty has committed </w:t>
      </w:r>
      <w:r w:rsidRPr="004C6C3A">
        <w:rPr>
          <w:bCs/>
        </w:rPr>
        <w:lastRenderedPageBreak/>
        <w:t>to employing Modern Apprentices, with the number of opportunities to be confirmed, representing a positive step towards sustained employment outcomes linked to regeneration activity</w:t>
      </w:r>
      <w:r>
        <w:rPr>
          <w:bCs/>
        </w:rPr>
        <w:t>.</w:t>
      </w:r>
    </w:p>
    <w:p w14:paraId="2361DFDB" w14:textId="43FD3D2D" w:rsidR="0015275F" w:rsidRDefault="0015275F" w:rsidP="00CC0CEA">
      <w:pPr>
        <w:tabs>
          <w:tab w:val="left" w:pos="0"/>
        </w:tabs>
        <w:jc w:val="both"/>
        <w:rPr>
          <w:bCs/>
        </w:rPr>
      </w:pPr>
      <w:r w:rsidRPr="00EF3DE9">
        <w:rPr>
          <w:b/>
        </w:rPr>
        <w:t>D2</w:t>
      </w:r>
      <w:r w:rsidR="00EF3DE9">
        <w:rPr>
          <w:bCs/>
        </w:rPr>
        <w:t xml:space="preserve"> </w:t>
      </w:r>
      <w:r w:rsidR="00EF3DE9" w:rsidRPr="00A8248F">
        <w:t xml:space="preserve">Work </w:t>
      </w:r>
      <w:r w:rsidR="00EF3DE9">
        <w:t xml:space="preserve">is ongoing </w:t>
      </w:r>
      <w:r w:rsidR="00EF3DE9" w:rsidRPr="00A8248F">
        <w:t xml:space="preserve">alongside colleagues in HSCP to implement the ASN leavers guidance in full </w:t>
      </w:r>
      <w:r w:rsidR="00EF3DE9">
        <w:t>during session 2026/27.</w:t>
      </w:r>
    </w:p>
    <w:p w14:paraId="2BCFB965" w14:textId="65420D7F" w:rsidR="0015275F" w:rsidRDefault="0015275F" w:rsidP="00CC0CEA">
      <w:pPr>
        <w:tabs>
          <w:tab w:val="left" w:pos="0"/>
        </w:tabs>
        <w:jc w:val="both"/>
        <w:rPr>
          <w:bCs/>
        </w:rPr>
      </w:pPr>
      <w:r w:rsidRPr="00EF3DE9">
        <w:rPr>
          <w:b/>
        </w:rPr>
        <w:t>D3</w:t>
      </w:r>
      <w:r>
        <w:rPr>
          <w:bCs/>
        </w:rPr>
        <w:t xml:space="preserve"> </w:t>
      </w:r>
      <w:r w:rsidRPr="006B3E5F">
        <w:rPr>
          <w:bCs/>
        </w:rPr>
        <w:t xml:space="preserve">All Secondary Schools in Inverclyde are now on the SCQF Ambassador programme, one of only 3 Local Authorities to have all schools on the journey. Our SCQF Ambassadors from St Columba’s and Clydeview Academy presented at </w:t>
      </w:r>
      <w:r w:rsidR="00EF3DE9">
        <w:rPr>
          <w:bCs/>
        </w:rPr>
        <w:t>the Education C</w:t>
      </w:r>
      <w:r w:rsidRPr="006B3E5F">
        <w:rPr>
          <w:bCs/>
        </w:rPr>
        <w:t>ommittee on the benefits of being involved in the programme.</w:t>
      </w:r>
    </w:p>
    <w:p w14:paraId="558AEA3B" w14:textId="77777777" w:rsidR="0015275F" w:rsidRPr="00683E55" w:rsidRDefault="0015275F" w:rsidP="0015275F">
      <w:pPr>
        <w:rPr>
          <w:bCs/>
        </w:rPr>
      </w:pPr>
      <w:r w:rsidRPr="00EF3DE9">
        <w:rPr>
          <w:b/>
        </w:rPr>
        <w:t>D4</w:t>
      </w:r>
      <w:r>
        <w:rPr>
          <w:bCs/>
        </w:rPr>
        <w:t xml:space="preserve"> </w:t>
      </w:r>
      <w:r w:rsidRPr="00683E55">
        <w:rPr>
          <w:bCs/>
        </w:rPr>
        <w:t>The Babcock programme, delivered in partnership with West College Scotland, has continued to demonstrate strong impact and effectiveness. During the second cohort, 12 young people from across five Inverclyde secondary schools participated in the programme. Of these, 10 learners have successfully secured a Modern Apprenticeship with Babcock, commencing upon their school leaving date in June. In addition to achieving positive employment outcomes, all participants attained a Level 5 qualification, further strengthening their skills profile and preparedness for the transition to the world of work. These outcomes reflect the programme’s effectiveness in aligning vocational learning with clear progression pathways.</w:t>
      </w:r>
    </w:p>
    <w:p w14:paraId="7893DBCA" w14:textId="0C9DE60A" w:rsidR="0015275F" w:rsidRPr="006B3E5F" w:rsidRDefault="0015275F" w:rsidP="0015275F">
      <w:pPr>
        <w:rPr>
          <w:bCs/>
        </w:rPr>
      </w:pPr>
      <w:r w:rsidRPr="00683E55">
        <w:rPr>
          <w:bCs/>
        </w:rPr>
        <w:t>Recruitment for the 2026/27 cohort is currently underway and has generated significant interest, with over 50 applications received from learners across all secondary schools in Inverclyde. Notably, for the first time, female applicants have applied for the Engineering Modern Apprenticeships, evidencing increased awareness of, and engagement with, the programme among a broader cohort of young people. This development highlights the positive impact of sustained focus on equity, practitioner engagement, and targeted promotion as the programme enters its third year of delivery.</w:t>
      </w:r>
    </w:p>
    <w:p w14:paraId="5B63C9A5" w14:textId="77777777" w:rsidR="0015275F" w:rsidRPr="00E267CD" w:rsidRDefault="0015275F" w:rsidP="0015275F">
      <w:pPr>
        <w:rPr>
          <w:bCs/>
        </w:rPr>
      </w:pPr>
      <w:r w:rsidRPr="00E267CD">
        <w:rPr>
          <w:bCs/>
        </w:rPr>
        <w:t>The number of work experience placements available to young people across Inverclyde has increased significantly, showing a 44% year</w:t>
      </w:r>
      <w:r w:rsidRPr="00E267CD">
        <w:rPr>
          <w:bCs/>
        </w:rPr>
        <w:noBreakHyphen/>
        <w:t>on</w:t>
      </w:r>
      <w:r w:rsidRPr="00E267CD">
        <w:rPr>
          <w:bCs/>
        </w:rPr>
        <w:noBreakHyphen/>
        <w:t>year increase. This improvement reflects a strengthened strategic focus by the Developing the Young Workforce (DYW) Team, who have proactively established and nurtured relationships with a broad range of local employers. These businesses have demonstrated an increasing willingness to support young people through the provision of meaningful work experience opportunities, enhancing alignment between education and local labour market needs.</w:t>
      </w:r>
    </w:p>
    <w:p w14:paraId="1E3BA31F" w14:textId="77777777" w:rsidR="0015275F" w:rsidRPr="00E267CD" w:rsidRDefault="0015275F" w:rsidP="0015275F">
      <w:pPr>
        <w:rPr>
          <w:bCs/>
        </w:rPr>
      </w:pPr>
      <w:r w:rsidRPr="00E267CD">
        <w:rPr>
          <w:bCs/>
        </w:rPr>
        <w:t xml:space="preserve">Despite this </w:t>
      </w:r>
      <w:proofErr w:type="gramStart"/>
      <w:r w:rsidRPr="00E267CD">
        <w:rPr>
          <w:bCs/>
        </w:rPr>
        <w:t>positive growth</w:t>
      </w:r>
      <w:proofErr w:type="gramEnd"/>
      <w:r w:rsidRPr="00E267CD">
        <w:rPr>
          <w:bCs/>
        </w:rPr>
        <w:t xml:space="preserve"> in placement availability, the number of young people completing Level 5 and Level 6 Work Experience modules remains comparatively low. This gap highlights the need to strengthen progression routes that formally accredit these experiences. Increasing learner participation in certificated work experience has been identified as a priority area for improvement and will be a targeted focus for the DYW Team in the forthcoming academic session.</w:t>
      </w:r>
    </w:p>
    <w:p w14:paraId="69983ED0" w14:textId="38FE3E04" w:rsidR="0015275F" w:rsidRPr="006B3E5F" w:rsidRDefault="0015275F" w:rsidP="0015275F">
      <w:pPr>
        <w:rPr>
          <w:bCs/>
        </w:rPr>
      </w:pPr>
      <w:r w:rsidRPr="00E267CD">
        <w:rPr>
          <w:bCs/>
        </w:rPr>
        <w:t xml:space="preserve">In response, collaborative work has taken place with Organisational Development to design a bespoke Inverclyde Council Work Experience offer, enabling participating young people to achieve a Level 5 Work Experience award. This initiative is expected to both enhance the quality of placements and improve the formal recognition of skills developed through workplace learning. In addition, work is underway to establish a work experience partnership with Babcock Engineering, which will provide young people with a guaranteed interview for a Modern Apprenticeship upon successful completion of the placement. Collectively, these developments </w:t>
      </w:r>
      <w:r w:rsidRPr="00E267CD">
        <w:rPr>
          <w:bCs/>
        </w:rPr>
        <w:lastRenderedPageBreak/>
        <w:t>are anticipated to strengthen progression pathways, improve equity of access to high</w:t>
      </w:r>
      <w:r w:rsidRPr="00E267CD">
        <w:rPr>
          <w:bCs/>
        </w:rPr>
        <w:noBreakHyphen/>
        <w:t>quality experiences, and support sustained positive destinations.</w:t>
      </w:r>
    </w:p>
    <w:p w14:paraId="2D60C410" w14:textId="320CA0AC" w:rsidR="0015275F" w:rsidRPr="0090211C" w:rsidRDefault="0015275F" w:rsidP="00EF3DE9">
      <w:pPr>
        <w:rPr>
          <w:bCs/>
        </w:rPr>
      </w:pPr>
      <w:r w:rsidRPr="006B3E5F">
        <w:rPr>
          <w:bCs/>
        </w:rPr>
        <w:t xml:space="preserve">Effective collaborative working with Community Benefits teams has resulted in the creation of a range of meaningful opportunities for young people through partnerships with Inverclyde Council contractors, including Balfour Beatty, Ogilvie Construction, Alba Engineering, and </w:t>
      </w:r>
      <w:proofErr w:type="spellStart"/>
      <w:r w:rsidRPr="006B3E5F">
        <w:rPr>
          <w:bCs/>
        </w:rPr>
        <w:t>AtkinsRéalis</w:t>
      </w:r>
      <w:proofErr w:type="spellEnd"/>
      <w:r w:rsidRPr="006B3E5F">
        <w:rPr>
          <w:bCs/>
        </w:rPr>
        <w:t>. These partnerships have supported access to a variety of roles aligned to local industry needs, strengthening vocational pathways and enhancing young people’s exposure to employment within key regeneration and infrastructure sectors.</w:t>
      </w:r>
    </w:p>
    <w:tbl>
      <w:tblPr>
        <w:tblStyle w:val="TableGrid"/>
        <w:tblW w:w="0" w:type="auto"/>
        <w:tblLook w:val="04A0" w:firstRow="1" w:lastRow="0" w:firstColumn="1" w:lastColumn="0" w:noHBand="0" w:noVBand="1"/>
      </w:tblPr>
      <w:tblGrid>
        <w:gridCol w:w="9464"/>
      </w:tblGrid>
      <w:tr w:rsidR="007A019A" w14:paraId="179FC14B" w14:textId="77777777" w:rsidTr="006120A9">
        <w:tc>
          <w:tcPr>
            <w:tcW w:w="9464" w:type="dxa"/>
            <w:shd w:val="clear" w:color="auto" w:fill="EAF1DD" w:themeFill="accent3" w:themeFillTint="33"/>
          </w:tcPr>
          <w:p w14:paraId="0442F438" w14:textId="31CE17DD" w:rsidR="007A019A" w:rsidRPr="006120A9" w:rsidRDefault="007A019A" w:rsidP="00646572">
            <w:pPr>
              <w:pStyle w:val="NoSpacing"/>
              <w:rPr>
                <w:rFonts w:ascii="Arial" w:hAnsi="Arial" w:cs="Arial"/>
                <w:b/>
                <w:sz w:val="24"/>
                <w:szCs w:val="24"/>
              </w:rPr>
            </w:pPr>
            <w:r w:rsidRPr="006120A9">
              <w:rPr>
                <w:rFonts w:ascii="Arial" w:hAnsi="Arial" w:cs="Arial"/>
                <w:b/>
                <w:sz w:val="24"/>
                <w:szCs w:val="24"/>
              </w:rPr>
              <w:t xml:space="preserve">Next steps: </w:t>
            </w:r>
            <w:r w:rsidRPr="006120A9">
              <w:rPr>
                <w:b/>
                <w:sz w:val="28"/>
                <w:szCs w:val="28"/>
              </w:rPr>
              <w:t xml:space="preserve">Improvement in employability skills and sustained, positive school leaver </w:t>
            </w:r>
            <w:r w:rsidR="00CF6E97">
              <w:rPr>
                <w:b/>
                <w:sz w:val="28"/>
                <w:szCs w:val="28"/>
              </w:rPr>
              <w:t>d</w:t>
            </w:r>
            <w:r w:rsidRPr="006120A9">
              <w:rPr>
                <w:b/>
                <w:sz w:val="28"/>
                <w:szCs w:val="28"/>
              </w:rPr>
              <w:t>estinations for all young people</w:t>
            </w:r>
          </w:p>
        </w:tc>
      </w:tr>
    </w:tbl>
    <w:p w14:paraId="66C70F85" w14:textId="77777777" w:rsidR="007A019A" w:rsidRDefault="007A019A" w:rsidP="007A019A">
      <w:pPr>
        <w:pStyle w:val="NoSpacing"/>
        <w:rPr>
          <w:rFonts w:ascii="Arial" w:hAnsi="Arial" w:cs="Arial"/>
          <w:b/>
        </w:rPr>
      </w:pPr>
    </w:p>
    <w:p w14:paraId="20514FB4" w14:textId="41A89A86" w:rsidR="003A6C73" w:rsidRDefault="003A6C73" w:rsidP="003A6C73">
      <w:pPr>
        <w:tabs>
          <w:tab w:val="left" w:pos="480"/>
          <w:tab w:val="left" w:pos="2505"/>
        </w:tabs>
      </w:pPr>
      <w:r w:rsidRPr="00535926">
        <w:rPr>
          <w:b/>
          <w:bCs/>
        </w:rPr>
        <w:t>D1</w:t>
      </w:r>
      <w:r w:rsidRPr="00A8248F">
        <w:t xml:space="preserve"> Continue to review and develop the post school offer in </w:t>
      </w:r>
      <w:r w:rsidR="009C76E4">
        <w:t xml:space="preserve">with a range of partners including </w:t>
      </w:r>
      <w:r w:rsidRPr="00A8248F">
        <w:t>colleagues in the Environment and Regeneration team</w:t>
      </w:r>
      <w:r w:rsidR="009C76E4">
        <w:t>, SDS, West College Scotland and the third sector</w:t>
      </w:r>
      <w:r w:rsidRPr="00A8248F">
        <w:t xml:space="preserve">. </w:t>
      </w:r>
    </w:p>
    <w:p w14:paraId="4E4FF882" w14:textId="4B040E6E" w:rsidR="009C76E4" w:rsidRPr="003A6C73" w:rsidRDefault="009C76E4" w:rsidP="003A6C73">
      <w:pPr>
        <w:tabs>
          <w:tab w:val="left" w:pos="480"/>
          <w:tab w:val="left" w:pos="2505"/>
        </w:tabs>
      </w:pPr>
      <w:r w:rsidRPr="00535926">
        <w:rPr>
          <w:b/>
          <w:bCs/>
        </w:rPr>
        <w:t>D</w:t>
      </w:r>
      <w:r>
        <w:rPr>
          <w:b/>
          <w:bCs/>
        </w:rPr>
        <w:t>2</w:t>
      </w:r>
      <w:r w:rsidRPr="00A8248F">
        <w:t xml:space="preserve"> </w:t>
      </w:r>
      <w:r>
        <w:t xml:space="preserve">Within </w:t>
      </w:r>
      <w:r w:rsidRPr="00A8248F">
        <w:t>the</w:t>
      </w:r>
      <w:r>
        <w:t xml:space="preserve"> work relating to the</w:t>
      </w:r>
      <w:r w:rsidRPr="00A8248F">
        <w:t xml:space="preserve"> post school </w:t>
      </w:r>
      <w:r w:rsidR="00CC06D9">
        <w:t xml:space="preserve">offer, </w:t>
      </w:r>
      <w:r>
        <w:t>continue to focus on pathways to support our most vulnerable learners.</w:t>
      </w:r>
      <w:r w:rsidRPr="00A8248F">
        <w:t xml:space="preserve"> </w:t>
      </w:r>
    </w:p>
    <w:p w14:paraId="36D33C18" w14:textId="6747AD2F" w:rsidR="003A6C73" w:rsidRPr="009C76E4" w:rsidRDefault="003A6C73" w:rsidP="009C76E4">
      <w:r w:rsidRPr="00A8248F">
        <w:rPr>
          <w:b/>
          <w:bCs/>
        </w:rPr>
        <w:t>D</w:t>
      </w:r>
      <w:r w:rsidR="009C76E4">
        <w:rPr>
          <w:b/>
          <w:bCs/>
        </w:rPr>
        <w:t>3</w:t>
      </w:r>
      <w:r w:rsidRPr="00A8248F">
        <w:t xml:space="preserve"> </w:t>
      </w:r>
      <w:r>
        <w:t>Continue to w</w:t>
      </w:r>
      <w:r w:rsidRPr="00A8248F">
        <w:t xml:space="preserve">ork alongside colleagues in HSCP to </w:t>
      </w:r>
      <w:r w:rsidR="009C76E4">
        <w:t xml:space="preserve">review </w:t>
      </w:r>
      <w:r w:rsidRPr="00A8248F">
        <w:t xml:space="preserve">implement the ASN leavers guidance </w:t>
      </w:r>
      <w:r w:rsidR="009C76E4">
        <w:t>during 2026/27.</w:t>
      </w:r>
    </w:p>
    <w:p w14:paraId="228458C3" w14:textId="7E88BA67" w:rsidR="003A6C73" w:rsidRPr="009C76E4" w:rsidRDefault="003A6C73" w:rsidP="003A6C73">
      <w:pPr>
        <w:tabs>
          <w:tab w:val="left" w:pos="480"/>
          <w:tab w:val="left" w:pos="2505"/>
        </w:tabs>
      </w:pPr>
      <w:r w:rsidRPr="00A8248F">
        <w:rPr>
          <w:b/>
          <w:bCs/>
        </w:rPr>
        <w:t>D</w:t>
      </w:r>
      <w:r w:rsidR="009C76E4">
        <w:rPr>
          <w:b/>
          <w:bCs/>
        </w:rPr>
        <w:t>4</w:t>
      </w:r>
      <w:r w:rsidRPr="00A8248F">
        <w:t xml:space="preserve"> </w:t>
      </w:r>
      <w:r w:rsidR="009C76E4">
        <w:t>Continue to support a</w:t>
      </w:r>
      <w:r w:rsidRPr="00A8248F">
        <w:t xml:space="preserve">ll establishments </w:t>
      </w:r>
      <w:r w:rsidR="009C76E4">
        <w:t>with</w:t>
      </w:r>
      <w:r w:rsidRPr="00A8248F">
        <w:t xml:space="preserve"> their journey on the SCQF ambassador programme.</w:t>
      </w:r>
    </w:p>
    <w:p w14:paraId="4A4E0655" w14:textId="2881033F" w:rsidR="003A6C73" w:rsidRDefault="003A6C73" w:rsidP="003A6C73">
      <w:pPr>
        <w:tabs>
          <w:tab w:val="left" w:pos="480"/>
          <w:tab w:val="left" w:pos="2505"/>
        </w:tabs>
      </w:pPr>
      <w:r w:rsidRPr="00A8248F">
        <w:rPr>
          <w:b/>
          <w:bCs/>
        </w:rPr>
        <w:t>D</w:t>
      </w:r>
      <w:r w:rsidR="009C76E4">
        <w:rPr>
          <w:b/>
          <w:bCs/>
        </w:rPr>
        <w:t>5</w:t>
      </w:r>
      <w:r w:rsidRPr="00A8248F">
        <w:t xml:space="preserve"> Continue to develop opportunities for more work-based learning and qualifications leading to employment and continued business links and </w:t>
      </w:r>
      <w:r w:rsidR="002113BB" w:rsidRPr="00A8248F">
        <w:t>partnerships.</w:t>
      </w:r>
    </w:p>
    <w:p w14:paraId="3B700F1C" w14:textId="0DB2A241" w:rsidR="00044FA5" w:rsidRDefault="00044FA5" w:rsidP="000D3A41">
      <w:pPr>
        <w:rPr>
          <w:b/>
          <w:color w:val="000000" w:themeColor="text1"/>
        </w:rPr>
      </w:pPr>
    </w:p>
    <w:p w14:paraId="190758E1" w14:textId="77777777" w:rsidR="00044FA5" w:rsidRDefault="00044FA5">
      <w:pPr>
        <w:rPr>
          <w:b/>
          <w:color w:val="000000" w:themeColor="text1"/>
        </w:rPr>
      </w:pPr>
      <w:r>
        <w:rPr>
          <w:b/>
          <w:color w:val="000000" w:themeColor="text1"/>
        </w:rPr>
        <w:br w:type="page"/>
      </w:r>
    </w:p>
    <w:p w14:paraId="6CB0539F" w14:textId="05E94027" w:rsidR="001D7CC5" w:rsidRDefault="001D7CC5" w:rsidP="000D3A41">
      <w:pPr>
        <w:rPr>
          <w:b/>
          <w:color w:val="000000" w:themeColor="text1"/>
        </w:rPr>
      </w:pPr>
      <w:r>
        <w:rPr>
          <w:noProof/>
          <w:lang w:eastAsia="en-GB"/>
        </w:rPr>
        <w:lastRenderedPageBreak/>
        <mc:AlternateContent>
          <mc:Choice Requires="wps">
            <w:drawing>
              <wp:anchor distT="0" distB="0" distL="114300" distR="114300" simplePos="0" relativeHeight="251735552" behindDoc="0" locked="0" layoutInCell="1" allowOverlap="1" wp14:anchorId="69D59065" wp14:editId="28B87F91">
                <wp:simplePos x="0" y="0"/>
                <wp:positionH relativeFrom="page">
                  <wp:posOffset>668020</wp:posOffset>
                </wp:positionH>
                <wp:positionV relativeFrom="paragraph">
                  <wp:posOffset>71755</wp:posOffset>
                </wp:positionV>
                <wp:extent cx="6405880" cy="358140"/>
                <wp:effectExtent l="0" t="0" r="13970" b="41910"/>
                <wp:wrapNone/>
                <wp:docPr id="2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5880" cy="358140"/>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243A8641" w14:textId="77777777" w:rsidR="007E0210" w:rsidRPr="00E44146" w:rsidRDefault="007E0210" w:rsidP="005E0863">
                            <w:pPr>
                              <w:jc w:val="center"/>
                              <w:rPr>
                                <w:color w:val="FFFFFF" w:themeColor="background1"/>
                                <w:sz w:val="28"/>
                                <w:szCs w:val="28"/>
                              </w:rPr>
                            </w:pPr>
                            <w:r w:rsidRPr="006120A9">
                              <w:rPr>
                                <w:b/>
                                <w:bCs/>
                                <w:color w:val="FFFFFF" w:themeColor="background1"/>
                                <w:sz w:val="28"/>
                                <w:szCs w:val="28"/>
                              </w:rPr>
                              <w:t>E:</w:t>
                            </w:r>
                            <w:r>
                              <w:rPr>
                                <w:color w:val="FFFFFF" w:themeColor="background1"/>
                                <w:sz w:val="28"/>
                                <w:szCs w:val="28"/>
                              </w:rPr>
                              <w:t xml:space="preserve"> </w:t>
                            </w:r>
                            <w:r w:rsidRPr="006120A9">
                              <w:rPr>
                                <w:rStyle w:val="Heading1Char"/>
                              </w:rPr>
                              <w:t>Getting it Right for Every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9D59065" id="_x0000_s1035" style="position:absolute;margin-left:52.6pt;margin-top:5.65pt;width:504.4pt;height:28.2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" fillcolor="#4bacc6 [3208]" stroked="f" strokecolor="#f2f2f2 [3041]" strokeweight="3pt">
                <v:shadow on="t" color="#205867 [1608]" opacity=".5" offset="1pt"/>
                <v:textbox>
                  <w:txbxContent>
                    <w:p w14:paraId="243A8641" w14:textId="77777777" w:rsidR="007E0210" w:rsidRPr="00E44146" w:rsidRDefault="007E0210" w:rsidP="005E0863">
                      <w:pPr>
                        <w:jc w:val="center"/>
                        <w:rPr>
                          <w:color w:val="FFFFFF" w:themeColor="background1"/>
                          <w:sz w:val="28"/>
                          <w:szCs w:val="28"/>
                        </w:rPr>
                      </w:pPr>
                      <w:r w:rsidRPr="006120A9">
                        <w:rPr>
                          <w:b/>
                          <w:bCs/>
                          <w:color w:val="FFFFFF" w:themeColor="background1"/>
                          <w:sz w:val="28"/>
                          <w:szCs w:val="28"/>
                        </w:rPr>
                        <w:t>E:</w:t>
                      </w:r>
                      <w:r>
                        <w:rPr>
                          <w:color w:val="FFFFFF" w:themeColor="background1"/>
                          <w:sz w:val="28"/>
                          <w:szCs w:val="28"/>
                        </w:rPr>
                        <w:t xml:space="preserve"> </w:t>
                      </w:r>
                      <w:r w:rsidRPr="006120A9">
                        <w:rPr>
                          <w:rStyle w:val="Heading1Char"/>
                        </w:rPr>
                        <w:t>Getting it Right for Every Child</w:t>
                      </w:r>
                    </w:p>
                  </w:txbxContent>
                </v:textbox>
                <w10:wrap anchorx="page"/>
              </v:roundrect>
            </w:pict>
          </mc:Fallback>
        </mc:AlternateContent>
      </w:r>
    </w:p>
    <w:p w14:paraId="2706A767" w14:textId="195A6A04" w:rsidR="00CD4A79" w:rsidRDefault="00CD4A79" w:rsidP="000D3A41">
      <w:pPr>
        <w:rPr>
          <w:b/>
          <w:color w:val="000000" w:themeColor="text1"/>
        </w:rPr>
      </w:pPr>
    </w:p>
    <w:tbl>
      <w:tblPr>
        <w:tblStyle w:val="TableGrid"/>
        <w:tblW w:w="0" w:type="auto"/>
        <w:tblLook w:val="04A0" w:firstRow="1" w:lastRow="0" w:firstColumn="1" w:lastColumn="0" w:noHBand="0" w:noVBand="1"/>
      </w:tblPr>
      <w:tblGrid>
        <w:gridCol w:w="9464"/>
      </w:tblGrid>
      <w:tr w:rsidR="007A019A" w14:paraId="689C857B" w14:textId="77777777" w:rsidTr="006120A9">
        <w:tc>
          <w:tcPr>
            <w:tcW w:w="9464" w:type="dxa"/>
            <w:shd w:val="clear" w:color="auto" w:fill="EAF1DD" w:themeFill="accent3" w:themeFillTint="33"/>
          </w:tcPr>
          <w:p w14:paraId="6B20F089" w14:textId="77777777" w:rsidR="007A019A" w:rsidRPr="00FE3A0F" w:rsidRDefault="007A019A" w:rsidP="00646572">
            <w:pPr>
              <w:rPr>
                <w:b/>
              </w:rPr>
            </w:pPr>
          </w:p>
          <w:p w14:paraId="3B7694E1" w14:textId="77777777" w:rsidR="0015275F" w:rsidRDefault="0015275F" w:rsidP="0015275F">
            <w:pPr>
              <w:ind w:left="720" w:hanging="720"/>
              <w:rPr>
                <w:b/>
              </w:rPr>
            </w:pPr>
            <w:r w:rsidRPr="003F2CC7">
              <w:rPr>
                <w:b/>
              </w:rPr>
              <w:t>E1</w:t>
            </w:r>
            <w:r w:rsidRPr="003F2CC7">
              <w:rPr>
                <w:b/>
              </w:rPr>
              <w:tab/>
            </w:r>
            <w:r w:rsidRPr="003F2CC7">
              <w:rPr>
                <w:bCs/>
              </w:rPr>
              <w:t>Develop an ASN strategy to address provision needs from August 2026 onwards, including a focus on training needs for staff, support for families of pupils with ASN as well as ongoing review and development of holiday support and provision</w:t>
            </w:r>
            <w:r>
              <w:rPr>
                <w:bCs/>
              </w:rPr>
              <w:t xml:space="preserve"> for pupils with ASN</w:t>
            </w:r>
            <w:r w:rsidRPr="003F2CC7">
              <w:rPr>
                <w:bCs/>
              </w:rPr>
              <w:t>.</w:t>
            </w:r>
            <w:r w:rsidRPr="003F2CC7">
              <w:rPr>
                <w:b/>
              </w:rPr>
              <w:t xml:space="preserve"> </w:t>
            </w:r>
          </w:p>
          <w:p w14:paraId="6C4B87A2" w14:textId="77777777" w:rsidR="00C0028E" w:rsidRPr="003F2CC7" w:rsidRDefault="00C0028E" w:rsidP="0015275F">
            <w:pPr>
              <w:ind w:left="720" w:hanging="720"/>
              <w:rPr>
                <w:b/>
              </w:rPr>
            </w:pPr>
          </w:p>
          <w:p w14:paraId="4F3A3F9F" w14:textId="77777777" w:rsidR="0015275F" w:rsidRDefault="0015275F" w:rsidP="0015275F">
            <w:pPr>
              <w:ind w:left="720" w:hanging="720"/>
            </w:pPr>
            <w:r w:rsidRPr="003F2CC7">
              <w:rPr>
                <w:b/>
              </w:rPr>
              <w:t>E2</w:t>
            </w:r>
            <w:r w:rsidRPr="003F2CC7">
              <w:rPr>
                <w:b/>
              </w:rPr>
              <w:tab/>
            </w:r>
            <w:r w:rsidRPr="003F2CC7">
              <w:rPr>
                <w:bCs/>
              </w:rPr>
              <w:t xml:space="preserve">Continue focus on early ASN screening for all pre 3yr old and </w:t>
            </w:r>
            <w:r w:rsidRPr="003F2CC7">
              <w:t xml:space="preserve">develop the early years additional support needs panel. </w:t>
            </w:r>
          </w:p>
          <w:p w14:paraId="03A2CED5" w14:textId="77777777" w:rsidR="00C0028E" w:rsidRPr="003F2CC7" w:rsidRDefault="00C0028E" w:rsidP="0015275F">
            <w:pPr>
              <w:ind w:left="720" w:hanging="720"/>
            </w:pPr>
          </w:p>
          <w:p w14:paraId="08A7A655" w14:textId="77777777" w:rsidR="0015275F" w:rsidRDefault="0015275F" w:rsidP="0015275F">
            <w:pPr>
              <w:ind w:left="720" w:hanging="720"/>
            </w:pPr>
            <w:r w:rsidRPr="003F2CC7">
              <w:rPr>
                <w:b/>
                <w:bCs/>
              </w:rPr>
              <w:t>E3</w:t>
            </w:r>
            <w:r w:rsidRPr="003F2CC7">
              <w:t xml:space="preserve"> </w:t>
            </w:r>
            <w:r w:rsidRPr="003F2CC7">
              <w:tab/>
              <w:t>Support the establishment of the secondary additional support needs provision at Clydeview Academy.</w:t>
            </w:r>
          </w:p>
          <w:p w14:paraId="5A7E532F" w14:textId="77777777" w:rsidR="00C0028E" w:rsidRPr="003F2CC7" w:rsidRDefault="00C0028E" w:rsidP="0015275F">
            <w:pPr>
              <w:ind w:left="720" w:hanging="720"/>
            </w:pPr>
          </w:p>
          <w:p w14:paraId="22A4D01D" w14:textId="77777777" w:rsidR="0015275F" w:rsidRDefault="0015275F" w:rsidP="0015275F">
            <w:pPr>
              <w:ind w:left="720" w:hanging="720"/>
            </w:pPr>
            <w:r w:rsidRPr="003F2CC7">
              <w:rPr>
                <w:b/>
                <w:bCs/>
              </w:rPr>
              <w:t>E4</w:t>
            </w:r>
            <w:r w:rsidRPr="003F2CC7">
              <w:tab/>
              <w:t>Review Included Engaged and Involved 3, in relation to our existing PPR policy including a focus on implementation of restraint reduction procedures.</w:t>
            </w:r>
          </w:p>
          <w:p w14:paraId="24A92B4F" w14:textId="77777777" w:rsidR="00C0028E" w:rsidRPr="003F2CC7" w:rsidRDefault="00C0028E" w:rsidP="0015275F">
            <w:pPr>
              <w:ind w:left="720" w:hanging="720"/>
            </w:pPr>
          </w:p>
          <w:p w14:paraId="27D0BC15" w14:textId="77777777" w:rsidR="0015275F" w:rsidRPr="003F2CC7" w:rsidRDefault="0015275F" w:rsidP="0015275F">
            <w:pPr>
              <w:ind w:left="720" w:hanging="720"/>
              <w:rPr>
                <w:rFonts w:cstheme="minorHAnsi"/>
              </w:rPr>
            </w:pPr>
            <w:r w:rsidRPr="003F2CC7">
              <w:rPr>
                <w:rFonts w:cstheme="minorHAnsi"/>
                <w:b/>
                <w:bCs/>
              </w:rPr>
              <w:t>E5</w:t>
            </w:r>
            <w:r w:rsidRPr="003F2CC7">
              <w:rPr>
                <w:rFonts w:cstheme="minorHAnsi"/>
              </w:rPr>
              <w:t xml:space="preserve"> </w:t>
            </w:r>
            <w:r w:rsidRPr="003F2CC7">
              <w:rPr>
                <w:rFonts w:cstheme="minorHAnsi"/>
              </w:rPr>
              <w:tab/>
              <w:t>Continue to support Equalities Coordinators to embed racial literacy and wider equalities outcomes. Support establishments to create and implement their own equalities policies.</w:t>
            </w:r>
          </w:p>
          <w:p w14:paraId="56BB403F" w14:textId="1A1FBB03" w:rsidR="00557926" w:rsidRPr="00FE3A0F" w:rsidRDefault="00557926" w:rsidP="00FE3A0F">
            <w:pPr>
              <w:tabs>
                <w:tab w:val="left" w:pos="399"/>
              </w:tabs>
              <w:spacing w:line="259" w:lineRule="auto"/>
            </w:pPr>
          </w:p>
        </w:tc>
      </w:tr>
    </w:tbl>
    <w:p w14:paraId="5539E41B" w14:textId="77777777" w:rsidR="007A019A" w:rsidRDefault="007A019A" w:rsidP="007A019A">
      <w:pPr>
        <w:pStyle w:val="NoSpacing"/>
        <w:rPr>
          <w:rFonts w:ascii="Arial" w:hAnsi="Arial" w:cs="Arial"/>
          <w:b/>
        </w:rPr>
      </w:pPr>
    </w:p>
    <w:p w14:paraId="4C908BF6" w14:textId="77777777" w:rsidR="001D7CC5" w:rsidRDefault="001D7CC5" w:rsidP="007A019A">
      <w:pPr>
        <w:pStyle w:val="NoSpacing"/>
        <w:rPr>
          <w:rFonts w:ascii="Arial" w:hAnsi="Arial" w:cs="Arial"/>
          <w:b/>
        </w:rPr>
      </w:pPr>
    </w:p>
    <w:p w14:paraId="32995B7A" w14:textId="7EB39A0E" w:rsidR="00583D71" w:rsidRPr="004D6BBE" w:rsidRDefault="006616B6" w:rsidP="00583D71">
      <w:r>
        <w:rPr>
          <w:b/>
        </w:rPr>
        <w:t>E</w:t>
      </w:r>
      <w:r w:rsidR="00B513C2">
        <w:rPr>
          <w:b/>
        </w:rPr>
        <w:t>1</w:t>
      </w:r>
      <w:r w:rsidR="00557926">
        <w:rPr>
          <w:b/>
        </w:rPr>
        <w:tab/>
      </w:r>
      <w:r w:rsidR="00583D71">
        <w:t xml:space="preserve">Opinion and data gathering has been completed during Term 3 of this session to further inform the development of the Education Service’s ASN strategy. </w:t>
      </w:r>
      <w:r w:rsidR="00583D71" w:rsidRPr="004D6BBE">
        <w:t xml:space="preserve">This </w:t>
      </w:r>
      <w:r w:rsidR="00583D71">
        <w:t>involved engagement with ASN leaders, DHTs, HTs and PT ASN</w:t>
      </w:r>
      <w:r w:rsidR="00583D71" w:rsidRPr="004D6BBE">
        <w:t>.</w:t>
      </w:r>
      <w:r w:rsidR="00583D71">
        <w:t xml:space="preserve"> This will allow the first draft of the strategy to be shared with Head of education at the start of Term 4. </w:t>
      </w:r>
      <w:r w:rsidR="00583D71" w:rsidRPr="004D6BBE">
        <w:t>The draft strategy will then be reviewed collaboratively with appropriate stakeholders</w:t>
      </w:r>
      <w:r w:rsidR="00583D71">
        <w:t>, including parents</w:t>
      </w:r>
      <w:r w:rsidR="00583D71" w:rsidRPr="004D6BBE">
        <w:t>.</w:t>
      </w:r>
    </w:p>
    <w:p w14:paraId="40572000" w14:textId="77777777" w:rsidR="00583D71" w:rsidRPr="004D6BBE" w:rsidRDefault="00583D71" w:rsidP="00583D71">
      <w:r w:rsidRPr="004D6BBE">
        <w:t>The ASN Strategy is scheduled to be presented to the Education Committee in September 2026. This will mark the launch of the 3 years Inverclyde ASN strategy.</w:t>
      </w:r>
    </w:p>
    <w:p w14:paraId="40053836" w14:textId="5FE7DE59" w:rsidR="00B513C2" w:rsidRPr="00583D71" w:rsidRDefault="00583D71" w:rsidP="00CC0CEA">
      <w:pPr>
        <w:tabs>
          <w:tab w:val="left" w:pos="0"/>
        </w:tabs>
        <w:rPr>
          <w:b/>
          <w:bCs/>
        </w:rPr>
      </w:pPr>
      <w:r w:rsidRPr="00583D71">
        <w:rPr>
          <w:b/>
          <w:bCs/>
        </w:rPr>
        <w:t>E2</w:t>
      </w:r>
      <w:r w:rsidR="00EF3DE9">
        <w:rPr>
          <w:b/>
          <w:bCs/>
        </w:rPr>
        <w:t xml:space="preserve"> </w:t>
      </w:r>
      <w:r w:rsidR="00EF3DE9" w:rsidRPr="00EF3DE9">
        <w:t>Progress has been made in strengthening early ASN screening for children under three through the development of processes within the ASG to support agreement on place allocation, followed by consideration through the ASN Monitoring Forum to determine the most appropriate placement and level of support. This has provided a clearer pathway for identifying and responding to additional support needs at an earlier stage. However, while the process has been established, further refinement is required to ensure consistency, efficiency, and timely decision-making. Over the coming year, this will be developed further through the implementation of the Inclusion Strategy, with the aim of creating a more streamlined and effective approach for children under three requiring specialist ASN support within early years settings.</w:t>
      </w:r>
    </w:p>
    <w:p w14:paraId="3148DC6C" w14:textId="6D68D893" w:rsidR="00583D71" w:rsidRPr="004D6BBE" w:rsidRDefault="00583D71" w:rsidP="00583D71">
      <w:r w:rsidRPr="00583D71">
        <w:rPr>
          <w:b/>
          <w:bCs/>
        </w:rPr>
        <w:t>E3</w:t>
      </w:r>
      <w:r>
        <w:t xml:space="preserve"> </w:t>
      </w:r>
      <w:r w:rsidRPr="004D6BBE">
        <w:t xml:space="preserve">The Cove provision </w:t>
      </w:r>
      <w:r w:rsidR="00D8511B">
        <w:t xml:space="preserve">at Clydeview Academy </w:t>
      </w:r>
      <w:r w:rsidRPr="004D6BBE">
        <w:t xml:space="preserve">has now been established for </w:t>
      </w:r>
      <w:r w:rsidR="00D8511B">
        <w:t xml:space="preserve">almost </w:t>
      </w:r>
      <w:r w:rsidRPr="004D6BBE">
        <w:t xml:space="preserve">one </w:t>
      </w:r>
      <w:r w:rsidR="00D8511B">
        <w:t xml:space="preserve">full academic </w:t>
      </w:r>
      <w:r w:rsidRPr="004D6BBE">
        <w:t>year and currently supports five pupils, both within the specialist base and through planned inclusion within mainstream classes where appropriate. The provision has demonstrated a very positive early impact, with no recorded critical incidents to date. Staff report feeling well supported and confident in the introduction and development of this new provision</w:t>
      </w:r>
      <w:r>
        <w:t>.</w:t>
      </w:r>
    </w:p>
    <w:p w14:paraId="6128D2E3" w14:textId="6A497F27" w:rsidR="00583D71" w:rsidRPr="004D6BBE" w:rsidRDefault="00583D71" w:rsidP="00583D71">
      <w:r w:rsidRPr="004D6BBE">
        <w:t>Targeted support has been provided through regular pastoral visits from the Education Officer for Inclusion, alongside access to ASN Leaders’ meetings and ASN Principal Teacher networks. This has ensured staff benefit from professional dialogue, networking opportunities and access to specialist expertise, strengthening consistency and quality of practice across the provision.</w:t>
      </w:r>
    </w:p>
    <w:p w14:paraId="0DDE9F55" w14:textId="209FEFD5" w:rsidR="00583D71" w:rsidRPr="004D6BBE" w:rsidRDefault="00583D71" w:rsidP="00583D71">
      <w:r w:rsidRPr="004D6BBE">
        <w:lastRenderedPageBreak/>
        <w:t>Planned pupil allocations will increase the roll to 1</w:t>
      </w:r>
      <w:r w:rsidRPr="00C30054">
        <w:t>2</w:t>
      </w:r>
      <w:r w:rsidRPr="004D6BBE">
        <w:t xml:space="preserve"> pupils in session 2026/27. Appropriate staffing and funding levels will be increased to reflect the growth in demand, supporting the continued delivery of high</w:t>
      </w:r>
      <w:r w:rsidRPr="004D6BBE">
        <w:noBreakHyphen/>
        <w:t>quality provision and maintaining a focus on positive learner outcomes.</w:t>
      </w:r>
    </w:p>
    <w:p w14:paraId="30934809" w14:textId="77777777" w:rsidR="00583D71" w:rsidRPr="004D6BBE" w:rsidRDefault="00583D71" w:rsidP="00583D71">
      <w:r w:rsidRPr="004D6BBE">
        <w:t>The Cove has also been included within a recent public consultation to revise the constitutional definition of the provision. The proposal seeks to move from a sole focus on communication and language to a broader remit supporting pupils with a profile of moderate learning difficulties, including those with communication and language needs. This revised definition would adjust the staffing model from a 1:6 teacher</w:t>
      </w:r>
      <w:r w:rsidRPr="004D6BBE">
        <w:noBreakHyphen/>
        <w:t>to</w:t>
      </w:r>
      <w:r w:rsidRPr="004D6BBE">
        <w:noBreakHyphen/>
        <w:t>pupil ratio to 1:8, increasing capacity and flexibility. This development is expected to support more effective use of resources and enhance responsiveness across ASN services within Inverclyde, while continuing to meet the needs of learners.</w:t>
      </w:r>
    </w:p>
    <w:p w14:paraId="2204D8EA" w14:textId="23E79B76" w:rsidR="00D8511B" w:rsidRDefault="00D8511B" w:rsidP="00D8511B">
      <w:r w:rsidRPr="00D8511B">
        <w:rPr>
          <w:b/>
          <w:bCs/>
        </w:rPr>
        <w:t>E4</w:t>
      </w:r>
      <w:r>
        <w:t xml:space="preserve"> The additional support for learning policy revised version was approved at committee in May 2025. This included the update to the promoting positive behaviour policy. This policy references information from Included, Engaged and involved part 3 (IEI3). This has been updated and shared with all establishments. </w:t>
      </w:r>
    </w:p>
    <w:p w14:paraId="05D3FBD5" w14:textId="1F998034" w:rsidR="00D8511B" w:rsidRDefault="00D8511B" w:rsidP="00D8511B">
      <w:r>
        <w:t>There is ongoing work to combine the ICON and critical incident forms to make reporting of incidents easier for schools this will also include a further update to ensure that all of the data requested in IEI3 will be recorded and monitored, this is to support formal recording and reporting which is being implemented by Scottish Government. Whilst we requested this information is shared with the authority screening group it was not easily recorded and reported due to the nature of our reporting format. This is expected to be updated in the next session.</w:t>
      </w:r>
    </w:p>
    <w:p w14:paraId="076F5537" w14:textId="3D97F235" w:rsidR="00583D71" w:rsidRPr="006616B6" w:rsidRDefault="00D8511B" w:rsidP="0074377F">
      <w:r>
        <w:t xml:space="preserve">The number of critical incidents that have involved restraint have increased this session. This is likely due to the change in recording rather than showing an actual increase in physical intervention. The plan is to ensure accurate recording of physical restraint form next year to actively use data to inform restraint and physical intervention reduction. </w:t>
      </w:r>
    </w:p>
    <w:p w14:paraId="50DAFE7D" w14:textId="27B2316F" w:rsidR="0015275F" w:rsidRPr="00FB5D0C" w:rsidRDefault="00B513C2" w:rsidP="00CC0CEA">
      <w:r w:rsidRPr="00FB5D0C">
        <w:rPr>
          <w:b/>
          <w:bCs/>
        </w:rPr>
        <w:t>E</w:t>
      </w:r>
      <w:r w:rsidR="00D8511B">
        <w:rPr>
          <w:b/>
          <w:bCs/>
        </w:rPr>
        <w:t>5</w:t>
      </w:r>
      <w:r w:rsidR="005F21D1" w:rsidRPr="00FB5D0C">
        <w:rPr>
          <w:b/>
          <w:bCs/>
        </w:rPr>
        <w:tab/>
      </w:r>
      <w:r w:rsidR="0015275F" w:rsidRPr="00FB5D0C">
        <w:t xml:space="preserve">The Scottish Government guidance on addressing racism and racist incidents in schools (2025) has been shared within the network. Coordinators report that recording of racial incidents has achieved parity with delivery of learning experiences within their establishments with 72% now reporting this as a strength in their setting (48% in 24/25), while restoration from these incidents has been reported confidently by half (50%) of Coordinators (43% in 24/25). One Coordinator alluded to the underlying behavioural changes which are taking place: </w:t>
      </w:r>
      <w:r w:rsidR="0015275F" w:rsidRPr="00FB5D0C">
        <w:rPr>
          <w:i/>
          <w:iCs/>
        </w:rPr>
        <w:t xml:space="preserve">“Children are calling out racism and reporting incidents. Our bullying and inequalities data suggests a spike in recorded incidents. Children are asking questions about the perspectives of people of colour in their class </w:t>
      </w:r>
      <w:proofErr w:type="spellStart"/>
      <w:r w:rsidR="0015275F" w:rsidRPr="00FB5D0C">
        <w:rPr>
          <w:i/>
          <w:iCs/>
        </w:rPr>
        <w:t>floorbooks</w:t>
      </w:r>
      <w:proofErr w:type="spellEnd"/>
      <w:r w:rsidR="0015275F" w:rsidRPr="00FB5D0C">
        <w:rPr>
          <w:i/>
          <w:iCs/>
        </w:rPr>
        <w:t>. Our anti-racist group have created a video that has been used in education settings across the authority.” Another Coordinator reported that following the development of an anti-racist charter they had “… no racist incidents recorded this year and massive reduction in the previous year.”</w:t>
      </w:r>
    </w:p>
    <w:p w14:paraId="501C83D2" w14:textId="289BE265" w:rsidR="0015275F" w:rsidRPr="00FB5D0C" w:rsidRDefault="0015275F" w:rsidP="0015275F">
      <w:r w:rsidRPr="00FB5D0C">
        <w:t>Analysis of incident data for session 2025/26 indicates that overall levels of recorded incidents remain broadly consistent with those reported in session 2024/25. Notably, there has been a significant reduction in the number of incidents categorised as racist in nature when compared with the previous session. In addition, the number of incidents where the perceived motivating factor was identified as race, racism, or culture has also decreased. This represents a positive trend and suggests improving relationships and a more inclusive school climate.</w:t>
      </w:r>
    </w:p>
    <w:p w14:paraId="3DB970F0" w14:textId="7F4909F0" w:rsidR="0015275F" w:rsidRPr="00FB5D0C" w:rsidRDefault="0015275F" w:rsidP="0015275F">
      <w:r w:rsidRPr="00FB5D0C">
        <w:lastRenderedPageBreak/>
        <w:t>Authority Officers and Inverclyde practitioners continue to contribute to related national networks and policy, ensuring that local views feed into national policy and supports and that our authority Equalities network is accessing the most up to date materials and information. The practitioners who completed the Education Scotland Building Racial Literacy training retain access to alumni events including information sharing, networking and practice sharing events. Furthermore, nearly a third (29%) of Inverclyde’s Equalities Coordinators completing the evaluation report engagement with the Education Scotland Equality Policy Network and the same number again (29%) engaging with Education Scotland’s professional learning events on policy development.</w:t>
      </w:r>
    </w:p>
    <w:p w14:paraId="28554403" w14:textId="0933B41F" w:rsidR="0015275F" w:rsidRPr="0074377F" w:rsidRDefault="0015275F" w:rsidP="0015275F">
      <w:r w:rsidRPr="00FB5D0C">
        <w:t>All establishments continued to have the development of anti-racist education as a priority on their school improvement plans for session 2025-26. Of the evaluation respondents, 95% report continuing with anti-racist education with 21% now having moved this to their maintenance agenda.</w:t>
      </w:r>
    </w:p>
    <w:p w14:paraId="3E62EAF3" w14:textId="300F46CE" w:rsidR="0015275F" w:rsidRPr="00FB5D0C" w:rsidRDefault="0015275F" w:rsidP="0015275F">
      <w:r w:rsidRPr="00FB5D0C">
        <w:t xml:space="preserve">The Inverclyde Equalities Coordinator Network continues to offer support to all establishments </w:t>
      </w:r>
      <w:proofErr w:type="gramStart"/>
      <w:r w:rsidRPr="00FB5D0C">
        <w:t>in order to</w:t>
      </w:r>
      <w:proofErr w:type="gramEnd"/>
      <w:r w:rsidRPr="00FB5D0C">
        <w:t xml:space="preserve"> successfully make improvements. Attendance has grown at the network with a consistently high number of attendees regularly attending the sessions from early years, primary and secondary establishments. Approximately 89% of Coordinators reported having attended at least one network event with the lowest reported attendance at one event being 58%. Scheduling of dates has been a theme raised by Coordinators as a barrier to further attendance. Approximately 50% of Coordinators have engaged with the MS Teams resource in the form of posting, reactions or mentions, though the number who are accessing this is anticipated to be higher. Coordinators have also mentioned wider collaborations with partners and school clusters as key to their continued improvement.</w:t>
      </w:r>
    </w:p>
    <w:p w14:paraId="63C2C6D8" w14:textId="551C282C" w:rsidR="0015275F" w:rsidRPr="00FB5D0C" w:rsidRDefault="0015275F" w:rsidP="0015275F">
      <w:r w:rsidRPr="00FB5D0C">
        <w:t>This session the network worked to support and drive forward change within the curriculum and to widen the agenda to equalities other than anti-racism. Integrating race and racism into curricular learning is advancing with Coordinators reporting greater inclusion of pupil voice (78% in 25/26 vs 52% in 24/25) and staff self-evaluation tools (72% in 25/26 vs 48% in 24/25) in the process. Learning experiences are shifting from specific inputs on this topic area (72% in 25/26 vs 71% in 24.25) to delivering racially literate learning across curricular areas (78% in 25/26 vs 43% in 24/25). Pupil learning experiences have shifted slightly from inputs specifically directed at race and racism (79% in 25/26 vs 71% in 24/25) to increasingly diversifying experiences, including hosting pupil equalities groups (up 30% from 24/25), informal discussions about race/racism (up 16% from 24/25) and presentation at assemblies (up 34% from 24/25).</w:t>
      </w:r>
    </w:p>
    <w:p w14:paraId="0FEDBCF4" w14:textId="343E09EF" w:rsidR="0015275F" w:rsidRPr="00FB5D0C" w:rsidRDefault="0015275F" w:rsidP="0015275F">
      <w:r w:rsidRPr="00FB5D0C">
        <w:t xml:space="preserve">A strong theme from Coordinator responses is the celebration of diversity within their school communities. Coordinators show increasing moves towards the integration of anti-racist practice into everyday learning and teaching. One Coordinator noted they are completing their Strategic Change Initiative for Into Headship on anti-racism. Another provided the following anecdote: </w:t>
      </w:r>
      <w:r w:rsidRPr="00FB5D0C">
        <w:rPr>
          <w:i/>
          <w:iCs/>
        </w:rPr>
        <w:t xml:space="preserve">“our upcoming event “This is not just a culture week” which promotes to staff and pupils the ethos of decolonising the curriculum. That it shouldn’t just be a week but a </w:t>
      </w:r>
      <w:proofErr w:type="gramStart"/>
      <w:r w:rsidRPr="00FB5D0C">
        <w:rPr>
          <w:i/>
          <w:iCs/>
        </w:rPr>
        <w:t>year round</w:t>
      </w:r>
      <w:proofErr w:type="gramEnd"/>
      <w:r w:rsidRPr="00FB5D0C">
        <w:rPr>
          <w:i/>
          <w:iCs/>
        </w:rPr>
        <w:t xml:space="preserve"> aim of the school. This is the message our school is projecting to the community too. The event explores different cultures within our school and make learning fun engaging and memorable. Pupils then relate positive experiences alongside broadening their perspective.” </w:t>
      </w:r>
      <w:r w:rsidRPr="00FB5D0C">
        <w:t xml:space="preserve">The Anti-Racist Critical Thinking Model, and Windows and Mirrors featured prominently within Coordinator responses, showing the underlying reflective approach taken to this work. One Coordinator reported that the consequence of this work is: </w:t>
      </w:r>
      <w:r w:rsidRPr="00FB5D0C">
        <w:rPr>
          <w:i/>
          <w:iCs/>
        </w:rPr>
        <w:t>“Language and awareness amongst learners has increased greatly. Language paralysis on the wane.”</w:t>
      </w:r>
    </w:p>
    <w:p w14:paraId="1732CD2D" w14:textId="1F91CD13" w:rsidR="0015275F" w:rsidRPr="00FB5D0C" w:rsidRDefault="0015275F" w:rsidP="0015275F">
      <w:r w:rsidRPr="00FB5D0C">
        <w:lastRenderedPageBreak/>
        <w:t xml:space="preserve">Coordinators have continued to have opportunities to share what is working well for them within their settings and engage with partners such as Education Scotland, West of Scotland Development Education Centre (WOSDEC), Time for Inclusive education (TIE) and Respect Me to further develop curriculum content and approaches to anti-bullying. Development in wider equalities areas has taken place in 84% of responding Coordinator’s establishments with Anti-bullying, The Promise and Trauma-informed practice being the three most represented areas. These areas reflect Education Service Improvement Plan current and recent policy and practice development areas. Activities (e.g. policy-specific CLPL, discussions with local Coordinators, examples of best practice) in developing these areas have been diverse with all activities being engaged with by between 25% and 38% of respondents rather than centring around specific activities. Activities in developing these areas reflects a similar developmental progression as the equalities policy development, though most strongly beginning with staff CLPL (100%), but at least 50% of Coordinators report learning about their setting (75%), making explicit links at an establishment level (75%), making links in learning experiences (69%) and adapting local and national policy/guidance/frameworks to their setting (63%). One Secondary Coordinator noted </w:t>
      </w:r>
      <w:r w:rsidRPr="00FB5D0C">
        <w:rPr>
          <w:i/>
          <w:iCs/>
        </w:rPr>
        <w:t xml:space="preserve">“Each department has an Equality Champion who is responsible for leading this change.” </w:t>
      </w:r>
      <w:r w:rsidRPr="00FB5D0C">
        <w:t xml:space="preserve">One Coordinator noted their national involvement: </w:t>
      </w:r>
      <w:r w:rsidRPr="00FB5D0C">
        <w:rPr>
          <w:i/>
          <w:iCs/>
        </w:rPr>
        <w:t>“National development work in collaboration with ES, SCOTDEC, WOSDEC, Universities where my skills and expertise are recognised and utilised fully to make sustainable changes.”</w:t>
      </w:r>
    </w:p>
    <w:p w14:paraId="7E867A99" w14:textId="4B0FE985" w:rsidR="0015275F" w:rsidRPr="00FB5D0C" w:rsidRDefault="0015275F" w:rsidP="0015275F">
      <w:r w:rsidRPr="00FB5D0C">
        <w:t xml:space="preserve">Settings have been supported to develop establishment equalities policies. All have been offered a structured, collaborative space to explore equality and intersectionality, engage meaningfully with learners and create policies that reflect the needs of their whole community. </w:t>
      </w:r>
    </w:p>
    <w:p w14:paraId="71449CD1" w14:textId="3C7E6909" w:rsidR="0015275F" w:rsidRPr="00FB5D0C" w:rsidRDefault="0015275F" w:rsidP="0015275F">
      <w:r w:rsidRPr="00FB5D0C">
        <w:t xml:space="preserve">Coordinators responding to the annual evaluation questionnaire reported development of an equalities policy has taken place in 89% of their establishments. Most (&gt;50%) respondents evaluating their progress against the Equalities Policy Roadmap reported being at the early stages of learning about their setting and developing the policy while 41% report having drafted their policy. </w:t>
      </w:r>
    </w:p>
    <w:p w14:paraId="0698FE3A" w14:textId="58905051" w:rsidR="0015275F" w:rsidRPr="00FB5D0C" w:rsidRDefault="0015275F" w:rsidP="00FB5D0C">
      <w:r w:rsidRPr="00FB5D0C">
        <w:t>The number of practitioners across Inverclyde who have now completed the national Building Racial Literacy programme continues to grow with 29 having completed the training and further staff engaging with cohort seven presently. Inverclyde have participated in every cohort of the programme since its launch. The programme seeks to e</w:t>
      </w:r>
      <w:r w:rsidRPr="00FB5D0C">
        <w:rPr>
          <w:rFonts w:eastAsia="Times New Roman"/>
          <w:color w:val="000000"/>
        </w:rPr>
        <w:t xml:space="preserve">nsure that our educators here in Inverclyde are racially literate and not ‘race evasive’ and promote anti-racism as a baseline professional value, empowering them to identify and implement anti-racist behaviours and processes in their everyday practice. This learning is reflected in Coordinator feedback: </w:t>
      </w:r>
      <w:r w:rsidRPr="00FB5D0C">
        <w:rPr>
          <w:rFonts w:eastAsia="Times New Roman"/>
          <w:i/>
          <w:iCs/>
          <w:color w:val="000000"/>
        </w:rPr>
        <w:t>“Pupils and Staff speak about [race] with more confidence and openness. Children are quicker to report racist incidents and speak up for their peers. We've seen the learning reflected in questionnaires, focus groups and learning experiences.”</w:t>
      </w:r>
    </w:p>
    <w:p w14:paraId="7FC29F36" w14:textId="49A074B0" w:rsidR="0074377F" w:rsidRPr="00090CF8" w:rsidRDefault="0015275F" w:rsidP="00090CF8">
      <w:pPr>
        <w:autoSpaceDE w:val="0"/>
        <w:autoSpaceDN w:val="0"/>
        <w:rPr>
          <w:color w:val="000000"/>
        </w:rPr>
      </w:pPr>
      <w:r w:rsidRPr="00FB5D0C">
        <w:rPr>
          <w:color w:val="000000"/>
        </w:rPr>
        <w:t xml:space="preserve">We continue to have five BRL alumni practitioners who have completed the Leading Anti-Racist Professional Learning (LEARPL) training and three mentors. The training promotes anti-racism as a baseline professional value, empowering practitioners to identify and implement anti-racist behaviours and processes in their everyday practice. Our mentors made use of the BRL alumni led facilitation materials to deliver authority wide professional learning to a further two cohorts this session and have reached a total of 52 practitioners. </w:t>
      </w:r>
      <w:proofErr w:type="gramStart"/>
      <w:r w:rsidRPr="00FB5D0C">
        <w:rPr>
          <w:color w:val="000000"/>
        </w:rPr>
        <w:t>The majority of</w:t>
      </w:r>
      <w:proofErr w:type="gramEnd"/>
      <w:r w:rsidRPr="00FB5D0C">
        <w:rPr>
          <w:color w:val="000000"/>
        </w:rPr>
        <w:t xml:space="preserve"> participants reported that the sessions significantly increased their, confidence, knowledge and understanding in the subject area and most participants reported their intention to implement the learning to inform </w:t>
      </w:r>
      <w:r w:rsidRPr="00FB5D0C">
        <w:rPr>
          <w:color w:val="000000"/>
        </w:rPr>
        <w:lastRenderedPageBreak/>
        <w:t>practice and processes and share learning and resources with colleagues. Single core sessions have also been delivered to interested establishments on an individual basis.</w:t>
      </w:r>
    </w:p>
    <w:p w14:paraId="37E94D7D" w14:textId="77777777" w:rsidR="00B513C2" w:rsidRDefault="00B513C2" w:rsidP="006120A9">
      <w:pPr>
        <w:pStyle w:val="NoSpacing"/>
        <w:tabs>
          <w:tab w:val="left" w:pos="567"/>
        </w:tabs>
        <w:rPr>
          <w:rFonts w:ascii="Arial" w:hAnsi="Arial" w:cs="Arial"/>
          <w:b/>
        </w:rPr>
      </w:pPr>
    </w:p>
    <w:tbl>
      <w:tblPr>
        <w:tblStyle w:val="TableGrid"/>
        <w:tblW w:w="0" w:type="auto"/>
        <w:tblLook w:val="04A0" w:firstRow="1" w:lastRow="0" w:firstColumn="1" w:lastColumn="0" w:noHBand="0" w:noVBand="1"/>
      </w:tblPr>
      <w:tblGrid>
        <w:gridCol w:w="9464"/>
      </w:tblGrid>
      <w:tr w:rsidR="007A019A" w14:paraId="385F0C56" w14:textId="77777777" w:rsidTr="006120A9">
        <w:tc>
          <w:tcPr>
            <w:tcW w:w="9464" w:type="dxa"/>
            <w:shd w:val="clear" w:color="auto" w:fill="EAF1DD" w:themeFill="accent3" w:themeFillTint="33"/>
          </w:tcPr>
          <w:p w14:paraId="28F0C916" w14:textId="77777777" w:rsidR="007A019A" w:rsidRPr="006120A9" w:rsidRDefault="007A019A" w:rsidP="006120A9">
            <w:pPr>
              <w:pStyle w:val="NoSpacing"/>
              <w:tabs>
                <w:tab w:val="left" w:pos="567"/>
              </w:tabs>
              <w:rPr>
                <w:rFonts w:ascii="Arial" w:hAnsi="Arial" w:cs="Arial"/>
                <w:b/>
                <w:color w:val="0070C0"/>
                <w:sz w:val="24"/>
                <w:szCs w:val="24"/>
              </w:rPr>
            </w:pPr>
            <w:r w:rsidRPr="006120A9">
              <w:rPr>
                <w:rFonts w:ascii="Arial" w:hAnsi="Arial" w:cs="Arial"/>
                <w:b/>
                <w:sz w:val="24"/>
                <w:szCs w:val="24"/>
              </w:rPr>
              <w:t xml:space="preserve">Next steps: </w:t>
            </w:r>
            <w:r w:rsidRPr="006120A9">
              <w:rPr>
                <w:b/>
                <w:sz w:val="28"/>
                <w:szCs w:val="28"/>
              </w:rPr>
              <w:t>Getting it right for every child</w:t>
            </w:r>
          </w:p>
        </w:tc>
      </w:tr>
    </w:tbl>
    <w:p w14:paraId="316913B0" w14:textId="77777777" w:rsidR="007A019A" w:rsidRDefault="007A019A" w:rsidP="006120A9">
      <w:pPr>
        <w:pStyle w:val="NoSpacing"/>
        <w:tabs>
          <w:tab w:val="left" w:pos="567"/>
        </w:tabs>
        <w:rPr>
          <w:rFonts w:ascii="Arial" w:hAnsi="Arial" w:cs="Arial"/>
          <w:b/>
        </w:rPr>
      </w:pPr>
    </w:p>
    <w:p w14:paraId="71BDD909" w14:textId="040E53CE" w:rsidR="009C76E4" w:rsidRPr="003F2CC7" w:rsidRDefault="009C76E4" w:rsidP="009C76E4">
      <w:pPr>
        <w:ind w:left="720" w:hanging="720"/>
        <w:rPr>
          <w:b/>
        </w:rPr>
      </w:pPr>
      <w:r w:rsidRPr="009C76E4">
        <w:rPr>
          <w:b/>
        </w:rPr>
        <w:t>E1</w:t>
      </w:r>
      <w:r>
        <w:rPr>
          <w:bCs/>
        </w:rPr>
        <w:tab/>
        <w:t xml:space="preserve">Implement the </w:t>
      </w:r>
      <w:r w:rsidRPr="003F2CC7">
        <w:rPr>
          <w:bCs/>
        </w:rPr>
        <w:t>ASN strategy from August 2026 onwards</w:t>
      </w:r>
      <w:r>
        <w:rPr>
          <w:bCs/>
        </w:rPr>
        <w:t>.</w:t>
      </w:r>
    </w:p>
    <w:p w14:paraId="10B81AB0" w14:textId="06A2A454" w:rsidR="009C76E4" w:rsidRPr="003F2CC7" w:rsidRDefault="009C76E4" w:rsidP="009C76E4">
      <w:pPr>
        <w:ind w:left="720" w:hanging="720"/>
      </w:pPr>
      <w:r w:rsidRPr="003F2CC7">
        <w:rPr>
          <w:b/>
        </w:rPr>
        <w:t>E2</w:t>
      </w:r>
      <w:r w:rsidRPr="003F2CC7">
        <w:rPr>
          <w:b/>
        </w:rPr>
        <w:tab/>
      </w:r>
      <w:r w:rsidRPr="003F2CC7">
        <w:t xml:space="preserve">Support the establishment of the </w:t>
      </w:r>
      <w:r>
        <w:t>new primary</w:t>
      </w:r>
      <w:r w:rsidRPr="003F2CC7">
        <w:t xml:space="preserve"> additional support needs provision</w:t>
      </w:r>
      <w:r>
        <w:t>s</w:t>
      </w:r>
      <w:r w:rsidRPr="003F2CC7">
        <w:t xml:space="preserve"> at </w:t>
      </w:r>
      <w:r>
        <w:t>Kings Oak and St Andrew’s Primary Schools</w:t>
      </w:r>
      <w:r w:rsidRPr="003F2CC7">
        <w:t>.</w:t>
      </w:r>
    </w:p>
    <w:p w14:paraId="368E88CD" w14:textId="6BB4E343" w:rsidR="009C76E4" w:rsidRPr="003F2CC7" w:rsidRDefault="009C76E4" w:rsidP="00CC06D9">
      <w:pPr>
        <w:ind w:left="720" w:hanging="720"/>
      </w:pPr>
      <w:r w:rsidRPr="003F2CC7">
        <w:rPr>
          <w:b/>
          <w:bCs/>
        </w:rPr>
        <w:t>E</w:t>
      </w:r>
      <w:r w:rsidR="00815C59">
        <w:rPr>
          <w:b/>
          <w:bCs/>
        </w:rPr>
        <w:t>3</w:t>
      </w:r>
      <w:r w:rsidRPr="003F2CC7">
        <w:tab/>
      </w:r>
      <w:r w:rsidR="00815C59">
        <w:t xml:space="preserve">(Links to C2) </w:t>
      </w:r>
      <w:r w:rsidR="00815C59" w:rsidRPr="003A6C73">
        <w:t>Continue to support all establishments to implement the Inverclyde Promoting Positive Relationships policy, thus ensuring alignment with the Scottish Government action plan relating to behaviour, as well as changes to key guidance and legislation such as Included, Engaged and Invovled and Calum’s law (Legal framework for restraint in schools).</w:t>
      </w:r>
    </w:p>
    <w:p w14:paraId="1522FA2B" w14:textId="6DC3C116" w:rsidR="009C76E4" w:rsidRPr="003F2CC7" w:rsidRDefault="009C76E4" w:rsidP="009C76E4">
      <w:pPr>
        <w:ind w:left="720" w:hanging="720"/>
        <w:rPr>
          <w:rFonts w:cstheme="minorHAnsi"/>
        </w:rPr>
      </w:pPr>
      <w:r w:rsidRPr="003F2CC7">
        <w:rPr>
          <w:rFonts w:cstheme="minorHAnsi"/>
          <w:b/>
          <w:bCs/>
        </w:rPr>
        <w:t>E</w:t>
      </w:r>
      <w:r w:rsidR="00815C59">
        <w:rPr>
          <w:rFonts w:cstheme="minorHAnsi"/>
          <w:b/>
          <w:bCs/>
        </w:rPr>
        <w:t>4</w:t>
      </w:r>
      <w:r w:rsidRPr="003F2CC7">
        <w:rPr>
          <w:rFonts w:cstheme="minorHAnsi"/>
        </w:rPr>
        <w:t xml:space="preserve"> </w:t>
      </w:r>
      <w:r w:rsidRPr="003F2CC7">
        <w:rPr>
          <w:rFonts w:cstheme="minorHAnsi"/>
        </w:rPr>
        <w:tab/>
        <w:t>Continue to support Equalities Coordinators to embed racial literacy and wider equalities outcomes. Support establishments to create and implement their own equalities policies</w:t>
      </w:r>
      <w:r w:rsidR="00815C59">
        <w:rPr>
          <w:rFonts w:cstheme="minorHAnsi"/>
        </w:rPr>
        <w:t xml:space="preserve"> by August 2027</w:t>
      </w:r>
      <w:r w:rsidRPr="003F2CC7">
        <w:rPr>
          <w:rFonts w:cstheme="minorHAnsi"/>
        </w:rPr>
        <w:t>.</w:t>
      </w:r>
    </w:p>
    <w:p w14:paraId="04624738" w14:textId="77777777" w:rsidR="000C11B4" w:rsidRDefault="000C11B4" w:rsidP="00FB089A">
      <w:pPr>
        <w:rPr>
          <w:color w:val="FF0000"/>
          <w:sz w:val="28"/>
          <w:szCs w:val="28"/>
        </w:rPr>
      </w:pPr>
    </w:p>
    <w:p w14:paraId="0A4D758E" w14:textId="77777777" w:rsidR="000C11B4" w:rsidRDefault="000C11B4">
      <w:pPr>
        <w:rPr>
          <w:color w:val="FF0000"/>
          <w:sz w:val="28"/>
          <w:szCs w:val="28"/>
        </w:rPr>
      </w:pPr>
      <w:r>
        <w:rPr>
          <w:color w:val="FF0000"/>
          <w:sz w:val="28"/>
          <w:szCs w:val="28"/>
        </w:rPr>
        <w:br w:type="page"/>
      </w:r>
    </w:p>
    <w:p w14:paraId="03C94789" w14:textId="4952D8A1" w:rsidR="00554F61" w:rsidRPr="001B0B69" w:rsidRDefault="009575A0" w:rsidP="00FB089A">
      <w:pPr>
        <w:rPr>
          <w:color w:val="FF0000"/>
          <w:sz w:val="28"/>
          <w:szCs w:val="28"/>
        </w:rPr>
      </w:pPr>
      <w:r>
        <w:rPr>
          <w:noProof/>
          <w:lang w:eastAsia="en-GB"/>
        </w:rPr>
        <w:lastRenderedPageBreak/>
        <mc:AlternateContent>
          <mc:Choice Requires="wps">
            <w:drawing>
              <wp:anchor distT="0" distB="0" distL="114300" distR="114300" simplePos="0" relativeHeight="251739648" behindDoc="0" locked="0" layoutInCell="1" allowOverlap="1" wp14:anchorId="446A7B8F" wp14:editId="7EA6B480">
                <wp:simplePos x="0" y="0"/>
                <wp:positionH relativeFrom="margin">
                  <wp:align>center</wp:align>
                </wp:positionH>
                <wp:positionV relativeFrom="paragraph">
                  <wp:posOffset>222568</wp:posOffset>
                </wp:positionV>
                <wp:extent cx="5687060" cy="358140"/>
                <wp:effectExtent l="0" t="0" r="27940" b="41910"/>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358140"/>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2B499741" w14:textId="77777777" w:rsidR="007E0210" w:rsidRPr="00E44146" w:rsidRDefault="007E0210" w:rsidP="009575A0">
                            <w:pPr>
                              <w:jc w:val="center"/>
                              <w:rPr>
                                <w:color w:val="FFFFFF" w:themeColor="background1"/>
                                <w:sz w:val="28"/>
                                <w:szCs w:val="28"/>
                              </w:rPr>
                            </w:pPr>
                            <w:r w:rsidRPr="006120A9">
                              <w:rPr>
                                <w:b/>
                                <w:bCs/>
                                <w:color w:val="FFFFFF" w:themeColor="background1"/>
                                <w:sz w:val="28"/>
                                <w:szCs w:val="28"/>
                              </w:rPr>
                              <w:t xml:space="preserve">F: </w:t>
                            </w:r>
                            <w:r w:rsidRPr="006120A9">
                              <w:rPr>
                                <w:rStyle w:val="Heading1Char"/>
                              </w:rPr>
                              <w:t>Improving outcomes of care experienced children, young people</w:t>
                            </w:r>
                            <w:r w:rsidRPr="00E44146">
                              <w:rPr>
                                <w:color w:val="FFFFFF" w:themeColor="background1"/>
                                <w:sz w:val="28"/>
                                <w:szCs w:val="28"/>
                              </w:rPr>
                              <w:t xml:space="preserve"> and their families.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46A7B8F" id="_x0000_s1036" style="position:absolute;margin-left:0;margin-top:17.55pt;width:447.8pt;height:28.2pt;z-index:251739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" fillcolor="#4bacc6 [3208]" stroked="f" strokecolor="#f2f2f2 [3041]" strokeweight="3pt">
                <v:shadow on="t" color="#205867 [1608]" opacity=".5" offset="1pt"/>
                <v:textbox>
                  <w:txbxContent>
                    <w:p w14:paraId="2B499741" w14:textId="77777777" w:rsidR="007E0210" w:rsidRPr="00E44146" w:rsidRDefault="007E0210" w:rsidP="009575A0">
                      <w:pPr>
                        <w:jc w:val="center"/>
                        <w:rPr>
                          <w:color w:val="FFFFFF" w:themeColor="background1"/>
                          <w:sz w:val="28"/>
                          <w:szCs w:val="28"/>
                        </w:rPr>
                      </w:pPr>
                      <w:r w:rsidRPr="006120A9">
                        <w:rPr>
                          <w:b/>
                          <w:bCs/>
                          <w:color w:val="FFFFFF" w:themeColor="background1"/>
                          <w:sz w:val="28"/>
                          <w:szCs w:val="28"/>
                        </w:rPr>
                        <w:t xml:space="preserve">F: </w:t>
                      </w:r>
                      <w:r w:rsidRPr="006120A9">
                        <w:rPr>
                          <w:rStyle w:val="Heading1Char"/>
                        </w:rPr>
                        <w:t>Improving outcomes of care experienced children, young people</w:t>
                      </w:r>
                      <w:r w:rsidRPr="00E44146">
                        <w:rPr>
                          <w:color w:val="FFFFFF" w:themeColor="background1"/>
                          <w:sz w:val="28"/>
                          <w:szCs w:val="28"/>
                        </w:rPr>
                        <w:t xml:space="preserve"> and their families.</w:t>
                      </w:r>
                    </w:p>
                  </w:txbxContent>
                </v:textbox>
                <w10:wrap anchorx="margin"/>
              </v:roundrect>
            </w:pict>
          </mc:Fallback>
        </mc:AlternateContent>
      </w:r>
    </w:p>
    <w:p w14:paraId="5BC9F323" w14:textId="7C92754C" w:rsidR="00245D44" w:rsidRPr="001B0B69" w:rsidRDefault="00245D44" w:rsidP="00FB089A">
      <w:pPr>
        <w:rPr>
          <w:color w:val="FF0000"/>
          <w:sz w:val="28"/>
          <w:szCs w:val="28"/>
        </w:rPr>
      </w:pPr>
    </w:p>
    <w:tbl>
      <w:tblPr>
        <w:tblStyle w:val="TableGrid"/>
        <w:tblW w:w="0" w:type="auto"/>
        <w:tblLook w:val="04A0" w:firstRow="1" w:lastRow="0" w:firstColumn="1" w:lastColumn="0" w:noHBand="0" w:noVBand="1"/>
      </w:tblPr>
      <w:tblGrid>
        <w:gridCol w:w="9464"/>
      </w:tblGrid>
      <w:tr w:rsidR="00A2273E" w14:paraId="58F69ADD" w14:textId="77777777" w:rsidTr="006120A9">
        <w:tc>
          <w:tcPr>
            <w:tcW w:w="9464" w:type="dxa"/>
            <w:shd w:val="clear" w:color="auto" w:fill="EAF1DD" w:themeFill="accent3" w:themeFillTint="33"/>
          </w:tcPr>
          <w:p w14:paraId="069CCC45" w14:textId="77777777" w:rsidR="00A2273E" w:rsidRDefault="00A2273E" w:rsidP="00646572">
            <w:pPr>
              <w:rPr>
                <w:b/>
                <w:color w:val="FFC000"/>
                <w:sz w:val="18"/>
                <w:szCs w:val="18"/>
              </w:rPr>
            </w:pPr>
          </w:p>
          <w:p w14:paraId="2DFA4AF8" w14:textId="1B897968" w:rsidR="0074377F" w:rsidRDefault="0074377F" w:rsidP="0074377F">
            <w:pPr>
              <w:ind w:left="720" w:hanging="720"/>
              <w:rPr>
                <w:lang w:eastAsia="en-GB"/>
              </w:rPr>
            </w:pPr>
            <w:r w:rsidRPr="00364711">
              <w:rPr>
                <w:b/>
                <w:bCs/>
                <w:lang w:eastAsia="en-GB"/>
              </w:rPr>
              <w:t xml:space="preserve">F1  </w:t>
            </w:r>
            <w:r w:rsidRPr="00364711">
              <w:rPr>
                <w:lang w:eastAsia="en-GB"/>
              </w:rPr>
              <w:t xml:space="preserve">     Utilise the CEYP data dashboard to support and enhance moderation and benchmarking as well as further support and challenge schools, as well as identify and sharing of good practice where attainment trends are positive. </w:t>
            </w:r>
          </w:p>
          <w:p w14:paraId="5C5E7A3F" w14:textId="77777777" w:rsidR="00C0028E" w:rsidRPr="00364711" w:rsidRDefault="00C0028E" w:rsidP="0074377F">
            <w:pPr>
              <w:ind w:left="720" w:hanging="720"/>
              <w:rPr>
                <w:lang w:eastAsia="en-GB"/>
              </w:rPr>
            </w:pPr>
          </w:p>
          <w:p w14:paraId="761AC616" w14:textId="77777777" w:rsidR="0074377F" w:rsidRDefault="0074377F" w:rsidP="0074377F">
            <w:pPr>
              <w:ind w:left="720" w:hanging="720"/>
              <w:rPr>
                <w:lang w:eastAsia="en-GB"/>
              </w:rPr>
            </w:pPr>
            <w:r w:rsidRPr="00364711">
              <w:rPr>
                <w:b/>
                <w:bCs/>
              </w:rPr>
              <w:t>F2</w:t>
            </w:r>
            <w:r w:rsidRPr="00364711">
              <w:rPr>
                <w:b/>
                <w:bCs/>
              </w:rPr>
              <w:tab/>
            </w:r>
            <w:r w:rsidRPr="00364711">
              <w:rPr>
                <w:lang w:eastAsia="en-GB"/>
              </w:rPr>
              <w:t xml:space="preserve">Continue multi agency working to further enhance the strategic planning and implementation of the care experienced attainment fund. </w:t>
            </w:r>
          </w:p>
          <w:p w14:paraId="11D00B74" w14:textId="77777777" w:rsidR="00C0028E" w:rsidRPr="00364711" w:rsidRDefault="00C0028E" w:rsidP="0074377F">
            <w:pPr>
              <w:ind w:left="720" w:hanging="720"/>
              <w:rPr>
                <w:lang w:eastAsia="en-GB"/>
              </w:rPr>
            </w:pPr>
          </w:p>
          <w:p w14:paraId="0BCC7D8E" w14:textId="6CC8DC9D" w:rsidR="00A2273E" w:rsidRDefault="0074377F" w:rsidP="00646572">
            <w:pPr>
              <w:rPr>
                <w:lang w:eastAsia="en-GB"/>
              </w:rPr>
            </w:pPr>
            <w:r w:rsidRPr="00364711">
              <w:rPr>
                <w:b/>
                <w:bCs/>
                <w:lang w:eastAsia="en-GB"/>
              </w:rPr>
              <w:t>F3</w:t>
            </w:r>
            <w:r w:rsidRPr="00364711">
              <w:rPr>
                <w:lang w:eastAsia="en-GB"/>
              </w:rPr>
              <w:t xml:space="preserve"> </w:t>
            </w:r>
            <w:r w:rsidR="00364711">
              <w:rPr>
                <w:lang w:eastAsia="en-GB"/>
              </w:rPr>
              <w:t xml:space="preserve">      </w:t>
            </w:r>
            <w:r w:rsidRPr="00364711">
              <w:rPr>
                <w:lang w:eastAsia="en-GB"/>
              </w:rPr>
              <w:t xml:space="preserve">Continue to develop multi-agency opportunities to improve outcomes for our care </w:t>
            </w:r>
            <w:r w:rsidR="00364711">
              <w:rPr>
                <w:lang w:eastAsia="en-GB"/>
              </w:rPr>
              <w:t xml:space="preserve">         </w:t>
            </w:r>
            <w:r w:rsidRPr="00364711">
              <w:rPr>
                <w:lang w:eastAsia="en-GB"/>
              </w:rPr>
              <w:t>experienced learners, including identifying training needs and developing systems to support effective communication.</w:t>
            </w:r>
          </w:p>
          <w:p w14:paraId="3948394C" w14:textId="77777777" w:rsidR="00C0028E" w:rsidRPr="00364711" w:rsidRDefault="00C0028E" w:rsidP="00646572">
            <w:pPr>
              <w:rPr>
                <w:lang w:eastAsia="en-GB"/>
              </w:rPr>
            </w:pPr>
          </w:p>
          <w:p w14:paraId="32433FE2" w14:textId="27BA7685" w:rsidR="0074377F" w:rsidRDefault="0074377F" w:rsidP="00646572">
            <w:pPr>
              <w:rPr>
                <w:b/>
                <w:color w:val="FFC000"/>
                <w:sz w:val="18"/>
                <w:szCs w:val="18"/>
              </w:rPr>
            </w:pPr>
            <w:r w:rsidRPr="00364711">
              <w:rPr>
                <w:b/>
                <w:bCs/>
                <w:color w:val="000000" w:themeColor="text1"/>
                <w:lang w:eastAsia="en-GB"/>
              </w:rPr>
              <w:t>F4</w:t>
            </w:r>
            <w:r w:rsidRPr="00364711">
              <w:rPr>
                <w:color w:val="FFC000"/>
                <w:lang w:eastAsia="en-GB"/>
              </w:rPr>
              <w:t xml:space="preserve"> </w:t>
            </w:r>
            <w:r w:rsidR="00364711">
              <w:rPr>
                <w:color w:val="FFC000"/>
                <w:lang w:eastAsia="en-GB"/>
              </w:rPr>
              <w:t xml:space="preserve">      </w:t>
            </w:r>
            <w:r w:rsidRPr="00364711">
              <w:rPr>
                <w:lang w:eastAsia="en-GB"/>
              </w:rPr>
              <w:t xml:space="preserve">Work with the strategic attendance </w:t>
            </w:r>
            <w:proofErr w:type="gramStart"/>
            <w:r w:rsidRPr="00364711">
              <w:rPr>
                <w:lang w:eastAsia="en-GB"/>
              </w:rPr>
              <w:t>lead</w:t>
            </w:r>
            <w:proofErr w:type="gramEnd"/>
            <w:r w:rsidRPr="00364711">
              <w:rPr>
                <w:lang w:eastAsia="en-GB"/>
              </w:rPr>
              <w:t xml:space="preserve"> to continue to analyse data and implement appropriate interventions to support positive attendance for care experienced learners, including the use of authority wide support.</w:t>
            </w:r>
          </w:p>
        </w:tc>
      </w:tr>
    </w:tbl>
    <w:p w14:paraId="7D4A4CFC" w14:textId="77777777" w:rsidR="00523670" w:rsidRDefault="00523670" w:rsidP="00523670">
      <w:pPr>
        <w:rPr>
          <w:b/>
        </w:rPr>
      </w:pPr>
      <w:bookmarkStart w:id="8" w:name="_Hlk164063283"/>
    </w:p>
    <w:p w14:paraId="1CE24266" w14:textId="0CFA42E3" w:rsidR="0074377F" w:rsidRPr="00364711" w:rsidRDefault="00523670" w:rsidP="0074377F">
      <w:r w:rsidRPr="00364711">
        <w:rPr>
          <w:b/>
        </w:rPr>
        <w:t>F1</w:t>
      </w:r>
      <w:bookmarkEnd w:id="8"/>
      <w:r w:rsidR="0074377F" w:rsidRPr="00364711">
        <w:t xml:space="preserve"> Good progress continues to be made in utilising the CECYP dashboard to support and challenge schools in improving outcomes for care-experienced children and young people. Through effective use of the dashboard the </w:t>
      </w:r>
      <w:r w:rsidR="00364711" w:rsidRPr="00364711">
        <w:t>V</w:t>
      </w:r>
      <w:r w:rsidR="00364711">
        <w:t xml:space="preserve">irtual </w:t>
      </w:r>
      <w:r w:rsidR="0074377F" w:rsidRPr="00364711">
        <w:t>H</w:t>
      </w:r>
      <w:r w:rsidR="00364711">
        <w:t>ead teacher (VH</w:t>
      </w:r>
      <w:r w:rsidR="0074377F" w:rsidRPr="00364711">
        <w:t>T</w:t>
      </w:r>
      <w:r w:rsidR="00364711">
        <w:t>)</w:t>
      </w:r>
      <w:r w:rsidR="0074377F" w:rsidRPr="00364711">
        <w:t xml:space="preserve"> can engage in professional dialogue with schools regarding their decision-making processes to support care-experienced children and young people leading to greater accuracy of relevant data linked to CECYP cohorts. Closer working between directorates is ensuring improved outcomes.</w:t>
      </w:r>
    </w:p>
    <w:p w14:paraId="12332FA9" w14:textId="77E4B409" w:rsidR="0074377F" w:rsidRPr="00364711" w:rsidRDefault="0074377F" w:rsidP="0074377F">
      <w:r w:rsidRPr="00364711">
        <w:t>During bi</w:t>
      </w:r>
      <w:r w:rsidRPr="00364711">
        <w:rPr>
          <w:rFonts w:ascii="Cambria Math" w:hAnsi="Cambria Math" w:cs="Cambria Math"/>
        </w:rPr>
        <w:t>‑</w:t>
      </w:r>
      <w:r w:rsidRPr="00364711">
        <w:t>annual Virtual School meetings, there is a sustained focus on the progress of care</w:t>
      </w:r>
      <w:r w:rsidRPr="00364711">
        <w:rPr>
          <w:rFonts w:ascii="Cambria Math" w:hAnsi="Cambria Math" w:cs="Cambria Math"/>
        </w:rPr>
        <w:t>‑</w:t>
      </w:r>
      <w:r w:rsidRPr="00364711">
        <w:t>experienced children and young people across all establishments. Discussions centre on identifying and removing barriers to learning, ensuring that each child and young person is supported to make appropriate progress within their Curriculum for Excellence levels.</w:t>
      </w:r>
    </w:p>
    <w:p w14:paraId="40A8BE7D" w14:textId="1BDBB89B" w:rsidR="0074377F" w:rsidRPr="00364711" w:rsidRDefault="0074377F" w:rsidP="0074377F">
      <w:r w:rsidRPr="00364711">
        <w:t>Schools routinely use their local data dashboards to analyse care</w:t>
      </w:r>
      <w:r w:rsidRPr="00364711">
        <w:rPr>
          <w:rFonts w:ascii="Cambria Math" w:hAnsi="Cambria Math" w:cs="Cambria Math"/>
        </w:rPr>
        <w:t>‑</w:t>
      </w:r>
      <w:r w:rsidRPr="00364711">
        <w:t>experienced attainment, engagement, and wellbeing information. Assessment and benchmarking processes are aligned with those used for the wider school community, while also taking full account of the specific barriers and contextual factors associated with a young person’s care experience.</w:t>
      </w:r>
    </w:p>
    <w:p w14:paraId="3E45F0E2" w14:textId="2AAA82BA" w:rsidR="0074377F" w:rsidRPr="00364711" w:rsidRDefault="0074377F" w:rsidP="0074377F">
      <w:r w:rsidRPr="00364711">
        <w:t>The annual Designated Manager session in April provide</w:t>
      </w:r>
      <w:r w:rsidR="00364711">
        <w:t>d</w:t>
      </w:r>
      <w:r w:rsidRPr="00364711">
        <w:t xml:space="preserve"> a structured forum for sharing effective practice, strengthening collective understanding, and building consistency of approach across establishments. This dedicated professional learning opportunity enables managers to reflect on emerging needs, explore evidence-informed strategies, and collaborate on approaches that most effectively support care</w:t>
      </w:r>
      <w:r w:rsidRPr="00364711">
        <w:rPr>
          <w:rFonts w:ascii="Cambria Math" w:hAnsi="Cambria Math" w:cs="Cambria Math"/>
        </w:rPr>
        <w:t>‑</w:t>
      </w:r>
      <w:r w:rsidRPr="00364711">
        <w:t>experienced children and young people.</w:t>
      </w:r>
    </w:p>
    <w:p w14:paraId="7FD1CCB6" w14:textId="6A65ED90" w:rsidR="0074377F" w:rsidRPr="00364711" w:rsidRDefault="0074377F" w:rsidP="0074377F">
      <w:r w:rsidRPr="00364711">
        <w:t>Interventions delivered by the Corporate Parent Teachers are now being evaluated with significantly greater rigour. Clear measures of impact have been established, with a focus on progress in attainment, engagement, attendance, and wellbeing. This enhanced evaluation framework is ensuring that the effectiveness of targeted interventions is more visible, enabling schools and central teams to identify what is working well and where further refinement is required.</w:t>
      </w:r>
    </w:p>
    <w:p w14:paraId="10C11F48" w14:textId="31076EC0" w:rsidR="0074377F" w:rsidRPr="00364711" w:rsidRDefault="0074377F" w:rsidP="0074377F">
      <w:r w:rsidRPr="00364711">
        <w:t>Findings from this work is disseminated through the ASN Leaders network, ensuring that learning is shared system</w:t>
      </w:r>
      <w:r w:rsidRPr="00364711">
        <w:rPr>
          <w:rFonts w:ascii="Cambria Math" w:hAnsi="Cambria Math" w:cs="Cambria Math"/>
        </w:rPr>
        <w:t>‑</w:t>
      </w:r>
      <w:r w:rsidRPr="00364711">
        <w:t xml:space="preserve">wide and that successful approaches can be scaled and adapted across </w:t>
      </w:r>
      <w:r w:rsidRPr="00364711">
        <w:lastRenderedPageBreak/>
        <w:t>schools. This will support greater coherence in practice and contribute to improved outcomes for care</w:t>
      </w:r>
      <w:r w:rsidRPr="00364711">
        <w:rPr>
          <w:rFonts w:ascii="Cambria Math" w:hAnsi="Cambria Math" w:cs="Cambria Math"/>
        </w:rPr>
        <w:t>‑</w:t>
      </w:r>
      <w:r w:rsidRPr="00364711">
        <w:t>experienced learners</w:t>
      </w:r>
      <w:r w:rsidR="00364711">
        <w:t>.</w:t>
      </w:r>
    </w:p>
    <w:p w14:paraId="4D04A9E9" w14:textId="05307812" w:rsidR="0074377F" w:rsidRPr="00364711" w:rsidRDefault="0074377F" w:rsidP="0074377F">
      <w:r w:rsidRPr="00364711">
        <w:t>Outcomes for Care Experienced Children and Young People (CECYP) in 2024/25 show a positive improvement in attendance alongside some progress in attainment and a slight rise in exclusions. Overall attendance has increased from 85.3% to 88.2%, with a particularly strong improvement at the secondary stage (80.1% to 84.8%). This reflects the impact of strengthened multi</w:t>
      </w:r>
      <w:r w:rsidRPr="00364711">
        <w:rPr>
          <w:rFonts w:ascii="Cambria Math" w:hAnsi="Cambria Math" w:cs="Cambria Math"/>
        </w:rPr>
        <w:t>‑</w:t>
      </w:r>
      <w:r w:rsidRPr="00364711">
        <w:t>agency working, enhanced pastoral support, and more consistent tracking of engagement. Primary attendance has also improved slightly, indicating stable participation at the early stages. The overall improvement is above the target of a 2% increase.</w:t>
      </w:r>
    </w:p>
    <w:p w14:paraId="1221F5AE" w14:textId="2F7B067C" w:rsidR="0074377F" w:rsidRPr="00364711" w:rsidRDefault="0074377F" w:rsidP="0074377F">
      <w:r w:rsidRPr="00364711">
        <w:t>Attainment for CECYP has not improved in line with the ambitious target of a 4% increase in Literacy and Numeracy. Literacy has risen marginally from 78.59% to 80.01%, while Numeracy has remained broadly static. Both measures are noted as not achieving their target, highlighting the need for more targeted and sustained support, improved consistency in learning, teaching and assessment, and earlier intervention to address gaps in progress.</w:t>
      </w:r>
    </w:p>
    <w:p w14:paraId="54A9CB68" w14:textId="1DB48283" w:rsidR="0074377F" w:rsidRPr="00364711" w:rsidRDefault="0074377F" w:rsidP="0074377F">
      <w:r w:rsidRPr="00364711">
        <w:t>Exclusions have increased from 22 to 28 across primary and secondary sectors. This trend indicates growing complexity in the needs of care experienced learners and reinforces the importance of strengthening trauma</w:t>
      </w:r>
      <w:r w:rsidRPr="00364711">
        <w:rPr>
          <w:rFonts w:ascii="Cambria Math" w:hAnsi="Cambria Math" w:cs="Cambria Math"/>
        </w:rPr>
        <w:t>‑</w:t>
      </w:r>
      <w:r w:rsidRPr="00364711">
        <w:t>informed, relational approaches and ensuring that staged intervention pathways are applied consistently.</w:t>
      </w:r>
    </w:p>
    <w:p w14:paraId="1271DF90" w14:textId="5C02B897" w:rsidR="00006743" w:rsidRPr="00364711" w:rsidRDefault="0074377F" w:rsidP="00364711">
      <w:r w:rsidRPr="00364711">
        <w:t>Overall, while improvements in attendance are encouraging, further strategic focus is required to improve attainment and reduce exclusions for CECYP. Continued emphasis on early intervention, multi</w:t>
      </w:r>
      <w:r w:rsidRPr="00364711">
        <w:rPr>
          <w:rFonts w:ascii="Cambria Math" w:hAnsi="Cambria Math" w:cs="Cambria Math"/>
        </w:rPr>
        <w:t>‑</w:t>
      </w:r>
      <w:r w:rsidRPr="00364711">
        <w:t>agency collaboration, and high</w:t>
      </w:r>
      <w:r w:rsidRPr="00364711">
        <w:rPr>
          <w:rFonts w:ascii="Cambria Math" w:hAnsi="Cambria Math" w:cs="Cambria Math"/>
        </w:rPr>
        <w:t>‑</w:t>
      </w:r>
      <w:r w:rsidRPr="00364711">
        <w:t>quality, trauma</w:t>
      </w:r>
      <w:r w:rsidRPr="00364711">
        <w:rPr>
          <w:rFonts w:ascii="Cambria Math" w:hAnsi="Cambria Math" w:cs="Cambria Math"/>
        </w:rPr>
        <w:t>‑</w:t>
      </w:r>
      <w:r w:rsidRPr="00364711">
        <w:t>informed practice will be essential to securing better outcomes for this vulnerable cohort.</w:t>
      </w:r>
    </w:p>
    <w:p w14:paraId="70AC7A07" w14:textId="6F705CA8" w:rsidR="0074377F" w:rsidRPr="00364711" w:rsidRDefault="00523670" w:rsidP="0074377F">
      <w:r w:rsidRPr="00364711">
        <w:rPr>
          <w:b/>
        </w:rPr>
        <w:t>F2</w:t>
      </w:r>
      <w:r w:rsidR="000B32F3" w:rsidRPr="00364711">
        <w:rPr>
          <w:b/>
        </w:rPr>
        <w:tab/>
      </w:r>
      <w:r w:rsidR="0074377F" w:rsidRPr="00364711">
        <w:t xml:space="preserve">Following a comprehensive CECYP fund review, </w:t>
      </w:r>
      <w:proofErr w:type="gramStart"/>
      <w:r w:rsidR="0074377F" w:rsidRPr="00364711">
        <w:t>a number of</w:t>
      </w:r>
      <w:proofErr w:type="gramEnd"/>
      <w:r w:rsidR="0074377F" w:rsidRPr="00364711">
        <w:t xml:space="preserve"> strategic changes have been implemented to strengthen coherence, equity and long</w:t>
      </w:r>
      <w:r w:rsidR="0074377F" w:rsidRPr="00364711">
        <w:rPr>
          <w:rFonts w:ascii="Cambria Math" w:hAnsi="Cambria Math" w:cs="Cambria Math"/>
        </w:rPr>
        <w:t>‑</w:t>
      </w:r>
      <w:r w:rsidR="0074377F" w:rsidRPr="00364711">
        <w:t>term sustainability across wellbeing and attainment supports. As part of this process, the Self</w:t>
      </w:r>
      <w:r w:rsidR="0074377F" w:rsidRPr="00364711">
        <w:rPr>
          <w:rFonts w:ascii="Cambria Math" w:hAnsi="Cambria Math" w:cs="Cambria Math"/>
        </w:rPr>
        <w:t>‑</w:t>
      </w:r>
      <w:r w:rsidR="0074377F" w:rsidRPr="00364711">
        <w:t>Directed Fund formally ceased, enabling a shift towards a more coordinated and strategically aligned approach to commissioning. Responsibility for the Care</w:t>
      </w:r>
      <w:r w:rsidR="0074377F" w:rsidRPr="00364711">
        <w:rPr>
          <w:rFonts w:ascii="Cambria Math" w:hAnsi="Cambria Math" w:cs="Cambria Math"/>
        </w:rPr>
        <w:t>‑</w:t>
      </w:r>
      <w:r w:rsidR="0074377F" w:rsidRPr="00364711">
        <w:t>Experienced Children and Young People Fund has now transferred to Education, placing planning, procurement and oversight within the service best positioned to align the fund with learner needs and system priorities. This change has allowed for a resource model that supports targeted and sustainable interventions.</w:t>
      </w:r>
    </w:p>
    <w:p w14:paraId="54454847" w14:textId="449F9723" w:rsidR="0074377F" w:rsidRPr="00364711" w:rsidRDefault="0074377F" w:rsidP="0074377F">
      <w:r w:rsidRPr="00364711">
        <w:t>The introduction of the Education Support Worker for Transitions has brought additional capacity at critical stages of the learner journey. Although the post commenced later than originally planned, beginning in January 2026, it is now providing targeted and responsive support to young people experiencing significant change in their circumstances. This includes coordinating effective transition planning for two care</w:t>
      </w:r>
      <w:r w:rsidRPr="00364711">
        <w:rPr>
          <w:rFonts w:ascii="Cambria Math" w:hAnsi="Cambria Math" w:cs="Cambria Math"/>
        </w:rPr>
        <w:t>‑</w:t>
      </w:r>
      <w:r w:rsidRPr="00364711">
        <w:t>experienced young people who continue to attend Inverclyde schools despite moving out with the authority, ensuring continuity of learning, stability and sustained engagement. Alongside this intensive casework, the role is supporting a broader cohort across key transition points—including P7–S1, S3 pathways and senior</w:t>
      </w:r>
      <w:r w:rsidRPr="00364711">
        <w:rPr>
          <w:rFonts w:ascii="Cambria Math" w:hAnsi="Cambria Math" w:cs="Cambria Math"/>
        </w:rPr>
        <w:t>‑</w:t>
      </w:r>
      <w:r w:rsidRPr="00364711">
        <w:t>phase planning—through early identification of need, proactive communication between establishments and the implementation of child</w:t>
      </w:r>
      <w:r w:rsidRPr="00364711">
        <w:rPr>
          <w:rFonts w:ascii="Cambria Math" w:hAnsi="Cambria Math" w:cs="Cambria Math"/>
        </w:rPr>
        <w:t>‑</w:t>
      </w:r>
      <w:r w:rsidRPr="00364711">
        <w:t>centred transition plans. This work is strengthening Inverclyde’s corporate parenting responsibilities and contributing to more coherent and consistent transition pathways.</w:t>
      </w:r>
    </w:p>
    <w:p w14:paraId="77BAAA2B" w14:textId="3975E82A" w:rsidR="0074377F" w:rsidRPr="00364711" w:rsidRDefault="0074377F" w:rsidP="0074377F">
      <w:r w:rsidRPr="00364711">
        <w:t>Analysis of our Skills Development Scotland data indicates a positive upward trend in both initial and follow</w:t>
      </w:r>
      <w:r w:rsidRPr="00364711">
        <w:rPr>
          <w:rFonts w:ascii="Cambria Math" w:hAnsi="Cambria Math" w:cs="Cambria Math"/>
        </w:rPr>
        <w:t>‑</w:t>
      </w:r>
      <w:r w:rsidRPr="00364711">
        <w:t xml:space="preserve">up destinations between 2023/24 and 2024/25. Initial positive destinations increased </w:t>
      </w:r>
      <w:r w:rsidRPr="00364711">
        <w:lastRenderedPageBreak/>
        <w:t>from an already high 92.5% to 92.7%, demonstrating sustained success in ensuring young people transition confidently into further education, training, or employment. More notably, follow</w:t>
      </w:r>
      <w:r w:rsidRPr="00364711">
        <w:rPr>
          <w:rFonts w:ascii="Cambria Math" w:hAnsi="Cambria Math" w:cs="Cambria Math"/>
        </w:rPr>
        <w:t>‑</w:t>
      </w:r>
      <w:r w:rsidRPr="00364711">
        <w:t>up destinations showed a significant improvement, rising from 69.2% to 78.2%. This substantial increase reflects the enhanced robustness of our support systems, the effectiveness of targeted interventions for leavers requiring sustained guidance, and a strengthened partnership approach with external agencies.</w:t>
      </w:r>
    </w:p>
    <w:p w14:paraId="4F1F219E" w14:textId="77777777" w:rsidR="0074377F" w:rsidRPr="00364711" w:rsidRDefault="0074377F" w:rsidP="0074377F">
      <w:r w:rsidRPr="00364711">
        <w:t>As a result of these strategic developments, the service has seen a reduction in spending on externally commissioned therapeutic interventions. The consolidated, Education</w:t>
      </w:r>
      <w:r w:rsidRPr="00364711">
        <w:rPr>
          <w:rFonts w:ascii="Cambria Math" w:hAnsi="Cambria Math" w:cs="Cambria Math"/>
        </w:rPr>
        <w:t>‑</w:t>
      </w:r>
      <w:r w:rsidRPr="00364711">
        <w:t>led approach to planning and procurement has resulted in more efficient use of available resources and an increased capacity to deliver timely, needs</w:t>
      </w:r>
      <w:r w:rsidRPr="00364711">
        <w:rPr>
          <w:rFonts w:ascii="Cambria Math" w:hAnsi="Cambria Math" w:cs="Cambria Math"/>
        </w:rPr>
        <w:t>‑</w:t>
      </w:r>
      <w:r w:rsidRPr="00364711">
        <w:t>led support without reliance on costly external provision. This shift reflects more purposeful alignment between funding decisions, wellbeing priorities and attainment goals, ensuring that interventions are delivered in a way that maximises both impact and sustainability. Collectively, these changes mark an important step toward a more integrated, strategically driven system of support for care</w:t>
      </w:r>
      <w:r w:rsidRPr="00364711">
        <w:rPr>
          <w:rFonts w:ascii="Cambria Math" w:hAnsi="Cambria Math" w:cs="Cambria Math"/>
        </w:rPr>
        <w:t>‑</w:t>
      </w:r>
      <w:r w:rsidRPr="00364711">
        <w:t>experienced children and young people across Inverclyde.</w:t>
      </w:r>
    </w:p>
    <w:p w14:paraId="759ACA8D" w14:textId="0B63BDFD" w:rsidR="0074377F" w:rsidRPr="00364711" w:rsidRDefault="0074377F" w:rsidP="00CC0CEA">
      <w:pPr>
        <w:rPr>
          <w:bCs/>
          <w:highlight w:val="yellow"/>
        </w:rPr>
      </w:pPr>
      <w:r w:rsidRPr="00364711">
        <w:rPr>
          <w:b/>
          <w:bCs/>
        </w:rPr>
        <w:t>F3</w:t>
      </w:r>
      <w:r w:rsidRPr="00364711">
        <w:t xml:space="preserve"> </w:t>
      </w:r>
      <w:r w:rsidRPr="00364711">
        <w:tab/>
        <w:t xml:space="preserve">The Request for Assistance (RfA) process continues to operate effectively, with no submissions being fully rejected by the Duty Team. In cases where an RfA is not allocated to a social worker, an alternative response is always provided. This may include advice and guidance, attendance at a Team Around the Child (TAC) meeting, or a referral to Children’s First or </w:t>
      </w:r>
      <w:proofErr w:type="spellStart"/>
      <w:r w:rsidRPr="00364711">
        <w:t>Aberlour</w:t>
      </w:r>
      <w:proofErr w:type="spellEnd"/>
      <w:r w:rsidRPr="00364711">
        <w:t xml:space="preserve"> to ensure that appropriate early support is initiated for the family.</w:t>
      </w:r>
    </w:p>
    <w:p w14:paraId="350CB720" w14:textId="5C66EF15" w:rsidR="0074377F" w:rsidRPr="00364711" w:rsidRDefault="0074377F" w:rsidP="00364711">
      <w:r w:rsidRPr="00364711">
        <w:t>A series of multi</w:t>
      </w:r>
      <w:r w:rsidRPr="00364711">
        <w:rPr>
          <w:rFonts w:ascii="Cambria Math" w:hAnsi="Cambria Math" w:cs="Cambria Math"/>
        </w:rPr>
        <w:t>‑</w:t>
      </w:r>
      <w:r w:rsidRPr="00364711">
        <w:t>agency discussions has strengthened shared understanding of the RfA process, leading to the development of a practice note designed to ensure referrals are made at the most appropriate point of need. This guidance outlines the expected universal and targeted interventions that should be in place prior to an RfA being submitted, and it encourages education establishments to contact the RfA team for consultation before progressing to a formal referral. This proactive approach has resulted in a reduction in RfAs being declined, as concerns are increasingly addressed through advice</w:t>
      </w:r>
      <w:r w:rsidRPr="00364711">
        <w:rPr>
          <w:rFonts w:ascii="Cambria Math" w:hAnsi="Cambria Math" w:cs="Cambria Math"/>
        </w:rPr>
        <w:t>‑</w:t>
      </w:r>
      <w:r w:rsidRPr="00364711">
        <w:t>led, early</w:t>
      </w:r>
      <w:r w:rsidRPr="00364711">
        <w:rPr>
          <w:rFonts w:ascii="Cambria Math" w:hAnsi="Cambria Math" w:cs="Cambria Math"/>
        </w:rPr>
        <w:t>‑</w:t>
      </w:r>
      <w:r w:rsidRPr="00364711">
        <w:t>intervention support rather than formal allocation.</w:t>
      </w:r>
    </w:p>
    <w:p w14:paraId="57B0D7A5" w14:textId="387D6794" w:rsidR="00364711" w:rsidRPr="00364711" w:rsidRDefault="00364711" w:rsidP="00364711">
      <w:r w:rsidRPr="00364711">
        <w:rPr>
          <w:b/>
          <w:bCs/>
        </w:rPr>
        <w:t>F4</w:t>
      </w:r>
      <w:r w:rsidRPr="00364711">
        <w:t xml:space="preserve"> Attendance for Care-Experienced Young People has shown a positive upward trend, increasing by 2.84% from session 2023/24 to 2024/25. Improvements have been made this session due to strengthened collaboration with HSCP, which has resulted in greater accuracy in the recording and verification of young people’s care status. This enhanced data integrity has enabled more targeted interventions and improved monitoring throughout the session. Despite this improvement, projected attendance for the current session indicates a slight decrease compared to the previous year. This anticipated reduction is linked to the specific and challenging domestic circumstances of individual young people, rather than representing a broader pattern across the CEYP cohort. Overall, the data demonstrates consistent progress across all groups, evidencing that current authority</w:t>
      </w:r>
      <w:r w:rsidRPr="00364711">
        <w:rPr>
          <w:rFonts w:ascii="Cambria Math" w:hAnsi="Cambria Math" w:cs="Cambria Math"/>
        </w:rPr>
        <w:t>‑</w:t>
      </w:r>
      <w:r w:rsidRPr="00364711">
        <w:t>wide interventions and collaborative approaches with the Strategic Attendance Lead are contributing to improved attendance outcomes for CEYP.</w:t>
      </w:r>
    </w:p>
    <w:p w14:paraId="5C344BF7" w14:textId="4654925E" w:rsidR="00364711" w:rsidRPr="00364711" w:rsidRDefault="00364711" w:rsidP="00364711">
      <w:r w:rsidRPr="00364711">
        <w:t>The proportion of young people recorded as significantly absent from school has reduced from 2.1% in session 2023/24 to 1.5% in session 2024/25. This represents a positive downward trend and places the school below the national averages of 2.5% and 2.4% for the same respective periods. This improvement reflects the effectiveness of strengthened monitoring procedures and earlier identification of pupils requiring targeted intervention.</w:t>
      </w:r>
    </w:p>
    <w:p w14:paraId="0394ECA9" w14:textId="62D7B76C" w:rsidR="006500CA" w:rsidRPr="006500CA" w:rsidRDefault="006500CA" w:rsidP="006500CA">
      <w:r w:rsidRPr="006500CA">
        <w:lastRenderedPageBreak/>
        <w:t>During this period, there has been a notable increase in referrals to the ASG to support young people experiencing Emotionally Based School Avoidance (EBSA). The Horizon programme has expanded accordingly, with the service supporting 14 pupils in session 2024/25. Demand for this specialist service has continued to grow, with an increase to 27 pupils in session 2025/26, 33% of wh</w:t>
      </w:r>
      <w:r w:rsidR="002113BB">
        <w:t>om</w:t>
      </w:r>
      <w:r w:rsidRPr="006500CA">
        <w:t xml:space="preserve"> are care experienced, indicating both rising complexity of need and increased confidence among staff in accessing appropriate supports for vulnerable learners.</w:t>
      </w:r>
    </w:p>
    <w:tbl>
      <w:tblPr>
        <w:tblStyle w:val="TableGrid"/>
        <w:tblW w:w="9464" w:type="dxa"/>
        <w:tblLook w:val="04A0" w:firstRow="1" w:lastRow="0" w:firstColumn="1" w:lastColumn="0" w:noHBand="0" w:noVBand="1"/>
      </w:tblPr>
      <w:tblGrid>
        <w:gridCol w:w="9464"/>
      </w:tblGrid>
      <w:tr w:rsidR="00523670" w14:paraId="55AA1034" w14:textId="77777777" w:rsidTr="0074377F">
        <w:tc>
          <w:tcPr>
            <w:tcW w:w="9464" w:type="dxa"/>
            <w:shd w:val="clear" w:color="auto" w:fill="EAF1DD" w:themeFill="accent3" w:themeFillTint="33"/>
          </w:tcPr>
          <w:p w14:paraId="56B76BA9" w14:textId="77777777" w:rsidR="00523670" w:rsidRPr="006120A9" w:rsidRDefault="00523670" w:rsidP="00C47862">
            <w:pPr>
              <w:pStyle w:val="NoSpacing"/>
              <w:rPr>
                <w:rFonts w:ascii="Arial" w:hAnsi="Arial" w:cs="Arial"/>
                <w:b/>
                <w:color w:val="0070C0"/>
                <w:sz w:val="24"/>
                <w:szCs w:val="24"/>
              </w:rPr>
            </w:pPr>
            <w:r w:rsidRPr="006120A9">
              <w:rPr>
                <w:rFonts w:ascii="Arial" w:hAnsi="Arial" w:cs="Arial"/>
                <w:b/>
                <w:sz w:val="24"/>
                <w:szCs w:val="24"/>
              </w:rPr>
              <w:t xml:space="preserve">Next steps: </w:t>
            </w:r>
            <w:r w:rsidRPr="006120A9">
              <w:rPr>
                <w:b/>
                <w:sz w:val="28"/>
                <w:szCs w:val="28"/>
              </w:rPr>
              <w:t>Improving outcomes of care experienced children, young people and their families</w:t>
            </w:r>
          </w:p>
        </w:tc>
      </w:tr>
    </w:tbl>
    <w:p w14:paraId="783C849D" w14:textId="77777777" w:rsidR="00523670" w:rsidRDefault="00523670" w:rsidP="00523670">
      <w:pPr>
        <w:pStyle w:val="NoSpacing"/>
        <w:rPr>
          <w:rFonts w:ascii="Arial" w:hAnsi="Arial" w:cs="Arial"/>
          <w:b/>
        </w:rPr>
      </w:pPr>
    </w:p>
    <w:p w14:paraId="3F5E57D4" w14:textId="1BE443BB" w:rsidR="00762474" w:rsidRPr="00815C59" w:rsidRDefault="00523670" w:rsidP="0074377F">
      <w:pPr>
        <w:ind w:left="720" w:hanging="720"/>
        <w:rPr>
          <w:lang w:eastAsia="en-GB"/>
        </w:rPr>
      </w:pPr>
      <w:r w:rsidRPr="00815C59">
        <w:rPr>
          <w:b/>
          <w:bCs/>
        </w:rPr>
        <w:t>F1</w:t>
      </w:r>
      <w:r w:rsidR="000B32F3" w:rsidRPr="00815C59">
        <w:rPr>
          <w:b/>
          <w:bCs/>
        </w:rPr>
        <w:tab/>
      </w:r>
      <w:r w:rsidR="00815C59" w:rsidRPr="00815C59">
        <w:t>Refine the referral process ensuring timely interventions supporting targeted children, young people and families.</w:t>
      </w:r>
    </w:p>
    <w:p w14:paraId="6FA7FB3C" w14:textId="77777777" w:rsidR="00815C59" w:rsidRPr="00815C59" w:rsidRDefault="00815C59" w:rsidP="00815C59">
      <w:pPr>
        <w:spacing w:after="160" w:line="259" w:lineRule="auto"/>
        <w:ind w:left="720" w:hanging="720"/>
        <w:rPr>
          <w:b/>
          <w:bCs/>
        </w:rPr>
      </w:pPr>
      <w:r w:rsidRPr="00815C59">
        <w:rPr>
          <w:b/>
          <w:bCs/>
        </w:rPr>
        <w:t>F2</w:t>
      </w:r>
      <w:r w:rsidRPr="00815C59">
        <w:rPr>
          <w:b/>
          <w:bCs/>
        </w:rPr>
        <w:tab/>
      </w:r>
      <w:r w:rsidRPr="00815C59">
        <w:t>Continue to plan strategically for maximum impact of the CECYP fund interventions.</w:t>
      </w:r>
    </w:p>
    <w:p w14:paraId="3A49F97A" w14:textId="77777777" w:rsidR="00815C59" w:rsidRPr="00815C59" w:rsidRDefault="00815C59" w:rsidP="00815C59">
      <w:pPr>
        <w:spacing w:after="160" w:line="259" w:lineRule="auto"/>
        <w:ind w:left="720" w:hanging="720"/>
        <w:rPr>
          <w:b/>
          <w:bCs/>
        </w:rPr>
      </w:pPr>
      <w:r w:rsidRPr="00815C59">
        <w:rPr>
          <w:b/>
          <w:bCs/>
        </w:rPr>
        <w:t>F3</w:t>
      </w:r>
      <w:r w:rsidRPr="00815C59">
        <w:rPr>
          <w:b/>
          <w:bCs/>
        </w:rPr>
        <w:tab/>
      </w:r>
      <w:r w:rsidRPr="00815C59">
        <w:t>Continue to use the dashboard to support early intervention for CECYP.</w:t>
      </w:r>
    </w:p>
    <w:p w14:paraId="34BEAED8" w14:textId="38D57823" w:rsidR="00B77640" w:rsidRPr="00815C59" w:rsidRDefault="00815C59" w:rsidP="00815C59">
      <w:pPr>
        <w:spacing w:after="160" w:line="259" w:lineRule="auto"/>
        <w:ind w:left="720" w:hanging="720"/>
        <w:rPr>
          <w:b/>
          <w:bCs/>
        </w:rPr>
      </w:pPr>
      <w:r w:rsidRPr="00815C59">
        <w:rPr>
          <w:b/>
          <w:bCs/>
        </w:rPr>
        <w:t>F4</w:t>
      </w:r>
      <w:r w:rsidRPr="00815C59">
        <w:rPr>
          <w:b/>
          <w:bCs/>
        </w:rPr>
        <w:tab/>
      </w:r>
      <w:r w:rsidRPr="00815C59">
        <w:t>Continue to track and monitor the progress of CECYP at BGE level and Senior Phase.</w:t>
      </w:r>
    </w:p>
    <w:p w14:paraId="336FD975" w14:textId="77777777" w:rsidR="00B77640" w:rsidRDefault="00B77640" w:rsidP="00B77640"/>
    <w:p w14:paraId="542C02D9" w14:textId="77777777" w:rsidR="00B77640" w:rsidRDefault="00B77640" w:rsidP="00B77640"/>
    <w:p w14:paraId="49720696" w14:textId="77777777" w:rsidR="00B77640" w:rsidRDefault="00B77640" w:rsidP="00B77640"/>
    <w:p w14:paraId="089545F8" w14:textId="77777777" w:rsidR="00B77640" w:rsidRPr="00B77640" w:rsidRDefault="00B77640" w:rsidP="00B77640"/>
    <w:p w14:paraId="772E1C55" w14:textId="77777777" w:rsidR="00283962" w:rsidRDefault="00283962" w:rsidP="006120A9">
      <w:pPr>
        <w:pStyle w:val="Heading1"/>
      </w:pPr>
    </w:p>
    <w:p w14:paraId="460FEB1E" w14:textId="77777777" w:rsidR="00283962" w:rsidRDefault="00283962" w:rsidP="006120A9">
      <w:pPr>
        <w:pStyle w:val="Heading1"/>
      </w:pPr>
    </w:p>
    <w:p w14:paraId="10EC4E73" w14:textId="77777777" w:rsidR="00364711" w:rsidRDefault="00364711" w:rsidP="00364711"/>
    <w:p w14:paraId="5A44611E" w14:textId="77777777" w:rsidR="00364711" w:rsidRDefault="00364711" w:rsidP="00364711"/>
    <w:p w14:paraId="3E65DEBD" w14:textId="77777777" w:rsidR="00364711" w:rsidRDefault="00364711" w:rsidP="00364711"/>
    <w:p w14:paraId="67ACCAA1" w14:textId="77777777" w:rsidR="00364711" w:rsidRDefault="00364711" w:rsidP="00364711"/>
    <w:p w14:paraId="27E8B535" w14:textId="77777777" w:rsidR="00364711" w:rsidRDefault="00364711" w:rsidP="00364711"/>
    <w:p w14:paraId="343A1BDC" w14:textId="77777777" w:rsidR="00364711" w:rsidRDefault="00364711" w:rsidP="00364711"/>
    <w:p w14:paraId="535AB669" w14:textId="77777777" w:rsidR="00364711" w:rsidRDefault="00364711" w:rsidP="00364711"/>
    <w:p w14:paraId="668BE4C1" w14:textId="77777777" w:rsidR="00364711" w:rsidRDefault="00364711" w:rsidP="00364711"/>
    <w:p w14:paraId="1438F224" w14:textId="77777777" w:rsidR="00364711" w:rsidRDefault="00364711" w:rsidP="00364711"/>
    <w:p w14:paraId="1D9E657B" w14:textId="77777777" w:rsidR="00364711" w:rsidRDefault="00364711" w:rsidP="00364711"/>
    <w:p w14:paraId="21232028" w14:textId="77777777" w:rsidR="00364711" w:rsidRDefault="00364711" w:rsidP="00364711"/>
    <w:p w14:paraId="5A24A44E" w14:textId="77777777" w:rsidR="00364711" w:rsidRPr="00364711" w:rsidRDefault="00364711" w:rsidP="00364711"/>
    <w:p w14:paraId="1DE8E3CA" w14:textId="77777777" w:rsidR="00283962" w:rsidRDefault="00283962" w:rsidP="006120A9">
      <w:pPr>
        <w:pStyle w:val="Heading1"/>
      </w:pPr>
    </w:p>
    <w:p w14:paraId="106EBD99" w14:textId="6BBBC7B2" w:rsidR="00A2273E" w:rsidRPr="00C957D8" w:rsidRDefault="00044FA5" w:rsidP="006120A9">
      <w:pPr>
        <w:pStyle w:val="Heading1"/>
      </w:pPr>
      <w:r>
        <w:rPr>
          <w:noProof/>
          <w:lang w:eastAsia="en-GB"/>
        </w:rPr>
        <w:lastRenderedPageBreak/>
        <mc:AlternateContent>
          <mc:Choice Requires="wps">
            <w:drawing>
              <wp:anchor distT="0" distB="0" distL="114300" distR="114300" simplePos="0" relativeHeight="251749888" behindDoc="0" locked="0" layoutInCell="1" allowOverlap="1" wp14:anchorId="3E644EDC" wp14:editId="29321448">
                <wp:simplePos x="0" y="0"/>
                <wp:positionH relativeFrom="margin">
                  <wp:posOffset>0</wp:posOffset>
                </wp:positionH>
                <wp:positionV relativeFrom="paragraph">
                  <wp:posOffset>-635</wp:posOffset>
                </wp:positionV>
                <wp:extent cx="5687060" cy="358140"/>
                <wp:effectExtent l="0" t="0" r="27940" b="41910"/>
                <wp:wrapNone/>
                <wp:docPr id="67616473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358140"/>
                        </a:xfrm>
                        <a:prstGeom prst="roundRect">
                          <a:avLst>
                            <a:gd name="adj" fmla="val 16667"/>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txbx>
                        <w:txbxContent>
                          <w:p w14:paraId="0989FA9E" w14:textId="277C3BFF" w:rsidR="00044FA5" w:rsidRPr="00E44146" w:rsidRDefault="00044FA5" w:rsidP="006120A9">
                            <w:pPr>
                              <w:pStyle w:val="Heading1"/>
                              <w:rPr>
                                <w:szCs w:val="28"/>
                              </w:rPr>
                            </w:pPr>
                            <w:r>
                              <w:rPr>
                                <w:bCs/>
                                <w:szCs w:val="28"/>
                              </w:rPr>
                              <w:t>Glossary of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E644EDC" id="_x0000_s1037" style="position:absolute;left:0;text-align:left;margin-left:0;margin-top:-.05pt;width:447.8pt;height:28.2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" fillcolor="#4bacc6 [3208]" stroked="f" strokecolor="#f2f2f2 [3041]" strokeweight="3pt">
                <v:shadow on="t" color="#205867 [1608]" opacity=".5" offset="1pt"/>
                <v:textbox>
                  <w:txbxContent>
                    <w:p w14:paraId="0989FA9E" w14:textId="277C3BFF" w:rsidR="00044FA5" w:rsidRPr="00E44146" w:rsidRDefault="00044FA5" w:rsidP="006120A9">
                      <w:pPr>
                        <w:pStyle w:val="Heading1"/>
                        <w:rPr>
                          <w:szCs w:val="28"/>
                        </w:rPr>
                      </w:pPr>
                      <w:r>
                        <w:rPr>
                          <w:bCs/>
                          <w:szCs w:val="28"/>
                        </w:rPr>
                        <w:t>Glossary of Terms</w:t>
                      </w:r>
                    </w:p>
                  </w:txbxContent>
                </v:textbox>
                <w10:wrap anchorx="margin"/>
              </v:roundrect>
            </w:pict>
          </mc:Fallback>
        </mc:AlternateContent>
      </w:r>
    </w:p>
    <w:p w14:paraId="036C52A9" w14:textId="77777777" w:rsidR="00A2273E" w:rsidRDefault="00A2273E" w:rsidP="00A2273E">
      <w:pPr>
        <w:spacing w:after="0" w:line="240" w:lineRule="auto"/>
      </w:pPr>
    </w:p>
    <w:tbl>
      <w:tblPr>
        <w:tblStyle w:val="TableGrid"/>
        <w:tblW w:w="0" w:type="auto"/>
        <w:tblLook w:val="04A0" w:firstRow="1" w:lastRow="0" w:firstColumn="1" w:lastColumn="0" w:noHBand="0" w:noVBand="1"/>
      </w:tblPr>
      <w:tblGrid>
        <w:gridCol w:w="1561"/>
        <w:gridCol w:w="6946"/>
      </w:tblGrid>
      <w:tr w:rsidR="00A2273E" w14:paraId="19F85942" w14:textId="77777777" w:rsidTr="001A13D2">
        <w:tc>
          <w:tcPr>
            <w:tcW w:w="1561" w:type="dxa"/>
          </w:tcPr>
          <w:p w14:paraId="6DABCC47" w14:textId="77777777" w:rsidR="00A2273E" w:rsidRPr="00C957D8" w:rsidRDefault="00A2273E" w:rsidP="00646572">
            <w:pPr>
              <w:rPr>
                <w:b/>
              </w:rPr>
            </w:pPr>
            <w:r w:rsidRPr="00C957D8">
              <w:rPr>
                <w:b/>
              </w:rPr>
              <w:t>Abbreviation</w:t>
            </w:r>
          </w:p>
        </w:tc>
        <w:tc>
          <w:tcPr>
            <w:tcW w:w="6946" w:type="dxa"/>
          </w:tcPr>
          <w:p w14:paraId="72C8BC9A" w14:textId="77777777" w:rsidR="00A2273E" w:rsidRPr="00C957D8" w:rsidRDefault="00A2273E" w:rsidP="00646572">
            <w:pPr>
              <w:rPr>
                <w:b/>
              </w:rPr>
            </w:pPr>
            <w:r w:rsidRPr="00C957D8">
              <w:rPr>
                <w:b/>
              </w:rPr>
              <w:t>In full</w:t>
            </w:r>
          </w:p>
        </w:tc>
      </w:tr>
      <w:tr w:rsidR="00A2273E" w14:paraId="07638433" w14:textId="77777777" w:rsidTr="001A13D2">
        <w:tc>
          <w:tcPr>
            <w:tcW w:w="1561" w:type="dxa"/>
          </w:tcPr>
          <w:p w14:paraId="4EBAB5F4" w14:textId="77777777" w:rsidR="00A2273E" w:rsidRDefault="00A2273E" w:rsidP="00646572">
            <w:r>
              <w:t>ACEL</w:t>
            </w:r>
          </w:p>
        </w:tc>
        <w:tc>
          <w:tcPr>
            <w:tcW w:w="6946" w:type="dxa"/>
          </w:tcPr>
          <w:p w14:paraId="6BE33B36" w14:textId="77777777" w:rsidR="00A2273E" w:rsidRDefault="00A2273E" w:rsidP="00646572">
            <w:r>
              <w:t>Achievement of Curriculum for Excellence Levels</w:t>
            </w:r>
          </w:p>
        </w:tc>
      </w:tr>
      <w:tr w:rsidR="00A2273E" w14:paraId="51598D59" w14:textId="77777777" w:rsidTr="001A13D2">
        <w:tc>
          <w:tcPr>
            <w:tcW w:w="1561" w:type="dxa"/>
          </w:tcPr>
          <w:p w14:paraId="3F166C3B" w14:textId="77777777" w:rsidR="00A2273E" w:rsidRDefault="00A2273E" w:rsidP="00646572">
            <w:r>
              <w:t>ASL</w:t>
            </w:r>
          </w:p>
        </w:tc>
        <w:tc>
          <w:tcPr>
            <w:tcW w:w="6946" w:type="dxa"/>
          </w:tcPr>
          <w:p w14:paraId="5A42D7B1" w14:textId="77777777" w:rsidR="00A2273E" w:rsidRDefault="00A2273E" w:rsidP="00646572">
            <w:r>
              <w:t>Additional Support for Learning</w:t>
            </w:r>
          </w:p>
        </w:tc>
      </w:tr>
      <w:tr w:rsidR="00A2273E" w14:paraId="253CE494" w14:textId="77777777" w:rsidTr="001A13D2">
        <w:tc>
          <w:tcPr>
            <w:tcW w:w="1561" w:type="dxa"/>
          </w:tcPr>
          <w:p w14:paraId="73906652" w14:textId="59117685" w:rsidR="00A2273E" w:rsidRDefault="001A13D2" w:rsidP="00646572">
            <w:r>
              <w:t>ASG</w:t>
            </w:r>
          </w:p>
        </w:tc>
        <w:tc>
          <w:tcPr>
            <w:tcW w:w="6946" w:type="dxa"/>
          </w:tcPr>
          <w:p w14:paraId="05B25393" w14:textId="7C7CD26A" w:rsidR="00A2273E" w:rsidRDefault="001A13D2" w:rsidP="00646572">
            <w:r>
              <w:t>Authority Screen Group</w:t>
            </w:r>
          </w:p>
        </w:tc>
      </w:tr>
      <w:tr w:rsidR="001A13D2" w14:paraId="2ED03B85" w14:textId="77777777" w:rsidTr="001A13D2">
        <w:tc>
          <w:tcPr>
            <w:tcW w:w="1561" w:type="dxa"/>
          </w:tcPr>
          <w:p w14:paraId="0C7F3068" w14:textId="1E14BC88" w:rsidR="001A13D2" w:rsidRDefault="001A13D2" w:rsidP="001A13D2">
            <w:r>
              <w:t>ASN</w:t>
            </w:r>
          </w:p>
        </w:tc>
        <w:tc>
          <w:tcPr>
            <w:tcW w:w="6946" w:type="dxa"/>
          </w:tcPr>
          <w:p w14:paraId="0670C207" w14:textId="1C916934" w:rsidR="001A13D2" w:rsidRDefault="001A13D2" w:rsidP="001A13D2">
            <w:r>
              <w:t>Additional Support Needs</w:t>
            </w:r>
          </w:p>
        </w:tc>
      </w:tr>
      <w:tr w:rsidR="001A13D2" w14:paraId="18AB84E8" w14:textId="77777777" w:rsidTr="001A13D2">
        <w:tc>
          <w:tcPr>
            <w:tcW w:w="1561" w:type="dxa"/>
          </w:tcPr>
          <w:p w14:paraId="67CC54FF" w14:textId="6FFD5D20" w:rsidR="001A13D2" w:rsidRDefault="001A13D2" w:rsidP="001A13D2">
            <w:r>
              <w:t>ASNMF</w:t>
            </w:r>
          </w:p>
        </w:tc>
        <w:tc>
          <w:tcPr>
            <w:tcW w:w="6946" w:type="dxa"/>
          </w:tcPr>
          <w:p w14:paraId="24E5A304" w14:textId="69594538" w:rsidR="001A13D2" w:rsidRDefault="001A13D2" w:rsidP="001A13D2">
            <w:r>
              <w:t>Additional Support Needs Monitoring Forum</w:t>
            </w:r>
          </w:p>
        </w:tc>
      </w:tr>
      <w:tr w:rsidR="001A13D2" w14:paraId="5003B44B" w14:textId="77777777" w:rsidTr="001A13D2">
        <w:tc>
          <w:tcPr>
            <w:tcW w:w="1561" w:type="dxa"/>
          </w:tcPr>
          <w:p w14:paraId="2C19C1C2" w14:textId="77777777" w:rsidR="001A13D2" w:rsidRDefault="001A13D2" w:rsidP="001A13D2">
            <w:r>
              <w:t>BGE</w:t>
            </w:r>
          </w:p>
        </w:tc>
        <w:tc>
          <w:tcPr>
            <w:tcW w:w="6946" w:type="dxa"/>
          </w:tcPr>
          <w:p w14:paraId="732AE798" w14:textId="77777777" w:rsidR="001A13D2" w:rsidRDefault="001A13D2" w:rsidP="001A13D2">
            <w:r>
              <w:t>Broad General Education</w:t>
            </w:r>
          </w:p>
        </w:tc>
      </w:tr>
      <w:tr w:rsidR="001A13D2" w14:paraId="3B1BECC8" w14:textId="77777777" w:rsidTr="001A13D2">
        <w:tc>
          <w:tcPr>
            <w:tcW w:w="1561" w:type="dxa"/>
          </w:tcPr>
          <w:p w14:paraId="392887AC" w14:textId="77777777" w:rsidR="001A13D2" w:rsidRDefault="001A13D2" w:rsidP="001A13D2">
            <w:r>
              <w:t>BRL</w:t>
            </w:r>
          </w:p>
        </w:tc>
        <w:tc>
          <w:tcPr>
            <w:tcW w:w="6946" w:type="dxa"/>
          </w:tcPr>
          <w:p w14:paraId="62E9B6EF" w14:textId="77777777" w:rsidR="001A13D2" w:rsidRDefault="001A13D2" w:rsidP="001A13D2">
            <w:r>
              <w:t>Building racial literacy</w:t>
            </w:r>
          </w:p>
        </w:tc>
      </w:tr>
      <w:tr w:rsidR="001A13D2" w14:paraId="4449F8A7" w14:textId="77777777" w:rsidTr="001A13D2">
        <w:tc>
          <w:tcPr>
            <w:tcW w:w="1561" w:type="dxa"/>
          </w:tcPr>
          <w:p w14:paraId="39577518" w14:textId="77777777" w:rsidR="001A13D2" w:rsidRDefault="001A13D2" w:rsidP="001A13D2">
            <w:r>
              <w:t>BYOD</w:t>
            </w:r>
          </w:p>
        </w:tc>
        <w:tc>
          <w:tcPr>
            <w:tcW w:w="6946" w:type="dxa"/>
          </w:tcPr>
          <w:p w14:paraId="6B33FBA6" w14:textId="77777777" w:rsidR="001A13D2" w:rsidRDefault="001A13D2" w:rsidP="001A13D2">
            <w:r>
              <w:t>Bring Your Own Device</w:t>
            </w:r>
          </w:p>
        </w:tc>
      </w:tr>
      <w:tr w:rsidR="001A13D2" w14:paraId="56845F13" w14:textId="77777777" w:rsidTr="001A13D2">
        <w:tc>
          <w:tcPr>
            <w:tcW w:w="1561" w:type="dxa"/>
          </w:tcPr>
          <w:p w14:paraId="64D5077E" w14:textId="77777777" w:rsidR="001A13D2" w:rsidRDefault="001A13D2" w:rsidP="001A13D2">
            <w:r>
              <w:t>CEYP</w:t>
            </w:r>
          </w:p>
        </w:tc>
        <w:tc>
          <w:tcPr>
            <w:tcW w:w="6946" w:type="dxa"/>
          </w:tcPr>
          <w:p w14:paraId="5B8D4B08" w14:textId="77777777" w:rsidR="001A13D2" w:rsidRDefault="001A13D2" w:rsidP="001A13D2">
            <w:r>
              <w:t>Care Experienced Young People</w:t>
            </w:r>
          </w:p>
        </w:tc>
      </w:tr>
      <w:tr w:rsidR="001A13D2" w14:paraId="1C24293B" w14:textId="77777777" w:rsidTr="001A13D2">
        <w:tc>
          <w:tcPr>
            <w:tcW w:w="1561" w:type="dxa"/>
          </w:tcPr>
          <w:p w14:paraId="3BD8EFEC" w14:textId="78FB2EA1" w:rsidR="001A13D2" w:rsidRDefault="001A13D2" w:rsidP="001A13D2">
            <w:r>
              <w:t>CLB</w:t>
            </w:r>
          </w:p>
        </w:tc>
        <w:tc>
          <w:tcPr>
            <w:tcW w:w="6946" w:type="dxa"/>
          </w:tcPr>
          <w:p w14:paraId="0C7914EB" w14:textId="6E528069" w:rsidR="001A13D2" w:rsidRDefault="001A13D2" w:rsidP="001A13D2">
            <w:r>
              <w:t>Communication and Language Base</w:t>
            </w:r>
          </w:p>
        </w:tc>
      </w:tr>
      <w:tr w:rsidR="001A13D2" w14:paraId="1745C2A6" w14:textId="77777777" w:rsidTr="001A13D2">
        <w:tc>
          <w:tcPr>
            <w:tcW w:w="1561" w:type="dxa"/>
          </w:tcPr>
          <w:p w14:paraId="2F404EB2" w14:textId="77777777" w:rsidR="001A13D2" w:rsidRDefault="001A13D2" w:rsidP="001A13D2">
            <w:r>
              <w:t>CLD</w:t>
            </w:r>
          </w:p>
        </w:tc>
        <w:tc>
          <w:tcPr>
            <w:tcW w:w="6946" w:type="dxa"/>
          </w:tcPr>
          <w:p w14:paraId="5117C0A1" w14:textId="77777777" w:rsidR="001A13D2" w:rsidRDefault="001A13D2" w:rsidP="001A13D2">
            <w:r>
              <w:t>Community Learning and Development</w:t>
            </w:r>
          </w:p>
        </w:tc>
      </w:tr>
      <w:tr w:rsidR="001A13D2" w14:paraId="356E45C0" w14:textId="77777777" w:rsidTr="001A13D2">
        <w:tc>
          <w:tcPr>
            <w:tcW w:w="1561" w:type="dxa"/>
          </w:tcPr>
          <w:p w14:paraId="6A490BD4" w14:textId="77777777" w:rsidR="001A13D2" w:rsidRDefault="001A13D2" w:rsidP="001A13D2">
            <w:r>
              <w:t>CLPL</w:t>
            </w:r>
          </w:p>
        </w:tc>
        <w:tc>
          <w:tcPr>
            <w:tcW w:w="6946" w:type="dxa"/>
          </w:tcPr>
          <w:p w14:paraId="0F57C6B2" w14:textId="77777777" w:rsidR="001A13D2" w:rsidRDefault="001A13D2" w:rsidP="001A13D2">
            <w:r>
              <w:t>Career Long Professional Learning</w:t>
            </w:r>
          </w:p>
        </w:tc>
      </w:tr>
      <w:tr w:rsidR="001A13D2" w14:paraId="34A9CB98" w14:textId="77777777" w:rsidTr="001A13D2">
        <w:tc>
          <w:tcPr>
            <w:tcW w:w="1561" w:type="dxa"/>
          </w:tcPr>
          <w:p w14:paraId="62769B3C" w14:textId="77777777" w:rsidR="001A13D2" w:rsidRDefault="001A13D2" w:rsidP="001A13D2">
            <w:r>
              <w:t>CMO</w:t>
            </w:r>
          </w:p>
        </w:tc>
        <w:tc>
          <w:tcPr>
            <w:tcW w:w="6946" w:type="dxa"/>
          </w:tcPr>
          <w:p w14:paraId="7B2E2762" w14:textId="77777777" w:rsidR="001A13D2" w:rsidRDefault="001A13D2" w:rsidP="001A13D2">
            <w:r>
              <w:t>Coaching and Modelling Officer</w:t>
            </w:r>
          </w:p>
        </w:tc>
      </w:tr>
      <w:tr w:rsidR="001A13D2" w14:paraId="72B5D89C" w14:textId="77777777" w:rsidTr="001A13D2">
        <w:tc>
          <w:tcPr>
            <w:tcW w:w="1561" w:type="dxa"/>
          </w:tcPr>
          <w:p w14:paraId="70F45CC2" w14:textId="77777777" w:rsidR="001A13D2" w:rsidRDefault="001A13D2" w:rsidP="001A13D2">
            <w:r>
              <w:t>DYW</w:t>
            </w:r>
          </w:p>
        </w:tc>
        <w:tc>
          <w:tcPr>
            <w:tcW w:w="6946" w:type="dxa"/>
          </w:tcPr>
          <w:p w14:paraId="699776CF" w14:textId="77777777" w:rsidR="001A13D2" w:rsidRDefault="001A13D2" w:rsidP="001A13D2">
            <w:r>
              <w:t>Developing the Young Workforce</w:t>
            </w:r>
          </w:p>
        </w:tc>
      </w:tr>
      <w:tr w:rsidR="001A13D2" w14:paraId="1460C728" w14:textId="77777777" w:rsidTr="001A13D2">
        <w:tc>
          <w:tcPr>
            <w:tcW w:w="1561" w:type="dxa"/>
          </w:tcPr>
          <w:p w14:paraId="4543CAB6" w14:textId="77777777" w:rsidR="001A13D2" w:rsidRDefault="001A13D2" w:rsidP="001A13D2">
            <w:r>
              <w:t>EAL</w:t>
            </w:r>
          </w:p>
        </w:tc>
        <w:tc>
          <w:tcPr>
            <w:tcW w:w="6946" w:type="dxa"/>
          </w:tcPr>
          <w:p w14:paraId="54C493A3" w14:textId="77777777" w:rsidR="001A13D2" w:rsidRDefault="001A13D2" w:rsidP="001A13D2">
            <w:r>
              <w:t>English as an Additional Language</w:t>
            </w:r>
          </w:p>
        </w:tc>
      </w:tr>
      <w:tr w:rsidR="001A13D2" w14:paraId="1BB284FB" w14:textId="77777777" w:rsidTr="001A13D2">
        <w:tc>
          <w:tcPr>
            <w:tcW w:w="1561" w:type="dxa"/>
          </w:tcPr>
          <w:p w14:paraId="5A1AEFAA" w14:textId="77777777" w:rsidR="001A13D2" w:rsidRDefault="001A13D2" w:rsidP="001A13D2">
            <w:r>
              <w:t>EY</w:t>
            </w:r>
          </w:p>
        </w:tc>
        <w:tc>
          <w:tcPr>
            <w:tcW w:w="6946" w:type="dxa"/>
          </w:tcPr>
          <w:p w14:paraId="56692B64" w14:textId="77777777" w:rsidR="001A13D2" w:rsidRDefault="001A13D2" w:rsidP="001A13D2">
            <w:r>
              <w:t>Early Years</w:t>
            </w:r>
          </w:p>
        </w:tc>
      </w:tr>
      <w:tr w:rsidR="001A13D2" w14:paraId="1A8A383A" w14:textId="77777777" w:rsidTr="001A13D2">
        <w:tc>
          <w:tcPr>
            <w:tcW w:w="1561" w:type="dxa"/>
          </w:tcPr>
          <w:p w14:paraId="2AA44902" w14:textId="77777777" w:rsidR="001A13D2" w:rsidRDefault="001A13D2" w:rsidP="001A13D2">
            <w:r>
              <w:t>GIRFEC</w:t>
            </w:r>
          </w:p>
        </w:tc>
        <w:tc>
          <w:tcPr>
            <w:tcW w:w="6946" w:type="dxa"/>
          </w:tcPr>
          <w:p w14:paraId="7B919190" w14:textId="77777777" w:rsidR="001A13D2" w:rsidRDefault="001A13D2" w:rsidP="001A13D2">
            <w:r>
              <w:t>Getting it Right for Every Child</w:t>
            </w:r>
          </w:p>
        </w:tc>
      </w:tr>
      <w:tr w:rsidR="001A13D2" w14:paraId="632B33ED" w14:textId="77777777" w:rsidTr="001A13D2">
        <w:tc>
          <w:tcPr>
            <w:tcW w:w="1561" w:type="dxa"/>
          </w:tcPr>
          <w:p w14:paraId="439BC6BD" w14:textId="77777777" w:rsidR="001A13D2" w:rsidRDefault="001A13D2" w:rsidP="001A13D2">
            <w:proofErr w:type="spellStart"/>
            <w:r>
              <w:t>HMIe</w:t>
            </w:r>
            <w:proofErr w:type="spellEnd"/>
          </w:p>
        </w:tc>
        <w:tc>
          <w:tcPr>
            <w:tcW w:w="6946" w:type="dxa"/>
          </w:tcPr>
          <w:p w14:paraId="4A2406F1" w14:textId="77777777" w:rsidR="001A13D2" w:rsidRDefault="001A13D2" w:rsidP="001A13D2">
            <w:r>
              <w:t>Her Majesty’s Inspectors of education</w:t>
            </w:r>
          </w:p>
        </w:tc>
      </w:tr>
      <w:tr w:rsidR="001A13D2" w14:paraId="28A840A1" w14:textId="77777777" w:rsidTr="001A13D2">
        <w:tc>
          <w:tcPr>
            <w:tcW w:w="1561" w:type="dxa"/>
          </w:tcPr>
          <w:p w14:paraId="36FC4713" w14:textId="77777777" w:rsidR="001A13D2" w:rsidRDefault="001A13D2" w:rsidP="001A13D2">
            <w:r>
              <w:t>HSCP</w:t>
            </w:r>
          </w:p>
        </w:tc>
        <w:tc>
          <w:tcPr>
            <w:tcW w:w="6946" w:type="dxa"/>
          </w:tcPr>
          <w:p w14:paraId="073F7641" w14:textId="77777777" w:rsidR="001A13D2" w:rsidRDefault="001A13D2" w:rsidP="001A13D2">
            <w:r>
              <w:t>Health and Social Care Partnership</w:t>
            </w:r>
          </w:p>
        </w:tc>
      </w:tr>
      <w:tr w:rsidR="001A13D2" w14:paraId="66AD47EA" w14:textId="77777777" w:rsidTr="001A13D2">
        <w:tc>
          <w:tcPr>
            <w:tcW w:w="1561" w:type="dxa"/>
          </w:tcPr>
          <w:p w14:paraId="59C42FFC" w14:textId="77777777" w:rsidR="001A13D2" w:rsidRDefault="001A13D2" w:rsidP="001A13D2">
            <w:r>
              <w:t>HT</w:t>
            </w:r>
          </w:p>
        </w:tc>
        <w:tc>
          <w:tcPr>
            <w:tcW w:w="6946" w:type="dxa"/>
          </w:tcPr>
          <w:p w14:paraId="5671CC09" w14:textId="77777777" w:rsidR="001A13D2" w:rsidRDefault="001A13D2" w:rsidP="001A13D2">
            <w:r>
              <w:t>Headteachers</w:t>
            </w:r>
          </w:p>
        </w:tc>
      </w:tr>
      <w:tr w:rsidR="001A13D2" w14:paraId="04D393AF" w14:textId="77777777" w:rsidTr="001A13D2">
        <w:tc>
          <w:tcPr>
            <w:tcW w:w="1561" w:type="dxa"/>
          </w:tcPr>
          <w:p w14:paraId="20ACC343" w14:textId="77777777" w:rsidR="001A13D2" w:rsidRDefault="001A13D2" w:rsidP="001A13D2">
            <w:r>
              <w:t>HWB</w:t>
            </w:r>
          </w:p>
        </w:tc>
        <w:tc>
          <w:tcPr>
            <w:tcW w:w="6946" w:type="dxa"/>
          </w:tcPr>
          <w:p w14:paraId="1ECBA05B" w14:textId="77777777" w:rsidR="001A13D2" w:rsidRDefault="001A13D2" w:rsidP="001A13D2">
            <w:r>
              <w:t>Health and Wellbeing</w:t>
            </w:r>
          </w:p>
        </w:tc>
      </w:tr>
      <w:tr w:rsidR="001A13D2" w14:paraId="44CA7327" w14:textId="77777777" w:rsidTr="001A13D2">
        <w:tc>
          <w:tcPr>
            <w:tcW w:w="1561" w:type="dxa"/>
          </w:tcPr>
          <w:p w14:paraId="43D56522" w14:textId="77777777" w:rsidR="001A13D2" w:rsidRDefault="001A13D2" w:rsidP="001A13D2">
            <w:r>
              <w:t>ICOS</w:t>
            </w:r>
          </w:p>
        </w:tc>
        <w:tc>
          <w:tcPr>
            <w:tcW w:w="6946" w:type="dxa"/>
          </w:tcPr>
          <w:p w14:paraId="6C95AAE8" w14:textId="77777777" w:rsidR="001A13D2" w:rsidRDefault="001A13D2" w:rsidP="001A13D2">
            <w:r>
              <w:t>Inverclyde Communication Outreach Service</w:t>
            </w:r>
          </w:p>
        </w:tc>
      </w:tr>
      <w:tr w:rsidR="001A13D2" w14:paraId="2AC4519A" w14:textId="77777777" w:rsidTr="001A13D2">
        <w:tc>
          <w:tcPr>
            <w:tcW w:w="1561" w:type="dxa"/>
          </w:tcPr>
          <w:p w14:paraId="25B07629" w14:textId="77777777" w:rsidR="001A13D2" w:rsidRDefault="001A13D2" w:rsidP="001A13D2">
            <w:r>
              <w:t>JST</w:t>
            </w:r>
          </w:p>
        </w:tc>
        <w:tc>
          <w:tcPr>
            <w:tcW w:w="6946" w:type="dxa"/>
          </w:tcPr>
          <w:p w14:paraId="7DB1D84F" w14:textId="77777777" w:rsidR="001A13D2" w:rsidRDefault="001A13D2" w:rsidP="001A13D2">
            <w:r>
              <w:t>Joint Support Teams</w:t>
            </w:r>
          </w:p>
        </w:tc>
      </w:tr>
      <w:tr w:rsidR="001A13D2" w14:paraId="4B0DEF4D" w14:textId="77777777" w:rsidTr="001A13D2">
        <w:tc>
          <w:tcPr>
            <w:tcW w:w="1561" w:type="dxa"/>
          </w:tcPr>
          <w:p w14:paraId="487B4102" w14:textId="77777777" w:rsidR="001A13D2" w:rsidRDefault="001A13D2" w:rsidP="001A13D2">
            <w:r>
              <w:t>KPI</w:t>
            </w:r>
          </w:p>
        </w:tc>
        <w:tc>
          <w:tcPr>
            <w:tcW w:w="6946" w:type="dxa"/>
          </w:tcPr>
          <w:p w14:paraId="3B79CF2E" w14:textId="77777777" w:rsidR="001A13D2" w:rsidRDefault="001A13D2" w:rsidP="001A13D2">
            <w:r>
              <w:t>Key Performance Indicators</w:t>
            </w:r>
          </w:p>
        </w:tc>
      </w:tr>
      <w:tr w:rsidR="001A13D2" w14:paraId="026EB55A" w14:textId="77777777" w:rsidTr="001A13D2">
        <w:tc>
          <w:tcPr>
            <w:tcW w:w="1561" w:type="dxa"/>
          </w:tcPr>
          <w:p w14:paraId="70A243C6" w14:textId="77777777" w:rsidR="001A13D2" w:rsidRDefault="001A13D2" w:rsidP="001A13D2">
            <w:r>
              <w:t>LA</w:t>
            </w:r>
          </w:p>
        </w:tc>
        <w:tc>
          <w:tcPr>
            <w:tcW w:w="6946" w:type="dxa"/>
          </w:tcPr>
          <w:p w14:paraId="1C0EE4DD" w14:textId="77777777" w:rsidR="001A13D2" w:rsidRDefault="001A13D2" w:rsidP="001A13D2">
            <w:r>
              <w:t>Local Authority</w:t>
            </w:r>
          </w:p>
        </w:tc>
      </w:tr>
      <w:tr w:rsidR="001A13D2" w14:paraId="45911196" w14:textId="77777777" w:rsidTr="001A13D2">
        <w:tc>
          <w:tcPr>
            <w:tcW w:w="1561" w:type="dxa"/>
          </w:tcPr>
          <w:p w14:paraId="6C2FE09C" w14:textId="77777777" w:rsidR="001A13D2" w:rsidRDefault="001A13D2" w:rsidP="001A13D2">
            <w:r>
              <w:t>MCMC</w:t>
            </w:r>
          </w:p>
        </w:tc>
        <w:tc>
          <w:tcPr>
            <w:tcW w:w="6946" w:type="dxa"/>
          </w:tcPr>
          <w:p w14:paraId="03C8B33E" w14:textId="77777777" w:rsidR="001A13D2" w:rsidRDefault="001A13D2" w:rsidP="001A13D2">
            <w:r>
              <w:t>More Choices More Chances</w:t>
            </w:r>
          </w:p>
        </w:tc>
      </w:tr>
      <w:tr w:rsidR="001A13D2" w14:paraId="46FEF6AA" w14:textId="77777777" w:rsidTr="001A13D2">
        <w:tc>
          <w:tcPr>
            <w:tcW w:w="1561" w:type="dxa"/>
          </w:tcPr>
          <w:p w14:paraId="695C8CF1" w14:textId="77777777" w:rsidR="001A13D2" w:rsidRDefault="001A13D2" w:rsidP="001A13D2">
            <w:r>
              <w:t>MVP</w:t>
            </w:r>
          </w:p>
        </w:tc>
        <w:tc>
          <w:tcPr>
            <w:tcW w:w="6946" w:type="dxa"/>
          </w:tcPr>
          <w:p w14:paraId="1E97F782" w14:textId="77777777" w:rsidR="001A13D2" w:rsidRDefault="001A13D2" w:rsidP="001A13D2">
            <w:r>
              <w:t>Mentors in Violence Prevention</w:t>
            </w:r>
          </w:p>
        </w:tc>
      </w:tr>
      <w:tr w:rsidR="001A13D2" w14:paraId="29AA9F32" w14:textId="77777777" w:rsidTr="001A13D2">
        <w:tc>
          <w:tcPr>
            <w:tcW w:w="1561" w:type="dxa"/>
          </w:tcPr>
          <w:p w14:paraId="3E49B9B1" w14:textId="77777777" w:rsidR="001A13D2" w:rsidRDefault="001A13D2" w:rsidP="001A13D2">
            <w:r>
              <w:t>NIF</w:t>
            </w:r>
          </w:p>
        </w:tc>
        <w:tc>
          <w:tcPr>
            <w:tcW w:w="6946" w:type="dxa"/>
          </w:tcPr>
          <w:p w14:paraId="2D657E4A" w14:textId="77777777" w:rsidR="001A13D2" w:rsidRDefault="001A13D2" w:rsidP="001A13D2">
            <w:r>
              <w:t>National Improvement Framework</w:t>
            </w:r>
          </w:p>
        </w:tc>
      </w:tr>
      <w:tr w:rsidR="001A13D2" w14:paraId="4023F58C" w14:textId="77777777" w:rsidTr="001A13D2">
        <w:tc>
          <w:tcPr>
            <w:tcW w:w="1561" w:type="dxa"/>
          </w:tcPr>
          <w:p w14:paraId="11AA117E" w14:textId="77777777" w:rsidR="001A13D2" w:rsidRDefault="001A13D2" w:rsidP="001A13D2">
            <w:r>
              <w:t>PEF</w:t>
            </w:r>
          </w:p>
        </w:tc>
        <w:tc>
          <w:tcPr>
            <w:tcW w:w="6946" w:type="dxa"/>
          </w:tcPr>
          <w:p w14:paraId="446DB776" w14:textId="77777777" w:rsidR="001A13D2" w:rsidRDefault="001A13D2" w:rsidP="001A13D2">
            <w:r>
              <w:t>Pupil Equity Fund</w:t>
            </w:r>
          </w:p>
        </w:tc>
      </w:tr>
      <w:tr w:rsidR="001A13D2" w14:paraId="262B8613" w14:textId="77777777" w:rsidTr="001A13D2">
        <w:tc>
          <w:tcPr>
            <w:tcW w:w="1561" w:type="dxa"/>
          </w:tcPr>
          <w:p w14:paraId="26F6ABCA" w14:textId="77777777" w:rsidR="001A13D2" w:rsidRDefault="001A13D2" w:rsidP="001A13D2">
            <w:r>
              <w:t>PRD</w:t>
            </w:r>
          </w:p>
        </w:tc>
        <w:tc>
          <w:tcPr>
            <w:tcW w:w="6946" w:type="dxa"/>
          </w:tcPr>
          <w:p w14:paraId="6029298A" w14:textId="77777777" w:rsidR="001A13D2" w:rsidRDefault="001A13D2" w:rsidP="001A13D2">
            <w:r>
              <w:t>Professional Review and Development</w:t>
            </w:r>
          </w:p>
        </w:tc>
      </w:tr>
      <w:tr w:rsidR="001A13D2" w14:paraId="5040D864" w14:textId="77777777" w:rsidTr="001A13D2">
        <w:tc>
          <w:tcPr>
            <w:tcW w:w="1561" w:type="dxa"/>
          </w:tcPr>
          <w:p w14:paraId="6EC352CD" w14:textId="77777777" w:rsidR="001A13D2" w:rsidRDefault="001A13D2" w:rsidP="001A13D2">
            <w:r>
              <w:t>PSA</w:t>
            </w:r>
          </w:p>
        </w:tc>
        <w:tc>
          <w:tcPr>
            <w:tcW w:w="6946" w:type="dxa"/>
          </w:tcPr>
          <w:p w14:paraId="564C82C0" w14:textId="77777777" w:rsidR="001A13D2" w:rsidRDefault="001A13D2" w:rsidP="001A13D2">
            <w:r>
              <w:t>Pupil Support Assistant</w:t>
            </w:r>
          </w:p>
        </w:tc>
      </w:tr>
      <w:tr w:rsidR="001A13D2" w14:paraId="481F704E" w14:textId="77777777" w:rsidTr="001A13D2">
        <w:tc>
          <w:tcPr>
            <w:tcW w:w="1561" w:type="dxa"/>
          </w:tcPr>
          <w:p w14:paraId="62BA4998" w14:textId="77777777" w:rsidR="001A13D2" w:rsidRDefault="001A13D2" w:rsidP="001A13D2">
            <w:r>
              <w:t>PSE</w:t>
            </w:r>
          </w:p>
        </w:tc>
        <w:tc>
          <w:tcPr>
            <w:tcW w:w="6946" w:type="dxa"/>
          </w:tcPr>
          <w:p w14:paraId="1FA6412F" w14:textId="77777777" w:rsidR="001A13D2" w:rsidRDefault="001A13D2" w:rsidP="001A13D2">
            <w:r>
              <w:t>Personal and Social Education</w:t>
            </w:r>
          </w:p>
        </w:tc>
      </w:tr>
      <w:tr w:rsidR="001A13D2" w14:paraId="6119F5AB" w14:textId="77777777" w:rsidTr="001A13D2">
        <w:tc>
          <w:tcPr>
            <w:tcW w:w="1561" w:type="dxa"/>
          </w:tcPr>
          <w:p w14:paraId="79243E11" w14:textId="77777777" w:rsidR="001A13D2" w:rsidRDefault="001A13D2" w:rsidP="001A13D2">
            <w:r>
              <w:t>QIM</w:t>
            </w:r>
          </w:p>
        </w:tc>
        <w:tc>
          <w:tcPr>
            <w:tcW w:w="6946" w:type="dxa"/>
          </w:tcPr>
          <w:p w14:paraId="7E6E1B4B" w14:textId="77777777" w:rsidR="001A13D2" w:rsidRDefault="001A13D2" w:rsidP="001A13D2">
            <w:r>
              <w:t>Quality Improvement Manager</w:t>
            </w:r>
          </w:p>
        </w:tc>
      </w:tr>
      <w:tr w:rsidR="001A13D2" w14:paraId="3FD97E19" w14:textId="77777777" w:rsidTr="001A13D2">
        <w:tc>
          <w:tcPr>
            <w:tcW w:w="1561" w:type="dxa"/>
          </w:tcPr>
          <w:p w14:paraId="3BF290D7" w14:textId="77777777" w:rsidR="001A13D2" w:rsidRDefault="001A13D2" w:rsidP="001A13D2">
            <w:r>
              <w:t>SAC</w:t>
            </w:r>
          </w:p>
        </w:tc>
        <w:tc>
          <w:tcPr>
            <w:tcW w:w="6946" w:type="dxa"/>
          </w:tcPr>
          <w:p w14:paraId="63AB5B46" w14:textId="77777777" w:rsidR="001A13D2" w:rsidRDefault="001A13D2" w:rsidP="001A13D2">
            <w:r>
              <w:t>Scottish Attainment Challenge</w:t>
            </w:r>
          </w:p>
        </w:tc>
      </w:tr>
      <w:tr w:rsidR="001A13D2" w14:paraId="0CFCC36E" w14:textId="77777777" w:rsidTr="001A13D2">
        <w:tc>
          <w:tcPr>
            <w:tcW w:w="1561" w:type="dxa"/>
          </w:tcPr>
          <w:p w14:paraId="15C74D9E" w14:textId="77777777" w:rsidR="001A13D2" w:rsidRDefault="001A13D2" w:rsidP="001A13D2">
            <w:r>
              <w:t>SDS</w:t>
            </w:r>
          </w:p>
        </w:tc>
        <w:tc>
          <w:tcPr>
            <w:tcW w:w="6946" w:type="dxa"/>
          </w:tcPr>
          <w:p w14:paraId="19F95348" w14:textId="77777777" w:rsidR="001A13D2" w:rsidRDefault="001A13D2" w:rsidP="001A13D2">
            <w:r>
              <w:t>Skills Development Scotland</w:t>
            </w:r>
          </w:p>
        </w:tc>
      </w:tr>
      <w:tr w:rsidR="001A13D2" w14:paraId="0CC5C61B" w14:textId="77777777" w:rsidTr="001A13D2">
        <w:tc>
          <w:tcPr>
            <w:tcW w:w="1561" w:type="dxa"/>
          </w:tcPr>
          <w:p w14:paraId="57E2175F" w14:textId="77777777" w:rsidR="001A13D2" w:rsidRDefault="001A13D2" w:rsidP="001A13D2">
            <w:r>
              <w:t>SIMD</w:t>
            </w:r>
          </w:p>
        </w:tc>
        <w:tc>
          <w:tcPr>
            <w:tcW w:w="6946" w:type="dxa"/>
          </w:tcPr>
          <w:p w14:paraId="17A76B22" w14:textId="77777777" w:rsidR="001A13D2" w:rsidRDefault="001A13D2" w:rsidP="001A13D2">
            <w:r>
              <w:t>Scottish Index of Multiple Deprivation</w:t>
            </w:r>
          </w:p>
        </w:tc>
      </w:tr>
      <w:tr w:rsidR="001A13D2" w14:paraId="70BD3B8C" w14:textId="77777777" w:rsidTr="001A13D2">
        <w:tc>
          <w:tcPr>
            <w:tcW w:w="1561" w:type="dxa"/>
          </w:tcPr>
          <w:p w14:paraId="1A4DA99E" w14:textId="77777777" w:rsidR="001A13D2" w:rsidRDefault="001A13D2" w:rsidP="001A13D2">
            <w:r>
              <w:t>SMT</w:t>
            </w:r>
          </w:p>
        </w:tc>
        <w:tc>
          <w:tcPr>
            <w:tcW w:w="6946" w:type="dxa"/>
          </w:tcPr>
          <w:p w14:paraId="3070C188" w14:textId="77777777" w:rsidR="001A13D2" w:rsidRDefault="001A13D2" w:rsidP="001A13D2">
            <w:r>
              <w:t>Senior Management Team</w:t>
            </w:r>
          </w:p>
        </w:tc>
      </w:tr>
      <w:tr w:rsidR="001A13D2" w14:paraId="37950F0B" w14:textId="77777777" w:rsidTr="001A13D2">
        <w:tc>
          <w:tcPr>
            <w:tcW w:w="1561" w:type="dxa"/>
          </w:tcPr>
          <w:p w14:paraId="26A24C18" w14:textId="77777777" w:rsidR="001A13D2" w:rsidRDefault="001A13D2" w:rsidP="001A13D2">
            <w:r>
              <w:t>SQA</w:t>
            </w:r>
          </w:p>
        </w:tc>
        <w:tc>
          <w:tcPr>
            <w:tcW w:w="6946" w:type="dxa"/>
          </w:tcPr>
          <w:p w14:paraId="3B4DED4A" w14:textId="77777777" w:rsidR="001A13D2" w:rsidRDefault="001A13D2" w:rsidP="001A13D2">
            <w:r>
              <w:t>Scottish Qualifications Authority</w:t>
            </w:r>
          </w:p>
        </w:tc>
      </w:tr>
      <w:tr w:rsidR="001A13D2" w14:paraId="7554329B" w14:textId="77777777" w:rsidTr="001A13D2">
        <w:tc>
          <w:tcPr>
            <w:tcW w:w="1561" w:type="dxa"/>
          </w:tcPr>
          <w:p w14:paraId="6C6EE6B2" w14:textId="77777777" w:rsidR="001A13D2" w:rsidRDefault="001A13D2" w:rsidP="001A13D2">
            <w:r>
              <w:t>SQR</w:t>
            </w:r>
          </w:p>
        </w:tc>
        <w:tc>
          <w:tcPr>
            <w:tcW w:w="6946" w:type="dxa"/>
          </w:tcPr>
          <w:p w14:paraId="7595225D" w14:textId="77777777" w:rsidR="001A13D2" w:rsidRDefault="001A13D2" w:rsidP="001A13D2">
            <w:r>
              <w:t>Standards and Quality Report</w:t>
            </w:r>
          </w:p>
        </w:tc>
      </w:tr>
      <w:tr w:rsidR="001A13D2" w14:paraId="3B6EE00A" w14:textId="77777777" w:rsidTr="001A13D2">
        <w:tc>
          <w:tcPr>
            <w:tcW w:w="1561" w:type="dxa"/>
          </w:tcPr>
          <w:p w14:paraId="3A266902" w14:textId="77777777" w:rsidR="001A13D2" w:rsidRDefault="001A13D2" w:rsidP="001A13D2">
            <w:r>
              <w:t>UNCRC</w:t>
            </w:r>
          </w:p>
        </w:tc>
        <w:tc>
          <w:tcPr>
            <w:tcW w:w="6946" w:type="dxa"/>
          </w:tcPr>
          <w:p w14:paraId="6E973F93" w14:textId="77777777" w:rsidR="001A13D2" w:rsidRDefault="001A13D2" w:rsidP="001A13D2">
            <w:r>
              <w:t>United Nationals Convention on the Rights of the Child</w:t>
            </w:r>
          </w:p>
        </w:tc>
      </w:tr>
      <w:tr w:rsidR="001A13D2" w14:paraId="53E68FD1" w14:textId="77777777" w:rsidTr="001A13D2">
        <w:tc>
          <w:tcPr>
            <w:tcW w:w="1561" w:type="dxa"/>
          </w:tcPr>
          <w:p w14:paraId="2795C05E" w14:textId="7F18B740" w:rsidR="001A13D2" w:rsidRDefault="001A13D2" w:rsidP="001A13D2">
            <w:r>
              <w:t>V</w:t>
            </w:r>
            <w:r w:rsidR="00782876">
              <w:t>S</w:t>
            </w:r>
            <w:r>
              <w:t>HT</w:t>
            </w:r>
          </w:p>
        </w:tc>
        <w:tc>
          <w:tcPr>
            <w:tcW w:w="6946" w:type="dxa"/>
          </w:tcPr>
          <w:p w14:paraId="37019CBB" w14:textId="26764187" w:rsidR="001A13D2" w:rsidRDefault="001A13D2" w:rsidP="001A13D2">
            <w:r>
              <w:t xml:space="preserve">Virtual </w:t>
            </w:r>
            <w:r w:rsidR="00782876">
              <w:t>School H</w:t>
            </w:r>
            <w:r>
              <w:t xml:space="preserve">ead </w:t>
            </w:r>
            <w:r w:rsidR="00782876">
              <w:t>T</w:t>
            </w:r>
            <w:r>
              <w:t>eacher</w:t>
            </w:r>
          </w:p>
        </w:tc>
      </w:tr>
    </w:tbl>
    <w:p w14:paraId="3D4F11E0" w14:textId="1D6D9392" w:rsidR="00610F8B" w:rsidRDefault="00610F8B" w:rsidP="00FC3B81">
      <w:pPr>
        <w:spacing w:after="0" w:line="240" w:lineRule="auto"/>
        <w:jc w:val="both"/>
        <w:rPr>
          <w:bCs/>
          <w:iCs/>
        </w:rPr>
      </w:pPr>
    </w:p>
    <w:sectPr w:rsidR="00610F8B" w:rsidSect="002A692B">
      <w:headerReference w:type="even" r:id="rId57"/>
      <w:headerReference w:type="default" r:id="rId58"/>
      <w:footerReference w:type="default" r:id="rId59"/>
      <w:headerReference w:type="first" r:id="rId60"/>
      <w:footerReference w:type="first" r:id="rId61"/>
      <w:pgSz w:w="11906" w:h="16838"/>
      <w:pgMar w:top="1134" w:right="992" w:bottom="102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5E74" w14:textId="77777777" w:rsidR="00960004" w:rsidRDefault="00960004" w:rsidP="00A2744C">
      <w:pPr>
        <w:spacing w:after="0" w:line="240" w:lineRule="auto"/>
      </w:pPr>
      <w:r>
        <w:separator/>
      </w:r>
    </w:p>
  </w:endnote>
  <w:endnote w:type="continuationSeparator" w:id="0">
    <w:p w14:paraId="70631399" w14:textId="77777777" w:rsidR="00960004" w:rsidRDefault="00960004" w:rsidP="00A2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7585" w14:textId="3C7FAA90" w:rsidR="00B21D43" w:rsidRDefault="00B21D43" w:rsidP="00952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2A70" w14:textId="77777777" w:rsidR="006953C2" w:rsidRDefault="00695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69AF" w14:textId="77777777" w:rsidR="00952B71" w:rsidRDefault="00952B71" w:rsidP="00952B71">
    <w:pPr>
      <w:pStyle w:val="Footer"/>
      <w:pBdr>
        <w:top w:val="single" w:sz="18" w:space="1" w:color="auto"/>
      </w:pBdr>
    </w:pPr>
    <w:r>
      <w:fldChar w:fldCharType="begin"/>
    </w:r>
    <w:r>
      <w:instrText>PAGE   \* MERGEFORMAT</w:instrText>
    </w:r>
    <w:r>
      <w:fldChar w:fldCharType="separate"/>
    </w:r>
    <w:r>
      <w:t>1</w:t>
    </w:r>
    <w:r>
      <w:rPr>
        <w:b/>
        <w:bCs/>
      </w:rPr>
      <w:fldChar w:fldCharType="end"/>
    </w:r>
    <w:r>
      <w:rPr>
        <w:b/>
        <w:bCs/>
      </w:rPr>
      <w:t xml:space="preserve"> </w:t>
    </w:r>
    <w:r>
      <w:t>|</w:t>
    </w:r>
    <w:r>
      <w:rPr>
        <w:b/>
        <w:bCs/>
      </w:rPr>
      <w:t xml:space="preserve"> </w:t>
    </w:r>
    <w:r>
      <w:rPr>
        <w:color w:val="7F7F7F" w:themeColor="background1" w:themeShade="7F"/>
        <w:spacing w:val="60"/>
      </w:rPr>
      <w:t>Page</w:t>
    </w:r>
  </w:p>
  <w:p w14:paraId="73F64C57" w14:textId="53448BDE" w:rsidR="00952B71" w:rsidRDefault="00952B71" w:rsidP="00952B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C820" w14:textId="07B69EFD" w:rsidR="00B21D43" w:rsidRDefault="00B21D43" w:rsidP="006120A9">
    <w:pPr>
      <w:pStyle w:val="Footer"/>
      <w:pBdr>
        <w:top w:val="single" w:sz="18" w:space="1" w:color="auto"/>
      </w:pBdr>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38A4" w14:textId="77777777" w:rsidR="00960004" w:rsidRDefault="00960004" w:rsidP="00A2744C">
      <w:pPr>
        <w:spacing w:after="0" w:line="240" w:lineRule="auto"/>
      </w:pPr>
      <w:r>
        <w:separator/>
      </w:r>
    </w:p>
  </w:footnote>
  <w:footnote w:type="continuationSeparator" w:id="0">
    <w:p w14:paraId="1BFED238" w14:textId="77777777" w:rsidR="00960004" w:rsidRDefault="00960004" w:rsidP="00A27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D3AE" w14:textId="0AD90B2B" w:rsidR="001C5698" w:rsidRDefault="001C5698">
    <w:pPr>
      <w:pStyle w:val="Header"/>
    </w:pPr>
    <w:r>
      <w:rPr>
        <w:noProof/>
      </w:rPr>
      <mc:AlternateContent>
        <mc:Choice Requires="wps">
          <w:drawing>
            <wp:anchor distT="0" distB="0" distL="0" distR="0" simplePos="0" relativeHeight="251659264" behindDoc="0" locked="0" layoutInCell="1" allowOverlap="1" wp14:anchorId="438E21ED" wp14:editId="498128CE">
              <wp:simplePos x="635" y="635"/>
              <wp:positionH relativeFrom="page">
                <wp:align>left</wp:align>
              </wp:positionH>
              <wp:positionV relativeFrom="page">
                <wp:align>top</wp:align>
              </wp:positionV>
              <wp:extent cx="443865" cy="443865"/>
              <wp:effectExtent l="0" t="0" r="10160" b="14605"/>
              <wp:wrapNone/>
              <wp:docPr id="697638258" name="Text Box 2"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D6235" w14:textId="1F4D7069"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38E21ED" id="_x0000_t202" coordsize="21600,21600" o:spt="202" path="m,l,21600r21600,l21600,xe">
              <v:stroke joinstyle="miter"/>
              <v:path gradientshapeok="t" o:connecttype="rect"/>
            </v:shapetype>
            <v:shape id="Text Box 2" o:spid="_x0000_s1038"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11D6235" w14:textId="1F4D7069"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D944" w14:textId="5DC7FB5C" w:rsidR="001C5698" w:rsidRDefault="001C5698">
    <w:pPr>
      <w:pStyle w:val="Header"/>
    </w:pPr>
    <w:r>
      <w:rPr>
        <w:noProof/>
      </w:rPr>
      <mc:AlternateContent>
        <mc:Choice Requires="wps">
          <w:drawing>
            <wp:anchor distT="0" distB="0" distL="0" distR="0" simplePos="0" relativeHeight="251660288" behindDoc="0" locked="0" layoutInCell="1" allowOverlap="1" wp14:anchorId="5C02D029" wp14:editId="059B1213">
              <wp:simplePos x="914400" y="450850"/>
              <wp:positionH relativeFrom="page">
                <wp:align>left</wp:align>
              </wp:positionH>
              <wp:positionV relativeFrom="page">
                <wp:align>top</wp:align>
              </wp:positionV>
              <wp:extent cx="443865" cy="443865"/>
              <wp:effectExtent l="0" t="0" r="10160" b="14605"/>
              <wp:wrapNone/>
              <wp:docPr id="224927385" name="Text Box 3"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5FE94E" w14:textId="59863DEF"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C02D029" id="_x0000_t202" coordsize="21600,21600" o:spt="202" path="m,l,21600r21600,l21600,xe">
              <v:stroke joinstyle="miter"/>
              <v:path gradientshapeok="t" o:connecttype="rect"/>
            </v:shapetype>
            <v:shape id="Text Box 3" o:spid="_x0000_s1039"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B5FE94E" w14:textId="59863DEF"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ACFE" w14:textId="0208D67D" w:rsidR="001C5698" w:rsidRDefault="001C5698">
    <w:pPr>
      <w:pStyle w:val="Header"/>
    </w:pPr>
    <w:r>
      <w:rPr>
        <w:noProof/>
      </w:rPr>
      <mc:AlternateContent>
        <mc:Choice Requires="wps">
          <w:drawing>
            <wp:anchor distT="0" distB="0" distL="0" distR="0" simplePos="0" relativeHeight="251658240" behindDoc="0" locked="0" layoutInCell="1" allowOverlap="1" wp14:anchorId="28192518" wp14:editId="6AE5983C">
              <wp:simplePos x="915035" y="450850"/>
              <wp:positionH relativeFrom="page">
                <wp:align>left</wp:align>
              </wp:positionH>
              <wp:positionV relativeFrom="page">
                <wp:align>top</wp:align>
              </wp:positionV>
              <wp:extent cx="443865" cy="443865"/>
              <wp:effectExtent l="0" t="0" r="10160" b="14605"/>
              <wp:wrapNone/>
              <wp:docPr id="1698969244" name="Text Box 1"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7573F" w14:textId="60EAC714"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8192518" id="_x0000_t202" coordsize="21600,21600" o:spt="202" path="m,l,21600r21600,l21600,xe">
              <v:stroke joinstyle="miter"/>
              <v:path gradientshapeok="t" o:connecttype="rect"/>
            </v:shapetype>
            <v:shape id="Text Box 1" o:spid="_x0000_s1040"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1947573F" w14:textId="60EAC714"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B611" w14:textId="5158897D" w:rsidR="001C5698" w:rsidRDefault="001C5698">
    <w:pPr>
      <w:pStyle w:val="Header"/>
    </w:pPr>
    <w:r>
      <w:rPr>
        <w:noProof/>
      </w:rPr>
      <mc:AlternateContent>
        <mc:Choice Requires="wps">
          <w:drawing>
            <wp:anchor distT="0" distB="0" distL="0" distR="0" simplePos="0" relativeHeight="251662336" behindDoc="0" locked="0" layoutInCell="1" allowOverlap="1" wp14:anchorId="4C9F50E2" wp14:editId="453870B0">
              <wp:simplePos x="635" y="635"/>
              <wp:positionH relativeFrom="page">
                <wp:align>left</wp:align>
              </wp:positionH>
              <wp:positionV relativeFrom="page">
                <wp:align>top</wp:align>
              </wp:positionV>
              <wp:extent cx="443865" cy="443865"/>
              <wp:effectExtent l="0" t="0" r="10160" b="14605"/>
              <wp:wrapNone/>
              <wp:docPr id="1662044293" name="Text Box 5"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48D582" w14:textId="773393D2"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C9F50E2" id="_x0000_t202" coordsize="21600,21600" o:spt="202" path="m,l,21600r21600,l21600,xe">
              <v:stroke joinstyle="miter"/>
              <v:path gradientshapeok="t" o:connecttype="rect"/>
            </v:shapetype>
            <v:shape id="Text Box 5" o:spid="_x0000_s1041" type="#_x0000_t202" alt="Classification : 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1A48D582" w14:textId="773393D2"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23A9" w14:textId="35761CCD" w:rsidR="001C5698" w:rsidRDefault="001C5698">
    <w:pPr>
      <w:pStyle w:val="Header"/>
    </w:pPr>
    <w:r>
      <w:rPr>
        <w:noProof/>
      </w:rPr>
      <mc:AlternateContent>
        <mc:Choice Requires="wps">
          <w:drawing>
            <wp:anchor distT="0" distB="0" distL="0" distR="0" simplePos="0" relativeHeight="251663360" behindDoc="0" locked="0" layoutInCell="1" allowOverlap="1" wp14:anchorId="0F3BB94B" wp14:editId="0F1BA1A2">
              <wp:simplePos x="914400" y="450850"/>
              <wp:positionH relativeFrom="page">
                <wp:align>left</wp:align>
              </wp:positionH>
              <wp:positionV relativeFrom="page">
                <wp:align>top</wp:align>
              </wp:positionV>
              <wp:extent cx="443865" cy="443865"/>
              <wp:effectExtent l="0" t="0" r="10160" b="14605"/>
              <wp:wrapNone/>
              <wp:docPr id="289093585" name="Text Box 6"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D7595" w14:textId="4F948BCA"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F3BB94B" id="_x0000_t202" coordsize="21600,21600" o:spt="202" path="m,l,21600r21600,l21600,xe">
              <v:stroke joinstyle="miter"/>
              <v:path gradientshapeok="t" o:connecttype="rect"/>
            </v:shapetype>
            <v:shape id="Text Box 6" o:spid="_x0000_s1042" type="#_x0000_t202" alt="Classification : 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DFD7595" w14:textId="4F948BCA"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9611" w14:textId="438057F5" w:rsidR="001C5698" w:rsidRDefault="001C5698">
    <w:pPr>
      <w:pStyle w:val="Header"/>
    </w:pPr>
    <w:r>
      <w:rPr>
        <w:noProof/>
      </w:rPr>
      <mc:AlternateContent>
        <mc:Choice Requires="wps">
          <w:drawing>
            <wp:anchor distT="0" distB="0" distL="0" distR="0" simplePos="0" relativeHeight="251661312" behindDoc="0" locked="0" layoutInCell="1" allowOverlap="1" wp14:anchorId="2DBB1D02" wp14:editId="20E58E2E">
              <wp:simplePos x="915035" y="450850"/>
              <wp:positionH relativeFrom="page">
                <wp:align>left</wp:align>
              </wp:positionH>
              <wp:positionV relativeFrom="page">
                <wp:align>top</wp:align>
              </wp:positionV>
              <wp:extent cx="443865" cy="443865"/>
              <wp:effectExtent l="0" t="0" r="10160" b="14605"/>
              <wp:wrapNone/>
              <wp:docPr id="272472898" name="Text Box 4"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17CEBF" w14:textId="4B634EDA"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DBB1D02" id="_x0000_t202" coordsize="21600,21600" o:spt="202" path="m,l,21600r21600,l21600,xe">
              <v:stroke joinstyle="miter"/>
              <v:path gradientshapeok="t" o:connecttype="rect"/>
            </v:shapetype>
            <v:shape id="Text Box 4" o:spid="_x0000_s1043" type="#_x0000_t202" alt="Classification : 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2B17CEBF" w14:textId="4B634EDA" w:rsidR="001C5698" w:rsidRPr="001C5698" w:rsidRDefault="001C5698" w:rsidP="001C5698">
                    <w:pPr>
                      <w:spacing w:after="0"/>
                      <w:rPr>
                        <w:rFonts w:ascii="Calibri" w:eastAsia="Calibri" w:hAnsi="Calibri" w:cs="Calibri"/>
                        <w:noProof/>
                        <w:color w:val="000000"/>
                        <w:sz w:val="24"/>
                        <w:szCs w:val="24"/>
                      </w:rPr>
                    </w:pPr>
                    <w:r w:rsidRPr="001C5698">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D875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97756"/>
    <w:multiLevelType w:val="hybridMultilevel"/>
    <w:tmpl w:val="770E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B7C1B"/>
    <w:multiLevelType w:val="hybridMultilevel"/>
    <w:tmpl w:val="CA52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1597D"/>
    <w:multiLevelType w:val="multilevel"/>
    <w:tmpl w:val="9EF00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43623"/>
    <w:multiLevelType w:val="hybridMultilevel"/>
    <w:tmpl w:val="1C5E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363D8"/>
    <w:multiLevelType w:val="hybridMultilevel"/>
    <w:tmpl w:val="6612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438DC"/>
    <w:multiLevelType w:val="hybridMultilevel"/>
    <w:tmpl w:val="F8BABA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447DA7"/>
    <w:multiLevelType w:val="hybridMultilevel"/>
    <w:tmpl w:val="78E2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C3BCB"/>
    <w:multiLevelType w:val="hybridMultilevel"/>
    <w:tmpl w:val="3DAC456A"/>
    <w:lvl w:ilvl="0" w:tplc="43B26F2A">
      <w:start w:val="1"/>
      <w:numFmt w:val="bullet"/>
      <w:lvlText w:val="•"/>
      <w:lvlJc w:val="left"/>
      <w:pPr>
        <w:tabs>
          <w:tab w:val="num" w:pos="720"/>
        </w:tabs>
        <w:ind w:left="720" w:hanging="360"/>
      </w:pPr>
      <w:rPr>
        <w:rFonts w:ascii="Arial" w:hAnsi="Arial" w:hint="default"/>
      </w:rPr>
    </w:lvl>
    <w:lvl w:ilvl="1" w:tplc="12C091D8" w:tentative="1">
      <w:start w:val="1"/>
      <w:numFmt w:val="bullet"/>
      <w:lvlText w:val="•"/>
      <w:lvlJc w:val="left"/>
      <w:pPr>
        <w:tabs>
          <w:tab w:val="num" w:pos="1440"/>
        </w:tabs>
        <w:ind w:left="1440" w:hanging="360"/>
      </w:pPr>
      <w:rPr>
        <w:rFonts w:ascii="Arial" w:hAnsi="Arial" w:hint="default"/>
      </w:rPr>
    </w:lvl>
    <w:lvl w:ilvl="2" w:tplc="7E84FAD2" w:tentative="1">
      <w:start w:val="1"/>
      <w:numFmt w:val="bullet"/>
      <w:lvlText w:val="•"/>
      <w:lvlJc w:val="left"/>
      <w:pPr>
        <w:tabs>
          <w:tab w:val="num" w:pos="2160"/>
        </w:tabs>
        <w:ind w:left="2160" w:hanging="360"/>
      </w:pPr>
      <w:rPr>
        <w:rFonts w:ascii="Arial" w:hAnsi="Arial" w:hint="default"/>
      </w:rPr>
    </w:lvl>
    <w:lvl w:ilvl="3" w:tplc="117C316E" w:tentative="1">
      <w:start w:val="1"/>
      <w:numFmt w:val="bullet"/>
      <w:lvlText w:val="•"/>
      <w:lvlJc w:val="left"/>
      <w:pPr>
        <w:tabs>
          <w:tab w:val="num" w:pos="2880"/>
        </w:tabs>
        <w:ind w:left="2880" w:hanging="360"/>
      </w:pPr>
      <w:rPr>
        <w:rFonts w:ascii="Arial" w:hAnsi="Arial" w:hint="default"/>
      </w:rPr>
    </w:lvl>
    <w:lvl w:ilvl="4" w:tplc="C34CD6C0" w:tentative="1">
      <w:start w:val="1"/>
      <w:numFmt w:val="bullet"/>
      <w:lvlText w:val="•"/>
      <w:lvlJc w:val="left"/>
      <w:pPr>
        <w:tabs>
          <w:tab w:val="num" w:pos="3600"/>
        </w:tabs>
        <w:ind w:left="3600" w:hanging="360"/>
      </w:pPr>
      <w:rPr>
        <w:rFonts w:ascii="Arial" w:hAnsi="Arial" w:hint="default"/>
      </w:rPr>
    </w:lvl>
    <w:lvl w:ilvl="5" w:tplc="215C4DCE" w:tentative="1">
      <w:start w:val="1"/>
      <w:numFmt w:val="bullet"/>
      <w:lvlText w:val="•"/>
      <w:lvlJc w:val="left"/>
      <w:pPr>
        <w:tabs>
          <w:tab w:val="num" w:pos="4320"/>
        </w:tabs>
        <w:ind w:left="4320" w:hanging="360"/>
      </w:pPr>
      <w:rPr>
        <w:rFonts w:ascii="Arial" w:hAnsi="Arial" w:hint="default"/>
      </w:rPr>
    </w:lvl>
    <w:lvl w:ilvl="6" w:tplc="437C543E" w:tentative="1">
      <w:start w:val="1"/>
      <w:numFmt w:val="bullet"/>
      <w:lvlText w:val="•"/>
      <w:lvlJc w:val="left"/>
      <w:pPr>
        <w:tabs>
          <w:tab w:val="num" w:pos="5040"/>
        </w:tabs>
        <w:ind w:left="5040" w:hanging="360"/>
      </w:pPr>
      <w:rPr>
        <w:rFonts w:ascii="Arial" w:hAnsi="Arial" w:hint="default"/>
      </w:rPr>
    </w:lvl>
    <w:lvl w:ilvl="7" w:tplc="35A68B6C" w:tentative="1">
      <w:start w:val="1"/>
      <w:numFmt w:val="bullet"/>
      <w:lvlText w:val="•"/>
      <w:lvlJc w:val="left"/>
      <w:pPr>
        <w:tabs>
          <w:tab w:val="num" w:pos="5760"/>
        </w:tabs>
        <w:ind w:left="5760" w:hanging="360"/>
      </w:pPr>
      <w:rPr>
        <w:rFonts w:ascii="Arial" w:hAnsi="Arial" w:hint="default"/>
      </w:rPr>
    </w:lvl>
    <w:lvl w:ilvl="8" w:tplc="19D0AE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A02B15"/>
    <w:multiLevelType w:val="hybridMultilevel"/>
    <w:tmpl w:val="1588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85348"/>
    <w:multiLevelType w:val="hybridMultilevel"/>
    <w:tmpl w:val="A1E8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546A4"/>
    <w:multiLevelType w:val="hybridMultilevel"/>
    <w:tmpl w:val="7E2A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43887"/>
    <w:multiLevelType w:val="multilevel"/>
    <w:tmpl w:val="9594C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1D4EB8"/>
    <w:multiLevelType w:val="hybridMultilevel"/>
    <w:tmpl w:val="634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F0163"/>
    <w:multiLevelType w:val="hybridMultilevel"/>
    <w:tmpl w:val="E7CE722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C0522"/>
    <w:multiLevelType w:val="hybridMultilevel"/>
    <w:tmpl w:val="C8F0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33BF9"/>
    <w:multiLevelType w:val="hybridMultilevel"/>
    <w:tmpl w:val="09A8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350503">
    <w:abstractNumId w:val="14"/>
  </w:num>
  <w:num w:numId="2" w16cid:durableId="2130078320">
    <w:abstractNumId w:val="9"/>
  </w:num>
  <w:num w:numId="3" w16cid:durableId="1658071133">
    <w:abstractNumId w:val="0"/>
  </w:num>
  <w:num w:numId="4" w16cid:durableId="784034632">
    <w:abstractNumId w:val="15"/>
  </w:num>
  <w:num w:numId="5" w16cid:durableId="1882940266">
    <w:abstractNumId w:val="4"/>
  </w:num>
  <w:num w:numId="6" w16cid:durableId="627399058">
    <w:abstractNumId w:val="2"/>
  </w:num>
  <w:num w:numId="7" w16cid:durableId="752704905">
    <w:abstractNumId w:val="12"/>
  </w:num>
  <w:num w:numId="8" w16cid:durableId="1010723043">
    <w:abstractNumId w:val="3"/>
  </w:num>
  <w:num w:numId="9" w16cid:durableId="1512377689">
    <w:abstractNumId w:val="11"/>
  </w:num>
  <w:num w:numId="10" w16cid:durableId="787163604">
    <w:abstractNumId w:val="16"/>
  </w:num>
  <w:num w:numId="11" w16cid:durableId="464857235">
    <w:abstractNumId w:val="10"/>
  </w:num>
  <w:num w:numId="12" w16cid:durableId="1308123198">
    <w:abstractNumId w:val="1"/>
  </w:num>
  <w:num w:numId="13" w16cid:durableId="106435801">
    <w:abstractNumId w:val="8"/>
  </w:num>
  <w:num w:numId="14" w16cid:durableId="240722790">
    <w:abstractNumId w:val="6"/>
  </w:num>
  <w:num w:numId="15" w16cid:durableId="1959602045">
    <w:abstractNumId w:val="5"/>
  </w:num>
  <w:num w:numId="16" w16cid:durableId="1645500800">
    <w:abstractNumId w:val="13"/>
  </w:num>
  <w:num w:numId="17" w16cid:durableId="4681348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fillcolor="none [1302]" stroke="f">
      <v:fill color="none [1302]"/>
      <v:stroke on="f"/>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D2"/>
    <w:rsid w:val="000006A9"/>
    <w:rsid w:val="00000D44"/>
    <w:rsid w:val="0000173F"/>
    <w:rsid w:val="0000211B"/>
    <w:rsid w:val="00003596"/>
    <w:rsid w:val="0000428F"/>
    <w:rsid w:val="0000655E"/>
    <w:rsid w:val="00006743"/>
    <w:rsid w:val="0000721E"/>
    <w:rsid w:val="00011700"/>
    <w:rsid w:val="00011952"/>
    <w:rsid w:val="00012122"/>
    <w:rsid w:val="000131EA"/>
    <w:rsid w:val="000139A4"/>
    <w:rsid w:val="000141AF"/>
    <w:rsid w:val="0001445E"/>
    <w:rsid w:val="00014D7C"/>
    <w:rsid w:val="00016EAD"/>
    <w:rsid w:val="000173FF"/>
    <w:rsid w:val="00020002"/>
    <w:rsid w:val="000214B9"/>
    <w:rsid w:val="00021DAE"/>
    <w:rsid w:val="000231E4"/>
    <w:rsid w:val="000233B4"/>
    <w:rsid w:val="00023E4E"/>
    <w:rsid w:val="00024CED"/>
    <w:rsid w:val="0002504A"/>
    <w:rsid w:val="000257FE"/>
    <w:rsid w:val="00025A05"/>
    <w:rsid w:val="00026709"/>
    <w:rsid w:val="000271E9"/>
    <w:rsid w:val="00030262"/>
    <w:rsid w:val="0003029C"/>
    <w:rsid w:val="000302FC"/>
    <w:rsid w:val="0003094C"/>
    <w:rsid w:val="000332F5"/>
    <w:rsid w:val="00033E0C"/>
    <w:rsid w:val="00033E9B"/>
    <w:rsid w:val="0003429B"/>
    <w:rsid w:val="00034A2A"/>
    <w:rsid w:val="00034CE9"/>
    <w:rsid w:val="00034EC5"/>
    <w:rsid w:val="00035351"/>
    <w:rsid w:val="000358AA"/>
    <w:rsid w:val="000373BD"/>
    <w:rsid w:val="000412B9"/>
    <w:rsid w:val="00041452"/>
    <w:rsid w:val="000416AE"/>
    <w:rsid w:val="00042498"/>
    <w:rsid w:val="00042F73"/>
    <w:rsid w:val="00043A00"/>
    <w:rsid w:val="0004441A"/>
    <w:rsid w:val="00044FA5"/>
    <w:rsid w:val="000450C7"/>
    <w:rsid w:val="00046135"/>
    <w:rsid w:val="00046C34"/>
    <w:rsid w:val="00046F38"/>
    <w:rsid w:val="0004746E"/>
    <w:rsid w:val="00047B19"/>
    <w:rsid w:val="00047B3A"/>
    <w:rsid w:val="00051348"/>
    <w:rsid w:val="000526C8"/>
    <w:rsid w:val="00053201"/>
    <w:rsid w:val="000532E3"/>
    <w:rsid w:val="00053C83"/>
    <w:rsid w:val="00054002"/>
    <w:rsid w:val="000540D3"/>
    <w:rsid w:val="00054A76"/>
    <w:rsid w:val="00054E5C"/>
    <w:rsid w:val="00055196"/>
    <w:rsid w:val="000552DA"/>
    <w:rsid w:val="000567C8"/>
    <w:rsid w:val="00056D62"/>
    <w:rsid w:val="000577BD"/>
    <w:rsid w:val="00060B69"/>
    <w:rsid w:val="00060E79"/>
    <w:rsid w:val="00060ED9"/>
    <w:rsid w:val="00061C7D"/>
    <w:rsid w:val="00061ED8"/>
    <w:rsid w:val="00062232"/>
    <w:rsid w:val="000622F1"/>
    <w:rsid w:val="00063F93"/>
    <w:rsid w:val="00064287"/>
    <w:rsid w:val="00064ED0"/>
    <w:rsid w:val="000660CB"/>
    <w:rsid w:val="00070AD0"/>
    <w:rsid w:val="00070DAE"/>
    <w:rsid w:val="0007143B"/>
    <w:rsid w:val="00071B92"/>
    <w:rsid w:val="00072DB3"/>
    <w:rsid w:val="00074B5F"/>
    <w:rsid w:val="00074F3F"/>
    <w:rsid w:val="000764A6"/>
    <w:rsid w:val="00076FB9"/>
    <w:rsid w:val="000771D2"/>
    <w:rsid w:val="00077DE3"/>
    <w:rsid w:val="0008033C"/>
    <w:rsid w:val="0008109C"/>
    <w:rsid w:val="00081171"/>
    <w:rsid w:val="00082DD8"/>
    <w:rsid w:val="00084F70"/>
    <w:rsid w:val="00086000"/>
    <w:rsid w:val="00090B69"/>
    <w:rsid w:val="00090CF8"/>
    <w:rsid w:val="00095646"/>
    <w:rsid w:val="0009573D"/>
    <w:rsid w:val="00096019"/>
    <w:rsid w:val="000978EF"/>
    <w:rsid w:val="000A006E"/>
    <w:rsid w:val="000A0455"/>
    <w:rsid w:val="000A0BD7"/>
    <w:rsid w:val="000A153C"/>
    <w:rsid w:val="000A174C"/>
    <w:rsid w:val="000A1774"/>
    <w:rsid w:val="000A1D77"/>
    <w:rsid w:val="000A2831"/>
    <w:rsid w:val="000A2D1E"/>
    <w:rsid w:val="000A3512"/>
    <w:rsid w:val="000A3904"/>
    <w:rsid w:val="000A438A"/>
    <w:rsid w:val="000A4609"/>
    <w:rsid w:val="000A4F2E"/>
    <w:rsid w:val="000A50A5"/>
    <w:rsid w:val="000A54DE"/>
    <w:rsid w:val="000A5FA4"/>
    <w:rsid w:val="000A631C"/>
    <w:rsid w:val="000A7E99"/>
    <w:rsid w:val="000B113E"/>
    <w:rsid w:val="000B14C5"/>
    <w:rsid w:val="000B1804"/>
    <w:rsid w:val="000B32F3"/>
    <w:rsid w:val="000B37E5"/>
    <w:rsid w:val="000B3C44"/>
    <w:rsid w:val="000B55F3"/>
    <w:rsid w:val="000B5B9B"/>
    <w:rsid w:val="000B7A60"/>
    <w:rsid w:val="000C001F"/>
    <w:rsid w:val="000C05F4"/>
    <w:rsid w:val="000C11B4"/>
    <w:rsid w:val="000C1208"/>
    <w:rsid w:val="000C360C"/>
    <w:rsid w:val="000C417C"/>
    <w:rsid w:val="000C44DE"/>
    <w:rsid w:val="000C45D4"/>
    <w:rsid w:val="000C4F56"/>
    <w:rsid w:val="000C5227"/>
    <w:rsid w:val="000C5B2E"/>
    <w:rsid w:val="000C7DB8"/>
    <w:rsid w:val="000D07EE"/>
    <w:rsid w:val="000D24E3"/>
    <w:rsid w:val="000D29A1"/>
    <w:rsid w:val="000D2FC5"/>
    <w:rsid w:val="000D3A41"/>
    <w:rsid w:val="000D42BA"/>
    <w:rsid w:val="000D4548"/>
    <w:rsid w:val="000D4615"/>
    <w:rsid w:val="000D464B"/>
    <w:rsid w:val="000D5985"/>
    <w:rsid w:val="000D624E"/>
    <w:rsid w:val="000D658A"/>
    <w:rsid w:val="000D68B6"/>
    <w:rsid w:val="000D68BA"/>
    <w:rsid w:val="000D6D0D"/>
    <w:rsid w:val="000D795F"/>
    <w:rsid w:val="000E07DB"/>
    <w:rsid w:val="000E0D54"/>
    <w:rsid w:val="000E13D2"/>
    <w:rsid w:val="000E1620"/>
    <w:rsid w:val="000E1978"/>
    <w:rsid w:val="000E1A86"/>
    <w:rsid w:val="000E2717"/>
    <w:rsid w:val="000E3C06"/>
    <w:rsid w:val="000E3F5A"/>
    <w:rsid w:val="000E52B7"/>
    <w:rsid w:val="000E537E"/>
    <w:rsid w:val="000E6135"/>
    <w:rsid w:val="000E6A73"/>
    <w:rsid w:val="000E6EF1"/>
    <w:rsid w:val="000E6F22"/>
    <w:rsid w:val="000E7A85"/>
    <w:rsid w:val="000F0761"/>
    <w:rsid w:val="000F0B3A"/>
    <w:rsid w:val="000F1CD8"/>
    <w:rsid w:val="000F29BA"/>
    <w:rsid w:val="000F5172"/>
    <w:rsid w:val="000F718F"/>
    <w:rsid w:val="000F7515"/>
    <w:rsid w:val="0010011C"/>
    <w:rsid w:val="001002A1"/>
    <w:rsid w:val="001012B7"/>
    <w:rsid w:val="00102161"/>
    <w:rsid w:val="001021D4"/>
    <w:rsid w:val="001029BD"/>
    <w:rsid w:val="00102C0B"/>
    <w:rsid w:val="00102CCB"/>
    <w:rsid w:val="0010378D"/>
    <w:rsid w:val="00103ECD"/>
    <w:rsid w:val="00105196"/>
    <w:rsid w:val="001051F2"/>
    <w:rsid w:val="0010541E"/>
    <w:rsid w:val="0010693B"/>
    <w:rsid w:val="00106E5A"/>
    <w:rsid w:val="00106F65"/>
    <w:rsid w:val="001074D6"/>
    <w:rsid w:val="001077F0"/>
    <w:rsid w:val="00107881"/>
    <w:rsid w:val="001100BB"/>
    <w:rsid w:val="001104F3"/>
    <w:rsid w:val="00110A7E"/>
    <w:rsid w:val="00111D44"/>
    <w:rsid w:val="00111EF2"/>
    <w:rsid w:val="00111FBF"/>
    <w:rsid w:val="00114757"/>
    <w:rsid w:val="00115879"/>
    <w:rsid w:val="0011617A"/>
    <w:rsid w:val="0011647C"/>
    <w:rsid w:val="00116805"/>
    <w:rsid w:val="00120C44"/>
    <w:rsid w:val="001213A8"/>
    <w:rsid w:val="00122B0B"/>
    <w:rsid w:val="001235D7"/>
    <w:rsid w:val="00125233"/>
    <w:rsid w:val="0012584D"/>
    <w:rsid w:val="00125D85"/>
    <w:rsid w:val="00126258"/>
    <w:rsid w:val="00126482"/>
    <w:rsid w:val="00126A78"/>
    <w:rsid w:val="0012711B"/>
    <w:rsid w:val="0013022D"/>
    <w:rsid w:val="00131014"/>
    <w:rsid w:val="0013164C"/>
    <w:rsid w:val="00131F78"/>
    <w:rsid w:val="001324F5"/>
    <w:rsid w:val="00133D65"/>
    <w:rsid w:val="00133E25"/>
    <w:rsid w:val="0013400F"/>
    <w:rsid w:val="00135315"/>
    <w:rsid w:val="00135836"/>
    <w:rsid w:val="00136DD4"/>
    <w:rsid w:val="00137F56"/>
    <w:rsid w:val="00140D61"/>
    <w:rsid w:val="0014131A"/>
    <w:rsid w:val="00141B9E"/>
    <w:rsid w:val="00142CFC"/>
    <w:rsid w:val="001432D1"/>
    <w:rsid w:val="00143FB1"/>
    <w:rsid w:val="00144215"/>
    <w:rsid w:val="001452F1"/>
    <w:rsid w:val="00147A64"/>
    <w:rsid w:val="00151464"/>
    <w:rsid w:val="001523DE"/>
    <w:rsid w:val="0015275F"/>
    <w:rsid w:val="001527F4"/>
    <w:rsid w:val="0015349F"/>
    <w:rsid w:val="001536EB"/>
    <w:rsid w:val="00153968"/>
    <w:rsid w:val="00153CC1"/>
    <w:rsid w:val="00154205"/>
    <w:rsid w:val="00154287"/>
    <w:rsid w:val="001542E2"/>
    <w:rsid w:val="00154C93"/>
    <w:rsid w:val="0015513F"/>
    <w:rsid w:val="00155DBC"/>
    <w:rsid w:val="00157B6C"/>
    <w:rsid w:val="00160C35"/>
    <w:rsid w:val="001617E1"/>
    <w:rsid w:val="00161CC6"/>
    <w:rsid w:val="00163343"/>
    <w:rsid w:val="0016394E"/>
    <w:rsid w:val="0016480C"/>
    <w:rsid w:val="0016546A"/>
    <w:rsid w:val="00165847"/>
    <w:rsid w:val="00166BC4"/>
    <w:rsid w:val="001674C6"/>
    <w:rsid w:val="001677E4"/>
    <w:rsid w:val="001678BF"/>
    <w:rsid w:val="00170470"/>
    <w:rsid w:val="00172153"/>
    <w:rsid w:val="00172287"/>
    <w:rsid w:val="00173110"/>
    <w:rsid w:val="0017432F"/>
    <w:rsid w:val="0017490A"/>
    <w:rsid w:val="00175485"/>
    <w:rsid w:val="001756B7"/>
    <w:rsid w:val="001757CF"/>
    <w:rsid w:val="001760B6"/>
    <w:rsid w:val="00177874"/>
    <w:rsid w:val="00177EFE"/>
    <w:rsid w:val="00180319"/>
    <w:rsid w:val="0018091B"/>
    <w:rsid w:val="00180DB2"/>
    <w:rsid w:val="001812DA"/>
    <w:rsid w:val="001828CE"/>
    <w:rsid w:val="00183756"/>
    <w:rsid w:val="0018579A"/>
    <w:rsid w:val="0018621B"/>
    <w:rsid w:val="00187066"/>
    <w:rsid w:val="00187940"/>
    <w:rsid w:val="00190BBD"/>
    <w:rsid w:val="00190E8F"/>
    <w:rsid w:val="001912B5"/>
    <w:rsid w:val="001914E5"/>
    <w:rsid w:val="0019160D"/>
    <w:rsid w:val="00192C92"/>
    <w:rsid w:val="0019336C"/>
    <w:rsid w:val="00194B24"/>
    <w:rsid w:val="00195A97"/>
    <w:rsid w:val="00196B33"/>
    <w:rsid w:val="001972A6"/>
    <w:rsid w:val="0019768B"/>
    <w:rsid w:val="001A13D2"/>
    <w:rsid w:val="001A1821"/>
    <w:rsid w:val="001A1A6F"/>
    <w:rsid w:val="001A3CBE"/>
    <w:rsid w:val="001A3FD5"/>
    <w:rsid w:val="001A4302"/>
    <w:rsid w:val="001A5932"/>
    <w:rsid w:val="001A613D"/>
    <w:rsid w:val="001A6C12"/>
    <w:rsid w:val="001A7471"/>
    <w:rsid w:val="001A78E1"/>
    <w:rsid w:val="001A7CFF"/>
    <w:rsid w:val="001A7F8C"/>
    <w:rsid w:val="001B0B69"/>
    <w:rsid w:val="001B10A4"/>
    <w:rsid w:val="001B1636"/>
    <w:rsid w:val="001B18EF"/>
    <w:rsid w:val="001B2475"/>
    <w:rsid w:val="001B2FF5"/>
    <w:rsid w:val="001B3318"/>
    <w:rsid w:val="001B3557"/>
    <w:rsid w:val="001B3ABA"/>
    <w:rsid w:val="001B42A7"/>
    <w:rsid w:val="001B49CC"/>
    <w:rsid w:val="001B5E44"/>
    <w:rsid w:val="001B658F"/>
    <w:rsid w:val="001B6BB4"/>
    <w:rsid w:val="001B7CF8"/>
    <w:rsid w:val="001C09EC"/>
    <w:rsid w:val="001C11CD"/>
    <w:rsid w:val="001C1E86"/>
    <w:rsid w:val="001C22D6"/>
    <w:rsid w:val="001C2D3F"/>
    <w:rsid w:val="001C5698"/>
    <w:rsid w:val="001C5D11"/>
    <w:rsid w:val="001C668C"/>
    <w:rsid w:val="001C6D2A"/>
    <w:rsid w:val="001D0C00"/>
    <w:rsid w:val="001D2245"/>
    <w:rsid w:val="001D3274"/>
    <w:rsid w:val="001D3ED0"/>
    <w:rsid w:val="001D4246"/>
    <w:rsid w:val="001D446F"/>
    <w:rsid w:val="001D4D2D"/>
    <w:rsid w:val="001D5189"/>
    <w:rsid w:val="001D51C3"/>
    <w:rsid w:val="001D57FD"/>
    <w:rsid w:val="001D6D8D"/>
    <w:rsid w:val="001D7CC5"/>
    <w:rsid w:val="001E02C1"/>
    <w:rsid w:val="001E041A"/>
    <w:rsid w:val="001E0A91"/>
    <w:rsid w:val="001E0B54"/>
    <w:rsid w:val="001E1C3C"/>
    <w:rsid w:val="001E1D6D"/>
    <w:rsid w:val="001E2527"/>
    <w:rsid w:val="001E28BE"/>
    <w:rsid w:val="001E3771"/>
    <w:rsid w:val="001E3DEE"/>
    <w:rsid w:val="001E411A"/>
    <w:rsid w:val="001E450E"/>
    <w:rsid w:val="001E4FED"/>
    <w:rsid w:val="001E5278"/>
    <w:rsid w:val="001E65F7"/>
    <w:rsid w:val="001E77E5"/>
    <w:rsid w:val="001F0067"/>
    <w:rsid w:val="001F0A15"/>
    <w:rsid w:val="001F0C0E"/>
    <w:rsid w:val="001F15E4"/>
    <w:rsid w:val="001F228B"/>
    <w:rsid w:val="001F29DE"/>
    <w:rsid w:val="001F2A66"/>
    <w:rsid w:val="001F2EA0"/>
    <w:rsid w:val="001F320E"/>
    <w:rsid w:val="001F436D"/>
    <w:rsid w:val="001F47FC"/>
    <w:rsid w:val="001F4E33"/>
    <w:rsid w:val="001F5895"/>
    <w:rsid w:val="001F65B2"/>
    <w:rsid w:val="001F7271"/>
    <w:rsid w:val="002024D1"/>
    <w:rsid w:val="00203B23"/>
    <w:rsid w:val="002040FB"/>
    <w:rsid w:val="00205A33"/>
    <w:rsid w:val="00210F6A"/>
    <w:rsid w:val="002113BB"/>
    <w:rsid w:val="002127B8"/>
    <w:rsid w:val="00213726"/>
    <w:rsid w:val="002137C1"/>
    <w:rsid w:val="00213B75"/>
    <w:rsid w:val="00214155"/>
    <w:rsid w:val="0021508B"/>
    <w:rsid w:val="002158C4"/>
    <w:rsid w:val="00215F80"/>
    <w:rsid w:val="00216507"/>
    <w:rsid w:val="00216D33"/>
    <w:rsid w:val="00217187"/>
    <w:rsid w:val="0021776B"/>
    <w:rsid w:val="0022058E"/>
    <w:rsid w:val="002211FD"/>
    <w:rsid w:val="00221FD9"/>
    <w:rsid w:val="00222097"/>
    <w:rsid w:val="00222BEC"/>
    <w:rsid w:val="002235D8"/>
    <w:rsid w:val="00223F7F"/>
    <w:rsid w:val="002241CB"/>
    <w:rsid w:val="00224961"/>
    <w:rsid w:val="00224FB2"/>
    <w:rsid w:val="002257B7"/>
    <w:rsid w:val="00226426"/>
    <w:rsid w:val="0023003C"/>
    <w:rsid w:val="002303C6"/>
    <w:rsid w:val="0023211F"/>
    <w:rsid w:val="002333C9"/>
    <w:rsid w:val="00234778"/>
    <w:rsid w:val="00234C56"/>
    <w:rsid w:val="00234D86"/>
    <w:rsid w:val="002357C4"/>
    <w:rsid w:val="00235CA8"/>
    <w:rsid w:val="002362AF"/>
    <w:rsid w:val="00236963"/>
    <w:rsid w:val="00236DC4"/>
    <w:rsid w:val="00240094"/>
    <w:rsid w:val="002407CE"/>
    <w:rsid w:val="002419D5"/>
    <w:rsid w:val="002435A9"/>
    <w:rsid w:val="0024385C"/>
    <w:rsid w:val="002440A8"/>
    <w:rsid w:val="00244BB9"/>
    <w:rsid w:val="00244DB1"/>
    <w:rsid w:val="00245D44"/>
    <w:rsid w:val="00246D68"/>
    <w:rsid w:val="002473B0"/>
    <w:rsid w:val="0024755C"/>
    <w:rsid w:val="00247EF0"/>
    <w:rsid w:val="00247F87"/>
    <w:rsid w:val="00250946"/>
    <w:rsid w:val="0025134C"/>
    <w:rsid w:val="00251F5C"/>
    <w:rsid w:val="002522EB"/>
    <w:rsid w:val="00253697"/>
    <w:rsid w:val="00253F63"/>
    <w:rsid w:val="00254A3C"/>
    <w:rsid w:val="00255FFD"/>
    <w:rsid w:val="0025659B"/>
    <w:rsid w:val="002573EC"/>
    <w:rsid w:val="0025776A"/>
    <w:rsid w:val="002605D5"/>
    <w:rsid w:val="0026073F"/>
    <w:rsid w:val="002607A4"/>
    <w:rsid w:val="00260F87"/>
    <w:rsid w:val="002616AE"/>
    <w:rsid w:val="00261A8F"/>
    <w:rsid w:val="0026232A"/>
    <w:rsid w:val="00263166"/>
    <w:rsid w:val="002638D3"/>
    <w:rsid w:val="00263FF0"/>
    <w:rsid w:val="00265B6E"/>
    <w:rsid w:val="00266171"/>
    <w:rsid w:val="00266625"/>
    <w:rsid w:val="0026691F"/>
    <w:rsid w:val="002669E4"/>
    <w:rsid w:val="00266D86"/>
    <w:rsid w:val="00270E51"/>
    <w:rsid w:val="002730A4"/>
    <w:rsid w:val="00273A02"/>
    <w:rsid w:val="00274A30"/>
    <w:rsid w:val="0027581F"/>
    <w:rsid w:val="00275A90"/>
    <w:rsid w:val="00276C1D"/>
    <w:rsid w:val="00277AB9"/>
    <w:rsid w:val="002820F8"/>
    <w:rsid w:val="00282CF8"/>
    <w:rsid w:val="00282DCD"/>
    <w:rsid w:val="0028316B"/>
    <w:rsid w:val="002834EB"/>
    <w:rsid w:val="00283716"/>
    <w:rsid w:val="00283962"/>
    <w:rsid w:val="00283BFA"/>
    <w:rsid w:val="00284341"/>
    <w:rsid w:val="002844D0"/>
    <w:rsid w:val="00285326"/>
    <w:rsid w:val="00285818"/>
    <w:rsid w:val="00285B86"/>
    <w:rsid w:val="00285E2B"/>
    <w:rsid w:val="00286DDC"/>
    <w:rsid w:val="002872C8"/>
    <w:rsid w:val="00290C62"/>
    <w:rsid w:val="00293B6B"/>
    <w:rsid w:val="0029441A"/>
    <w:rsid w:val="00295816"/>
    <w:rsid w:val="00296DFD"/>
    <w:rsid w:val="00296EE5"/>
    <w:rsid w:val="0029758A"/>
    <w:rsid w:val="0029785D"/>
    <w:rsid w:val="002A00A0"/>
    <w:rsid w:val="002A158A"/>
    <w:rsid w:val="002A2CBA"/>
    <w:rsid w:val="002A49FA"/>
    <w:rsid w:val="002A56A6"/>
    <w:rsid w:val="002A5ABB"/>
    <w:rsid w:val="002A692B"/>
    <w:rsid w:val="002A7E01"/>
    <w:rsid w:val="002B0F6B"/>
    <w:rsid w:val="002B194B"/>
    <w:rsid w:val="002B37B1"/>
    <w:rsid w:val="002B4910"/>
    <w:rsid w:val="002B5015"/>
    <w:rsid w:val="002B51B8"/>
    <w:rsid w:val="002B59BD"/>
    <w:rsid w:val="002B7CD2"/>
    <w:rsid w:val="002B7D77"/>
    <w:rsid w:val="002B7E82"/>
    <w:rsid w:val="002C138A"/>
    <w:rsid w:val="002C143F"/>
    <w:rsid w:val="002C249A"/>
    <w:rsid w:val="002C2A6A"/>
    <w:rsid w:val="002C3114"/>
    <w:rsid w:val="002C3A68"/>
    <w:rsid w:val="002C3B94"/>
    <w:rsid w:val="002C3BB7"/>
    <w:rsid w:val="002C4A5E"/>
    <w:rsid w:val="002C6130"/>
    <w:rsid w:val="002C6F88"/>
    <w:rsid w:val="002C7BE6"/>
    <w:rsid w:val="002C7DB2"/>
    <w:rsid w:val="002D0F37"/>
    <w:rsid w:val="002D1E01"/>
    <w:rsid w:val="002D2A0C"/>
    <w:rsid w:val="002D4ABC"/>
    <w:rsid w:val="002D57F7"/>
    <w:rsid w:val="002D60B9"/>
    <w:rsid w:val="002D65FB"/>
    <w:rsid w:val="002D6B08"/>
    <w:rsid w:val="002E0308"/>
    <w:rsid w:val="002E0E87"/>
    <w:rsid w:val="002E1462"/>
    <w:rsid w:val="002E350D"/>
    <w:rsid w:val="002E38BF"/>
    <w:rsid w:val="002E3A2B"/>
    <w:rsid w:val="002E3F6C"/>
    <w:rsid w:val="002E402F"/>
    <w:rsid w:val="002E4CFC"/>
    <w:rsid w:val="002E4D63"/>
    <w:rsid w:val="002E515E"/>
    <w:rsid w:val="002E5BD5"/>
    <w:rsid w:val="002E5F19"/>
    <w:rsid w:val="002E6183"/>
    <w:rsid w:val="002E61B0"/>
    <w:rsid w:val="002E6414"/>
    <w:rsid w:val="002E6A6C"/>
    <w:rsid w:val="002E6C89"/>
    <w:rsid w:val="002E7266"/>
    <w:rsid w:val="002E7463"/>
    <w:rsid w:val="002E75B2"/>
    <w:rsid w:val="002E7968"/>
    <w:rsid w:val="002E7C12"/>
    <w:rsid w:val="002F03EB"/>
    <w:rsid w:val="002F092D"/>
    <w:rsid w:val="002F0EC1"/>
    <w:rsid w:val="002F1B9E"/>
    <w:rsid w:val="002F1CB9"/>
    <w:rsid w:val="002F1ED4"/>
    <w:rsid w:val="002F206E"/>
    <w:rsid w:val="002F2EF7"/>
    <w:rsid w:val="002F468A"/>
    <w:rsid w:val="002F4EA3"/>
    <w:rsid w:val="002F51E9"/>
    <w:rsid w:val="002F573B"/>
    <w:rsid w:val="002F5D93"/>
    <w:rsid w:val="002F6664"/>
    <w:rsid w:val="002F6855"/>
    <w:rsid w:val="002F6987"/>
    <w:rsid w:val="002F6E32"/>
    <w:rsid w:val="002F7941"/>
    <w:rsid w:val="002F7987"/>
    <w:rsid w:val="002F7D94"/>
    <w:rsid w:val="00300CAC"/>
    <w:rsid w:val="003020D4"/>
    <w:rsid w:val="00302571"/>
    <w:rsid w:val="00302850"/>
    <w:rsid w:val="00305C0A"/>
    <w:rsid w:val="00305D55"/>
    <w:rsid w:val="00305DB7"/>
    <w:rsid w:val="00305F8F"/>
    <w:rsid w:val="00306373"/>
    <w:rsid w:val="00306C4E"/>
    <w:rsid w:val="00306F37"/>
    <w:rsid w:val="003104C4"/>
    <w:rsid w:val="00310C01"/>
    <w:rsid w:val="00310E36"/>
    <w:rsid w:val="00310F41"/>
    <w:rsid w:val="0031120B"/>
    <w:rsid w:val="00313C2C"/>
    <w:rsid w:val="0031460A"/>
    <w:rsid w:val="003161C2"/>
    <w:rsid w:val="00316ABD"/>
    <w:rsid w:val="0032094E"/>
    <w:rsid w:val="003229A8"/>
    <w:rsid w:val="00322A8D"/>
    <w:rsid w:val="00325481"/>
    <w:rsid w:val="00325749"/>
    <w:rsid w:val="0032733A"/>
    <w:rsid w:val="00327844"/>
    <w:rsid w:val="00327E4E"/>
    <w:rsid w:val="00331346"/>
    <w:rsid w:val="00331C37"/>
    <w:rsid w:val="003322DA"/>
    <w:rsid w:val="003335F7"/>
    <w:rsid w:val="00333CC3"/>
    <w:rsid w:val="003341D2"/>
    <w:rsid w:val="00334840"/>
    <w:rsid w:val="00334ABD"/>
    <w:rsid w:val="003350B7"/>
    <w:rsid w:val="003351F5"/>
    <w:rsid w:val="0033530F"/>
    <w:rsid w:val="0033593E"/>
    <w:rsid w:val="003372B4"/>
    <w:rsid w:val="003377B9"/>
    <w:rsid w:val="0033798A"/>
    <w:rsid w:val="003415CA"/>
    <w:rsid w:val="00341781"/>
    <w:rsid w:val="00342E9F"/>
    <w:rsid w:val="00343177"/>
    <w:rsid w:val="00343D81"/>
    <w:rsid w:val="0034493E"/>
    <w:rsid w:val="00345137"/>
    <w:rsid w:val="00345406"/>
    <w:rsid w:val="00346E48"/>
    <w:rsid w:val="0035046B"/>
    <w:rsid w:val="00350995"/>
    <w:rsid w:val="00351240"/>
    <w:rsid w:val="00351722"/>
    <w:rsid w:val="00351F2D"/>
    <w:rsid w:val="003532DB"/>
    <w:rsid w:val="0035379C"/>
    <w:rsid w:val="003545BF"/>
    <w:rsid w:val="00354F9F"/>
    <w:rsid w:val="00355422"/>
    <w:rsid w:val="00355D46"/>
    <w:rsid w:val="00357089"/>
    <w:rsid w:val="00357845"/>
    <w:rsid w:val="0036046A"/>
    <w:rsid w:val="0036281A"/>
    <w:rsid w:val="003629E5"/>
    <w:rsid w:val="00362F1C"/>
    <w:rsid w:val="00363693"/>
    <w:rsid w:val="00364317"/>
    <w:rsid w:val="003644F1"/>
    <w:rsid w:val="00364711"/>
    <w:rsid w:val="00364B56"/>
    <w:rsid w:val="00365079"/>
    <w:rsid w:val="003651D3"/>
    <w:rsid w:val="00366FA4"/>
    <w:rsid w:val="0036729C"/>
    <w:rsid w:val="003703A8"/>
    <w:rsid w:val="003719AF"/>
    <w:rsid w:val="00371CE2"/>
    <w:rsid w:val="00372029"/>
    <w:rsid w:val="00372FB4"/>
    <w:rsid w:val="003730F7"/>
    <w:rsid w:val="003739BF"/>
    <w:rsid w:val="00373F0D"/>
    <w:rsid w:val="00374E3C"/>
    <w:rsid w:val="00376839"/>
    <w:rsid w:val="00376AEF"/>
    <w:rsid w:val="00377B73"/>
    <w:rsid w:val="00380B30"/>
    <w:rsid w:val="00381DE2"/>
    <w:rsid w:val="00382C3C"/>
    <w:rsid w:val="00382EB3"/>
    <w:rsid w:val="003836EE"/>
    <w:rsid w:val="00383F2A"/>
    <w:rsid w:val="00384567"/>
    <w:rsid w:val="00386DD0"/>
    <w:rsid w:val="00390AB3"/>
    <w:rsid w:val="00390AF5"/>
    <w:rsid w:val="003911C8"/>
    <w:rsid w:val="00391EF9"/>
    <w:rsid w:val="00393178"/>
    <w:rsid w:val="0039475C"/>
    <w:rsid w:val="00395F03"/>
    <w:rsid w:val="00396C4F"/>
    <w:rsid w:val="00397A51"/>
    <w:rsid w:val="00397FB5"/>
    <w:rsid w:val="003A11FC"/>
    <w:rsid w:val="003A1C2E"/>
    <w:rsid w:val="003A1DC5"/>
    <w:rsid w:val="003A1FDC"/>
    <w:rsid w:val="003A23DA"/>
    <w:rsid w:val="003A2474"/>
    <w:rsid w:val="003A3411"/>
    <w:rsid w:val="003A5C92"/>
    <w:rsid w:val="003A6ABD"/>
    <w:rsid w:val="003A6C73"/>
    <w:rsid w:val="003A6D23"/>
    <w:rsid w:val="003A77F9"/>
    <w:rsid w:val="003B0249"/>
    <w:rsid w:val="003B1084"/>
    <w:rsid w:val="003B1ADD"/>
    <w:rsid w:val="003B2FC2"/>
    <w:rsid w:val="003B3862"/>
    <w:rsid w:val="003B3AED"/>
    <w:rsid w:val="003B4316"/>
    <w:rsid w:val="003B4B0C"/>
    <w:rsid w:val="003B5B1F"/>
    <w:rsid w:val="003B77FD"/>
    <w:rsid w:val="003B7A84"/>
    <w:rsid w:val="003B7B0F"/>
    <w:rsid w:val="003C1BF5"/>
    <w:rsid w:val="003C1E06"/>
    <w:rsid w:val="003C2DAB"/>
    <w:rsid w:val="003C2E20"/>
    <w:rsid w:val="003C38D1"/>
    <w:rsid w:val="003C48FE"/>
    <w:rsid w:val="003C5711"/>
    <w:rsid w:val="003C60D5"/>
    <w:rsid w:val="003C6167"/>
    <w:rsid w:val="003C6C83"/>
    <w:rsid w:val="003C71BB"/>
    <w:rsid w:val="003C7490"/>
    <w:rsid w:val="003D165D"/>
    <w:rsid w:val="003D1669"/>
    <w:rsid w:val="003D1D54"/>
    <w:rsid w:val="003D29FD"/>
    <w:rsid w:val="003D2EED"/>
    <w:rsid w:val="003D2F27"/>
    <w:rsid w:val="003D353A"/>
    <w:rsid w:val="003D3D68"/>
    <w:rsid w:val="003D3F9C"/>
    <w:rsid w:val="003D6132"/>
    <w:rsid w:val="003D6268"/>
    <w:rsid w:val="003D6448"/>
    <w:rsid w:val="003D6A02"/>
    <w:rsid w:val="003D7635"/>
    <w:rsid w:val="003D7CE9"/>
    <w:rsid w:val="003D7F21"/>
    <w:rsid w:val="003E0B8A"/>
    <w:rsid w:val="003E0CB3"/>
    <w:rsid w:val="003E1253"/>
    <w:rsid w:val="003E1269"/>
    <w:rsid w:val="003E18AF"/>
    <w:rsid w:val="003E1F24"/>
    <w:rsid w:val="003E2875"/>
    <w:rsid w:val="003E38DE"/>
    <w:rsid w:val="003E3BFC"/>
    <w:rsid w:val="003E44E1"/>
    <w:rsid w:val="003E4848"/>
    <w:rsid w:val="003E4D9F"/>
    <w:rsid w:val="003E54BA"/>
    <w:rsid w:val="003E609B"/>
    <w:rsid w:val="003E616E"/>
    <w:rsid w:val="003E63FD"/>
    <w:rsid w:val="003E64F6"/>
    <w:rsid w:val="003E7035"/>
    <w:rsid w:val="003E726E"/>
    <w:rsid w:val="003F03A7"/>
    <w:rsid w:val="003F0813"/>
    <w:rsid w:val="003F0E64"/>
    <w:rsid w:val="003F1E16"/>
    <w:rsid w:val="003F2426"/>
    <w:rsid w:val="003F27F5"/>
    <w:rsid w:val="003F2CC7"/>
    <w:rsid w:val="003F2F3B"/>
    <w:rsid w:val="003F3375"/>
    <w:rsid w:val="003F3D3C"/>
    <w:rsid w:val="003F3ED8"/>
    <w:rsid w:val="003F3FBF"/>
    <w:rsid w:val="003F55F4"/>
    <w:rsid w:val="003F562D"/>
    <w:rsid w:val="003F5BF3"/>
    <w:rsid w:val="003F646B"/>
    <w:rsid w:val="003F6E3D"/>
    <w:rsid w:val="003F7443"/>
    <w:rsid w:val="003F7C3E"/>
    <w:rsid w:val="004010B7"/>
    <w:rsid w:val="0040164B"/>
    <w:rsid w:val="004021C6"/>
    <w:rsid w:val="00402669"/>
    <w:rsid w:val="00402D33"/>
    <w:rsid w:val="00402D4C"/>
    <w:rsid w:val="00403697"/>
    <w:rsid w:val="0040390C"/>
    <w:rsid w:val="00403AAA"/>
    <w:rsid w:val="00403AFA"/>
    <w:rsid w:val="0040405D"/>
    <w:rsid w:val="004047AB"/>
    <w:rsid w:val="004049C3"/>
    <w:rsid w:val="00405003"/>
    <w:rsid w:val="00406806"/>
    <w:rsid w:val="00406C41"/>
    <w:rsid w:val="00406FC7"/>
    <w:rsid w:val="0040708C"/>
    <w:rsid w:val="00407CB8"/>
    <w:rsid w:val="00410B6B"/>
    <w:rsid w:val="00411243"/>
    <w:rsid w:val="00411412"/>
    <w:rsid w:val="00411E74"/>
    <w:rsid w:val="0041234F"/>
    <w:rsid w:val="00413562"/>
    <w:rsid w:val="00415077"/>
    <w:rsid w:val="00415274"/>
    <w:rsid w:val="0041538C"/>
    <w:rsid w:val="004154CC"/>
    <w:rsid w:val="00415EDF"/>
    <w:rsid w:val="00416F32"/>
    <w:rsid w:val="00417032"/>
    <w:rsid w:val="00417047"/>
    <w:rsid w:val="00417AB7"/>
    <w:rsid w:val="00417D41"/>
    <w:rsid w:val="0042095C"/>
    <w:rsid w:val="0042106A"/>
    <w:rsid w:val="00422F40"/>
    <w:rsid w:val="00423BAC"/>
    <w:rsid w:val="00424624"/>
    <w:rsid w:val="00424C4F"/>
    <w:rsid w:val="00425747"/>
    <w:rsid w:val="00425E54"/>
    <w:rsid w:val="004270AF"/>
    <w:rsid w:val="0042761E"/>
    <w:rsid w:val="00427A68"/>
    <w:rsid w:val="00433273"/>
    <w:rsid w:val="00434013"/>
    <w:rsid w:val="00434170"/>
    <w:rsid w:val="004348ED"/>
    <w:rsid w:val="0043554C"/>
    <w:rsid w:val="004371DC"/>
    <w:rsid w:val="00437662"/>
    <w:rsid w:val="0044040A"/>
    <w:rsid w:val="00441A9C"/>
    <w:rsid w:val="00441E4D"/>
    <w:rsid w:val="00442688"/>
    <w:rsid w:val="00442DE8"/>
    <w:rsid w:val="004431DF"/>
    <w:rsid w:val="00443BE2"/>
    <w:rsid w:val="00443BF8"/>
    <w:rsid w:val="00443E82"/>
    <w:rsid w:val="00444902"/>
    <w:rsid w:val="00444BAD"/>
    <w:rsid w:val="00444F70"/>
    <w:rsid w:val="004452FB"/>
    <w:rsid w:val="00445899"/>
    <w:rsid w:val="004458B0"/>
    <w:rsid w:val="004477BB"/>
    <w:rsid w:val="00447D20"/>
    <w:rsid w:val="00451CCB"/>
    <w:rsid w:val="0045262C"/>
    <w:rsid w:val="00452ACE"/>
    <w:rsid w:val="00454E63"/>
    <w:rsid w:val="0045523D"/>
    <w:rsid w:val="004569C5"/>
    <w:rsid w:val="00456C4C"/>
    <w:rsid w:val="00461A8E"/>
    <w:rsid w:val="00462CFF"/>
    <w:rsid w:val="004634CD"/>
    <w:rsid w:val="004635F7"/>
    <w:rsid w:val="004636DE"/>
    <w:rsid w:val="00465702"/>
    <w:rsid w:val="0046593C"/>
    <w:rsid w:val="00465A85"/>
    <w:rsid w:val="00465D56"/>
    <w:rsid w:val="004661FA"/>
    <w:rsid w:val="004668E3"/>
    <w:rsid w:val="004677CD"/>
    <w:rsid w:val="004701D4"/>
    <w:rsid w:val="004703E4"/>
    <w:rsid w:val="004721AA"/>
    <w:rsid w:val="004727B0"/>
    <w:rsid w:val="00473EEC"/>
    <w:rsid w:val="004751FC"/>
    <w:rsid w:val="00476591"/>
    <w:rsid w:val="00476816"/>
    <w:rsid w:val="00477314"/>
    <w:rsid w:val="0047733A"/>
    <w:rsid w:val="0047777C"/>
    <w:rsid w:val="004779D8"/>
    <w:rsid w:val="0048213F"/>
    <w:rsid w:val="004829B1"/>
    <w:rsid w:val="00482D4B"/>
    <w:rsid w:val="004833C7"/>
    <w:rsid w:val="004837F9"/>
    <w:rsid w:val="00483DA2"/>
    <w:rsid w:val="004845ED"/>
    <w:rsid w:val="00485C46"/>
    <w:rsid w:val="00486247"/>
    <w:rsid w:val="00487555"/>
    <w:rsid w:val="00490756"/>
    <w:rsid w:val="00491476"/>
    <w:rsid w:val="004923E5"/>
    <w:rsid w:val="004923F8"/>
    <w:rsid w:val="004935C6"/>
    <w:rsid w:val="00493D8F"/>
    <w:rsid w:val="00494346"/>
    <w:rsid w:val="0049466D"/>
    <w:rsid w:val="00494D16"/>
    <w:rsid w:val="00494FD0"/>
    <w:rsid w:val="00495139"/>
    <w:rsid w:val="00497E51"/>
    <w:rsid w:val="004A0C78"/>
    <w:rsid w:val="004A124B"/>
    <w:rsid w:val="004A18EE"/>
    <w:rsid w:val="004A2826"/>
    <w:rsid w:val="004A2B6C"/>
    <w:rsid w:val="004A2CE9"/>
    <w:rsid w:val="004A3199"/>
    <w:rsid w:val="004A38DE"/>
    <w:rsid w:val="004A3E9B"/>
    <w:rsid w:val="004A46A0"/>
    <w:rsid w:val="004A46FE"/>
    <w:rsid w:val="004A4CA3"/>
    <w:rsid w:val="004A531D"/>
    <w:rsid w:val="004A5E4A"/>
    <w:rsid w:val="004A63C1"/>
    <w:rsid w:val="004A6948"/>
    <w:rsid w:val="004B0297"/>
    <w:rsid w:val="004B09F1"/>
    <w:rsid w:val="004B0CE1"/>
    <w:rsid w:val="004B0CFA"/>
    <w:rsid w:val="004B2274"/>
    <w:rsid w:val="004B31B4"/>
    <w:rsid w:val="004B34D3"/>
    <w:rsid w:val="004B3884"/>
    <w:rsid w:val="004B3F08"/>
    <w:rsid w:val="004B4037"/>
    <w:rsid w:val="004B5354"/>
    <w:rsid w:val="004B5537"/>
    <w:rsid w:val="004B6A53"/>
    <w:rsid w:val="004B73FF"/>
    <w:rsid w:val="004B7A0B"/>
    <w:rsid w:val="004B7D2D"/>
    <w:rsid w:val="004B7D5B"/>
    <w:rsid w:val="004C00FA"/>
    <w:rsid w:val="004C033D"/>
    <w:rsid w:val="004C0B5C"/>
    <w:rsid w:val="004C0FA2"/>
    <w:rsid w:val="004C1202"/>
    <w:rsid w:val="004C1C2F"/>
    <w:rsid w:val="004C1E45"/>
    <w:rsid w:val="004C2217"/>
    <w:rsid w:val="004C2262"/>
    <w:rsid w:val="004C2AF4"/>
    <w:rsid w:val="004C2BAD"/>
    <w:rsid w:val="004C399E"/>
    <w:rsid w:val="004C3D72"/>
    <w:rsid w:val="004C4499"/>
    <w:rsid w:val="004C4D34"/>
    <w:rsid w:val="004C574A"/>
    <w:rsid w:val="004C5D75"/>
    <w:rsid w:val="004C684B"/>
    <w:rsid w:val="004C7088"/>
    <w:rsid w:val="004C732A"/>
    <w:rsid w:val="004C7BC0"/>
    <w:rsid w:val="004C7FE2"/>
    <w:rsid w:val="004D0145"/>
    <w:rsid w:val="004D06F2"/>
    <w:rsid w:val="004D0732"/>
    <w:rsid w:val="004D0746"/>
    <w:rsid w:val="004D1B39"/>
    <w:rsid w:val="004D2DA9"/>
    <w:rsid w:val="004D3B58"/>
    <w:rsid w:val="004D3CC0"/>
    <w:rsid w:val="004D512A"/>
    <w:rsid w:val="004D51F3"/>
    <w:rsid w:val="004D6184"/>
    <w:rsid w:val="004D65A3"/>
    <w:rsid w:val="004D67FA"/>
    <w:rsid w:val="004D712F"/>
    <w:rsid w:val="004D7518"/>
    <w:rsid w:val="004D762D"/>
    <w:rsid w:val="004E0E7E"/>
    <w:rsid w:val="004E12A2"/>
    <w:rsid w:val="004E14F7"/>
    <w:rsid w:val="004E1872"/>
    <w:rsid w:val="004E1CEB"/>
    <w:rsid w:val="004E219C"/>
    <w:rsid w:val="004E2EC6"/>
    <w:rsid w:val="004E3651"/>
    <w:rsid w:val="004E4167"/>
    <w:rsid w:val="004E43B5"/>
    <w:rsid w:val="004E5054"/>
    <w:rsid w:val="004E5481"/>
    <w:rsid w:val="004E6EDF"/>
    <w:rsid w:val="004E792E"/>
    <w:rsid w:val="004E7BE2"/>
    <w:rsid w:val="004F024D"/>
    <w:rsid w:val="004F2237"/>
    <w:rsid w:val="004F2DF4"/>
    <w:rsid w:val="004F2E91"/>
    <w:rsid w:val="004F3199"/>
    <w:rsid w:val="004F323C"/>
    <w:rsid w:val="004F4022"/>
    <w:rsid w:val="004F471C"/>
    <w:rsid w:val="004F51C3"/>
    <w:rsid w:val="004F674E"/>
    <w:rsid w:val="004F69DC"/>
    <w:rsid w:val="004F788A"/>
    <w:rsid w:val="004F7D44"/>
    <w:rsid w:val="00501B83"/>
    <w:rsid w:val="00501F15"/>
    <w:rsid w:val="005020E4"/>
    <w:rsid w:val="005022E6"/>
    <w:rsid w:val="005023BE"/>
    <w:rsid w:val="005032E0"/>
    <w:rsid w:val="005037A6"/>
    <w:rsid w:val="00503B22"/>
    <w:rsid w:val="00505A9B"/>
    <w:rsid w:val="00505BC1"/>
    <w:rsid w:val="00506399"/>
    <w:rsid w:val="00506C56"/>
    <w:rsid w:val="00506E25"/>
    <w:rsid w:val="00507091"/>
    <w:rsid w:val="00507491"/>
    <w:rsid w:val="005102AA"/>
    <w:rsid w:val="005103C5"/>
    <w:rsid w:val="0051053D"/>
    <w:rsid w:val="005119AE"/>
    <w:rsid w:val="0051212F"/>
    <w:rsid w:val="00512BEB"/>
    <w:rsid w:val="00512FF7"/>
    <w:rsid w:val="005136A9"/>
    <w:rsid w:val="00513992"/>
    <w:rsid w:val="00514251"/>
    <w:rsid w:val="005148F7"/>
    <w:rsid w:val="005152B3"/>
    <w:rsid w:val="00515644"/>
    <w:rsid w:val="00516125"/>
    <w:rsid w:val="00516E2F"/>
    <w:rsid w:val="00517647"/>
    <w:rsid w:val="00517EB9"/>
    <w:rsid w:val="00521A08"/>
    <w:rsid w:val="00521D65"/>
    <w:rsid w:val="005224A6"/>
    <w:rsid w:val="00523670"/>
    <w:rsid w:val="00523E90"/>
    <w:rsid w:val="00524767"/>
    <w:rsid w:val="00524BEB"/>
    <w:rsid w:val="005253FA"/>
    <w:rsid w:val="005258AF"/>
    <w:rsid w:val="00525C33"/>
    <w:rsid w:val="00526173"/>
    <w:rsid w:val="005269FC"/>
    <w:rsid w:val="00527242"/>
    <w:rsid w:val="00527C55"/>
    <w:rsid w:val="0053074A"/>
    <w:rsid w:val="00530B28"/>
    <w:rsid w:val="00530E5F"/>
    <w:rsid w:val="00531073"/>
    <w:rsid w:val="005320D0"/>
    <w:rsid w:val="00534839"/>
    <w:rsid w:val="00535125"/>
    <w:rsid w:val="0053531D"/>
    <w:rsid w:val="00535926"/>
    <w:rsid w:val="005361B0"/>
    <w:rsid w:val="005364A0"/>
    <w:rsid w:val="00540011"/>
    <w:rsid w:val="00540E5B"/>
    <w:rsid w:val="0054142E"/>
    <w:rsid w:val="0054191A"/>
    <w:rsid w:val="005419B8"/>
    <w:rsid w:val="00542371"/>
    <w:rsid w:val="005425E1"/>
    <w:rsid w:val="00542729"/>
    <w:rsid w:val="005433B3"/>
    <w:rsid w:val="00543494"/>
    <w:rsid w:val="005435E1"/>
    <w:rsid w:val="00543872"/>
    <w:rsid w:val="00544D20"/>
    <w:rsid w:val="00544F3B"/>
    <w:rsid w:val="00545822"/>
    <w:rsid w:val="00546B54"/>
    <w:rsid w:val="00546CD1"/>
    <w:rsid w:val="00546E3A"/>
    <w:rsid w:val="00547904"/>
    <w:rsid w:val="00547DC5"/>
    <w:rsid w:val="00550457"/>
    <w:rsid w:val="00552096"/>
    <w:rsid w:val="005528A6"/>
    <w:rsid w:val="005533DC"/>
    <w:rsid w:val="005535B6"/>
    <w:rsid w:val="0055386E"/>
    <w:rsid w:val="005539B5"/>
    <w:rsid w:val="00553CD3"/>
    <w:rsid w:val="00554528"/>
    <w:rsid w:val="005545AB"/>
    <w:rsid w:val="00554F61"/>
    <w:rsid w:val="005576A4"/>
    <w:rsid w:val="00557926"/>
    <w:rsid w:val="00563CD6"/>
    <w:rsid w:val="00563FFE"/>
    <w:rsid w:val="005670FF"/>
    <w:rsid w:val="005700A5"/>
    <w:rsid w:val="00570366"/>
    <w:rsid w:val="005703BD"/>
    <w:rsid w:val="0057047D"/>
    <w:rsid w:val="00570E26"/>
    <w:rsid w:val="005719E8"/>
    <w:rsid w:val="0057260F"/>
    <w:rsid w:val="0057319C"/>
    <w:rsid w:val="0057335E"/>
    <w:rsid w:val="005735BD"/>
    <w:rsid w:val="0057447E"/>
    <w:rsid w:val="00574B92"/>
    <w:rsid w:val="00575C08"/>
    <w:rsid w:val="00575F0D"/>
    <w:rsid w:val="00577433"/>
    <w:rsid w:val="00577A4B"/>
    <w:rsid w:val="00577C96"/>
    <w:rsid w:val="005816C5"/>
    <w:rsid w:val="00581EEC"/>
    <w:rsid w:val="00582882"/>
    <w:rsid w:val="005837B0"/>
    <w:rsid w:val="0058389C"/>
    <w:rsid w:val="00583D71"/>
    <w:rsid w:val="005842C9"/>
    <w:rsid w:val="00584311"/>
    <w:rsid w:val="00584548"/>
    <w:rsid w:val="00584D5F"/>
    <w:rsid w:val="00585465"/>
    <w:rsid w:val="0058638B"/>
    <w:rsid w:val="0059006B"/>
    <w:rsid w:val="0059028F"/>
    <w:rsid w:val="00590C6F"/>
    <w:rsid w:val="00590E10"/>
    <w:rsid w:val="00590F39"/>
    <w:rsid w:val="005912B9"/>
    <w:rsid w:val="005921A7"/>
    <w:rsid w:val="00592683"/>
    <w:rsid w:val="00593665"/>
    <w:rsid w:val="00595365"/>
    <w:rsid w:val="00595B89"/>
    <w:rsid w:val="00595BF3"/>
    <w:rsid w:val="00597E33"/>
    <w:rsid w:val="005A2BFA"/>
    <w:rsid w:val="005A3570"/>
    <w:rsid w:val="005A3DA5"/>
    <w:rsid w:val="005A6510"/>
    <w:rsid w:val="005A7057"/>
    <w:rsid w:val="005B0795"/>
    <w:rsid w:val="005B0AE3"/>
    <w:rsid w:val="005B0C1E"/>
    <w:rsid w:val="005B210D"/>
    <w:rsid w:val="005B31E4"/>
    <w:rsid w:val="005B3D27"/>
    <w:rsid w:val="005B5F33"/>
    <w:rsid w:val="005B6E03"/>
    <w:rsid w:val="005B7041"/>
    <w:rsid w:val="005B7809"/>
    <w:rsid w:val="005C0AC1"/>
    <w:rsid w:val="005C1703"/>
    <w:rsid w:val="005C19E1"/>
    <w:rsid w:val="005C1F7E"/>
    <w:rsid w:val="005C2271"/>
    <w:rsid w:val="005C33D6"/>
    <w:rsid w:val="005C34B5"/>
    <w:rsid w:val="005C3AD6"/>
    <w:rsid w:val="005C3AE2"/>
    <w:rsid w:val="005C3BB0"/>
    <w:rsid w:val="005C4805"/>
    <w:rsid w:val="005C4AA3"/>
    <w:rsid w:val="005C564E"/>
    <w:rsid w:val="005C5FE1"/>
    <w:rsid w:val="005C7008"/>
    <w:rsid w:val="005D0EA5"/>
    <w:rsid w:val="005D1D77"/>
    <w:rsid w:val="005D23BC"/>
    <w:rsid w:val="005D23F5"/>
    <w:rsid w:val="005D2977"/>
    <w:rsid w:val="005D34D9"/>
    <w:rsid w:val="005D4393"/>
    <w:rsid w:val="005D4FA4"/>
    <w:rsid w:val="005D55BC"/>
    <w:rsid w:val="005D59A8"/>
    <w:rsid w:val="005E0863"/>
    <w:rsid w:val="005E3591"/>
    <w:rsid w:val="005E489E"/>
    <w:rsid w:val="005E4E58"/>
    <w:rsid w:val="005E5844"/>
    <w:rsid w:val="005E5B53"/>
    <w:rsid w:val="005E6F8B"/>
    <w:rsid w:val="005E722D"/>
    <w:rsid w:val="005F03CC"/>
    <w:rsid w:val="005F090F"/>
    <w:rsid w:val="005F14EE"/>
    <w:rsid w:val="005F21D1"/>
    <w:rsid w:val="005F4CC8"/>
    <w:rsid w:val="005F545F"/>
    <w:rsid w:val="005F6762"/>
    <w:rsid w:val="005F7118"/>
    <w:rsid w:val="00601D12"/>
    <w:rsid w:val="0060222F"/>
    <w:rsid w:val="0060276F"/>
    <w:rsid w:val="00604336"/>
    <w:rsid w:val="00605147"/>
    <w:rsid w:val="006052DD"/>
    <w:rsid w:val="00605FF2"/>
    <w:rsid w:val="006072E4"/>
    <w:rsid w:val="0060752F"/>
    <w:rsid w:val="00610A43"/>
    <w:rsid w:val="00610CA0"/>
    <w:rsid w:val="00610F8B"/>
    <w:rsid w:val="0061104C"/>
    <w:rsid w:val="006120A9"/>
    <w:rsid w:val="00612511"/>
    <w:rsid w:val="00612CBF"/>
    <w:rsid w:val="00613486"/>
    <w:rsid w:val="00613CB0"/>
    <w:rsid w:val="00614353"/>
    <w:rsid w:val="006151A2"/>
    <w:rsid w:val="00616745"/>
    <w:rsid w:val="00617603"/>
    <w:rsid w:val="0062160E"/>
    <w:rsid w:val="00621883"/>
    <w:rsid w:val="00622211"/>
    <w:rsid w:val="006224C0"/>
    <w:rsid w:val="0062260B"/>
    <w:rsid w:val="00622FF7"/>
    <w:rsid w:val="00623214"/>
    <w:rsid w:val="0062342F"/>
    <w:rsid w:val="006239AF"/>
    <w:rsid w:val="00623A6F"/>
    <w:rsid w:val="00624439"/>
    <w:rsid w:val="0062515C"/>
    <w:rsid w:val="006257BD"/>
    <w:rsid w:val="00625979"/>
    <w:rsid w:val="00625F71"/>
    <w:rsid w:val="006274EE"/>
    <w:rsid w:val="006277EB"/>
    <w:rsid w:val="006303BB"/>
    <w:rsid w:val="00631047"/>
    <w:rsid w:val="006323F8"/>
    <w:rsid w:val="00633A02"/>
    <w:rsid w:val="00633B81"/>
    <w:rsid w:val="00633F0E"/>
    <w:rsid w:val="00633F81"/>
    <w:rsid w:val="006344DD"/>
    <w:rsid w:val="00634A4E"/>
    <w:rsid w:val="00634DE3"/>
    <w:rsid w:val="00634E95"/>
    <w:rsid w:val="0063502C"/>
    <w:rsid w:val="0063520F"/>
    <w:rsid w:val="006360DD"/>
    <w:rsid w:val="0063673B"/>
    <w:rsid w:val="00636744"/>
    <w:rsid w:val="00636F8B"/>
    <w:rsid w:val="006401F8"/>
    <w:rsid w:val="0064047E"/>
    <w:rsid w:val="00642380"/>
    <w:rsid w:val="0064238A"/>
    <w:rsid w:val="0064266B"/>
    <w:rsid w:val="006426B5"/>
    <w:rsid w:val="00645293"/>
    <w:rsid w:val="006466D0"/>
    <w:rsid w:val="006469E4"/>
    <w:rsid w:val="00646A61"/>
    <w:rsid w:val="00646BE0"/>
    <w:rsid w:val="006473F5"/>
    <w:rsid w:val="00647669"/>
    <w:rsid w:val="006500CA"/>
    <w:rsid w:val="006501EB"/>
    <w:rsid w:val="00650F72"/>
    <w:rsid w:val="00653783"/>
    <w:rsid w:val="00653AC3"/>
    <w:rsid w:val="00654C75"/>
    <w:rsid w:val="00654DB3"/>
    <w:rsid w:val="00655E52"/>
    <w:rsid w:val="00656A9A"/>
    <w:rsid w:val="00656D79"/>
    <w:rsid w:val="006605B9"/>
    <w:rsid w:val="00660C1F"/>
    <w:rsid w:val="006616B6"/>
    <w:rsid w:val="0066272B"/>
    <w:rsid w:val="00662AA7"/>
    <w:rsid w:val="00662DFD"/>
    <w:rsid w:val="00663736"/>
    <w:rsid w:val="00664008"/>
    <w:rsid w:val="00667A46"/>
    <w:rsid w:val="00667B2E"/>
    <w:rsid w:val="00671832"/>
    <w:rsid w:val="0067250D"/>
    <w:rsid w:val="00673374"/>
    <w:rsid w:val="00673A06"/>
    <w:rsid w:val="00673F4A"/>
    <w:rsid w:val="00674C6D"/>
    <w:rsid w:val="006753CB"/>
    <w:rsid w:val="00675DFF"/>
    <w:rsid w:val="00676527"/>
    <w:rsid w:val="006767B5"/>
    <w:rsid w:val="00676B75"/>
    <w:rsid w:val="00677441"/>
    <w:rsid w:val="00677550"/>
    <w:rsid w:val="0067782A"/>
    <w:rsid w:val="00677F79"/>
    <w:rsid w:val="00680CAA"/>
    <w:rsid w:val="00681096"/>
    <w:rsid w:val="006820E0"/>
    <w:rsid w:val="00682232"/>
    <w:rsid w:val="0068260A"/>
    <w:rsid w:val="006831DF"/>
    <w:rsid w:val="00683840"/>
    <w:rsid w:val="00684438"/>
    <w:rsid w:val="00685C70"/>
    <w:rsid w:val="006864AA"/>
    <w:rsid w:val="006868D9"/>
    <w:rsid w:val="00687525"/>
    <w:rsid w:val="006906B6"/>
    <w:rsid w:val="00690EEF"/>
    <w:rsid w:val="0069108B"/>
    <w:rsid w:val="00691BF0"/>
    <w:rsid w:val="00691C37"/>
    <w:rsid w:val="00691EE9"/>
    <w:rsid w:val="00691F4A"/>
    <w:rsid w:val="00691FFC"/>
    <w:rsid w:val="00692622"/>
    <w:rsid w:val="00692904"/>
    <w:rsid w:val="00693318"/>
    <w:rsid w:val="00693AA9"/>
    <w:rsid w:val="00693BFB"/>
    <w:rsid w:val="00693E08"/>
    <w:rsid w:val="00694256"/>
    <w:rsid w:val="00694390"/>
    <w:rsid w:val="006953C2"/>
    <w:rsid w:val="00696F69"/>
    <w:rsid w:val="0069773F"/>
    <w:rsid w:val="006977AF"/>
    <w:rsid w:val="00697995"/>
    <w:rsid w:val="006A03A9"/>
    <w:rsid w:val="006A0AB7"/>
    <w:rsid w:val="006A0B21"/>
    <w:rsid w:val="006A10AD"/>
    <w:rsid w:val="006A1970"/>
    <w:rsid w:val="006A1B02"/>
    <w:rsid w:val="006A25FD"/>
    <w:rsid w:val="006A34F3"/>
    <w:rsid w:val="006A5073"/>
    <w:rsid w:val="006A510A"/>
    <w:rsid w:val="006A5225"/>
    <w:rsid w:val="006A6043"/>
    <w:rsid w:val="006A74AA"/>
    <w:rsid w:val="006A7535"/>
    <w:rsid w:val="006A7A7C"/>
    <w:rsid w:val="006A7E01"/>
    <w:rsid w:val="006B07DF"/>
    <w:rsid w:val="006B0C88"/>
    <w:rsid w:val="006B0D19"/>
    <w:rsid w:val="006B0F11"/>
    <w:rsid w:val="006B1733"/>
    <w:rsid w:val="006B294A"/>
    <w:rsid w:val="006B3A61"/>
    <w:rsid w:val="006B3A66"/>
    <w:rsid w:val="006B45B1"/>
    <w:rsid w:val="006B4EAC"/>
    <w:rsid w:val="006B6215"/>
    <w:rsid w:val="006B6428"/>
    <w:rsid w:val="006B67AD"/>
    <w:rsid w:val="006B69E1"/>
    <w:rsid w:val="006B7121"/>
    <w:rsid w:val="006C09C5"/>
    <w:rsid w:val="006C0A73"/>
    <w:rsid w:val="006C1C00"/>
    <w:rsid w:val="006C3053"/>
    <w:rsid w:val="006C311C"/>
    <w:rsid w:val="006C3C43"/>
    <w:rsid w:val="006C404E"/>
    <w:rsid w:val="006C40EC"/>
    <w:rsid w:val="006C4471"/>
    <w:rsid w:val="006C5718"/>
    <w:rsid w:val="006C5981"/>
    <w:rsid w:val="006C5F7A"/>
    <w:rsid w:val="006C632B"/>
    <w:rsid w:val="006C6CF0"/>
    <w:rsid w:val="006C6F3B"/>
    <w:rsid w:val="006C7ECD"/>
    <w:rsid w:val="006D0C39"/>
    <w:rsid w:val="006D0CEA"/>
    <w:rsid w:val="006D14A3"/>
    <w:rsid w:val="006D14F0"/>
    <w:rsid w:val="006D1DC6"/>
    <w:rsid w:val="006D2023"/>
    <w:rsid w:val="006D23B4"/>
    <w:rsid w:val="006D27FD"/>
    <w:rsid w:val="006D30E0"/>
    <w:rsid w:val="006D3138"/>
    <w:rsid w:val="006D4710"/>
    <w:rsid w:val="006D5D80"/>
    <w:rsid w:val="006D6A45"/>
    <w:rsid w:val="006D7343"/>
    <w:rsid w:val="006D74A3"/>
    <w:rsid w:val="006E0145"/>
    <w:rsid w:val="006E01FD"/>
    <w:rsid w:val="006E09CD"/>
    <w:rsid w:val="006E0EB0"/>
    <w:rsid w:val="006E19B8"/>
    <w:rsid w:val="006E20CB"/>
    <w:rsid w:val="006E234B"/>
    <w:rsid w:val="006E2E2B"/>
    <w:rsid w:val="006E3AE4"/>
    <w:rsid w:val="006E50F8"/>
    <w:rsid w:val="006E569E"/>
    <w:rsid w:val="006E5AF2"/>
    <w:rsid w:val="006E60B2"/>
    <w:rsid w:val="006E6556"/>
    <w:rsid w:val="006E687B"/>
    <w:rsid w:val="006E7469"/>
    <w:rsid w:val="006F0145"/>
    <w:rsid w:val="006F16A1"/>
    <w:rsid w:val="006F1955"/>
    <w:rsid w:val="006F20FE"/>
    <w:rsid w:val="006F22B8"/>
    <w:rsid w:val="006F3193"/>
    <w:rsid w:val="006F345E"/>
    <w:rsid w:val="006F39BD"/>
    <w:rsid w:val="006F44A7"/>
    <w:rsid w:val="006F53DD"/>
    <w:rsid w:val="006F595D"/>
    <w:rsid w:val="006F76FE"/>
    <w:rsid w:val="006F7D83"/>
    <w:rsid w:val="007002AA"/>
    <w:rsid w:val="00700303"/>
    <w:rsid w:val="00701011"/>
    <w:rsid w:val="00701457"/>
    <w:rsid w:val="007025E1"/>
    <w:rsid w:val="007027AA"/>
    <w:rsid w:val="00703438"/>
    <w:rsid w:val="00706551"/>
    <w:rsid w:val="00706A52"/>
    <w:rsid w:val="00706F60"/>
    <w:rsid w:val="007100A0"/>
    <w:rsid w:val="0071084E"/>
    <w:rsid w:val="007109D0"/>
    <w:rsid w:val="00710E98"/>
    <w:rsid w:val="007125D5"/>
    <w:rsid w:val="00712CF7"/>
    <w:rsid w:val="00713BD0"/>
    <w:rsid w:val="007148C5"/>
    <w:rsid w:val="00714934"/>
    <w:rsid w:val="00716196"/>
    <w:rsid w:val="007165B4"/>
    <w:rsid w:val="00716E25"/>
    <w:rsid w:val="0071731A"/>
    <w:rsid w:val="00720212"/>
    <w:rsid w:val="00720928"/>
    <w:rsid w:val="00720E5E"/>
    <w:rsid w:val="007212AA"/>
    <w:rsid w:val="00721F3D"/>
    <w:rsid w:val="00722F05"/>
    <w:rsid w:val="00723274"/>
    <w:rsid w:val="0072484B"/>
    <w:rsid w:val="00724F4B"/>
    <w:rsid w:val="007252DC"/>
    <w:rsid w:val="007268F6"/>
    <w:rsid w:val="0072773D"/>
    <w:rsid w:val="00727FD7"/>
    <w:rsid w:val="00730ED1"/>
    <w:rsid w:val="0073183E"/>
    <w:rsid w:val="00732711"/>
    <w:rsid w:val="00732BD9"/>
    <w:rsid w:val="00733A73"/>
    <w:rsid w:val="007341E9"/>
    <w:rsid w:val="00734F9B"/>
    <w:rsid w:val="00735509"/>
    <w:rsid w:val="00735E9D"/>
    <w:rsid w:val="007400C7"/>
    <w:rsid w:val="007413D5"/>
    <w:rsid w:val="00741D0D"/>
    <w:rsid w:val="00741DA8"/>
    <w:rsid w:val="007421C4"/>
    <w:rsid w:val="0074266A"/>
    <w:rsid w:val="0074377F"/>
    <w:rsid w:val="00743862"/>
    <w:rsid w:val="00744047"/>
    <w:rsid w:val="00744126"/>
    <w:rsid w:val="0074494F"/>
    <w:rsid w:val="00744AA9"/>
    <w:rsid w:val="00745654"/>
    <w:rsid w:val="007469DA"/>
    <w:rsid w:val="00746C99"/>
    <w:rsid w:val="00747A46"/>
    <w:rsid w:val="00747CBB"/>
    <w:rsid w:val="00751055"/>
    <w:rsid w:val="0075348D"/>
    <w:rsid w:val="0075398D"/>
    <w:rsid w:val="00753C37"/>
    <w:rsid w:val="00753E24"/>
    <w:rsid w:val="00753FC4"/>
    <w:rsid w:val="00754697"/>
    <w:rsid w:val="007549C0"/>
    <w:rsid w:val="00755788"/>
    <w:rsid w:val="007559AB"/>
    <w:rsid w:val="00755CBB"/>
    <w:rsid w:val="00757422"/>
    <w:rsid w:val="00757CA8"/>
    <w:rsid w:val="00761E88"/>
    <w:rsid w:val="00762474"/>
    <w:rsid w:val="00762A78"/>
    <w:rsid w:val="00764CE2"/>
    <w:rsid w:val="007654F9"/>
    <w:rsid w:val="00765882"/>
    <w:rsid w:val="00766D72"/>
    <w:rsid w:val="0076723F"/>
    <w:rsid w:val="00767D53"/>
    <w:rsid w:val="00767DBA"/>
    <w:rsid w:val="007700A5"/>
    <w:rsid w:val="007700FC"/>
    <w:rsid w:val="00771FA6"/>
    <w:rsid w:val="00772D25"/>
    <w:rsid w:val="00772FEF"/>
    <w:rsid w:val="0077383F"/>
    <w:rsid w:val="00773883"/>
    <w:rsid w:val="00773F87"/>
    <w:rsid w:val="00774BB8"/>
    <w:rsid w:val="00774D43"/>
    <w:rsid w:val="0077615B"/>
    <w:rsid w:val="007774E0"/>
    <w:rsid w:val="00777745"/>
    <w:rsid w:val="0078123F"/>
    <w:rsid w:val="00781529"/>
    <w:rsid w:val="00781728"/>
    <w:rsid w:val="007818B8"/>
    <w:rsid w:val="00782876"/>
    <w:rsid w:val="00782AAD"/>
    <w:rsid w:val="00782C82"/>
    <w:rsid w:val="007838D4"/>
    <w:rsid w:val="00784AC2"/>
    <w:rsid w:val="007851F5"/>
    <w:rsid w:val="00785D20"/>
    <w:rsid w:val="007864CF"/>
    <w:rsid w:val="007869A1"/>
    <w:rsid w:val="00786B08"/>
    <w:rsid w:val="007876BC"/>
    <w:rsid w:val="00787783"/>
    <w:rsid w:val="00790180"/>
    <w:rsid w:val="00791BB9"/>
    <w:rsid w:val="0079205C"/>
    <w:rsid w:val="00792E1F"/>
    <w:rsid w:val="0079375E"/>
    <w:rsid w:val="0079390A"/>
    <w:rsid w:val="00793AD5"/>
    <w:rsid w:val="00793B70"/>
    <w:rsid w:val="00795B6A"/>
    <w:rsid w:val="007966FA"/>
    <w:rsid w:val="00796E0B"/>
    <w:rsid w:val="00797418"/>
    <w:rsid w:val="007A0151"/>
    <w:rsid w:val="007A019A"/>
    <w:rsid w:val="007A118F"/>
    <w:rsid w:val="007A2872"/>
    <w:rsid w:val="007A2A9E"/>
    <w:rsid w:val="007A329E"/>
    <w:rsid w:val="007A4255"/>
    <w:rsid w:val="007A430A"/>
    <w:rsid w:val="007A49E3"/>
    <w:rsid w:val="007A59BE"/>
    <w:rsid w:val="007A6B6B"/>
    <w:rsid w:val="007A7C2D"/>
    <w:rsid w:val="007A7F88"/>
    <w:rsid w:val="007B081E"/>
    <w:rsid w:val="007B1B7A"/>
    <w:rsid w:val="007B1C1F"/>
    <w:rsid w:val="007B23D5"/>
    <w:rsid w:val="007B2918"/>
    <w:rsid w:val="007B2F83"/>
    <w:rsid w:val="007B3C71"/>
    <w:rsid w:val="007B4C72"/>
    <w:rsid w:val="007B5F50"/>
    <w:rsid w:val="007B691E"/>
    <w:rsid w:val="007B6C9F"/>
    <w:rsid w:val="007B7621"/>
    <w:rsid w:val="007B7891"/>
    <w:rsid w:val="007B7CFC"/>
    <w:rsid w:val="007C01E3"/>
    <w:rsid w:val="007C0380"/>
    <w:rsid w:val="007C4BB8"/>
    <w:rsid w:val="007C4E9C"/>
    <w:rsid w:val="007C63AF"/>
    <w:rsid w:val="007C64A7"/>
    <w:rsid w:val="007C652B"/>
    <w:rsid w:val="007C66E4"/>
    <w:rsid w:val="007C7A39"/>
    <w:rsid w:val="007C7AB8"/>
    <w:rsid w:val="007D1261"/>
    <w:rsid w:val="007D2193"/>
    <w:rsid w:val="007D27E1"/>
    <w:rsid w:val="007D35C1"/>
    <w:rsid w:val="007D4BD1"/>
    <w:rsid w:val="007D5776"/>
    <w:rsid w:val="007D655A"/>
    <w:rsid w:val="007D687F"/>
    <w:rsid w:val="007E0210"/>
    <w:rsid w:val="007E0438"/>
    <w:rsid w:val="007E224B"/>
    <w:rsid w:val="007E27CB"/>
    <w:rsid w:val="007E3068"/>
    <w:rsid w:val="007E4D56"/>
    <w:rsid w:val="007E4E4F"/>
    <w:rsid w:val="007E4E5A"/>
    <w:rsid w:val="007E5DC1"/>
    <w:rsid w:val="007E6385"/>
    <w:rsid w:val="007E69C9"/>
    <w:rsid w:val="007E6E17"/>
    <w:rsid w:val="007E7635"/>
    <w:rsid w:val="007E7B44"/>
    <w:rsid w:val="007F00FD"/>
    <w:rsid w:val="007F0829"/>
    <w:rsid w:val="007F1F43"/>
    <w:rsid w:val="007F29B9"/>
    <w:rsid w:val="007F42EE"/>
    <w:rsid w:val="007F5C6D"/>
    <w:rsid w:val="007F640D"/>
    <w:rsid w:val="007F6AF6"/>
    <w:rsid w:val="0080020A"/>
    <w:rsid w:val="0080024A"/>
    <w:rsid w:val="00803883"/>
    <w:rsid w:val="008055C3"/>
    <w:rsid w:val="008058E5"/>
    <w:rsid w:val="00805DD7"/>
    <w:rsid w:val="00806531"/>
    <w:rsid w:val="0080708B"/>
    <w:rsid w:val="00807178"/>
    <w:rsid w:val="00807A8C"/>
    <w:rsid w:val="0081141E"/>
    <w:rsid w:val="008118BD"/>
    <w:rsid w:val="008125C9"/>
    <w:rsid w:val="0081298F"/>
    <w:rsid w:val="008131B1"/>
    <w:rsid w:val="00813917"/>
    <w:rsid w:val="00814C6D"/>
    <w:rsid w:val="008151A6"/>
    <w:rsid w:val="00815C59"/>
    <w:rsid w:val="00815EED"/>
    <w:rsid w:val="00816616"/>
    <w:rsid w:val="00817409"/>
    <w:rsid w:val="0081766F"/>
    <w:rsid w:val="00820D51"/>
    <w:rsid w:val="00821B7B"/>
    <w:rsid w:val="008223D7"/>
    <w:rsid w:val="00822956"/>
    <w:rsid w:val="00823A63"/>
    <w:rsid w:val="00824645"/>
    <w:rsid w:val="0082464E"/>
    <w:rsid w:val="00824A7C"/>
    <w:rsid w:val="00824DD7"/>
    <w:rsid w:val="00824F5A"/>
    <w:rsid w:val="008255BB"/>
    <w:rsid w:val="00825F13"/>
    <w:rsid w:val="008260D2"/>
    <w:rsid w:val="00826C6F"/>
    <w:rsid w:val="008275AD"/>
    <w:rsid w:val="00827E71"/>
    <w:rsid w:val="00830803"/>
    <w:rsid w:val="008328D2"/>
    <w:rsid w:val="0083493F"/>
    <w:rsid w:val="00835D9B"/>
    <w:rsid w:val="00835F20"/>
    <w:rsid w:val="008360D4"/>
    <w:rsid w:val="008360FC"/>
    <w:rsid w:val="00836490"/>
    <w:rsid w:val="008366D0"/>
    <w:rsid w:val="008376C1"/>
    <w:rsid w:val="0084088F"/>
    <w:rsid w:val="00840B70"/>
    <w:rsid w:val="008436B5"/>
    <w:rsid w:val="00843894"/>
    <w:rsid w:val="00844301"/>
    <w:rsid w:val="0084442E"/>
    <w:rsid w:val="0084479C"/>
    <w:rsid w:val="00845BE8"/>
    <w:rsid w:val="008460FD"/>
    <w:rsid w:val="008465A5"/>
    <w:rsid w:val="00847502"/>
    <w:rsid w:val="008477E3"/>
    <w:rsid w:val="00851AA4"/>
    <w:rsid w:val="008551A6"/>
    <w:rsid w:val="00855FDD"/>
    <w:rsid w:val="0085610F"/>
    <w:rsid w:val="00856E28"/>
    <w:rsid w:val="008573E9"/>
    <w:rsid w:val="00860598"/>
    <w:rsid w:val="00860A6E"/>
    <w:rsid w:val="008613DC"/>
    <w:rsid w:val="0086173C"/>
    <w:rsid w:val="00861DF7"/>
    <w:rsid w:val="00862287"/>
    <w:rsid w:val="0086228B"/>
    <w:rsid w:val="00862442"/>
    <w:rsid w:val="00862556"/>
    <w:rsid w:val="00862B7A"/>
    <w:rsid w:val="00863723"/>
    <w:rsid w:val="00864DA5"/>
    <w:rsid w:val="00865728"/>
    <w:rsid w:val="00865806"/>
    <w:rsid w:val="0086591E"/>
    <w:rsid w:val="00865A4D"/>
    <w:rsid w:val="00865DD4"/>
    <w:rsid w:val="008664EC"/>
    <w:rsid w:val="0086665E"/>
    <w:rsid w:val="00870EA0"/>
    <w:rsid w:val="00870FB4"/>
    <w:rsid w:val="0087109D"/>
    <w:rsid w:val="00872C16"/>
    <w:rsid w:val="00872D65"/>
    <w:rsid w:val="00875F27"/>
    <w:rsid w:val="00876AAA"/>
    <w:rsid w:val="00877D9E"/>
    <w:rsid w:val="00880477"/>
    <w:rsid w:val="0088051C"/>
    <w:rsid w:val="00880779"/>
    <w:rsid w:val="00880BE7"/>
    <w:rsid w:val="00882845"/>
    <w:rsid w:val="0088314B"/>
    <w:rsid w:val="008843D6"/>
    <w:rsid w:val="008853D2"/>
    <w:rsid w:val="00886E88"/>
    <w:rsid w:val="00887AE5"/>
    <w:rsid w:val="0089094D"/>
    <w:rsid w:val="008926C7"/>
    <w:rsid w:val="00892B68"/>
    <w:rsid w:val="00892D07"/>
    <w:rsid w:val="00894A15"/>
    <w:rsid w:val="00896E1E"/>
    <w:rsid w:val="008975EF"/>
    <w:rsid w:val="0089783A"/>
    <w:rsid w:val="00897E87"/>
    <w:rsid w:val="008A0C80"/>
    <w:rsid w:val="008A2F56"/>
    <w:rsid w:val="008A3A5F"/>
    <w:rsid w:val="008A3F7A"/>
    <w:rsid w:val="008A5DA7"/>
    <w:rsid w:val="008A6D4A"/>
    <w:rsid w:val="008A70A5"/>
    <w:rsid w:val="008A75CD"/>
    <w:rsid w:val="008A791F"/>
    <w:rsid w:val="008A7B7F"/>
    <w:rsid w:val="008B0402"/>
    <w:rsid w:val="008B11FB"/>
    <w:rsid w:val="008B1F83"/>
    <w:rsid w:val="008B43F3"/>
    <w:rsid w:val="008B51C4"/>
    <w:rsid w:val="008B5252"/>
    <w:rsid w:val="008B65C4"/>
    <w:rsid w:val="008B710E"/>
    <w:rsid w:val="008B7162"/>
    <w:rsid w:val="008B788E"/>
    <w:rsid w:val="008B7A6E"/>
    <w:rsid w:val="008B7EA7"/>
    <w:rsid w:val="008C153B"/>
    <w:rsid w:val="008C1AE7"/>
    <w:rsid w:val="008C207D"/>
    <w:rsid w:val="008C3459"/>
    <w:rsid w:val="008C347A"/>
    <w:rsid w:val="008C3AC3"/>
    <w:rsid w:val="008C3B9A"/>
    <w:rsid w:val="008C40FD"/>
    <w:rsid w:val="008C5C9A"/>
    <w:rsid w:val="008C62C0"/>
    <w:rsid w:val="008C792F"/>
    <w:rsid w:val="008D0E13"/>
    <w:rsid w:val="008D136D"/>
    <w:rsid w:val="008D3E7F"/>
    <w:rsid w:val="008D4870"/>
    <w:rsid w:val="008D56D4"/>
    <w:rsid w:val="008D5E7E"/>
    <w:rsid w:val="008D5EB3"/>
    <w:rsid w:val="008D649A"/>
    <w:rsid w:val="008D65C0"/>
    <w:rsid w:val="008D7756"/>
    <w:rsid w:val="008D7C7F"/>
    <w:rsid w:val="008E18D5"/>
    <w:rsid w:val="008E3A5E"/>
    <w:rsid w:val="008E3C4C"/>
    <w:rsid w:val="008E41BB"/>
    <w:rsid w:val="008E4B7F"/>
    <w:rsid w:val="008E591C"/>
    <w:rsid w:val="008E5EB8"/>
    <w:rsid w:val="008E62DF"/>
    <w:rsid w:val="008F018B"/>
    <w:rsid w:val="008F0426"/>
    <w:rsid w:val="008F073C"/>
    <w:rsid w:val="008F0A67"/>
    <w:rsid w:val="008F23A4"/>
    <w:rsid w:val="008F2BB6"/>
    <w:rsid w:val="008F35D8"/>
    <w:rsid w:val="008F4228"/>
    <w:rsid w:val="008F4328"/>
    <w:rsid w:val="008F5081"/>
    <w:rsid w:val="008F6E78"/>
    <w:rsid w:val="00900842"/>
    <w:rsid w:val="0090110F"/>
    <w:rsid w:val="0090211C"/>
    <w:rsid w:val="009025F6"/>
    <w:rsid w:val="0090356A"/>
    <w:rsid w:val="009037CA"/>
    <w:rsid w:val="00903D64"/>
    <w:rsid w:val="00904045"/>
    <w:rsid w:val="00904B2A"/>
    <w:rsid w:val="0090639A"/>
    <w:rsid w:val="0090666B"/>
    <w:rsid w:val="00906EE5"/>
    <w:rsid w:val="00906F52"/>
    <w:rsid w:val="009071CB"/>
    <w:rsid w:val="00912C8C"/>
    <w:rsid w:val="00912F25"/>
    <w:rsid w:val="00913F7C"/>
    <w:rsid w:val="0091452F"/>
    <w:rsid w:val="00914607"/>
    <w:rsid w:val="0091704E"/>
    <w:rsid w:val="00917335"/>
    <w:rsid w:val="009200B4"/>
    <w:rsid w:val="0092060E"/>
    <w:rsid w:val="009218FD"/>
    <w:rsid w:val="009228D3"/>
    <w:rsid w:val="00924C3D"/>
    <w:rsid w:val="00924C55"/>
    <w:rsid w:val="009250D4"/>
    <w:rsid w:val="009253F5"/>
    <w:rsid w:val="00926D15"/>
    <w:rsid w:val="00927811"/>
    <w:rsid w:val="00930411"/>
    <w:rsid w:val="00930B7D"/>
    <w:rsid w:val="009311A8"/>
    <w:rsid w:val="00934430"/>
    <w:rsid w:val="0093492B"/>
    <w:rsid w:val="00935157"/>
    <w:rsid w:val="00935A53"/>
    <w:rsid w:val="00935A99"/>
    <w:rsid w:val="00935CCA"/>
    <w:rsid w:val="00936AB2"/>
    <w:rsid w:val="00936B5D"/>
    <w:rsid w:val="0093745C"/>
    <w:rsid w:val="0094032A"/>
    <w:rsid w:val="00941CF8"/>
    <w:rsid w:val="00942D3E"/>
    <w:rsid w:val="00943A7B"/>
    <w:rsid w:val="009440F2"/>
    <w:rsid w:val="00944206"/>
    <w:rsid w:val="009451B7"/>
    <w:rsid w:val="00945963"/>
    <w:rsid w:val="00945A15"/>
    <w:rsid w:val="00945E99"/>
    <w:rsid w:val="0094789F"/>
    <w:rsid w:val="0095099F"/>
    <w:rsid w:val="009509E5"/>
    <w:rsid w:val="009511CD"/>
    <w:rsid w:val="00952401"/>
    <w:rsid w:val="00952B71"/>
    <w:rsid w:val="00954479"/>
    <w:rsid w:val="009547A8"/>
    <w:rsid w:val="00955147"/>
    <w:rsid w:val="009556F9"/>
    <w:rsid w:val="00955CD1"/>
    <w:rsid w:val="00956279"/>
    <w:rsid w:val="00956490"/>
    <w:rsid w:val="00956AA9"/>
    <w:rsid w:val="00957098"/>
    <w:rsid w:val="009575A0"/>
    <w:rsid w:val="00957E5C"/>
    <w:rsid w:val="00960004"/>
    <w:rsid w:val="00960046"/>
    <w:rsid w:val="00960B18"/>
    <w:rsid w:val="00962114"/>
    <w:rsid w:val="00962597"/>
    <w:rsid w:val="00962E70"/>
    <w:rsid w:val="00963F6C"/>
    <w:rsid w:val="00964D0E"/>
    <w:rsid w:val="009655AE"/>
    <w:rsid w:val="00966A29"/>
    <w:rsid w:val="00966F15"/>
    <w:rsid w:val="00966F61"/>
    <w:rsid w:val="00966FEB"/>
    <w:rsid w:val="00967408"/>
    <w:rsid w:val="00970BC8"/>
    <w:rsid w:val="00971280"/>
    <w:rsid w:val="00971BBB"/>
    <w:rsid w:val="009735B0"/>
    <w:rsid w:val="00973F09"/>
    <w:rsid w:val="00974D6C"/>
    <w:rsid w:val="0097642D"/>
    <w:rsid w:val="00977559"/>
    <w:rsid w:val="00977A2C"/>
    <w:rsid w:val="00977CBB"/>
    <w:rsid w:val="0098008A"/>
    <w:rsid w:val="00980424"/>
    <w:rsid w:val="00980857"/>
    <w:rsid w:val="00981A9C"/>
    <w:rsid w:val="00981FDA"/>
    <w:rsid w:val="00982CCF"/>
    <w:rsid w:val="009831E7"/>
    <w:rsid w:val="00983217"/>
    <w:rsid w:val="0098496A"/>
    <w:rsid w:val="00984F4F"/>
    <w:rsid w:val="00985147"/>
    <w:rsid w:val="0098519B"/>
    <w:rsid w:val="00986551"/>
    <w:rsid w:val="00987735"/>
    <w:rsid w:val="009906C8"/>
    <w:rsid w:val="0099174F"/>
    <w:rsid w:val="00991C33"/>
    <w:rsid w:val="00992193"/>
    <w:rsid w:val="00992209"/>
    <w:rsid w:val="00992830"/>
    <w:rsid w:val="00992F80"/>
    <w:rsid w:val="00993D4E"/>
    <w:rsid w:val="009941D5"/>
    <w:rsid w:val="00994A11"/>
    <w:rsid w:val="00994C20"/>
    <w:rsid w:val="0099572A"/>
    <w:rsid w:val="0099664F"/>
    <w:rsid w:val="00996F26"/>
    <w:rsid w:val="009972A3"/>
    <w:rsid w:val="00997351"/>
    <w:rsid w:val="00997681"/>
    <w:rsid w:val="009A0E1D"/>
    <w:rsid w:val="009A1DBC"/>
    <w:rsid w:val="009A1E0D"/>
    <w:rsid w:val="009A1FB4"/>
    <w:rsid w:val="009A225B"/>
    <w:rsid w:val="009A27D4"/>
    <w:rsid w:val="009A2B20"/>
    <w:rsid w:val="009A4192"/>
    <w:rsid w:val="009A446D"/>
    <w:rsid w:val="009A4AEE"/>
    <w:rsid w:val="009A5043"/>
    <w:rsid w:val="009A53B3"/>
    <w:rsid w:val="009A6956"/>
    <w:rsid w:val="009B05A6"/>
    <w:rsid w:val="009B17CF"/>
    <w:rsid w:val="009B1F3D"/>
    <w:rsid w:val="009B2952"/>
    <w:rsid w:val="009B2EE7"/>
    <w:rsid w:val="009B4B72"/>
    <w:rsid w:val="009B4B93"/>
    <w:rsid w:val="009B53F3"/>
    <w:rsid w:val="009B6304"/>
    <w:rsid w:val="009B6C59"/>
    <w:rsid w:val="009B76B5"/>
    <w:rsid w:val="009B7F44"/>
    <w:rsid w:val="009C0A86"/>
    <w:rsid w:val="009C0C64"/>
    <w:rsid w:val="009C2070"/>
    <w:rsid w:val="009C253E"/>
    <w:rsid w:val="009C314D"/>
    <w:rsid w:val="009C5B4A"/>
    <w:rsid w:val="009C5D5D"/>
    <w:rsid w:val="009C6E1B"/>
    <w:rsid w:val="009C71CA"/>
    <w:rsid w:val="009C7362"/>
    <w:rsid w:val="009C76E4"/>
    <w:rsid w:val="009C7BA0"/>
    <w:rsid w:val="009D06AF"/>
    <w:rsid w:val="009D171F"/>
    <w:rsid w:val="009D241E"/>
    <w:rsid w:val="009D2541"/>
    <w:rsid w:val="009D29D2"/>
    <w:rsid w:val="009D3086"/>
    <w:rsid w:val="009D3446"/>
    <w:rsid w:val="009D39AA"/>
    <w:rsid w:val="009D3F86"/>
    <w:rsid w:val="009D5BCE"/>
    <w:rsid w:val="009D5DB1"/>
    <w:rsid w:val="009D640F"/>
    <w:rsid w:val="009D6457"/>
    <w:rsid w:val="009D64FF"/>
    <w:rsid w:val="009E055B"/>
    <w:rsid w:val="009E0DA1"/>
    <w:rsid w:val="009E11C6"/>
    <w:rsid w:val="009E27CE"/>
    <w:rsid w:val="009E416B"/>
    <w:rsid w:val="009E4E7F"/>
    <w:rsid w:val="009E4ED1"/>
    <w:rsid w:val="009E621A"/>
    <w:rsid w:val="009E7AF1"/>
    <w:rsid w:val="009F016F"/>
    <w:rsid w:val="009F0431"/>
    <w:rsid w:val="009F110A"/>
    <w:rsid w:val="009F21FB"/>
    <w:rsid w:val="009F4D30"/>
    <w:rsid w:val="009F5789"/>
    <w:rsid w:val="009F582F"/>
    <w:rsid w:val="009F5840"/>
    <w:rsid w:val="009F5BEB"/>
    <w:rsid w:val="009F64F2"/>
    <w:rsid w:val="009F68B6"/>
    <w:rsid w:val="009F7152"/>
    <w:rsid w:val="009F7BDA"/>
    <w:rsid w:val="00A001A7"/>
    <w:rsid w:val="00A00D2A"/>
    <w:rsid w:val="00A019B4"/>
    <w:rsid w:val="00A0282E"/>
    <w:rsid w:val="00A0336E"/>
    <w:rsid w:val="00A036D7"/>
    <w:rsid w:val="00A03FB0"/>
    <w:rsid w:val="00A05020"/>
    <w:rsid w:val="00A050D8"/>
    <w:rsid w:val="00A05E75"/>
    <w:rsid w:val="00A06256"/>
    <w:rsid w:val="00A064E7"/>
    <w:rsid w:val="00A06543"/>
    <w:rsid w:val="00A103F3"/>
    <w:rsid w:val="00A10F50"/>
    <w:rsid w:val="00A12F0E"/>
    <w:rsid w:val="00A13431"/>
    <w:rsid w:val="00A141D2"/>
    <w:rsid w:val="00A148FD"/>
    <w:rsid w:val="00A16B87"/>
    <w:rsid w:val="00A175B7"/>
    <w:rsid w:val="00A20FDF"/>
    <w:rsid w:val="00A216F1"/>
    <w:rsid w:val="00A21B73"/>
    <w:rsid w:val="00A221DC"/>
    <w:rsid w:val="00A2273E"/>
    <w:rsid w:val="00A22B32"/>
    <w:rsid w:val="00A235DD"/>
    <w:rsid w:val="00A239C5"/>
    <w:rsid w:val="00A23F89"/>
    <w:rsid w:val="00A26AAF"/>
    <w:rsid w:val="00A26C6B"/>
    <w:rsid w:val="00A2735D"/>
    <w:rsid w:val="00A2744C"/>
    <w:rsid w:val="00A3276A"/>
    <w:rsid w:val="00A328EA"/>
    <w:rsid w:val="00A32D9B"/>
    <w:rsid w:val="00A3307C"/>
    <w:rsid w:val="00A33102"/>
    <w:rsid w:val="00A33ECE"/>
    <w:rsid w:val="00A3403C"/>
    <w:rsid w:val="00A34B5D"/>
    <w:rsid w:val="00A34F65"/>
    <w:rsid w:val="00A35396"/>
    <w:rsid w:val="00A35E83"/>
    <w:rsid w:val="00A367F9"/>
    <w:rsid w:val="00A36ADB"/>
    <w:rsid w:val="00A409B0"/>
    <w:rsid w:val="00A4130C"/>
    <w:rsid w:val="00A41A55"/>
    <w:rsid w:val="00A43FB7"/>
    <w:rsid w:val="00A44008"/>
    <w:rsid w:val="00A44313"/>
    <w:rsid w:val="00A454B8"/>
    <w:rsid w:val="00A45DD8"/>
    <w:rsid w:val="00A46DE7"/>
    <w:rsid w:val="00A47086"/>
    <w:rsid w:val="00A4737C"/>
    <w:rsid w:val="00A47904"/>
    <w:rsid w:val="00A47C49"/>
    <w:rsid w:val="00A5004D"/>
    <w:rsid w:val="00A525A4"/>
    <w:rsid w:val="00A52660"/>
    <w:rsid w:val="00A53856"/>
    <w:rsid w:val="00A53C6D"/>
    <w:rsid w:val="00A540A7"/>
    <w:rsid w:val="00A5568D"/>
    <w:rsid w:val="00A56A2D"/>
    <w:rsid w:val="00A56E72"/>
    <w:rsid w:val="00A57742"/>
    <w:rsid w:val="00A60399"/>
    <w:rsid w:val="00A60977"/>
    <w:rsid w:val="00A60A62"/>
    <w:rsid w:val="00A6108A"/>
    <w:rsid w:val="00A620B1"/>
    <w:rsid w:val="00A63483"/>
    <w:rsid w:val="00A639AF"/>
    <w:rsid w:val="00A643D1"/>
    <w:rsid w:val="00A65BBC"/>
    <w:rsid w:val="00A66221"/>
    <w:rsid w:val="00A662FB"/>
    <w:rsid w:val="00A676AF"/>
    <w:rsid w:val="00A71A1A"/>
    <w:rsid w:val="00A72D6F"/>
    <w:rsid w:val="00A732B4"/>
    <w:rsid w:val="00A75147"/>
    <w:rsid w:val="00A755CF"/>
    <w:rsid w:val="00A77417"/>
    <w:rsid w:val="00A77756"/>
    <w:rsid w:val="00A80914"/>
    <w:rsid w:val="00A81E79"/>
    <w:rsid w:val="00A82F3E"/>
    <w:rsid w:val="00A8386B"/>
    <w:rsid w:val="00A83BF7"/>
    <w:rsid w:val="00A8739B"/>
    <w:rsid w:val="00A87733"/>
    <w:rsid w:val="00A9075E"/>
    <w:rsid w:val="00A92018"/>
    <w:rsid w:val="00A9300B"/>
    <w:rsid w:val="00A93877"/>
    <w:rsid w:val="00A94971"/>
    <w:rsid w:val="00A94BB2"/>
    <w:rsid w:val="00A97F08"/>
    <w:rsid w:val="00AA0827"/>
    <w:rsid w:val="00AA109E"/>
    <w:rsid w:val="00AA1B85"/>
    <w:rsid w:val="00AA22F1"/>
    <w:rsid w:val="00AA337F"/>
    <w:rsid w:val="00AA4150"/>
    <w:rsid w:val="00AA42F4"/>
    <w:rsid w:val="00AA49A7"/>
    <w:rsid w:val="00AA49D1"/>
    <w:rsid w:val="00AA59CD"/>
    <w:rsid w:val="00AA685A"/>
    <w:rsid w:val="00AB17EB"/>
    <w:rsid w:val="00AB1F44"/>
    <w:rsid w:val="00AB2C0A"/>
    <w:rsid w:val="00AB2EF2"/>
    <w:rsid w:val="00AB31A7"/>
    <w:rsid w:val="00AB33D3"/>
    <w:rsid w:val="00AB3F26"/>
    <w:rsid w:val="00AB6346"/>
    <w:rsid w:val="00AB6D37"/>
    <w:rsid w:val="00AC0175"/>
    <w:rsid w:val="00AC0235"/>
    <w:rsid w:val="00AC0759"/>
    <w:rsid w:val="00AC0A38"/>
    <w:rsid w:val="00AC14FA"/>
    <w:rsid w:val="00AC18DD"/>
    <w:rsid w:val="00AC1BBD"/>
    <w:rsid w:val="00AC1BE3"/>
    <w:rsid w:val="00AC2562"/>
    <w:rsid w:val="00AC295F"/>
    <w:rsid w:val="00AC2FA7"/>
    <w:rsid w:val="00AC3571"/>
    <w:rsid w:val="00AC3C26"/>
    <w:rsid w:val="00AC3C4B"/>
    <w:rsid w:val="00AC48ED"/>
    <w:rsid w:val="00AC4C9B"/>
    <w:rsid w:val="00AC5CA9"/>
    <w:rsid w:val="00AC5E74"/>
    <w:rsid w:val="00AC5EC5"/>
    <w:rsid w:val="00AC6AC7"/>
    <w:rsid w:val="00AC6B09"/>
    <w:rsid w:val="00AC6E1A"/>
    <w:rsid w:val="00AC70E7"/>
    <w:rsid w:val="00AC7174"/>
    <w:rsid w:val="00AD0513"/>
    <w:rsid w:val="00AD0AEB"/>
    <w:rsid w:val="00AD0C54"/>
    <w:rsid w:val="00AD129F"/>
    <w:rsid w:val="00AD13EA"/>
    <w:rsid w:val="00AD1E31"/>
    <w:rsid w:val="00AD2519"/>
    <w:rsid w:val="00AD29EF"/>
    <w:rsid w:val="00AD30B0"/>
    <w:rsid w:val="00AD3B0C"/>
    <w:rsid w:val="00AD40AF"/>
    <w:rsid w:val="00AD45E4"/>
    <w:rsid w:val="00AE1276"/>
    <w:rsid w:val="00AE2C40"/>
    <w:rsid w:val="00AE4429"/>
    <w:rsid w:val="00AE460E"/>
    <w:rsid w:val="00AE4C8B"/>
    <w:rsid w:val="00AE5B8D"/>
    <w:rsid w:val="00AE5FE9"/>
    <w:rsid w:val="00AE66DF"/>
    <w:rsid w:val="00AE6976"/>
    <w:rsid w:val="00AF0CDA"/>
    <w:rsid w:val="00AF107C"/>
    <w:rsid w:val="00AF257D"/>
    <w:rsid w:val="00AF3574"/>
    <w:rsid w:val="00AF36C4"/>
    <w:rsid w:val="00AF39FD"/>
    <w:rsid w:val="00AF4185"/>
    <w:rsid w:val="00AF4A29"/>
    <w:rsid w:val="00AF4F5E"/>
    <w:rsid w:val="00AF5619"/>
    <w:rsid w:val="00B00623"/>
    <w:rsid w:val="00B013F1"/>
    <w:rsid w:val="00B0164A"/>
    <w:rsid w:val="00B01866"/>
    <w:rsid w:val="00B0256A"/>
    <w:rsid w:val="00B02E2F"/>
    <w:rsid w:val="00B030EF"/>
    <w:rsid w:val="00B0326C"/>
    <w:rsid w:val="00B03B73"/>
    <w:rsid w:val="00B0542D"/>
    <w:rsid w:val="00B0651F"/>
    <w:rsid w:val="00B10A27"/>
    <w:rsid w:val="00B11033"/>
    <w:rsid w:val="00B1115F"/>
    <w:rsid w:val="00B133A4"/>
    <w:rsid w:val="00B13A36"/>
    <w:rsid w:val="00B13A85"/>
    <w:rsid w:val="00B154DA"/>
    <w:rsid w:val="00B16005"/>
    <w:rsid w:val="00B1609A"/>
    <w:rsid w:val="00B17303"/>
    <w:rsid w:val="00B1775F"/>
    <w:rsid w:val="00B17E4A"/>
    <w:rsid w:val="00B20651"/>
    <w:rsid w:val="00B21192"/>
    <w:rsid w:val="00B215B7"/>
    <w:rsid w:val="00B21D43"/>
    <w:rsid w:val="00B21D99"/>
    <w:rsid w:val="00B22F18"/>
    <w:rsid w:val="00B24535"/>
    <w:rsid w:val="00B248FD"/>
    <w:rsid w:val="00B25704"/>
    <w:rsid w:val="00B2635C"/>
    <w:rsid w:val="00B2682F"/>
    <w:rsid w:val="00B274E2"/>
    <w:rsid w:val="00B27A09"/>
    <w:rsid w:val="00B30C00"/>
    <w:rsid w:val="00B30F7B"/>
    <w:rsid w:val="00B312AC"/>
    <w:rsid w:val="00B336F1"/>
    <w:rsid w:val="00B3435A"/>
    <w:rsid w:val="00B345C1"/>
    <w:rsid w:val="00B36618"/>
    <w:rsid w:val="00B3795A"/>
    <w:rsid w:val="00B40170"/>
    <w:rsid w:val="00B40553"/>
    <w:rsid w:val="00B40D2C"/>
    <w:rsid w:val="00B4166E"/>
    <w:rsid w:val="00B41917"/>
    <w:rsid w:val="00B41D23"/>
    <w:rsid w:val="00B41F6D"/>
    <w:rsid w:val="00B42E64"/>
    <w:rsid w:val="00B43592"/>
    <w:rsid w:val="00B43725"/>
    <w:rsid w:val="00B438E0"/>
    <w:rsid w:val="00B439E3"/>
    <w:rsid w:val="00B447BD"/>
    <w:rsid w:val="00B4516F"/>
    <w:rsid w:val="00B45244"/>
    <w:rsid w:val="00B46161"/>
    <w:rsid w:val="00B513C2"/>
    <w:rsid w:val="00B5169B"/>
    <w:rsid w:val="00B52593"/>
    <w:rsid w:val="00B538D4"/>
    <w:rsid w:val="00B55066"/>
    <w:rsid w:val="00B56103"/>
    <w:rsid w:val="00B56174"/>
    <w:rsid w:val="00B5725A"/>
    <w:rsid w:val="00B57725"/>
    <w:rsid w:val="00B5776E"/>
    <w:rsid w:val="00B57FD7"/>
    <w:rsid w:val="00B6026C"/>
    <w:rsid w:val="00B60BAC"/>
    <w:rsid w:val="00B610F0"/>
    <w:rsid w:val="00B61107"/>
    <w:rsid w:val="00B619B6"/>
    <w:rsid w:val="00B625E2"/>
    <w:rsid w:val="00B630A7"/>
    <w:rsid w:val="00B632A6"/>
    <w:rsid w:val="00B63889"/>
    <w:rsid w:val="00B63DD7"/>
    <w:rsid w:val="00B64519"/>
    <w:rsid w:val="00B646D2"/>
    <w:rsid w:val="00B64AA5"/>
    <w:rsid w:val="00B64DB7"/>
    <w:rsid w:val="00B64E38"/>
    <w:rsid w:val="00B671CD"/>
    <w:rsid w:val="00B67B9F"/>
    <w:rsid w:val="00B706C5"/>
    <w:rsid w:val="00B70993"/>
    <w:rsid w:val="00B718FF"/>
    <w:rsid w:val="00B71DE2"/>
    <w:rsid w:val="00B72CA4"/>
    <w:rsid w:val="00B73AFE"/>
    <w:rsid w:val="00B74080"/>
    <w:rsid w:val="00B74876"/>
    <w:rsid w:val="00B75032"/>
    <w:rsid w:val="00B75704"/>
    <w:rsid w:val="00B75788"/>
    <w:rsid w:val="00B75C10"/>
    <w:rsid w:val="00B762E0"/>
    <w:rsid w:val="00B77640"/>
    <w:rsid w:val="00B77C52"/>
    <w:rsid w:val="00B80136"/>
    <w:rsid w:val="00B831DD"/>
    <w:rsid w:val="00B84944"/>
    <w:rsid w:val="00B85C07"/>
    <w:rsid w:val="00B85D94"/>
    <w:rsid w:val="00B86356"/>
    <w:rsid w:val="00B86653"/>
    <w:rsid w:val="00B87D39"/>
    <w:rsid w:val="00B90B61"/>
    <w:rsid w:val="00B91085"/>
    <w:rsid w:val="00B9242F"/>
    <w:rsid w:val="00B92C88"/>
    <w:rsid w:val="00B92DB2"/>
    <w:rsid w:val="00B92F65"/>
    <w:rsid w:val="00B93030"/>
    <w:rsid w:val="00B943A3"/>
    <w:rsid w:val="00B94BE4"/>
    <w:rsid w:val="00B94EA3"/>
    <w:rsid w:val="00B95A37"/>
    <w:rsid w:val="00B96840"/>
    <w:rsid w:val="00B96DC0"/>
    <w:rsid w:val="00B978F4"/>
    <w:rsid w:val="00BA1C19"/>
    <w:rsid w:val="00BA22D3"/>
    <w:rsid w:val="00BA4CF4"/>
    <w:rsid w:val="00BA4D94"/>
    <w:rsid w:val="00BA6314"/>
    <w:rsid w:val="00BA6804"/>
    <w:rsid w:val="00BA6C45"/>
    <w:rsid w:val="00BA7619"/>
    <w:rsid w:val="00BA77AC"/>
    <w:rsid w:val="00BB193C"/>
    <w:rsid w:val="00BB2D78"/>
    <w:rsid w:val="00BB39A0"/>
    <w:rsid w:val="00BB4305"/>
    <w:rsid w:val="00BB49CA"/>
    <w:rsid w:val="00BB5904"/>
    <w:rsid w:val="00BB6B3D"/>
    <w:rsid w:val="00BB7112"/>
    <w:rsid w:val="00BC00A7"/>
    <w:rsid w:val="00BC1C39"/>
    <w:rsid w:val="00BC42C0"/>
    <w:rsid w:val="00BC454E"/>
    <w:rsid w:val="00BC4756"/>
    <w:rsid w:val="00BC58D7"/>
    <w:rsid w:val="00BC6785"/>
    <w:rsid w:val="00BC6D6E"/>
    <w:rsid w:val="00BC6F4B"/>
    <w:rsid w:val="00BC71F9"/>
    <w:rsid w:val="00BD04B6"/>
    <w:rsid w:val="00BD04D6"/>
    <w:rsid w:val="00BD19BE"/>
    <w:rsid w:val="00BD1D82"/>
    <w:rsid w:val="00BD25D5"/>
    <w:rsid w:val="00BD2E22"/>
    <w:rsid w:val="00BD2E83"/>
    <w:rsid w:val="00BD3031"/>
    <w:rsid w:val="00BD4153"/>
    <w:rsid w:val="00BD41F3"/>
    <w:rsid w:val="00BD4701"/>
    <w:rsid w:val="00BD47A3"/>
    <w:rsid w:val="00BD655E"/>
    <w:rsid w:val="00BD7340"/>
    <w:rsid w:val="00BD7F17"/>
    <w:rsid w:val="00BE0C4E"/>
    <w:rsid w:val="00BE167B"/>
    <w:rsid w:val="00BE1E37"/>
    <w:rsid w:val="00BE34F7"/>
    <w:rsid w:val="00BE4104"/>
    <w:rsid w:val="00BE601B"/>
    <w:rsid w:val="00BE6EAB"/>
    <w:rsid w:val="00BE7517"/>
    <w:rsid w:val="00BE7888"/>
    <w:rsid w:val="00BF0111"/>
    <w:rsid w:val="00BF0843"/>
    <w:rsid w:val="00BF1CBA"/>
    <w:rsid w:val="00BF230F"/>
    <w:rsid w:val="00BF3481"/>
    <w:rsid w:val="00BF401E"/>
    <w:rsid w:val="00BF4568"/>
    <w:rsid w:val="00BF46F6"/>
    <w:rsid w:val="00BF5266"/>
    <w:rsid w:val="00BF59BE"/>
    <w:rsid w:val="00BF65AC"/>
    <w:rsid w:val="00BF71D3"/>
    <w:rsid w:val="00BF7BFF"/>
    <w:rsid w:val="00BF7FE2"/>
    <w:rsid w:val="00C0009D"/>
    <w:rsid w:val="00C0028E"/>
    <w:rsid w:val="00C0140A"/>
    <w:rsid w:val="00C031E2"/>
    <w:rsid w:val="00C036AA"/>
    <w:rsid w:val="00C044B3"/>
    <w:rsid w:val="00C04E9A"/>
    <w:rsid w:val="00C05163"/>
    <w:rsid w:val="00C06064"/>
    <w:rsid w:val="00C063C9"/>
    <w:rsid w:val="00C06629"/>
    <w:rsid w:val="00C06C80"/>
    <w:rsid w:val="00C071A2"/>
    <w:rsid w:val="00C07B3E"/>
    <w:rsid w:val="00C1084E"/>
    <w:rsid w:val="00C134F3"/>
    <w:rsid w:val="00C143E8"/>
    <w:rsid w:val="00C1667E"/>
    <w:rsid w:val="00C16FC2"/>
    <w:rsid w:val="00C1752C"/>
    <w:rsid w:val="00C1755F"/>
    <w:rsid w:val="00C17C48"/>
    <w:rsid w:val="00C2095D"/>
    <w:rsid w:val="00C20B3C"/>
    <w:rsid w:val="00C217F9"/>
    <w:rsid w:val="00C22826"/>
    <w:rsid w:val="00C23AB0"/>
    <w:rsid w:val="00C2480A"/>
    <w:rsid w:val="00C25458"/>
    <w:rsid w:val="00C25E32"/>
    <w:rsid w:val="00C2610A"/>
    <w:rsid w:val="00C268A5"/>
    <w:rsid w:val="00C26F1F"/>
    <w:rsid w:val="00C2739A"/>
    <w:rsid w:val="00C3050A"/>
    <w:rsid w:val="00C31A56"/>
    <w:rsid w:val="00C3244E"/>
    <w:rsid w:val="00C326F4"/>
    <w:rsid w:val="00C33304"/>
    <w:rsid w:val="00C343D2"/>
    <w:rsid w:val="00C377B4"/>
    <w:rsid w:val="00C40827"/>
    <w:rsid w:val="00C41B83"/>
    <w:rsid w:val="00C41C08"/>
    <w:rsid w:val="00C427AC"/>
    <w:rsid w:val="00C4360D"/>
    <w:rsid w:val="00C43749"/>
    <w:rsid w:val="00C43786"/>
    <w:rsid w:val="00C45ADA"/>
    <w:rsid w:val="00C464F2"/>
    <w:rsid w:val="00C46941"/>
    <w:rsid w:val="00C473DE"/>
    <w:rsid w:val="00C475D7"/>
    <w:rsid w:val="00C47CE5"/>
    <w:rsid w:val="00C47F03"/>
    <w:rsid w:val="00C51282"/>
    <w:rsid w:val="00C5187F"/>
    <w:rsid w:val="00C52194"/>
    <w:rsid w:val="00C52743"/>
    <w:rsid w:val="00C53818"/>
    <w:rsid w:val="00C53B64"/>
    <w:rsid w:val="00C56B46"/>
    <w:rsid w:val="00C57C7C"/>
    <w:rsid w:val="00C60160"/>
    <w:rsid w:val="00C601C0"/>
    <w:rsid w:val="00C6020A"/>
    <w:rsid w:val="00C6080F"/>
    <w:rsid w:val="00C6191D"/>
    <w:rsid w:val="00C62B98"/>
    <w:rsid w:val="00C6678B"/>
    <w:rsid w:val="00C66800"/>
    <w:rsid w:val="00C66C81"/>
    <w:rsid w:val="00C67B4F"/>
    <w:rsid w:val="00C7081B"/>
    <w:rsid w:val="00C70F1D"/>
    <w:rsid w:val="00C71E72"/>
    <w:rsid w:val="00C73B70"/>
    <w:rsid w:val="00C74B42"/>
    <w:rsid w:val="00C75F23"/>
    <w:rsid w:val="00C765D7"/>
    <w:rsid w:val="00C77BCA"/>
    <w:rsid w:val="00C8065E"/>
    <w:rsid w:val="00C81DFF"/>
    <w:rsid w:val="00C82437"/>
    <w:rsid w:val="00C82451"/>
    <w:rsid w:val="00C826D5"/>
    <w:rsid w:val="00C82839"/>
    <w:rsid w:val="00C82ED3"/>
    <w:rsid w:val="00C83985"/>
    <w:rsid w:val="00C8434C"/>
    <w:rsid w:val="00C85065"/>
    <w:rsid w:val="00C85BDE"/>
    <w:rsid w:val="00C8618F"/>
    <w:rsid w:val="00C8657F"/>
    <w:rsid w:val="00C866D2"/>
    <w:rsid w:val="00C8697D"/>
    <w:rsid w:val="00C87035"/>
    <w:rsid w:val="00C871FE"/>
    <w:rsid w:val="00C87D55"/>
    <w:rsid w:val="00C902CF"/>
    <w:rsid w:val="00C90429"/>
    <w:rsid w:val="00C9042B"/>
    <w:rsid w:val="00C90DE7"/>
    <w:rsid w:val="00C91675"/>
    <w:rsid w:val="00C91B11"/>
    <w:rsid w:val="00C9238B"/>
    <w:rsid w:val="00C93122"/>
    <w:rsid w:val="00C93569"/>
    <w:rsid w:val="00C93F8A"/>
    <w:rsid w:val="00C94117"/>
    <w:rsid w:val="00C95FB8"/>
    <w:rsid w:val="00CA04F0"/>
    <w:rsid w:val="00CA133A"/>
    <w:rsid w:val="00CA133E"/>
    <w:rsid w:val="00CA148A"/>
    <w:rsid w:val="00CA1744"/>
    <w:rsid w:val="00CA1E6C"/>
    <w:rsid w:val="00CA22CC"/>
    <w:rsid w:val="00CA2B0E"/>
    <w:rsid w:val="00CA4155"/>
    <w:rsid w:val="00CA55C9"/>
    <w:rsid w:val="00CA57F3"/>
    <w:rsid w:val="00CA5AE5"/>
    <w:rsid w:val="00CA63FE"/>
    <w:rsid w:val="00CA66D0"/>
    <w:rsid w:val="00CB059B"/>
    <w:rsid w:val="00CB1D26"/>
    <w:rsid w:val="00CB2786"/>
    <w:rsid w:val="00CB2DA8"/>
    <w:rsid w:val="00CB5614"/>
    <w:rsid w:val="00CB5CE5"/>
    <w:rsid w:val="00CB745B"/>
    <w:rsid w:val="00CB7E31"/>
    <w:rsid w:val="00CC06D9"/>
    <w:rsid w:val="00CC0CEA"/>
    <w:rsid w:val="00CC23AA"/>
    <w:rsid w:val="00CC3DDD"/>
    <w:rsid w:val="00CC40DA"/>
    <w:rsid w:val="00CC41C2"/>
    <w:rsid w:val="00CC44B1"/>
    <w:rsid w:val="00CC4C23"/>
    <w:rsid w:val="00CC4C9E"/>
    <w:rsid w:val="00CC4EE2"/>
    <w:rsid w:val="00CC57C4"/>
    <w:rsid w:val="00CC5818"/>
    <w:rsid w:val="00CC7479"/>
    <w:rsid w:val="00CD013E"/>
    <w:rsid w:val="00CD216F"/>
    <w:rsid w:val="00CD2197"/>
    <w:rsid w:val="00CD22E8"/>
    <w:rsid w:val="00CD28BE"/>
    <w:rsid w:val="00CD2FA7"/>
    <w:rsid w:val="00CD3277"/>
    <w:rsid w:val="00CD3833"/>
    <w:rsid w:val="00CD3B7A"/>
    <w:rsid w:val="00CD3CAE"/>
    <w:rsid w:val="00CD4926"/>
    <w:rsid w:val="00CD4A79"/>
    <w:rsid w:val="00CD4D20"/>
    <w:rsid w:val="00CD5691"/>
    <w:rsid w:val="00CD593A"/>
    <w:rsid w:val="00CD5A15"/>
    <w:rsid w:val="00CD6A14"/>
    <w:rsid w:val="00CD73C3"/>
    <w:rsid w:val="00CD7990"/>
    <w:rsid w:val="00CE07D3"/>
    <w:rsid w:val="00CE0947"/>
    <w:rsid w:val="00CE0D58"/>
    <w:rsid w:val="00CE0F48"/>
    <w:rsid w:val="00CE32D1"/>
    <w:rsid w:val="00CE32E3"/>
    <w:rsid w:val="00CE3641"/>
    <w:rsid w:val="00CE383C"/>
    <w:rsid w:val="00CE48AC"/>
    <w:rsid w:val="00CE4C50"/>
    <w:rsid w:val="00CE4CF4"/>
    <w:rsid w:val="00CE5ED7"/>
    <w:rsid w:val="00CE5F0A"/>
    <w:rsid w:val="00CE6725"/>
    <w:rsid w:val="00CE6795"/>
    <w:rsid w:val="00CE703F"/>
    <w:rsid w:val="00CE75CC"/>
    <w:rsid w:val="00CF0917"/>
    <w:rsid w:val="00CF0BD4"/>
    <w:rsid w:val="00CF0CB5"/>
    <w:rsid w:val="00CF16F4"/>
    <w:rsid w:val="00CF1768"/>
    <w:rsid w:val="00CF1EC1"/>
    <w:rsid w:val="00CF1F5E"/>
    <w:rsid w:val="00CF3D18"/>
    <w:rsid w:val="00CF4B5C"/>
    <w:rsid w:val="00CF4DBC"/>
    <w:rsid w:val="00CF4E26"/>
    <w:rsid w:val="00CF4FC2"/>
    <w:rsid w:val="00CF6D11"/>
    <w:rsid w:val="00CF6E97"/>
    <w:rsid w:val="00D00266"/>
    <w:rsid w:val="00D00597"/>
    <w:rsid w:val="00D00AFB"/>
    <w:rsid w:val="00D011EF"/>
    <w:rsid w:val="00D01910"/>
    <w:rsid w:val="00D02C93"/>
    <w:rsid w:val="00D02D32"/>
    <w:rsid w:val="00D03A95"/>
    <w:rsid w:val="00D03D13"/>
    <w:rsid w:val="00D04880"/>
    <w:rsid w:val="00D048C2"/>
    <w:rsid w:val="00D05F74"/>
    <w:rsid w:val="00D073AB"/>
    <w:rsid w:val="00D0740C"/>
    <w:rsid w:val="00D100E3"/>
    <w:rsid w:val="00D10233"/>
    <w:rsid w:val="00D10464"/>
    <w:rsid w:val="00D10904"/>
    <w:rsid w:val="00D11082"/>
    <w:rsid w:val="00D111D1"/>
    <w:rsid w:val="00D1211C"/>
    <w:rsid w:val="00D122DD"/>
    <w:rsid w:val="00D13C3F"/>
    <w:rsid w:val="00D14431"/>
    <w:rsid w:val="00D15E62"/>
    <w:rsid w:val="00D165EE"/>
    <w:rsid w:val="00D17362"/>
    <w:rsid w:val="00D201DC"/>
    <w:rsid w:val="00D211D8"/>
    <w:rsid w:val="00D222C8"/>
    <w:rsid w:val="00D2326E"/>
    <w:rsid w:val="00D233F8"/>
    <w:rsid w:val="00D2358F"/>
    <w:rsid w:val="00D23771"/>
    <w:rsid w:val="00D23879"/>
    <w:rsid w:val="00D24C68"/>
    <w:rsid w:val="00D26A4F"/>
    <w:rsid w:val="00D276D8"/>
    <w:rsid w:val="00D27936"/>
    <w:rsid w:val="00D33EE3"/>
    <w:rsid w:val="00D34D32"/>
    <w:rsid w:val="00D372CF"/>
    <w:rsid w:val="00D3768A"/>
    <w:rsid w:val="00D378E0"/>
    <w:rsid w:val="00D37BD5"/>
    <w:rsid w:val="00D4113E"/>
    <w:rsid w:val="00D42598"/>
    <w:rsid w:val="00D430B2"/>
    <w:rsid w:val="00D441C9"/>
    <w:rsid w:val="00D4429E"/>
    <w:rsid w:val="00D44CC9"/>
    <w:rsid w:val="00D45293"/>
    <w:rsid w:val="00D4532E"/>
    <w:rsid w:val="00D454E6"/>
    <w:rsid w:val="00D4551A"/>
    <w:rsid w:val="00D45D9E"/>
    <w:rsid w:val="00D463AD"/>
    <w:rsid w:val="00D46C23"/>
    <w:rsid w:val="00D47982"/>
    <w:rsid w:val="00D47CD9"/>
    <w:rsid w:val="00D50147"/>
    <w:rsid w:val="00D508FA"/>
    <w:rsid w:val="00D51952"/>
    <w:rsid w:val="00D52F0C"/>
    <w:rsid w:val="00D53106"/>
    <w:rsid w:val="00D53AE1"/>
    <w:rsid w:val="00D53E37"/>
    <w:rsid w:val="00D55017"/>
    <w:rsid w:val="00D55A7C"/>
    <w:rsid w:val="00D5705B"/>
    <w:rsid w:val="00D57276"/>
    <w:rsid w:val="00D6098C"/>
    <w:rsid w:val="00D6678C"/>
    <w:rsid w:val="00D66866"/>
    <w:rsid w:val="00D668F8"/>
    <w:rsid w:val="00D66950"/>
    <w:rsid w:val="00D670C0"/>
    <w:rsid w:val="00D67FD7"/>
    <w:rsid w:val="00D70A0E"/>
    <w:rsid w:val="00D70E69"/>
    <w:rsid w:val="00D71563"/>
    <w:rsid w:val="00D72C76"/>
    <w:rsid w:val="00D7322F"/>
    <w:rsid w:val="00D73919"/>
    <w:rsid w:val="00D74675"/>
    <w:rsid w:val="00D75B44"/>
    <w:rsid w:val="00D75C57"/>
    <w:rsid w:val="00D75D66"/>
    <w:rsid w:val="00D76008"/>
    <w:rsid w:val="00D7611F"/>
    <w:rsid w:val="00D77684"/>
    <w:rsid w:val="00D803AF"/>
    <w:rsid w:val="00D8086F"/>
    <w:rsid w:val="00D811B3"/>
    <w:rsid w:val="00D81411"/>
    <w:rsid w:val="00D818D3"/>
    <w:rsid w:val="00D8287F"/>
    <w:rsid w:val="00D82E3C"/>
    <w:rsid w:val="00D82E3F"/>
    <w:rsid w:val="00D833A7"/>
    <w:rsid w:val="00D8511B"/>
    <w:rsid w:val="00D86378"/>
    <w:rsid w:val="00D863B6"/>
    <w:rsid w:val="00D864AF"/>
    <w:rsid w:val="00D86EAD"/>
    <w:rsid w:val="00D8731A"/>
    <w:rsid w:val="00D877CC"/>
    <w:rsid w:val="00D87A73"/>
    <w:rsid w:val="00D903AA"/>
    <w:rsid w:val="00D90BA1"/>
    <w:rsid w:val="00D926CB"/>
    <w:rsid w:val="00D9381C"/>
    <w:rsid w:val="00D93BC9"/>
    <w:rsid w:val="00D9483A"/>
    <w:rsid w:val="00D95073"/>
    <w:rsid w:val="00D95BFC"/>
    <w:rsid w:val="00D95D98"/>
    <w:rsid w:val="00D95FE6"/>
    <w:rsid w:val="00D9684B"/>
    <w:rsid w:val="00D96944"/>
    <w:rsid w:val="00D97688"/>
    <w:rsid w:val="00D97DA8"/>
    <w:rsid w:val="00DA0DB5"/>
    <w:rsid w:val="00DA0DFD"/>
    <w:rsid w:val="00DA141E"/>
    <w:rsid w:val="00DA19CD"/>
    <w:rsid w:val="00DA1CB8"/>
    <w:rsid w:val="00DA266D"/>
    <w:rsid w:val="00DA3625"/>
    <w:rsid w:val="00DA62CC"/>
    <w:rsid w:val="00DA78C2"/>
    <w:rsid w:val="00DB1397"/>
    <w:rsid w:val="00DB13EE"/>
    <w:rsid w:val="00DB22AC"/>
    <w:rsid w:val="00DB3363"/>
    <w:rsid w:val="00DB40CC"/>
    <w:rsid w:val="00DB533B"/>
    <w:rsid w:val="00DB5CA9"/>
    <w:rsid w:val="00DB5D08"/>
    <w:rsid w:val="00DB5DB3"/>
    <w:rsid w:val="00DB65C9"/>
    <w:rsid w:val="00DB65D2"/>
    <w:rsid w:val="00DB6F87"/>
    <w:rsid w:val="00DB7507"/>
    <w:rsid w:val="00DB76E3"/>
    <w:rsid w:val="00DC01F2"/>
    <w:rsid w:val="00DC24BC"/>
    <w:rsid w:val="00DC26A9"/>
    <w:rsid w:val="00DC28DA"/>
    <w:rsid w:val="00DC3097"/>
    <w:rsid w:val="00DC4043"/>
    <w:rsid w:val="00DC47E1"/>
    <w:rsid w:val="00DC4A50"/>
    <w:rsid w:val="00DC51BF"/>
    <w:rsid w:val="00DC60C8"/>
    <w:rsid w:val="00DC790E"/>
    <w:rsid w:val="00DD1005"/>
    <w:rsid w:val="00DD17F8"/>
    <w:rsid w:val="00DD1D8F"/>
    <w:rsid w:val="00DD25B2"/>
    <w:rsid w:val="00DD3102"/>
    <w:rsid w:val="00DD4315"/>
    <w:rsid w:val="00DD458A"/>
    <w:rsid w:val="00DD4AA7"/>
    <w:rsid w:val="00DD5783"/>
    <w:rsid w:val="00DD5DB2"/>
    <w:rsid w:val="00DD6293"/>
    <w:rsid w:val="00DD6E32"/>
    <w:rsid w:val="00DD75EB"/>
    <w:rsid w:val="00DE0008"/>
    <w:rsid w:val="00DE01F9"/>
    <w:rsid w:val="00DE0379"/>
    <w:rsid w:val="00DE05B8"/>
    <w:rsid w:val="00DE0B68"/>
    <w:rsid w:val="00DE29F2"/>
    <w:rsid w:val="00DE2B41"/>
    <w:rsid w:val="00DE2BB1"/>
    <w:rsid w:val="00DE2D06"/>
    <w:rsid w:val="00DE5B46"/>
    <w:rsid w:val="00DE6805"/>
    <w:rsid w:val="00DE69C8"/>
    <w:rsid w:val="00DE6AA2"/>
    <w:rsid w:val="00DE6CE9"/>
    <w:rsid w:val="00DE7E81"/>
    <w:rsid w:val="00DF0144"/>
    <w:rsid w:val="00DF056A"/>
    <w:rsid w:val="00DF1165"/>
    <w:rsid w:val="00DF2139"/>
    <w:rsid w:val="00DF342A"/>
    <w:rsid w:val="00DF370E"/>
    <w:rsid w:val="00DF421E"/>
    <w:rsid w:val="00DF4819"/>
    <w:rsid w:val="00DF503D"/>
    <w:rsid w:val="00DF5627"/>
    <w:rsid w:val="00DF563F"/>
    <w:rsid w:val="00DF56CD"/>
    <w:rsid w:val="00DF5761"/>
    <w:rsid w:val="00DF5B07"/>
    <w:rsid w:val="00DF5E28"/>
    <w:rsid w:val="00DF6AF9"/>
    <w:rsid w:val="00DF6FD7"/>
    <w:rsid w:val="00DF7C00"/>
    <w:rsid w:val="00E00123"/>
    <w:rsid w:val="00E01386"/>
    <w:rsid w:val="00E01928"/>
    <w:rsid w:val="00E05ED9"/>
    <w:rsid w:val="00E06146"/>
    <w:rsid w:val="00E06758"/>
    <w:rsid w:val="00E102CB"/>
    <w:rsid w:val="00E10479"/>
    <w:rsid w:val="00E10C75"/>
    <w:rsid w:val="00E117A6"/>
    <w:rsid w:val="00E12347"/>
    <w:rsid w:val="00E12BDA"/>
    <w:rsid w:val="00E13105"/>
    <w:rsid w:val="00E136C8"/>
    <w:rsid w:val="00E13800"/>
    <w:rsid w:val="00E13D27"/>
    <w:rsid w:val="00E13FF4"/>
    <w:rsid w:val="00E1405D"/>
    <w:rsid w:val="00E14132"/>
    <w:rsid w:val="00E146BF"/>
    <w:rsid w:val="00E1510F"/>
    <w:rsid w:val="00E1696B"/>
    <w:rsid w:val="00E17917"/>
    <w:rsid w:val="00E200C1"/>
    <w:rsid w:val="00E20313"/>
    <w:rsid w:val="00E21F8C"/>
    <w:rsid w:val="00E2336F"/>
    <w:rsid w:val="00E23432"/>
    <w:rsid w:val="00E24096"/>
    <w:rsid w:val="00E240C6"/>
    <w:rsid w:val="00E2427E"/>
    <w:rsid w:val="00E247DC"/>
    <w:rsid w:val="00E24CB9"/>
    <w:rsid w:val="00E26630"/>
    <w:rsid w:val="00E26A25"/>
    <w:rsid w:val="00E2772B"/>
    <w:rsid w:val="00E30586"/>
    <w:rsid w:val="00E3089F"/>
    <w:rsid w:val="00E31D0C"/>
    <w:rsid w:val="00E320F5"/>
    <w:rsid w:val="00E32863"/>
    <w:rsid w:val="00E32B88"/>
    <w:rsid w:val="00E33086"/>
    <w:rsid w:val="00E33386"/>
    <w:rsid w:val="00E33DEB"/>
    <w:rsid w:val="00E34991"/>
    <w:rsid w:val="00E34C4D"/>
    <w:rsid w:val="00E34D56"/>
    <w:rsid w:val="00E35316"/>
    <w:rsid w:val="00E36040"/>
    <w:rsid w:val="00E361CF"/>
    <w:rsid w:val="00E36202"/>
    <w:rsid w:val="00E36DAE"/>
    <w:rsid w:val="00E36E92"/>
    <w:rsid w:val="00E412DB"/>
    <w:rsid w:val="00E426C6"/>
    <w:rsid w:val="00E4419F"/>
    <w:rsid w:val="00E445D6"/>
    <w:rsid w:val="00E45955"/>
    <w:rsid w:val="00E478AF"/>
    <w:rsid w:val="00E478B5"/>
    <w:rsid w:val="00E47DEA"/>
    <w:rsid w:val="00E47DFD"/>
    <w:rsid w:val="00E509EA"/>
    <w:rsid w:val="00E51291"/>
    <w:rsid w:val="00E51C2B"/>
    <w:rsid w:val="00E52179"/>
    <w:rsid w:val="00E52313"/>
    <w:rsid w:val="00E53108"/>
    <w:rsid w:val="00E5377C"/>
    <w:rsid w:val="00E537C1"/>
    <w:rsid w:val="00E53C47"/>
    <w:rsid w:val="00E552C5"/>
    <w:rsid w:val="00E553BA"/>
    <w:rsid w:val="00E558BF"/>
    <w:rsid w:val="00E55AA7"/>
    <w:rsid w:val="00E56884"/>
    <w:rsid w:val="00E5701C"/>
    <w:rsid w:val="00E574A7"/>
    <w:rsid w:val="00E617A3"/>
    <w:rsid w:val="00E617EC"/>
    <w:rsid w:val="00E61E6A"/>
    <w:rsid w:val="00E623EC"/>
    <w:rsid w:val="00E62848"/>
    <w:rsid w:val="00E63AAD"/>
    <w:rsid w:val="00E644FD"/>
    <w:rsid w:val="00E6486C"/>
    <w:rsid w:val="00E64A25"/>
    <w:rsid w:val="00E65B38"/>
    <w:rsid w:val="00E66598"/>
    <w:rsid w:val="00E66797"/>
    <w:rsid w:val="00E66832"/>
    <w:rsid w:val="00E672A0"/>
    <w:rsid w:val="00E67C80"/>
    <w:rsid w:val="00E70A75"/>
    <w:rsid w:val="00E70B66"/>
    <w:rsid w:val="00E72599"/>
    <w:rsid w:val="00E72FAF"/>
    <w:rsid w:val="00E7308B"/>
    <w:rsid w:val="00E73404"/>
    <w:rsid w:val="00E7396E"/>
    <w:rsid w:val="00E743B4"/>
    <w:rsid w:val="00E7467E"/>
    <w:rsid w:val="00E752FA"/>
    <w:rsid w:val="00E768DF"/>
    <w:rsid w:val="00E76AE0"/>
    <w:rsid w:val="00E77A46"/>
    <w:rsid w:val="00E800F2"/>
    <w:rsid w:val="00E803B3"/>
    <w:rsid w:val="00E80B15"/>
    <w:rsid w:val="00E818AC"/>
    <w:rsid w:val="00E81C31"/>
    <w:rsid w:val="00E82090"/>
    <w:rsid w:val="00E82220"/>
    <w:rsid w:val="00E82AAF"/>
    <w:rsid w:val="00E84D35"/>
    <w:rsid w:val="00E84F16"/>
    <w:rsid w:val="00E85C87"/>
    <w:rsid w:val="00E8645A"/>
    <w:rsid w:val="00E86BE4"/>
    <w:rsid w:val="00E86E54"/>
    <w:rsid w:val="00E9021E"/>
    <w:rsid w:val="00E90C45"/>
    <w:rsid w:val="00E912F2"/>
    <w:rsid w:val="00E917B7"/>
    <w:rsid w:val="00E9236E"/>
    <w:rsid w:val="00E9242C"/>
    <w:rsid w:val="00E92B95"/>
    <w:rsid w:val="00E93560"/>
    <w:rsid w:val="00E93E3B"/>
    <w:rsid w:val="00E9532F"/>
    <w:rsid w:val="00E95457"/>
    <w:rsid w:val="00E95C42"/>
    <w:rsid w:val="00E95C8E"/>
    <w:rsid w:val="00E96E0A"/>
    <w:rsid w:val="00E97F05"/>
    <w:rsid w:val="00EA06F5"/>
    <w:rsid w:val="00EA07A0"/>
    <w:rsid w:val="00EA0891"/>
    <w:rsid w:val="00EA16C9"/>
    <w:rsid w:val="00EA1BB3"/>
    <w:rsid w:val="00EA2529"/>
    <w:rsid w:val="00EA2A97"/>
    <w:rsid w:val="00EA3A0E"/>
    <w:rsid w:val="00EA755D"/>
    <w:rsid w:val="00EA7A2F"/>
    <w:rsid w:val="00EB174A"/>
    <w:rsid w:val="00EB2165"/>
    <w:rsid w:val="00EB263A"/>
    <w:rsid w:val="00EB3511"/>
    <w:rsid w:val="00EB4B32"/>
    <w:rsid w:val="00EB4C0F"/>
    <w:rsid w:val="00EB4E73"/>
    <w:rsid w:val="00EB4FF5"/>
    <w:rsid w:val="00EB55BA"/>
    <w:rsid w:val="00EB57E8"/>
    <w:rsid w:val="00EB64E2"/>
    <w:rsid w:val="00EC2178"/>
    <w:rsid w:val="00EC28B6"/>
    <w:rsid w:val="00EC2CA5"/>
    <w:rsid w:val="00EC509D"/>
    <w:rsid w:val="00EC50E2"/>
    <w:rsid w:val="00EC52AB"/>
    <w:rsid w:val="00EC548E"/>
    <w:rsid w:val="00EC6815"/>
    <w:rsid w:val="00ED0B61"/>
    <w:rsid w:val="00ED0FE6"/>
    <w:rsid w:val="00ED2AB3"/>
    <w:rsid w:val="00ED2EC2"/>
    <w:rsid w:val="00ED312F"/>
    <w:rsid w:val="00ED34EA"/>
    <w:rsid w:val="00ED3DF1"/>
    <w:rsid w:val="00ED4CE1"/>
    <w:rsid w:val="00ED53E6"/>
    <w:rsid w:val="00ED5CE2"/>
    <w:rsid w:val="00ED7B27"/>
    <w:rsid w:val="00ED7C3F"/>
    <w:rsid w:val="00EE073B"/>
    <w:rsid w:val="00EE1896"/>
    <w:rsid w:val="00EE2460"/>
    <w:rsid w:val="00EE3AF0"/>
    <w:rsid w:val="00EE432B"/>
    <w:rsid w:val="00EE4BB8"/>
    <w:rsid w:val="00EE4BF2"/>
    <w:rsid w:val="00EE54B9"/>
    <w:rsid w:val="00EE6E4A"/>
    <w:rsid w:val="00EE7B24"/>
    <w:rsid w:val="00EF014C"/>
    <w:rsid w:val="00EF0B91"/>
    <w:rsid w:val="00EF0BF3"/>
    <w:rsid w:val="00EF147C"/>
    <w:rsid w:val="00EF26E3"/>
    <w:rsid w:val="00EF2802"/>
    <w:rsid w:val="00EF3DE9"/>
    <w:rsid w:val="00EF4399"/>
    <w:rsid w:val="00EF4506"/>
    <w:rsid w:val="00EF45A1"/>
    <w:rsid w:val="00EF5089"/>
    <w:rsid w:val="00EF6FF2"/>
    <w:rsid w:val="00EF7167"/>
    <w:rsid w:val="00EF72C5"/>
    <w:rsid w:val="00F00E09"/>
    <w:rsid w:val="00F02042"/>
    <w:rsid w:val="00F02145"/>
    <w:rsid w:val="00F030B2"/>
    <w:rsid w:val="00F03FDC"/>
    <w:rsid w:val="00F04D7C"/>
    <w:rsid w:val="00F05728"/>
    <w:rsid w:val="00F07EDF"/>
    <w:rsid w:val="00F07FAD"/>
    <w:rsid w:val="00F11126"/>
    <w:rsid w:val="00F112EB"/>
    <w:rsid w:val="00F115D0"/>
    <w:rsid w:val="00F1162C"/>
    <w:rsid w:val="00F116BD"/>
    <w:rsid w:val="00F11D46"/>
    <w:rsid w:val="00F1201B"/>
    <w:rsid w:val="00F12912"/>
    <w:rsid w:val="00F13248"/>
    <w:rsid w:val="00F1325D"/>
    <w:rsid w:val="00F145B1"/>
    <w:rsid w:val="00F15530"/>
    <w:rsid w:val="00F163A2"/>
    <w:rsid w:val="00F167C0"/>
    <w:rsid w:val="00F16DEF"/>
    <w:rsid w:val="00F17123"/>
    <w:rsid w:val="00F1717B"/>
    <w:rsid w:val="00F1758B"/>
    <w:rsid w:val="00F21913"/>
    <w:rsid w:val="00F2383E"/>
    <w:rsid w:val="00F23D43"/>
    <w:rsid w:val="00F242E5"/>
    <w:rsid w:val="00F242FE"/>
    <w:rsid w:val="00F243B1"/>
    <w:rsid w:val="00F25115"/>
    <w:rsid w:val="00F25325"/>
    <w:rsid w:val="00F25FD9"/>
    <w:rsid w:val="00F2701E"/>
    <w:rsid w:val="00F270D3"/>
    <w:rsid w:val="00F272F5"/>
    <w:rsid w:val="00F27D7F"/>
    <w:rsid w:val="00F30AD4"/>
    <w:rsid w:val="00F30F23"/>
    <w:rsid w:val="00F31324"/>
    <w:rsid w:val="00F31CC2"/>
    <w:rsid w:val="00F31F03"/>
    <w:rsid w:val="00F32358"/>
    <w:rsid w:val="00F32651"/>
    <w:rsid w:val="00F33497"/>
    <w:rsid w:val="00F33A49"/>
    <w:rsid w:val="00F3468F"/>
    <w:rsid w:val="00F35121"/>
    <w:rsid w:val="00F357A7"/>
    <w:rsid w:val="00F35AFC"/>
    <w:rsid w:val="00F35B4A"/>
    <w:rsid w:val="00F35C30"/>
    <w:rsid w:val="00F3710F"/>
    <w:rsid w:val="00F371FB"/>
    <w:rsid w:val="00F3775A"/>
    <w:rsid w:val="00F41FC9"/>
    <w:rsid w:val="00F4223E"/>
    <w:rsid w:val="00F42C41"/>
    <w:rsid w:val="00F43261"/>
    <w:rsid w:val="00F44D20"/>
    <w:rsid w:val="00F4503D"/>
    <w:rsid w:val="00F4516F"/>
    <w:rsid w:val="00F45209"/>
    <w:rsid w:val="00F50AF7"/>
    <w:rsid w:val="00F50F4C"/>
    <w:rsid w:val="00F516FA"/>
    <w:rsid w:val="00F53758"/>
    <w:rsid w:val="00F54855"/>
    <w:rsid w:val="00F552DF"/>
    <w:rsid w:val="00F553FF"/>
    <w:rsid w:val="00F561F2"/>
    <w:rsid w:val="00F567D9"/>
    <w:rsid w:val="00F611E2"/>
    <w:rsid w:val="00F6250B"/>
    <w:rsid w:val="00F62897"/>
    <w:rsid w:val="00F62B76"/>
    <w:rsid w:val="00F6306F"/>
    <w:rsid w:val="00F63263"/>
    <w:rsid w:val="00F63380"/>
    <w:rsid w:val="00F64F07"/>
    <w:rsid w:val="00F65414"/>
    <w:rsid w:val="00F654AA"/>
    <w:rsid w:val="00F665C6"/>
    <w:rsid w:val="00F66A54"/>
    <w:rsid w:val="00F67294"/>
    <w:rsid w:val="00F702E0"/>
    <w:rsid w:val="00F70D96"/>
    <w:rsid w:val="00F717CA"/>
    <w:rsid w:val="00F719F1"/>
    <w:rsid w:val="00F7253E"/>
    <w:rsid w:val="00F73EF8"/>
    <w:rsid w:val="00F754A6"/>
    <w:rsid w:val="00F75602"/>
    <w:rsid w:val="00F77726"/>
    <w:rsid w:val="00F77D34"/>
    <w:rsid w:val="00F77EA0"/>
    <w:rsid w:val="00F80AEF"/>
    <w:rsid w:val="00F80BDA"/>
    <w:rsid w:val="00F8170B"/>
    <w:rsid w:val="00F82000"/>
    <w:rsid w:val="00F8232F"/>
    <w:rsid w:val="00F83A61"/>
    <w:rsid w:val="00F8427D"/>
    <w:rsid w:val="00F84D9E"/>
    <w:rsid w:val="00F85E7B"/>
    <w:rsid w:val="00F8794C"/>
    <w:rsid w:val="00F91A44"/>
    <w:rsid w:val="00F92357"/>
    <w:rsid w:val="00F93297"/>
    <w:rsid w:val="00F937BB"/>
    <w:rsid w:val="00F95B4E"/>
    <w:rsid w:val="00F962DB"/>
    <w:rsid w:val="00FA05A1"/>
    <w:rsid w:val="00FA06D1"/>
    <w:rsid w:val="00FA135C"/>
    <w:rsid w:val="00FA19F7"/>
    <w:rsid w:val="00FA1A52"/>
    <w:rsid w:val="00FA1BFA"/>
    <w:rsid w:val="00FA38A2"/>
    <w:rsid w:val="00FA3DF9"/>
    <w:rsid w:val="00FA76A5"/>
    <w:rsid w:val="00FA7B22"/>
    <w:rsid w:val="00FA7EB5"/>
    <w:rsid w:val="00FB089A"/>
    <w:rsid w:val="00FB1FDE"/>
    <w:rsid w:val="00FB209D"/>
    <w:rsid w:val="00FB408D"/>
    <w:rsid w:val="00FB5D0C"/>
    <w:rsid w:val="00FB5F5B"/>
    <w:rsid w:val="00FB6C6D"/>
    <w:rsid w:val="00FB6D8C"/>
    <w:rsid w:val="00FB6E5A"/>
    <w:rsid w:val="00FB700D"/>
    <w:rsid w:val="00FC0900"/>
    <w:rsid w:val="00FC1BF8"/>
    <w:rsid w:val="00FC1DA3"/>
    <w:rsid w:val="00FC241E"/>
    <w:rsid w:val="00FC2BF0"/>
    <w:rsid w:val="00FC2F4F"/>
    <w:rsid w:val="00FC3317"/>
    <w:rsid w:val="00FC3B81"/>
    <w:rsid w:val="00FC41DF"/>
    <w:rsid w:val="00FC46BB"/>
    <w:rsid w:val="00FC4989"/>
    <w:rsid w:val="00FC5D8F"/>
    <w:rsid w:val="00FC76CE"/>
    <w:rsid w:val="00FC7AFA"/>
    <w:rsid w:val="00FD0589"/>
    <w:rsid w:val="00FD2168"/>
    <w:rsid w:val="00FD2BD6"/>
    <w:rsid w:val="00FD2CC3"/>
    <w:rsid w:val="00FD30EA"/>
    <w:rsid w:val="00FD3351"/>
    <w:rsid w:val="00FD630B"/>
    <w:rsid w:val="00FD65BF"/>
    <w:rsid w:val="00FD7160"/>
    <w:rsid w:val="00FE1399"/>
    <w:rsid w:val="00FE1CC7"/>
    <w:rsid w:val="00FE1DB5"/>
    <w:rsid w:val="00FE1E9B"/>
    <w:rsid w:val="00FE1E9E"/>
    <w:rsid w:val="00FE267B"/>
    <w:rsid w:val="00FE2794"/>
    <w:rsid w:val="00FE2C1F"/>
    <w:rsid w:val="00FE359A"/>
    <w:rsid w:val="00FE3947"/>
    <w:rsid w:val="00FE3A0F"/>
    <w:rsid w:val="00FE42C4"/>
    <w:rsid w:val="00FE4E48"/>
    <w:rsid w:val="00FE5567"/>
    <w:rsid w:val="00FE6A08"/>
    <w:rsid w:val="00FE7612"/>
    <w:rsid w:val="00FF0188"/>
    <w:rsid w:val="00FF0BD2"/>
    <w:rsid w:val="00FF0F28"/>
    <w:rsid w:val="00FF0F86"/>
    <w:rsid w:val="00FF1BA6"/>
    <w:rsid w:val="00FF1F44"/>
    <w:rsid w:val="00FF2B3A"/>
    <w:rsid w:val="00FF3368"/>
    <w:rsid w:val="00FF33A2"/>
    <w:rsid w:val="00FF36A4"/>
    <w:rsid w:val="00FF43C4"/>
    <w:rsid w:val="00FF4774"/>
    <w:rsid w:val="00FF4A4F"/>
    <w:rsid w:val="00FF523B"/>
    <w:rsid w:val="00FF5A9D"/>
    <w:rsid w:val="00FF5CE7"/>
    <w:rsid w:val="00FF6096"/>
    <w:rsid w:val="00FF6A06"/>
    <w:rsid w:val="00FF6ABA"/>
    <w:rsid w:val="00FF72FB"/>
    <w:rsid w:val="00FF74F0"/>
    <w:rsid w:val="00FF7656"/>
    <w:rsid w:val="00FF7C8B"/>
    <w:rsid w:val="00FF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none [1302]" stroke="f">
      <v:fill color="none [1302]"/>
      <v:stroke on="f"/>
      <o:colormru v:ext="edit" colors="#ffc,#ff9"/>
    </o:shapedefaults>
    <o:shapelayout v:ext="edit">
      <o:idmap v:ext="edit" data="2"/>
    </o:shapelayout>
  </w:shapeDefaults>
  <w:decimalSymbol w:val="."/>
  <w:listSeparator w:val=","/>
  <w14:docId w14:val="1A84045D"/>
  <w15:docId w15:val="{C1CFE93C-F2F4-439A-9FAF-20ACA8F8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07"/>
  </w:style>
  <w:style w:type="paragraph" w:styleId="Heading1">
    <w:name w:val="heading 1"/>
    <w:basedOn w:val="Normal"/>
    <w:next w:val="Normal"/>
    <w:link w:val="Heading1Char"/>
    <w:uiPriority w:val="1"/>
    <w:qFormat/>
    <w:rsid w:val="00044FA5"/>
    <w:pPr>
      <w:jc w:val="center"/>
      <w:outlineLvl w:val="0"/>
    </w:pPr>
    <w:rPr>
      <w:b/>
      <w:color w:val="FFFFFF" w:themeColor="background1"/>
      <w:sz w:val="28"/>
      <w:szCs w:val="32"/>
    </w:rPr>
  </w:style>
  <w:style w:type="paragraph" w:styleId="Heading2">
    <w:name w:val="heading 2"/>
    <w:basedOn w:val="Normal"/>
    <w:link w:val="Heading2Char"/>
    <w:uiPriority w:val="1"/>
    <w:qFormat/>
    <w:rsid w:val="00A57742"/>
    <w:pPr>
      <w:widowControl w:val="0"/>
      <w:spacing w:before="58" w:after="0" w:line="240" w:lineRule="auto"/>
      <w:ind w:left="100"/>
      <w:outlineLvl w:val="1"/>
    </w:pPr>
    <w:rPr>
      <w:rFonts w:eastAsia="Arial" w:cstheme="minorBidi"/>
      <w:sz w:val="32"/>
      <w:szCs w:val="32"/>
      <w:lang w:val="en-US"/>
    </w:rPr>
  </w:style>
  <w:style w:type="paragraph" w:styleId="Heading3">
    <w:name w:val="heading 3"/>
    <w:basedOn w:val="Normal"/>
    <w:next w:val="Normal"/>
    <w:link w:val="Heading3Char"/>
    <w:uiPriority w:val="1"/>
    <w:unhideWhenUsed/>
    <w:qFormat/>
    <w:rsid w:val="000D5985"/>
    <w:pPr>
      <w:keepNext/>
      <w:keepLines/>
      <w:spacing w:before="200" w:after="0" w:line="240" w:lineRule="auto"/>
      <w:outlineLvl w:val="2"/>
    </w:pPr>
    <w:rPr>
      <w:rFonts w:eastAsiaTheme="majorEastAsia" w:cstheme="majorBidi"/>
      <w:b/>
      <w:bCs/>
      <w:color w:val="4F81BD" w:themeColor="accent1"/>
      <w:sz w:val="24"/>
    </w:rPr>
  </w:style>
  <w:style w:type="paragraph" w:styleId="Heading4">
    <w:name w:val="heading 4"/>
    <w:basedOn w:val="Normal"/>
    <w:link w:val="Heading4Char"/>
    <w:uiPriority w:val="1"/>
    <w:qFormat/>
    <w:rsid w:val="00A57742"/>
    <w:pPr>
      <w:widowControl w:val="0"/>
      <w:spacing w:after="0" w:line="240" w:lineRule="auto"/>
      <w:ind w:left="100"/>
      <w:outlineLvl w:val="3"/>
    </w:pPr>
    <w:rPr>
      <w:rFonts w:eastAsia="Arial" w:cstheme="minorBidi"/>
      <w:b/>
      <w:bCs/>
      <w:sz w:val="24"/>
      <w:szCs w:val="24"/>
      <w:lang w:val="en-US"/>
    </w:rPr>
  </w:style>
  <w:style w:type="paragraph" w:styleId="Heading5">
    <w:name w:val="heading 5"/>
    <w:basedOn w:val="Normal"/>
    <w:link w:val="Heading5Char"/>
    <w:uiPriority w:val="1"/>
    <w:qFormat/>
    <w:rsid w:val="00A57742"/>
    <w:pPr>
      <w:widowControl w:val="0"/>
      <w:spacing w:after="0" w:line="240" w:lineRule="auto"/>
      <w:ind w:left="820"/>
      <w:outlineLvl w:val="4"/>
    </w:pPr>
    <w:rPr>
      <w:rFonts w:eastAsia="Arial" w:cstheme="minorBidi"/>
      <w:sz w:val="24"/>
      <w:szCs w:val="24"/>
      <w:lang w:val="en-US"/>
    </w:rPr>
  </w:style>
  <w:style w:type="paragraph" w:styleId="Heading6">
    <w:name w:val="heading 6"/>
    <w:basedOn w:val="Normal"/>
    <w:next w:val="Normal"/>
    <w:link w:val="Heading6Char"/>
    <w:uiPriority w:val="1"/>
    <w:unhideWhenUsed/>
    <w:qFormat/>
    <w:rsid w:val="00A5774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1"/>
    <w:qFormat/>
    <w:rsid w:val="00A57742"/>
    <w:pPr>
      <w:widowControl w:val="0"/>
      <w:spacing w:after="0" w:line="240" w:lineRule="auto"/>
      <w:ind w:left="113"/>
      <w:outlineLvl w:val="6"/>
    </w:pPr>
    <w:rPr>
      <w:rFonts w:eastAsia="Arial" w:cstheme="minorBidi"/>
      <w:b/>
      <w:bCs/>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B9"/>
    <w:rPr>
      <w:rFonts w:ascii="Tahoma" w:hAnsi="Tahoma" w:cs="Tahoma"/>
      <w:sz w:val="16"/>
      <w:szCs w:val="1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772FEF"/>
    <w:pPr>
      <w:ind w:left="720"/>
      <w:contextualSpacing/>
    </w:pPr>
  </w:style>
  <w:style w:type="character" w:customStyle="1" w:styleId="Heading3Char">
    <w:name w:val="Heading 3 Char"/>
    <w:basedOn w:val="DefaultParagraphFont"/>
    <w:link w:val="Heading3"/>
    <w:uiPriority w:val="9"/>
    <w:rsid w:val="000D5985"/>
    <w:rPr>
      <w:rFonts w:eastAsiaTheme="majorEastAsia" w:cstheme="majorBidi"/>
      <w:b/>
      <w:bCs/>
      <w:color w:val="4F81BD" w:themeColor="accent1"/>
      <w:sz w:val="24"/>
    </w:rPr>
  </w:style>
  <w:style w:type="paragraph" w:customStyle="1" w:styleId="Default">
    <w:name w:val="Default"/>
    <w:rsid w:val="008F4228"/>
    <w:pPr>
      <w:autoSpaceDE w:val="0"/>
      <w:autoSpaceDN w:val="0"/>
      <w:adjustRightInd w:val="0"/>
      <w:spacing w:after="0" w:line="240" w:lineRule="auto"/>
    </w:pPr>
    <w:rPr>
      <w:rFonts w:eastAsia="Times New Roman"/>
      <w:color w:val="000000"/>
      <w:sz w:val="24"/>
      <w:szCs w:val="24"/>
      <w:lang w:eastAsia="en-GB"/>
    </w:rPr>
  </w:style>
  <w:style w:type="character" w:styleId="Hyperlink">
    <w:name w:val="Hyperlink"/>
    <w:basedOn w:val="DefaultParagraphFont"/>
    <w:uiPriority w:val="99"/>
    <w:unhideWhenUsed/>
    <w:rsid w:val="003D3D68"/>
    <w:rPr>
      <w:color w:val="0000FF" w:themeColor="hyperlink"/>
      <w:u w:val="single"/>
    </w:rPr>
  </w:style>
  <w:style w:type="table" w:styleId="TableGrid">
    <w:name w:val="Table Grid"/>
    <w:basedOn w:val="TableNormal"/>
    <w:uiPriority w:val="39"/>
    <w:rsid w:val="00526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5E9D"/>
    <w:rPr>
      <w:color w:val="800080" w:themeColor="followedHyperlink"/>
      <w:u w:val="single"/>
    </w:rPr>
  </w:style>
  <w:style w:type="paragraph" w:styleId="NormalWeb">
    <w:name w:val="Normal (Web)"/>
    <w:basedOn w:val="Normal"/>
    <w:uiPriority w:val="99"/>
    <w:unhideWhenUsed/>
    <w:rsid w:val="00E308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1">
    <w:name w:val="Caption1"/>
    <w:basedOn w:val="DefaultParagraphFont"/>
    <w:rsid w:val="00E3089F"/>
  </w:style>
  <w:style w:type="character" w:styleId="Strong">
    <w:name w:val="Strong"/>
    <w:basedOn w:val="DefaultParagraphFont"/>
    <w:uiPriority w:val="22"/>
    <w:qFormat/>
    <w:rsid w:val="004D67FA"/>
    <w:rPr>
      <w:b/>
      <w:bCs/>
    </w:rPr>
  </w:style>
  <w:style w:type="paragraph" w:styleId="Header">
    <w:name w:val="header"/>
    <w:basedOn w:val="Normal"/>
    <w:link w:val="HeaderChar"/>
    <w:uiPriority w:val="99"/>
    <w:unhideWhenUsed/>
    <w:rsid w:val="00A27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4C"/>
  </w:style>
  <w:style w:type="paragraph" w:styleId="Footer">
    <w:name w:val="footer"/>
    <w:basedOn w:val="Normal"/>
    <w:link w:val="FooterChar"/>
    <w:uiPriority w:val="99"/>
    <w:unhideWhenUsed/>
    <w:rsid w:val="00A27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4C"/>
  </w:style>
  <w:style w:type="paragraph" w:customStyle="1" w:styleId="msolistparagraph0">
    <w:name w:val="msolistparagraph"/>
    <w:basedOn w:val="Normal"/>
    <w:uiPriority w:val="99"/>
    <w:rsid w:val="00F754A6"/>
    <w:pPr>
      <w:spacing w:after="0" w:line="240" w:lineRule="auto"/>
      <w:ind w:left="720"/>
    </w:pPr>
    <w:rPr>
      <w:rFonts w:ascii="Calibri" w:hAnsi="Calibri" w:cs="Times New Roman"/>
      <w:lang w:eastAsia="en-GB"/>
    </w:rPr>
  </w:style>
  <w:style w:type="paragraph" w:styleId="NoSpacing">
    <w:name w:val="No Spacing"/>
    <w:uiPriority w:val="1"/>
    <w:qFormat/>
    <w:rsid w:val="00AA22F1"/>
    <w:pPr>
      <w:spacing w:after="0" w:line="240" w:lineRule="auto"/>
    </w:pPr>
    <w:rPr>
      <w:rFonts w:asciiTheme="minorHAnsi" w:hAnsiTheme="minorHAnsi" w:cstheme="minorBidi"/>
    </w:rPr>
  </w:style>
  <w:style w:type="paragraph" w:customStyle="1" w:styleId="EmptyLayoutCell">
    <w:name w:val="EmptyLayoutCell"/>
    <w:basedOn w:val="Normal"/>
    <w:rsid w:val="00862B7A"/>
    <w:pPr>
      <w:spacing w:after="0" w:line="240" w:lineRule="auto"/>
    </w:pPr>
    <w:rPr>
      <w:rFonts w:ascii="Times New Roman" w:eastAsia="Times New Roman" w:hAnsi="Times New Roman" w:cs="Times New Roman"/>
      <w:sz w:val="2"/>
      <w:szCs w:val="20"/>
      <w:lang w:val="en-US"/>
    </w:rPr>
  </w:style>
  <w:style w:type="character" w:styleId="CommentReference">
    <w:name w:val="annotation reference"/>
    <w:basedOn w:val="DefaultParagraphFont"/>
    <w:uiPriority w:val="99"/>
    <w:semiHidden/>
    <w:unhideWhenUsed/>
    <w:rsid w:val="00163343"/>
    <w:rPr>
      <w:sz w:val="16"/>
      <w:szCs w:val="16"/>
    </w:rPr>
  </w:style>
  <w:style w:type="paragraph" w:styleId="CommentText">
    <w:name w:val="annotation text"/>
    <w:basedOn w:val="Normal"/>
    <w:link w:val="CommentTextChar"/>
    <w:uiPriority w:val="99"/>
    <w:unhideWhenUsed/>
    <w:rsid w:val="00163343"/>
    <w:pPr>
      <w:spacing w:line="240" w:lineRule="auto"/>
    </w:pPr>
    <w:rPr>
      <w:sz w:val="20"/>
      <w:szCs w:val="20"/>
    </w:rPr>
  </w:style>
  <w:style w:type="character" w:customStyle="1" w:styleId="CommentTextChar">
    <w:name w:val="Comment Text Char"/>
    <w:basedOn w:val="DefaultParagraphFont"/>
    <w:link w:val="CommentText"/>
    <w:uiPriority w:val="99"/>
    <w:rsid w:val="00163343"/>
    <w:rPr>
      <w:sz w:val="20"/>
      <w:szCs w:val="20"/>
    </w:rPr>
  </w:style>
  <w:style w:type="paragraph" w:styleId="CommentSubject">
    <w:name w:val="annotation subject"/>
    <w:basedOn w:val="CommentText"/>
    <w:next w:val="CommentText"/>
    <w:link w:val="CommentSubjectChar"/>
    <w:uiPriority w:val="99"/>
    <w:semiHidden/>
    <w:unhideWhenUsed/>
    <w:rsid w:val="00163343"/>
    <w:rPr>
      <w:b/>
      <w:bCs/>
    </w:rPr>
  </w:style>
  <w:style w:type="character" w:customStyle="1" w:styleId="CommentSubjectChar">
    <w:name w:val="Comment Subject Char"/>
    <w:basedOn w:val="CommentTextChar"/>
    <w:link w:val="CommentSubject"/>
    <w:uiPriority w:val="99"/>
    <w:semiHidden/>
    <w:rsid w:val="00163343"/>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61CC6"/>
  </w:style>
  <w:style w:type="character" w:customStyle="1" w:styleId="Heading1Char">
    <w:name w:val="Heading 1 Char"/>
    <w:basedOn w:val="DefaultParagraphFont"/>
    <w:link w:val="Heading1"/>
    <w:uiPriority w:val="1"/>
    <w:rsid w:val="00044FA5"/>
    <w:rPr>
      <w:b/>
      <w:color w:val="FFFFFF" w:themeColor="background1"/>
      <w:sz w:val="28"/>
      <w:szCs w:val="32"/>
    </w:rPr>
  </w:style>
  <w:style w:type="paragraph" w:styleId="BodyText">
    <w:name w:val="Body Text"/>
    <w:basedOn w:val="Normal"/>
    <w:link w:val="BodyTextChar"/>
    <w:uiPriority w:val="1"/>
    <w:qFormat/>
    <w:rsid w:val="00C063C9"/>
    <w:pPr>
      <w:widowControl w:val="0"/>
      <w:spacing w:after="0" w:line="240" w:lineRule="auto"/>
    </w:pPr>
    <w:rPr>
      <w:rFonts w:eastAsia="Arial" w:cstheme="minorBidi"/>
      <w:sz w:val="21"/>
      <w:szCs w:val="21"/>
      <w:lang w:val="en-US"/>
    </w:rPr>
  </w:style>
  <w:style w:type="character" w:customStyle="1" w:styleId="BodyTextChar">
    <w:name w:val="Body Text Char"/>
    <w:basedOn w:val="DefaultParagraphFont"/>
    <w:link w:val="BodyText"/>
    <w:uiPriority w:val="1"/>
    <w:rsid w:val="00C063C9"/>
    <w:rPr>
      <w:rFonts w:eastAsia="Arial" w:cstheme="minorBidi"/>
      <w:sz w:val="21"/>
      <w:szCs w:val="21"/>
      <w:lang w:val="en-US"/>
    </w:rPr>
  </w:style>
  <w:style w:type="character" w:customStyle="1" w:styleId="A3">
    <w:name w:val="A3"/>
    <w:uiPriority w:val="99"/>
    <w:rsid w:val="00E31D0C"/>
    <w:rPr>
      <w:color w:val="000000"/>
      <w:sz w:val="21"/>
      <w:szCs w:val="21"/>
    </w:rPr>
  </w:style>
  <w:style w:type="paragraph" w:customStyle="1" w:styleId="DefaultText">
    <w:name w:val="Default Text"/>
    <w:basedOn w:val="Normal"/>
    <w:rsid w:val="00E31D0C"/>
    <w:pPr>
      <w:tabs>
        <w:tab w:val="left" w:pos="1395"/>
        <w:tab w:val="left" w:pos="3379"/>
        <w:tab w:val="left" w:pos="5760"/>
        <w:tab w:val="left" w:pos="6780"/>
      </w:tabs>
      <w:overflowPunct w:val="0"/>
      <w:autoSpaceDE w:val="0"/>
      <w:autoSpaceDN w:val="0"/>
      <w:adjustRightInd w:val="0"/>
      <w:spacing w:after="0" w:line="240" w:lineRule="auto"/>
      <w:jc w:val="both"/>
    </w:pPr>
    <w:rPr>
      <w:rFonts w:eastAsia="Times New Roman" w:cs="Times New Roman"/>
      <w:szCs w:val="20"/>
    </w:rPr>
  </w:style>
  <w:style w:type="paragraph" w:styleId="Revision">
    <w:name w:val="Revision"/>
    <w:hidden/>
    <w:uiPriority w:val="99"/>
    <w:semiHidden/>
    <w:rsid w:val="00C82451"/>
    <w:pPr>
      <w:spacing w:after="0" w:line="240" w:lineRule="auto"/>
    </w:pPr>
  </w:style>
  <w:style w:type="paragraph" w:styleId="TOC1">
    <w:name w:val="toc 1"/>
    <w:basedOn w:val="Normal"/>
    <w:next w:val="Normal"/>
    <w:autoRedefine/>
    <w:uiPriority w:val="39"/>
    <w:rsid w:val="00213726"/>
    <w:pPr>
      <w:spacing w:after="0" w:line="240" w:lineRule="auto"/>
    </w:pPr>
    <w:rPr>
      <w:rFonts w:ascii="Times New Roman" w:eastAsia="Times New Roman" w:hAnsi="Times New Roman" w:cs="Times New Roman"/>
      <w:sz w:val="24"/>
      <w:szCs w:val="24"/>
    </w:rPr>
  </w:style>
  <w:style w:type="table" w:styleId="ColourfulGridAccent5">
    <w:name w:val="Colorful Grid Accent 5"/>
    <w:basedOn w:val="TableNormal"/>
    <w:uiPriority w:val="73"/>
    <w:rsid w:val="00EC52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5">
    <w:name w:val="Medium Grid 3 Accent 5"/>
    <w:basedOn w:val="TableNormal"/>
    <w:uiPriority w:val="69"/>
    <w:rsid w:val="00EC52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ubject">
    <w:name w:val="subject"/>
    <w:basedOn w:val="DefaultParagraphFont"/>
    <w:rsid w:val="00102CCB"/>
  </w:style>
  <w:style w:type="character" w:styleId="PageNumber">
    <w:name w:val="page number"/>
    <w:uiPriority w:val="99"/>
    <w:rsid w:val="00102CCB"/>
  </w:style>
  <w:style w:type="character" w:customStyle="1" w:styleId="Heading6Char">
    <w:name w:val="Heading 6 Char"/>
    <w:basedOn w:val="DefaultParagraphFont"/>
    <w:link w:val="Heading6"/>
    <w:uiPriority w:val="9"/>
    <w:semiHidden/>
    <w:rsid w:val="00A57742"/>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1"/>
    <w:rsid w:val="00A57742"/>
    <w:rPr>
      <w:rFonts w:eastAsia="Arial" w:cstheme="minorBidi"/>
      <w:sz w:val="32"/>
      <w:szCs w:val="32"/>
      <w:lang w:val="en-US"/>
    </w:rPr>
  </w:style>
  <w:style w:type="character" w:customStyle="1" w:styleId="Heading4Char">
    <w:name w:val="Heading 4 Char"/>
    <w:basedOn w:val="DefaultParagraphFont"/>
    <w:link w:val="Heading4"/>
    <w:uiPriority w:val="1"/>
    <w:rsid w:val="00A57742"/>
    <w:rPr>
      <w:rFonts w:eastAsia="Arial" w:cstheme="minorBidi"/>
      <w:b/>
      <w:bCs/>
      <w:sz w:val="24"/>
      <w:szCs w:val="24"/>
      <w:lang w:val="en-US"/>
    </w:rPr>
  </w:style>
  <w:style w:type="character" w:customStyle="1" w:styleId="Heading5Char">
    <w:name w:val="Heading 5 Char"/>
    <w:basedOn w:val="DefaultParagraphFont"/>
    <w:link w:val="Heading5"/>
    <w:uiPriority w:val="1"/>
    <w:rsid w:val="00A57742"/>
    <w:rPr>
      <w:rFonts w:eastAsia="Arial" w:cstheme="minorBidi"/>
      <w:sz w:val="24"/>
      <w:szCs w:val="24"/>
      <w:lang w:val="en-US"/>
    </w:rPr>
  </w:style>
  <w:style w:type="character" w:customStyle="1" w:styleId="Heading7Char">
    <w:name w:val="Heading 7 Char"/>
    <w:basedOn w:val="DefaultParagraphFont"/>
    <w:link w:val="Heading7"/>
    <w:uiPriority w:val="1"/>
    <w:rsid w:val="00A57742"/>
    <w:rPr>
      <w:rFonts w:eastAsia="Arial" w:cstheme="minorBidi"/>
      <w:b/>
      <w:bCs/>
      <w:i/>
      <w:lang w:val="en-US"/>
    </w:rPr>
  </w:style>
  <w:style w:type="numbering" w:customStyle="1" w:styleId="NoList1">
    <w:name w:val="No List1"/>
    <w:next w:val="NoList"/>
    <w:uiPriority w:val="99"/>
    <w:semiHidden/>
    <w:unhideWhenUsed/>
    <w:rsid w:val="00A57742"/>
  </w:style>
  <w:style w:type="paragraph" w:customStyle="1" w:styleId="TableParagraph">
    <w:name w:val="Table Paragraph"/>
    <w:basedOn w:val="Normal"/>
    <w:uiPriority w:val="1"/>
    <w:qFormat/>
    <w:rsid w:val="00A57742"/>
    <w:pPr>
      <w:widowControl w:val="0"/>
      <w:spacing w:after="0" w:line="240" w:lineRule="auto"/>
    </w:pPr>
    <w:rPr>
      <w:rFonts w:asciiTheme="minorHAnsi" w:hAnsiTheme="minorHAnsi" w:cstheme="minorBidi"/>
      <w:lang w:val="en-US"/>
    </w:rPr>
  </w:style>
  <w:style w:type="paragraph" w:styleId="Caption">
    <w:name w:val="caption"/>
    <w:basedOn w:val="Normal"/>
    <w:next w:val="Normal"/>
    <w:uiPriority w:val="35"/>
    <w:unhideWhenUsed/>
    <w:qFormat/>
    <w:rsid w:val="00EE6E4A"/>
    <w:pPr>
      <w:spacing w:line="240" w:lineRule="auto"/>
    </w:pPr>
    <w:rPr>
      <w:i/>
      <w:iCs/>
      <w:color w:val="1F497D" w:themeColor="text2"/>
      <w:sz w:val="18"/>
      <w:szCs w:val="18"/>
    </w:rPr>
  </w:style>
  <w:style w:type="table" w:styleId="ListTable4-Accent1">
    <w:name w:val="List Table 4 Accent 1"/>
    <w:basedOn w:val="TableNormal"/>
    <w:uiPriority w:val="49"/>
    <w:rsid w:val="00CF091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7">
    <w:name w:val="Pa7"/>
    <w:basedOn w:val="Default"/>
    <w:next w:val="Default"/>
    <w:uiPriority w:val="99"/>
    <w:rsid w:val="00A77756"/>
    <w:pPr>
      <w:spacing w:line="191" w:lineRule="atLeast"/>
    </w:pPr>
    <w:rPr>
      <w:rFonts w:eastAsiaTheme="minorHAnsi"/>
      <w:color w:val="auto"/>
      <w:lang w:eastAsia="en-US"/>
    </w:rPr>
  </w:style>
  <w:style w:type="character" w:customStyle="1" w:styleId="A9">
    <w:name w:val="A9"/>
    <w:uiPriority w:val="99"/>
    <w:rsid w:val="00A77756"/>
    <w:rPr>
      <w:b/>
      <w:bCs/>
      <w:color w:val="000000"/>
      <w:sz w:val="31"/>
      <w:szCs w:val="31"/>
    </w:rPr>
  </w:style>
  <w:style w:type="paragraph" w:styleId="ListBullet">
    <w:name w:val="List Bullet"/>
    <w:basedOn w:val="Normal"/>
    <w:uiPriority w:val="99"/>
    <w:unhideWhenUsed/>
    <w:rsid w:val="00EA2A97"/>
    <w:pPr>
      <w:numPr>
        <w:numId w:val="3"/>
      </w:numPr>
      <w:contextualSpacing/>
    </w:pPr>
  </w:style>
  <w:style w:type="character" w:customStyle="1" w:styleId="normaltextrun">
    <w:name w:val="normaltextrun"/>
    <w:basedOn w:val="DefaultParagraphFont"/>
    <w:rsid w:val="00694256"/>
  </w:style>
  <w:style w:type="character" w:customStyle="1" w:styleId="advancedproofingissue">
    <w:name w:val="advancedproofingissue"/>
    <w:basedOn w:val="DefaultParagraphFont"/>
    <w:rsid w:val="00694256"/>
  </w:style>
  <w:style w:type="table" w:customStyle="1" w:styleId="TableGrid2">
    <w:name w:val="Table Grid2"/>
    <w:basedOn w:val="TableNormal"/>
    <w:uiPriority w:val="59"/>
    <w:rsid w:val="00327844"/>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18B8"/>
    <w:rPr>
      <w:color w:val="605E5C"/>
      <w:shd w:val="clear" w:color="auto" w:fill="E1DFDD"/>
    </w:rPr>
  </w:style>
  <w:style w:type="paragraph" w:styleId="TOCHeading">
    <w:name w:val="TOC Heading"/>
    <w:basedOn w:val="Heading1"/>
    <w:next w:val="Normal"/>
    <w:uiPriority w:val="39"/>
    <w:unhideWhenUsed/>
    <w:qFormat/>
    <w:rsid w:val="00044FA5"/>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lang w:eastAsia="en-GB"/>
    </w:rPr>
  </w:style>
  <w:style w:type="paragraph" w:customStyle="1" w:styleId="pf0">
    <w:name w:val="pf0"/>
    <w:basedOn w:val="Normal"/>
    <w:rsid w:val="00F25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25FD9"/>
    <w:rPr>
      <w:rFonts w:ascii="Segoe UI" w:hAnsi="Segoe UI" w:cs="Segoe UI" w:hint="default"/>
      <w:color w:val="FF0000"/>
      <w:sz w:val="18"/>
      <w:szCs w:val="18"/>
    </w:rPr>
  </w:style>
  <w:style w:type="character" w:styleId="IntenseEmphasis">
    <w:name w:val="Intense Emphasis"/>
    <w:basedOn w:val="DefaultParagraphFont"/>
    <w:uiPriority w:val="21"/>
    <w:qFormat/>
    <w:rsid w:val="00F4503D"/>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762">
      <w:bodyDiv w:val="1"/>
      <w:marLeft w:val="0"/>
      <w:marRight w:val="0"/>
      <w:marTop w:val="0"/>
      <w:marBottom w:val="0"/>
      <w:divBdr>
        <w:top w:val="none" w:sz="0" w:space="0" w:color="auto"/>
        <w:left w:val="none" w:sz="0" w:space="0" w:color="auto"/>
        <w:bottom w:val="none" w:sz="0" w:space="0" w:color="auto"/>
        <w:right w:val="none" w:sz="0" w:space="0" w:color="auto"/>
      </w:divBdr>
    </w:div>
    <w:div w:id="64574761">
      <w:bodyDiv w:val="1"/>
      <w:marLeft w:val="0"/>
      <w:marRight w:val="0"/>
      <w:marTop w:val="0"/>
      <w:marBottom w:val="0"/>
      <w:divBdr>
        <w:top w:val="none" w:sz="0" w:space="0" w:color="auto"/>
        <w:left w:val="none" w:sz="0" w:space="0" w:color="auto"/>
        <w:bottom w:val="none" w:sz="0" w:space="0" w:color="auto"/>
        <w:right w:val="none" w:sz="0" w:space="0" w:color="auto"/>
      </w:divBdr>
    </w:div>
    <w:div w:id="67001855">
      <w:bodyDiv w:val="1"/>
      <w:marLeft w:val="0"/>
      <w:marRight w:val="0"/>
      <w:marTop w:val="0"/>
      <w:marBottom w:val="0"/>
      <w:divBdr>
        <w:top w:val="none" w:sz="0" w:space="0" w:color="auto"/>
        <w:left w:val="none" w:sz="0" w:space="0" w:color="auto"/>
        <w:bottom w:val="none" w:sz="0" w:space="0" w:color="auto"/>
        <w:right w:val="none" w:sz="0" w:space="0" w:color="auto"/>
      </w:divBdr>
    </w:div>
    <w:div w:id="107085834">
      <w:bodyDiv w:val="1"/>
      <w:marLeft w:val="0"/>
      <w:marRight w:val="0"/>
      <w:marTop w:val="0"/>
      <w:marBottom w:val="0"/>
      <w:divBdr>
        <w:top w:val="none" w:sz="0" w:space="0" w:color="auto"/>
        <w:left w:val="none" w:sz="0" w:space="0" w:color="auto"/>
        <w:bottom w:val="none" w:sz="0" w:space="0" w:color="auto"/>
        <w:right w:val="none" w:sz="0" w:space="0" w:color="auto"/>
      </w:divBdr>
    </w:div>
    <w:div w:id="113913253">
      <w:bodyDiv w:val="1"/>
      <w:marLeft w:val="0"/>
      <w:marRight w:val="0"/>
      <w:marTop w:val="0"/>
      <w:marBottom w:val="0"/>
      <w:divBdr>
        <w:top w:val="none" w:sz="0" w:space="0" w:color="auto"/>
        <w:left w:val="none" w:sz="0" w:space="0" w:color="auto"/>
        <w:bottom w:val="none" w:sz="0" w:space="0" w:color="auto"/>
        <w:right w:val="none" w:sz="0" w:space="0" w:color="auto"/>
      </w:divBdr>
    </w:div>
    <w:div w:id="114980481">
      <w:bodyDiv w:val="1"/>
      <w:marLeft w:val="0"/>
      <w:marRight w:val="0"/>
      <w:marTop w:val="0"/>
      <w:marBottom w:val="0"/>
      <w:divBdr>
        <w:top w:val="none" w:sz="0" w:space="0" w:color="auto"/>
        <w:left w:val="none" w:sz="0" w:space="0" w:color="auto"/>
        <w:bottom w:val="none" w:sz="0" w:space="0" w:color="auto"/>
        <w:right w:val="none" w:sz="0" w:space="0" w:color="auto"/>
      </w:divBdr>
    </w:div>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16686267">
      <w:bodyDiv w:val="1"/>
      <w:marLeft w:val="0"/>
      <w:marRight w:val="0"/>
      <w:marTop w:val="0"/>
      <w:marBottom w:val="0"/>
      <w:divBdr>
        <w:top w:val="none" w:sz="0" w:space="0" w:color="auto"/>
        <w:left w:val="none" w:sz="0" w:space="0" w:color="auto"/>
        <w:bottom w:val="none" w:sz="0" w:space="0" w:color="auto"/>
        <w:right w:val="none" w:sz="0" w:space="0" w:color="auto"/>
      </w:divBdr>
    </w:div>
    <w:div w:id="121190386">
      <w:bodyDiv w:val="1"/>
      <w:marLeft w:val="0"/>
      <w:marRight w:val="0"/>
      <w:marTop w:val="0"/>
      <w:marBottom w:val="0"/>
      <w:divBdr>
        <w:top w:val="none" w:sz="0" w:space="0" w:color="auto"/>
        <w:left w:val="none" w:sz="0" w:space="0" w:color="auto"/>
        <w:bottom w:val="none" w:sz="0" w:space="0" w:color="auto"/>
        <w:right w:val="none" w:sz="0" w:space="0" w:color="auto"/>
      </w:divBdr>
    </w:div>
    <w:div w:id="167720327">
      <w:bodyDiv w:val="1"/>
      <w:marLeft w:val="0"/>
      <w:marRight w:val="0"/>
      <w:marTop w:val="0"/>
      <w:marBottom w:val="0"/>
      <w:divBdr>
        <w:top w:val="none" w:sz="0" w:space="0" w:color="auto"/>
        <w:left w:val="none" w:sz="0" w:space="0" w:color="auto"/>
        <w:bottom w:val="none" w:sz="0" w:space="0" w:color="auto"/>
        <w:right w:val="none" w:sz="0" w:space="0" w:color="auto"/>
      </w:divBdr>
      <w:divsChild>
        <w:div w:id="584996834">
          <w:marLeft w:val="0"/>
          <w:marRight w:val="0"/>
          <w:marTop w:val="0"/>
          <w:marBottom w:val="0"/>
          <w:divBdr>
            <w:top w:val="none" w:sz="0" w:space="0" w:color="auto"/>
            <w:left w:val="none" w:sz="0" w:space="0" w:color="auto"/>
            <w:bottom w:val="none" w:sz="0" w:space="0" w:color="auto"/>
            <w:right w:val="none" w:sz="0" w:space="0" w:color="auto"/>
          </w:divBdr>
          <w:divsChild>
            <w:div w:id="314264028">
              <w:marLeft w:val="0"/>
              <w:marRight w:val="0"/>
              <w:marTop w:val="0"/>
              <w:marBottom w:val="0"/>
              <w:divBdr>
                <w:top w:val="none" w:sz="0" w:space="0" w:color="auto"/>
                <w:left w:val="none" w:sz="0" w:space="0" w:color="auto"/>
                <w:bottom w:val="none" w:sz="0" w:space="0" w:color="auto"/>
                <w:right w:val="none" w:sz="0" w:space="0" w:color="auto"/>
              </w:divBdr>
              <w:divsChild>
                <w:div w:id="2043478053">
                  <w:marLeft w:val="0"/>
                  <w:marRight w:val="0"/>
                  <w:marTop w:val="0"/>
                  <w:marBottom w:val="0"/>
                  <w:divBdr>
                    <w:top w:val="none" w:sz="0" w:space="0" w:color="auto"/>
                    <w:left w:val="none" w:sz="0" w:space="0" w:color="auto"/>
                    <w:bottom w:val="none" w:sz="0" w:space="0" w:color="auto"/>
                    <w:right w:val="none" w:sz="0" w:space="0" w:color="auto"/>
                  </w:divBdr>
                  <w:divsChild>
                    <w:div w:id="976764335">
                      <w:marLeft w:val="0"/>
                      <w:marRight w:val="0"/>
                      <w:marTop w:val="0"/>
                      <w:marBottom w:val="0"/>
                      <w:divBdr>
                        <w:top w:val="none" w:sz="0" w:space="0" w:color="auto"/>
                        <w:left w:val="none" w:sz="0" w:space="0" w:color="auto"/>
                        <w:bottom w:val="none" w:sz="0" w:space="0" w:color="auto"/>
                        <w:right w:val="none" w:sz="0" w:space="0" w:color="auto"/>
                      </w:divBdr>
                      <w:divsChild>
                        <w:div w:id="1563910496">
                          <w:marLeft w:val="0"/>
                          <w:marRight w:val="0"/>
                          <w:marTop w:val="0"/>
                          <w:marBottom w:val="0"/>
                          <w:divBdr>
                            <w:top w:val="none" w:sz="0" w:space="0" w:color="auto"/>
                            <w:left w:val="none" w:sz="0" w:space="0" w:color="auto"/>
                            <w:bottom w:val="none" w:sz="0" w:space="0" w:color="auto"/>
                            <w:right w:val="none" w:sz="0" w:space="0" w:color="auto"/>
                          </w:divBdr>
                          <w:divsChild>
                            <w:div w:id="1093161208">
                              <w:marLeft w:val="0"/>
                              <w:marRight w:val="0"/>
                              <w:marTop w:val="0"/>
                              <w:marBottom w:val="0"/>
                              <w:divBdr>
                                <w:top w:val="none" w:sz="0" w:space="0" w:color="auto"/>
                                <w:left w:val="none" w:sz="0" w:space="0" w:color="auto"/>
                                <w:bottom w:val="none" w:sz="0" w:space="0" w:color="auto"/>
                                <w:right w:val="none" w:sz="0" w:space="0" w:color="auto"/>
                              </w:divBdr>
                              <w:divsChild>
                                <w:div w:id="1668054513">
                                  <w:marLeft w:val="0"/>
                                  <w:marRight w:val="0"/>
                                  <w:marTop w:val="0"/>
                                  <w:marBottom w:val="0"/>
                                  <w:divBdr>
                                    <w:top w:val="none" w:sz="0" w:space="0" w:color="auto"/>
                                    <w:left w:val="none" w:sz="0" w:space="0" w:color="auto"/>
                                    <w:bottom w:val="none" w:sz="0" w:space="0" w:color="auto"/>
                                    <w:right w:val="none" w:sz="0" w:space="0" w:color="auto"/>
                                  </w:divBdr>
                                  <w:divsChild>
                                    <w:div w:id="1381325062">
                                      <w:marLeft w:val="0"/>
                                      <w:marRight w:val="0"/>
                                      <w:marTop w:val="0"/>
                                      <w:marBottom w:val="0"/>
                                      <w:divBdr>
                                        <w:top w:val="none" w:sz="0" w:space="0" w:color="auto"/>
                                        <w:left w:val="none" w:sz="0" w:space="0" w:color="auto"/>
                                        <w:bottom w:val="none" w:sz="0" w:space="0" w:color="auto"/>
                                        <w:right w:val="none" w:sz="0" w:space="0" w:color="auto"/>
                                      </w:divBdr>
                                      <w:divsChild>
                                        <w:div w:id="297077856">
                                          <w:marLeft w:val="0"/>
                                          <w:marRight w:val="0"/>
                                          <w:marTop w:val="0"/>
                                          <w:marBottom w:val="0"/>
                                          <w:divBdr>
                                            <w:top w:val="none" w:sz="0" w:space="0" w:color="auto"/>
                                            <w:left w:val="none" w:sz="0" w:space="0" w:color="auto"/>
                                            <w:bottom w:val="none" w:sz="0" w:space="0" w:color="auto"/>
                                            <w:right w:val="none" w:sz="0" w:space="0" w:color="auto"/>
                                          </w:divBdr>
                                          <w:divsChild>
                                            <w:div w:id="1401251060">
                                              <w:marLeft w:val="0"/>
                                              <w:marRight w:val="0"/>
                                              <w:marTop w:val="0"/>
                                              <w:marBottom w:val="0"/>
                                              <w:divBdr>
                                                <w:top w:val="none" w:sz="0" w:space="0" w:color="auto"/>
                                                <w:left w:val="none" w:sz="0" w:space="0" w:color="auto"/>
                                                <w:bottom w:val="none" w:sz="0" w:space="0" w:color="auto"/>
                                                <w:right w:val="none" w:sz="0" w:space="0" w:color="auto"/>
                                              </w:divBdr>
                                              <w:divsChild>
                                                <w:div w:id="7821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70889">
      <w:bodyDiv w:val="1"/>
      <w:marLeft w:val="0"/>
      <w:marRight w:val="0"/>
      <w:marTop w:val="0"/>
      <w:marBottom w:val="0"/>
      <w:divBdr>
        <w:top w:val="none" w:sz="0" w:space="0" w:color="auto"/>
        <w:left w:val="none" w:sz="0" w:space="0" w:color="auto"/>
        <w:bottom w:val="none" w:sz="0" w:space="0" w:color="auto"/>
        <w:right w:val="none" w:sz="0" w:space="0" w:color="auto"/>
      </w:divBdr>
    </w:div>
    <w:div w:id="194118757">
      <w:bodyDiv w:val="1"/>
      <w:marLeft w:val="0"/>
      <w:marRight w:val="0"/>
      <w:marTop w:val="0"/>
      <w:marBottom w:val="0"/>
      <w:divBdr>
        <w:top w:val="none" w:sz="0" w:space="0" w:color="auto"/>
        <w:left w:val="none" w:sz="0" w:space="0" w:color="auto"/>
        <w:bottom w:val="none" w:sz="0" w:space="0" w:color="auto"/>
        <w:right w:val="none" w:sz="0" w:space="0" w:color="auto"/>
      </w:divBdr>
      <w:divsChild>
        <w:div w:id="185868334">
          <w:marLeft w:val="0"/>
          <w:marRight w:val="0"/>
          <w:marTop w:val="0"/>
          <w:marBottom w:val="0"/>
          <w:divBdr>
            <w:top w:val="none" w:sz="0" w:space="0" w:color="auto"/>
            <w:left w:val="none" w:sz="0" w:space="0" w:color="auto"/>
            <w:bottom w:val="none" w:sz="0" w:space="0" w:color="auto"/>
            <w:right w:val="none" w:sz="0" w:space="0" w:color="auto"/>
          </w:divBdr>
          <w:divsChild>
            <w:div w:id="719716662">
              <w:marLeft w:val="0"/>
              <w:marRight w:val="0"/>
              <w:marTop w:val="0"/>
              <w:marBottom w:val="0"/>
              <w:divBdr>
                <w:top w:val="none" w:sz="0" w:space="0" w:color="auto"/>
                <w:left w:val="none" w:sz="0" w:space="0" w:color="auto"/>
                <w:bottom w:val="none" w:sz="0" w:space="0" w:color="auto"/>
                <w:right w:val="none" w:sz="0" w:space="0" w:color="auto"/>
              </w:divBdr>
              <w:divsChild>
                <w:div w:id="813255283">
                  <w:marLeft w:val="0"/>
                  <w:marRight w:val="0"/>
                  <w:marTop w:val="195"/>
                  <w:marBottom w:val="0"/>
                  <w:divBdr>
                    <w:top w:val="none" w:sz="0" w:space="0" w:color="auto"/>
                    <w:left w:val="none" w:sz="0" w:space="0" w:color="auto"/>
                    <w:bottom w:val="none" w:sz="0" w:space="0" w:color="auto"/>
                    <w:right w:val="none" w:sz="0" w:space="0" w:color="auto"/>
                  </w:divBdr>
                  <w:divsChild>
                    <w:div w:id="366561626">
                      <w:marLeft w:val="0"/>
                      <w:marRight w:val="0"/>
                      <w:marTop w:val="0"/>
                      <w:marBottom w:val="180"/>
                      <w:divBdr>
                        <w:top w:val="none" w:sz="0" w:space="0" w:color="auto"/>
                        <w:left w:val="none" w:sz="0" w:space="0" w:color="auto"/>
                        <w:bottom w:val="none" w:sz="0" w:space="0" w:color="auto"/>
                        <w:right w:val="none" w:sz="0" w:space="0" w:color="auto"/>
                      </w:divBdr>
                      <w:divsChild>
                        <w:div w:id="182941358">
                          <w:marLeft w:val="0"/>
                          <w:marRight w:val="0"/>
                          <w:marTop w:val="0"/>
                          <w:marBottom w:val="0"/>
                          <w:divBdr>
                            <w:top w:val="none" w:sz="0" w:space="0" w:color="auto"/>
                            <w:left w:val="none" w:sz="0" w:space="0" w:color="auto"/>
                            <w:bottom w:val="none" w:sz="0" w:space="0" w:color="auto"/>
                            <w:right w:val="none" w:sz="0" w:space="0" w:color="auto"/>
                          </w:divBdr>
                          <w:divsChild>
                            <w:div w:id="1600066612">
                              <w:marLeft w:val="0"/>
                              <w:marRight w:val="0"/>
                              <w:marTop w:val="0"/>
                              <w:marBottom w:val="0"/>
                              <w:divBdr>
                                <w:top w:val="none" w:sz="0" w:space="0" w:color="auto"/>
                                <w:left w:val="none" w:sz="0" w:space="0" w:color="auto"/>
                                <w:bottom w:val="none" w:sz="0" w:space="0" w:color="auto"/>
                                <w:right w:val="none" w:sz="0" w:space="0" w:color="auto"/>
                              </w:divBdr>
                              <w:divsChild>
                                <w:div w:id="933367011">
                                  <w:marLeft w:val="0"/>
                                  <w:marRight w:val="0"/>
                                  <w:marTop w:val="0"/>
                                  <w:marBottom w:val="0"/>
                                  <w:divBdr>
                                    <w:top w:val="none" w:sz="0" w:space="0" w:color="auto"/>
                                    <w:left w:val="none" w:sz="0" w:space="0" w:color="auto"/>
                                    <w:bottom w:val="none" w:sz="0" w:space="0" w:color="auto"/>
                                    <w:right w:val="none" w:sz="0" w:space="0" w:color="auto"/>
                                  </w:divBdr>
                                  <w:divsChild>
                                    <w:div w:id="1702129103">
                                      <w:marLeft w:val="0"/>
                                      <w:marRight w:val="0"/>
                                      <w:marTop w:val="0"/>
                                      <w:marBottom w:val="0"/>
                                      <w:divBdr>
                                        <w:top w:val="none" w:sz="0" w:space="0" w:color="auto"/>
                                        <w:left w:val="none" w:sz="0" w:space="0" w:color="auto"/>
                                        <w:bottom w:val="none" w:sz="0" w:space="0" w:color="auto"/>
                                        <w:right w:val="none" w:sz="0" w:space="0" w:color="auto"/>
                                      </w:divBdr>
                                      <w:divsChild>
                                        <w:div w:id="1730689181">
                                          <w:marLeft w:val="0"/>
                                          <w:marRight w:val="0"/>
                                          <w:marTop w:val="0"/>
                                          <w:marBottom w:val="0"/>
                                          <w:divBdr>
                                            <w:top w:val="none" w:sz="0" w:space="0" w:color="auto"/>
                                            <w:left w:val="none" w:sz="0" w:space="0" w:color="auto"/>
                                            <w:bottom w:val="none" w:sz="0" w:space="0" w:color="auto"/>
                                            <w:right w:val="none" w:sz="0" w:space="0" w:color="auto"/>
                                          </w:divBdr>
                                          <w:divsChild>
                                            <w:div w:id="1570457184">
                                              <w:marLeft w:val="0"/>
                                              <w:marRight w:val="0"/>
                                              <w:marTop w:val="0"/>
                                              <w:marBottom w:val="0"/>
                                              <w:divBdr>
                                                <w:top w:val="none" w:sz="0" w:space="0" w:color="auto"/>
                                                <w:left w:val="none" w:sz="0" w:space="0" w:color="auto"/>
                                                <w:bottom w:val="none" w:sz="0" w:space="0" w:color="auto"/>
                                                <w:right w:val="none" w:sz="0" w:space="0" w:color="auto"/>
                                              </w:divBdr>
                                              <w:divsChild>
                                                <w:div w:id="17446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166022">
      <w:bodyDiv w:val="1"/>
      <w:marLeft w:val="0"/>
      <w:marRight w:val="0"/>
      <w:marTop w:val="0"/>
      <w:marBottom w:val="0"/>
      <w:divBdr>
        <w:top w:val="none" w:sz="0" w:space="0" w:color="auto"/>
        <w:left w:val="none" w:sz="0" w:space="0" w:color="auto"/>
        <w:bottom w:val="none" w:sz="0" w:space="0" w:color="auto"/>
        <w:right w:val="none" w:sz="0" w:space="0" w:color="auto"/>
      </w:divBdr>
    </w:div>
    <w:div w:id="236671082">
      <w:bodyDiv w:val="1"/>
      <w:marLeft w:val="0"/>
      <w:marRight w:val="0"/>
      <w:marTop w:val="0"/>
      <w:marBottom w:val="0"/>
      <w:divBdr>
        <w:top w:val="none" w:sz="0" w:space="0" w:color="auto"/>
        <w:left w:val="none" w:sz="0" w:space="0" w:color="auto"/>
        <w:bottom w:val="none" w:sz="0" w:space="0" w:color="auto"/>
        <w:right w:val="none" w:sz="0" w:space="0" w:color="auto"/>
      </w:divBdr>
    </w:div>
    <w:div w:id="249046526">
      <w:bodyDiv w:val="1"/>
      <w:marLeft w:val="0"/>
      <w:marRight w:val="0"/>
      <w:marTop w:val="0"/>
      <w:marBottom w:val="0"/>
      <w:divBdr>
        <w:top w:val="none" w:sz="0" w:space="0" w:color="auto"/>
        <w:left w:val="none" w:sz="0" w:space="0" w:color="auto"/>
        <w:bottom w:val="none" w:sz="0" w:space="0" w:color="auto"/>
        <w:right w:val="none" w:sz="0" w:space="0" w:color="auto"/>
      </w:divBdr>
    </w:div>
    <w:div w:id="251665313">
      <w:bodyDiv w:val="1"/>
      <w:marLeft w:val="0"/>
      <w:marRight w:val="0"/>
      <w:marTop w:val="0"/>
      <w:marBottom w:val="0"/>
      <w:divBdr>
        <w:top w:val="none" w:sz="0" w:space="0" w:color="auto"/>
        <w:left w:val="none" w:sz="0" w:space="0" w:color="auto"/>
        <w:bottom w:val="none" w:sz="0" w:space="0" w:color="auto"/>
        <w:right w:val="none" w:sz="0" w:space="0" w:color="auto"/>
      </w:divBdr>
    </w:div>
    <w:div w:id="389380520">
      <w:bodyDiv w:val="1"/>
      <w:marLeft w:val="0"/>
      <w:marRight w:val="0"/>
      <w:marTop w:val="0"/>
      <w:marBottom w:val="0"/>
      <w:divBdr>
        <w:top w:val="none" w:sz="0" w:space="0" w:color="auto"/>
        <w:left w:val="none" w:sz="0" w:space="0" w:color="auto"/>
        <w:bottom w:val="none" w:sz="0" w:space="0" w:color="auto"/>
        <w:right w:val="none" w:sz="0" w:space="0" w:color="auto"/>
      </w:divBdr>
    </w:div>
    <w:div w:id="391587512">
      <w:bodyDiv w:val="1"/>
      <w:marLeft w:val="0"/>
      <w:marRight w:val="0"/>
      <w:marTop w:val="0"/>
      <w:marBottom w:val="0"/>
      <w:divBdr>
        <w:top w:val="none" w:sz="0" w:space="0" w:color="auto"/>
        <w:left w:val="none" w:sz="0" w:space="0" w:color="auto"/>
        <w:bottom w:val="none" w:sz="0" w:space="0" w:color="auto"/>
        <w:right w:val="none" w:sz="0" w:space="0" w:color="auto"/>
      </w:divBdr>
    </w:div>
    <w:div w:id="406919272">
      <w:bodyDiv w:val="1"/>
      <w:marLeft w:val="0"/>
      <w:marRight w:val="0"/>
      <w:marTop w:val="0"/>
      <w:marBottom w:val="0"/>
      <w:divBdr>
        <w:top w:val="none" w:sz="0" w:space="0" w:color="auto"/>
        <w:left w:val="none" w:sz="0" w:space="0" w:color="auto"/>
        <w:bottom w:val="none" w:sz="0" w:space="0" w:color="auto"/>
        <w:right w:val="none" w:sz="0" w:space="0" w:color="auto"/>
      </w:divBdr>
    </w:div>
    <w:div w:id="426775717">
      <w:bodyDiv w:val="1"/>
      <w:marLeft w:val="0"/>
      <w:marRight w:val="0"/>
      <w:marTop w:val="0"/>
      <w:marBottom w:val="0"/>
      <w:divBdr>
        <w:top w:val="none" w:sz="0" w:space="0" w:color="auto"/>
        <w:left w:val="none" w:sz="0" w:space="0" w:color="auto"/>
        <w:bottom w:val="none" w:sz="0" w:space="0" w:color="auto"/>
        <w:right w:val="none" w:sz="0" w:space="0" w:color="auto"/>
      </w:divBdr>
    </w:div>
    <w:div w:id="434402378">
      <w:bodyDiv w:val="1"/>
      <w:marLeft w:val="0"/>
      <w:marRight w:val="0"/>
      <w:marTop w:val="0"/>
      <w:marBottom w:val="0"/>
      <w:divBdr>
        <w:top w:val="none" w:sz="0" w:space="0" w:color="auto"/>
        <w:left w:val="none" w:sz="0" w:space="0" w:color="auto"/>
        <w:bottom w:val="none" w:sz="0" w:space="0" w:color="auto"/>
        <w:right w:val="none" w:sz="0" w:space="0" w:color="auto"/>
      </w:divBdr>
    </w:div>
    <w:div w:id="478038144">
      <w:bodyDiv w:val="1"/>
      <w:marLeft w:val="0"/>
      <w:marRight w:val="0"/>
      <w:marTop w:val="0"/>
      <w:marBottom w:val="0"/>
      <w:divBdr>
        <w:top w:val="none" w:sz="0" w:space="0" w:color="auto"/>
        <w:left w:val="none" w:sz="0" w:space="0" w:color="auto"/>
        <w:bottom w:val="none" w:sz="0" w:space="0" w:color="auto"/>
        <w:right w:val="none" w:sz="0" w:space="0" w:color="auto"/>
      </w:divBdr>
    </w:div>
    <w:div w:id="496654286">
      <w:bodyDiv w:val="1"/>
      <w:marLeft w:val="0"/>
      <w:marRight w:val="0"/>
      <w:marTop w:val="0"/>
      <w:marBottom w:val="0"/>
      <w:divBdr>
        <w:top w:val="none" w:sz="0" w:space="0" w:color="auto"/>
        <w:left w:val="none" w:sz="0" w:space="0" w:color="auto"/>
        <w:bottom w:val="none" w:sz="0" w:space="0" w:color="auto"/>
        <w:right w:val="none" w:sz="0" w:space="0" w:color="auto"/>
      </w:divBdr>
      <w:divsChild>
        <w:div w:id="1351025725">
          <w:marLeft w:val="0"/>
          <w:marRight w:val="0"/>
          <w:marTop w:val="300"/>
          <w:marBottom w:val="300"/>
          <w:divBdr>
            <w:top w:val="single" w:sz="6" w:space="8" w:color="B6D1E4"/>
            <w:left w:val="single" w:sz="6" w:space="8" w:color="B6D1E4"/>
            <w:bottom w:val="single" w:sz="6" w:space="8" w:color="B6D1E4"/>
            <w:right w:val="single" w:sz="6" w:space="8" w:color="B6D1E4"/>
          </w:divBdr>
          <w:divsChild>
            <w:div w:id="1297485767">
              <w:marLeft w:val="0"/>
              <w:marRight w:val="0"/>
              <w:marTop w:val="0"/>
              <w:marBottom w:val="0"/>
              <w:divBdr>
                <w:top w:val="none" w:sz="0" w:space="0" w:color="auto"/>
                <w:left w:val="none" w:sz="0" w:space="0" w:color="auto"/>
                <w:bottom w:val="none" w:sz="0" w:space="0" w:color="auto"/>
                <w:right w:val="none" w:sz="0" w:space="0" w:color="auto"/>
              </w:divBdr>
              <w:divsChild>
                <w:div w:id="311259576">
                  <w:marLeft w:val="0"/>
                  <w:marRight w:val="0"/>
                  <w:marTop w:val="0"/>
                  <w:marBottom w:val="0"/>
                  <w:divBdr>
                    <w:top w:val="none" w:sz="0" w:space="0" w:color="auto"/>
                    <w:left w:val="none" w:sz="0" w:space="0" w:color="auto"/>
                    <w:bottom w:val="none" w:sz="0" w:space="0" w:color="auto"/>
                    <w:right w:val="none" w:sz="0" w:space="0" w:color="auto"/>
                  </w:divBdr>
                  <w:divsChild>
                    <w:div w:id="713776495">
                      <w:marLeft w:val="0"/>
                      <w:marRight w:val="0"/>
                      <w:marTop w:val="225"/>
                      <w:marBottom w:val="0"/>
                      <w:divBdr>
                        <w:top w:val="none" w:sz="0" w:space="0" w:color="auto"/>
                        <w:left w:val="none" w:sz="0" w:space="0" w:color="auto"/>
                        <w:bottom w:val="none" w:sz="0" w:space="0" w:color="auto"/>
                        <w:right w:val="none" w:sz="0" w:space="0" w:color="auto"/>
                      </w:divBdr>
                      <w:divsChild>
                        <w:div w:id="415980528">
                          <w:marLeft w:val="0"/>
                          <w:marRight w:val="0"/>
                          <w:marTop w:val="0"/>
                          <w:marBottom w:val="0"/>
                          <w:divBdr>
                            <w:top w:val="none" w:sz="0" w:space="0" w:color="auto"/>
                            <w:left w:val="none" w:sz="0" w:space="0" w:color="auto"/>
                            <w:bottom w:val="none" w:sz="0" w:space="0" w:color="auto"/>
                            <w:right w:val="none" w:sz="0" w:space="0" w:color="auto"/>
                          </w:divBdr>
                          <w:divsChild>
                            <w:div w:id="1746996492">
                              <w:marLeft w:val="0"/>
                              <w:marRight w:val="0"/>
                              <w:marTop w:val="0"/>
                              <w:marBottom w:val="0"/>
                              <w:divBdr>
                                <w:top w:val="none" w:sz="0" w:space="0" w:color="auto"/>
                                <w:left w:val="none" w:sz="0" w:space="0" w:color="auto"/>
                                <w:bottom w:val="none" w:sz="0" w:space="0" w:color="auto"/>
                                <w:right w:val="none" w:sz="0" w:space="0" w:color="auto"/>
                              </w:divBdr>
                              <w:divsChild>
                                <w:div w:id="20754656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20919">
      <w:bodyDiv w:val="1"/>
      <w:marLeft w:val="0"/>
      <w:marRight w:val="0"/>
      <w:marTop w:val="0"/>
      <w:marBottom w:val="0"/>
      <w:divBdr>
        <w:top w:val="none" w:sz="0" w:space="0" w:color="auto"/>
        <w:left w:val="none" w:sz="0" w:space="0" w:color="auto"/>
        <w:bottom w:val="none" w:sz="0" w:space="0" w:color="auto"/>
        <w:right w:val="none" w:sz="0" w:space="0" w:color="auto"/>
      </w:divBdr>
    </w:div>
    <w:div w:id="535045713">
      <w:bodyDiv w:val="1"/>
      <w:marLeft w:val="0"/>
      <w:marRight w:val="0"/>
      <w:marTop w:val="0"/>
      <w:marBottom w:val="0"/>
      <w:divBdr>
        <w:top w:val="none" w:sz="0" w:space="0" w:color="auto"/>
        <w:left w:val="none" w:sz="0" w:space="0" w:color="auto"/>
        <w:bottom w:val="none" w:sz="0" w:space="0" w:color="auto"/>
        <w:right w:val="none" w:sz="0" w:space="0" w:color="auto"/>
      </w:divBdr>
    </w:div>
    <w:div w:id="538934589">
      <w:bodyDiv w:val="1"/>
      <w:marLeft w:val="0"/>
      <w:marRight w:val="0"/>
      <w:marTop w:val="0"/>
      <w:marBottom w:val="0"/>
      <w:divBdr>
        <w:top w:val="none" w:sz="0" w:space="0" w:color="auto"/>
        <w:left w:val="none" w:sz="0" w:space="0" w:color="auto"/>
        <w:bottom w:val="none" w:sz="0" w:space="0" w:color="auto"/>
        <w:right w:val="none" w:sz="0" w:space="0" w:color="auto"/>
      </w:divBdr>
      <w:divsChild>
        <w:div w:id="704064362">
          <w:marLeft w:val="0"/>
          <w:marRight w:val="0"/>
          <w:marTop w:val="0"/>
          <w:marBottom w:val="0"/>
          <w:divBdr>
            <w:top w:val="none" w:sz="0" w:space="0" w:color="auto"/>
            <w:left w:val="none" w:sz="0" w:space="0" w:color="auto"/>
            <w:bottom w:val="none" w:sz="0" w:space="0" w:color="auto"/>
            <w:right w:val="none" w:sz="0" w:space="0" w:color="auto"/>
          </w:divBdr>
          <w:divsChild>
            <w:div w:id="1499929926">
              <w:marLeft w:val="0"/>
              <w:marRight w:val="0"/>
              <w:marTop w:val="0"/>
              <w:marBottom w:val="0"/>
              <w:divBdr>
                <w:top w:val="none" w:sz="0" w:space="0" w:color="auto"/>
                <w:left w:val="none" w:sz="0" w:space="0" w:color="auto"/>
                <w:bottom w:val="none" w:sz="0" w:space="0" w:color="auto"/>
                <w:right w:val="none" w:sz="0" w:space="0" w:color="auto"/>
              </w:divBdr>
              <w:divsChild>
                <w:div w:id="648897869">
                  <w:marLeft w:val="0"/>
                  <w:marRight w:val="0"/>
                  <w:marTop w:val="0"/>
                  <w:marBottom w:val="0"/>
                  <w:divBdr>
                    <w:top w:val="none" w:sz="0" w:space="0" w:color="auto"/>
                    <w:left w:val="none" w:sz="0" w:space="0" w:color="auto"/>
                    <w:bottom w:val="none" w:sz="0" w:space="0" w:color="auto"/>
                    <w:right w:val="none" w:sz="0" w:space="0" w:color="auto"/>
                  </w:divBdr>
                  <w:divsChild>
                    <w:div w:id="637297225">
                      <w:marLeft w:val="0"/>
                      <w:marRight w:val="0"/>
                      <w:marTop w:val="0"/>
                      <w:marBottom w:val="0"/>
                      <w:divBdr>
                        <w:top w:val="none" w:sz="0" w:space="0" w:color="auto"/>
                        <w:left w:val="none" w:sz="0" w:space="0" w:color="auto"/>
                        <w:bottom w:val="none" w:sz="0" w:space="0" w:color="auto"/>
                        <w:right w:val="none" w:sz="0" w:space="0" w:color="auto"/>
                      </w:divBdr>
                      <w:divsChild>
                        <w:div w:id="808860377">
                          <w:marLeft w:val="0"/>
                          <w:marRight w:val="0"/>
                          <w:marTop w:val="0"/>
                          <w:marBottom w:val="0"/>
                          <w:divBdr>
                            <w:top w:val="none" w:sz="0" w:space="0" w:color="auto"/>
                            <w:left w:val="none" w:sz="0" w:space="0" w:color="auto"/>
                            <w:bottom w:val="none" w:sz="0" w:space="0" w:color="auto"/>
                            <w:right w:val="none" w:sz="0" w:space="0" w:color="auto"/>
                          </w:divBdr>
                          <w:divsChild>
                            <w:div w:id="1414232244">
                              <w:marLeft w:val="0"/>
                              <w:marRight w:val="0"/>
                              <w:marTop w:val="0"/>
                              <w:marBottom w:val="0"/>
                              <w:divBdr>
                                <w:top w:val="none" w:sz="0" w:space="0" w:color="auto"/>
                                <w:left w:val="none" w:sz="0" w:space="0" w:color="auto"/>
                                <w:bottom w:val="none" w:sz="0" w:space="0" w:color="auto"/>
                                <w:right w:val="none" w:sz="0" w:space="0" w:color="auto"/>
                              </w:divBdr>
                              <w:divsChild>
                                <w:div w:id="2039112359">
                                  <w:marLeft w:val="0"/>
                                  <w:marRight w:val="0"/>
                                  <w:marTop w:val="0"/>
                                  <w:marBottom w:val="0"/>
                                  <w:divBdr>
                                    <w:top w:val="none" w:sz="0" w:space="0" w:color="auto"/>
                                    <w:left w:val="none" w:sz="0" w:space="0" w:color="auto"/>
                                    <w:bottom w:val="none" w:sz="0" w:space="0" w:color="auto"/>
                                    <w:right w:val="none" w:sz="0" w:space="0" w:color="auto"/>
                                  </w:divBdr>
                                  <w:divsChild>
                                    <w:div w:id="21182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229761">
      <w:bodyDiv w:val="1"/>
      <w:marLeft w:val="0"/>
      <w:marRight w:val="0"/>
      <w:marTop w:val="0"/>
      <w:marBottom w:val="0"/>
      <w:divBdr>
        <w:top w:val="none" w:sz="0" w:space="0" w:color="auto"/>
        <w:left w:val="none" w:sz="0" w:space="0" w:color="auto"/>
        <w:bottom w:val="none" w:sz="0" w:space="0" w:color="auto"/>
        <w:right w:val="none" w:sz="0" w:space="0" w:color="auto"/>
      </w:divBdr>
    </w:div>
    <w:div w:id="555237069">
      <w:bodyDiv w:val="1"/>
      <w:marLeft w:val="0"/>
      <w:marRight w:val="0"/>
      <w:marTop w:val="0"/>
      <w:marBottom w:val="0"/>
      <w:divBdr>
        <w:top w:val="none" w:sz="0" w:space="0" w:color="auto"/>
        <w:left w:val="none" w:sz="0" w:space="0" w:color="auto"/>
        <w:bottom w:val="none" w:sz="0" w:space="0" w:color="auto"/>
        <w:right w:val="none" w:sz="0" w:space="0" w:color="auto"/>
      </w:divBdr>
    </w:div>
    <w:div w:id="560025889">
      <w:bodyDiv w:val="1"/>
      <w:marLeft w:val="0"/>
      <w:marRight w:val="0"/>
      <w:marTop w:val="0"/>
      <w:marBottom w:val="0"/>
      <w:divBdr>
        <w:top w:val="none" w:sz="0" w:space="0" w:color="auto"/>
        <w:left w:val="none" w:sz="0" w:space="0" w:color="auto"/>
        <w:bottom w:val="none" w:sz="0" w:space="0" w:color="auto"/>
        <w:right w:val="none" w:sz="0" w:space="0" w:color="auto"/>
      </w:divBdr>
    </w:div>
    <w:div w:id="565991196">
      <w:bodyDiv w:val="1"/>
      <w:marLeft w:val="0"/>
      <w:marRight w:val="0"/>
      <w:marTop w:val="0"/>
      <w:marBottom w:val="0"/>
      <w:divBdr>
        <w:top w:val="none" w:sz="0" w:space="0" w:color="auto"/>
        <w:left w:val="none" w:sz="0" w:space="0" w:color="auto"/>
        <w:bottom w:val="none" w:sz="0" w:space="0" w:color="auto"/>
        <w:right w:val="none" w:sz="0" w:space="0" w:color="auto"/>
      </w:divBdr>
    </w:div>
    <w:div w:id="593821768">
      <w:bodyDiv w:val="1"/>
      <w:marLeft w:val="0"/>
      <w:marRight w:val="0"/>
      <w:marTop w:val="0"/>
      <w:marBottom w:val="0"/>
      <w:divBdr>
        <w:top w:val="none" w:sz="0" w:space="0" w:color="auto"/>
        <w:left w:val="none" w:sz="0" w:space="0" w:color="auto"/>
        <w:bottom w:val="none" w:sz="0" w:space="0" w:color="auto"/>
        <w:right w:val="none" w:sz="0" w:space="0" w:color="auto"/>
      </w:divBdr>
    </w:div>
    <w:div w:id="620452775">
      <w:bodyDiv w:val="1"/>
      <w:marLeft w:val="0"/>
      <w:marRight w:val="0"/>
      <w:marTop w:val="0"/>
      <w:marBottom w:val="0"/>
      <w:divBdr>
        <w:top w:val="none" w:sz="0" w:space="0" w:color="auto"/>
        <w:left w:val="none" w:sz="0" w:space="0" w:color="auto"/>
        <w:bottom w:val="none" w:sz="0" w:space="0" w:color="auto"/>
        <w:right w:val="none" w:sz="0" w:space="0" w:color="auto"/>
      </w:divBdr>
    </w:div>
    <w:div w:id="633563276">
      <w:bodyDiv w:val="1"/>
      <w:marLeft w:val="0"/>
      <w:marRight w:val="0"/>
      <w:marTop w:val="0"/>
      <w:marBottom w:val="0"/>
      <w:divBdr>
        <w:top w:val="none" w:sz="0" w:space="0" w:color="auto"/>
        <w:left w:val="none" w:sz="0" w:space="0" w:color="auto"/>
        <w:bottom w:val="none" w:sz="0" w:space="0" w:color="auto"/>
        <w:right w:val="none" w:sz="0" w:space="0" w:color="auto"/>
      </w:divBdr>
    </w:div>
    <w:div w:id="696009781">
      <w:bodyDiv w:val="1"/>
      <w:marLeft w:val="0"/>
      <w:marRight w:val="0"/>
      <w:marTop w:val="0"/>
      <w:marBottom w:val="0"/>
      <w:divBdr>
        <w:top w:val="none" w:sz="0" w:space="0" w:color="auto"/>
        <w:left w:val="none" w:sz="0" w:space="0" w:color="auto"/>
        <w:bottom w:val="none" w:sz="0" w:space="0" w:color="auto"/>
        <w:right w:val="none" w:sz="0" w:space="0" w:color="auto"/>
      </w:divBdr>
    </w:div>
    <w:div w:id="704521851">
      <w:bodyDiv w:val="1"/>
      <w:marLeft w:val="0"/>
      <w:marRight w:val="0"/>
      <w:marTop w:val="0"/>
      <w:marBottom w:val="0"/>
      <w:divBdr>
        <w:top w:val="none" w:sz="0" w:space="0" w:color="auto"/>
        <w:left w:val="none" w:sz="0" w:space="0" w:color="auto"/>
        <w:bottom w:val="none" w:sz="0" w:space="0" w:color="auto"/>
        <w:right w:val="none" w:sz="0" w:space="0" w:color="auto"/>
      </w:divBdr>
      <w:divsChild>
        <w:div w:id="1249383403">
          <w:marLeft w:val="0"/>
          <w:marRight w:val="0"/>
          <w:marTop w:val="0"/>
          <w:marBottom w:val="0"/>
          <w:divBdr>
            <w:top w:val="none" w:sz="0" w:space="0" w:color="auto"/>
            <w:left w:val="none" w:sz="0" w:space="0" w:color="auto"/>
            <w:bottom w:val="none" w:sz="0" w:space="0" w:color="auto"/>
            <w:right w:val="none" w:sz="0" w:space="0" w:color="auto"/>
          </w:divBdr>
          <w:divsChild>
            <w:div w:id="1159266543">
              <w:marLeft w:val="0"/>
              <w:marRight w:val="0"/>
              <w:marTop w:val="0"/>
              <w:marBottom w:val="0"/>
              <w:divBdr>
                <w:top w:val="none" w:sz="0" w:space="0" w:color="auto"/>
                <w:left w:val="none" w:sz="0" w:space="0" w:color="auto"/>
                <w:bottom w:val="none" w:sz="0" w:space="0" w:color="auto"/>
                <w:right w:val="none" w:sz="0" w:space="0" w:color="auto"/>
              </w:divBdr>
              <w:divsChild>
                <w:div w:id="15169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7869">
      <w:bodyDiv w:val="1"/>
      <w:marLeft w:val="0"/>
      <w:marRight w:val="0"/>
      <w:marTop w:val="0"/>
      <w:marBottom w:val="0"/>
      <w:divBdr>
        <w:top w:val="none" w:sz="0" w:space="0" w:color="auto"/>
        <w:left w:val="none" w:sz="0" w:space="0" w:color="auto"/>
        <w:bottom w:val="none" w:sz="0" w:space="0" w:color="auto"/>
        <w:right w:val="none" w:sz="0" w:space="0" w:color="auto"/>
      </w:divBdr>
    </w:div>
    <w:div w:id="759331080">
      <w:bodyDiv w:val="1"/>
      <w:marLeft w:val="0"/>
      <w:marRight w:val="0"/>
      <w:marTop w:val="0"/>
      <w:marBottom w:val="0"/>
      <w:divBdr>
        <w:top w:val="none" w:sz="0" w:space="0" w:color="auto"/>
        <w:left w:val="none" w:sz="0" w:space="0" w:color="auto"/>
        <w:bottom w:val="none" w:sz="0" w:space="0" w:color="auto"/>
        <w:right w:val="none" w:sz="0" w:space="0" w:color="auto"/>
      </w:divBdr>
      <w:divsChild>
        <w:div w:id="73474642">
          <w:marLeft w:val="0"/>
          <w:marRight w:val="0"/>
          <w:marTop w:val="0"/>
          <w:marBottom w:val="0"/>
          <w:divBdr>
            <w:top w:val="none" w:sz="0" w:space="0" w:color="auto"/>
            <w:left w:val="none" w:sz="0" w:space="0" w:color="auto"/>
            <w:bottom w:val="none" w:sz="0" w:space="0" w:color="auto"/>
            <w:right w:val="none" w:sz="0" w:space="0" w:color="auto"/>
          </w:divBdr>
          <w:divsChild>
            <w:div w:id="11804044">
              <w:marLeft w:val="0"/>
              <w:marRight w:val="0"/>
              <w:marTop w:val="0"/>
              <w:marBottom w:val="0"/>
              <w:divBdr>
                <w:top w:val="none" w:sz="0" w:space="0" w:color="auto"/>
                <w:left w:val="none" w:sz="0" w:space="0" w:color="auto"/>
                <w:bottom w:val="none" w:sz="0" w:space="0" w:color="auto"/>
                <w:right w:val="none" w:sz="0" w:space="0" w:color="auto"/>
              </w:divBdr>
              <w:divsChild>
                <w:div w:id="1448428452">
                  <w:marLeft w:val="0"/>
                  <w:marRight w:val="0"/>
                  <w:marTop w:val="0"/>
                  <w:marBottom w:val="0"/>
                  <w:divBdr>
                    <w:top w:val="none" w:sz="0" w:space="0" w:color="auto"/>
                    <w:left w:val="none" w:sz="0" w:space="0" w:color="auto"/>
                    <w:bottom w:val="none" w:sz="0" w:space="0" w:color="auto"/>
                    <w:right w:val="none" w:sz="0" w:space="0" w:color="auto"/>
                  </w:divBdr>
                  <w:divsChild>
                    <w:div w:id="619802414">
                      <w:marLeft w:val="0"/>
                      <w:marRight w:val="0"/>
                      <w:marTop w:val="0"/>
                      <w:marBottom w:val="0"/>
                      <w:divBdr>
                        <w:top w:val="none" w:sz="0" w:space="0" w:color="auto"/>
                        <w:left w:val="none" w:sz="0" w:space="0" w:color="auto"/>
                        <w:bottom w:val="none" w:sz="0" w:space="0" w:color="auto"/>
                        <w:right w:val="none" w:sz="0" w:space="0" w:color="auto"/>
                      </w:divBdr>
                      <w:divsChild>
                        <w:div w:id="1475951484">
                          <w:marLeft w:val="0"/>
                          <w:marRight w:val="0"/>
                          <w:marTop w:val="0"/>
                          <w:marBottom w:val="0"/>
                          <w:divBdr>
                            <w:top w:val="none" w:sz="0" w:space="0" w:color="auto"/>
                            <w:left w:val="none" w:sz="0" w:space="0" w:color="auto"/>
                            <w:bottom w:val="none" w:sz="0" w:space="0" w:color="auto"/>
                            <w:right w:val="none" w:sz="0" w:space="0" w:color="auto"/>
                          </w:divBdr>
                          <w:divsChild>
                            <w:div w:id="330765899">
                              <w:marLeft w:val="0"/>
                              <w:marRight w:val="0"/>
                              <w:marTop w:val="0"/>
                              <w:marBottom w:val="0"/>
                              <w:divBdr>
                                <w:top w:val="none" w:sz="0" w:space="0" w:color="auto"/>
                                <w:left w:val="none" w:sz="0" w:space="0" w:color="auto"/>
                                <w:bottom w:val="none" w:sz="0" w:space="0" w:color="auto"/>
                                <w:right w:val="none" w:sz="0" w:space="0" w:color="auto"/>
                              </w:divBdr>
                              <w:divsChild>
                                <w:div w:id="955673164">
                                  <w:marLeft w:val="0"/>
                                  <w:marRight w:val="0"/>
                                  <w:marTop w:val="0"/>
                                  <w:marBottom w:val="0"/>
                                  <w:divBdr>
                                    <w:top w:val="none" w:sz="0" w:space="0" w:color="auto"/>
                                    <w:left w:val="none" w:sz="0" w:space="0" w:color="auto"/>
                                    <w:bottom w:val="none" w:sz="0" w:space="0" w:color="auto"/>
                                    <w:right w:val="none" w:sz="0" w:space="0" w:color="auto"/>
                                  </w:divBdr>
                                  <w:divsChild>
                                    <w:div w:id="3549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91267">
      <w:bodyDiv w:val="1"/>
      <w:marLeft w:val="0"/>
      <w:marRight w:val="0"/>
      <w:marTop w:val="0"/>
      <w:marBottom w:val="0"/>
      <w:divBdr>
        <w:top w:val="none" w:sz="0" w:space="0" w:color="auto"/>
        <w:left w:val="none" w:sz="0" w:space="0" w:color="auto"/>
        <w:bottom w:val="none" w:sz="0" w:space="0" w:color="auto"/>
        <w:right w:val="none" w:sz="0" w:space="0" w:color="auto"/>
      </w:divBdr>
    </w:div>
    <w:div w:id="895244154">
      <w:bodyDiv w:val="1"/>
      <w:marLeft w:val="0"/>
      <w:marRight w:val="0"/>
      <w:marTop w:val="0"/>
      <w:marBottom w:val="0"/>
      <w:divBdr>
        <w:top w:val="none" w:sz="0" w:space="0" w:color="auto"/>
        <w:left w:val="none" w:sz="0" w:space="0" w:color="auto"/>
        <w:bottom w:val="none" w:sz="0" w:space="0" w:color="auto"/>
        <w:right w:val="none" w:sz="0" w:space="0" w:color="auto"/>
      </w:divBdr>
    </w:div>
    <w:div w:id="897209347">
      <w:bodyDiv w:val="1"/>
      <w:marLeft w:val="0"/>
      <w:marRight w:val="0"/>
      <w:marTop w:val="0"/>
      <w:marBottom w:val="0"/>
      <w:divBdr>
        <w:top w:val="none" w:sz="0" w:space="0" w:color="auto"/>
        <w:left w:val="none" w:sz="0" w:space="0" w:color="auto"/>
        <w:bottom w:val="none" w:sz="0" w:space="0" w:color="auto"/>
        <w:right w:val="none" w:sz="0" w:space="0" w:color="auto"/>
      </w:divBdr>
    </w:div>
    <w:div w:id="938215265">
      <w:bodyDiv w:val="1"/>
      <w:marLeft w:val="0"/>
      <w:marRight w:val="0"/>
      <w:marTop w:val="0"/>
      <w:marBottom w:val="0"/>
      <w:divBdr>
        <w:top w:val="none" w:sz="0" w:space="0" w:color="auto"/>
        <w:left w:val="none" w:sz="0" w:space="0" w:color="auto"/>
        <w:bottom w:val="none" w:sz="0" w:space="0" w:color="auto"/>
        <w:right w:val="none" w:sz="0" w:space="0" w:color="auto"/>
      </w:divBdr>
    </w:div>
    <w:div w:id="952319837">
      <w:bodyDiv w:val="1"/>
      <w:marLeft w:val="0"/>
      <w:marRight w:val="0"/>
      <w:marTop w:val="0"/>
      <w:marBottom w:val="0"/>
      <w:divBdr>
        <w:top w:val="none" w:sz="0" w:space="0" w:color="auto"/>
        <w:left w:val="none" w:sz="0" w:space="0" w:color="auto"/>
        <w:bottom w:val="none" w:sz="0" w:space="0" w:color="auto"/>
        <w:right w:val="none" w:sz="0" w:space="0" w:color="auto"/>
      </w:divBdr>
    </w:div>
    <w:div w:id="958804563">
      <w:bodyDiv w:val="1"/>
      <w:marLeft w:val="0"/>
      <w:marRight w:val="0"/>
      <w:marTop w:val="0"/>
      <w:marBottom w:val="0"/>
      <w:divBdr>
        <w:top w:val="none" w:sz="0" w:space="0" w:color="auto"/>
        <w:left w:val="none" w:sz="0" w:space="0" w:color="auto"/>
        <w:bottom w:val="none" w:sz="0" w:space="0" w:color="auto"/>
        <w:right w:val="none" w:sz="0" w:space="0" w:color="auto"/>
      </w:divBdr>
    </w:div>
    <w:div w:id="975447385">
      <w:bodyDiv w:val="1"/>
      <w:marLeft w:val="0"/>
      <w:marRight w:val="0"/>
      <w:marTop w:val="0"/>
      <w:marBottom w:val="0"/>
      <w:divBdr>
        <w:top w:val="none" w:sz="0" w:space="0" w:color="auto"/>
        <w:left w:val="none" w:sz="0" w:space="0" w:color="auto"/>
        <w:bottom w:val="none" w:sz="0" w:space="0" w:color="auto"/>
        <w:right w:val="none" w:sz="0" w:space="0" w:color="auto"/>
      </w:divBdr>
    </w:div>
    <w:div w:id="1001930563">
      <w:bodyDiv w:val="1"/>
      <w:marLeft w:val="0"/>
      <w:marRight w:val="0"/>
      <w:marTop w:val="0"/>
      <w:marBottom w:val="0"/>
      <w:divBdr>
        <w:top w:val="none" w:sz="0" w:space="0" w:color="auto"/>
        <w:left w:val="none" w:sz="0" w:space="0" w:color="auto"/>
        <w:bottom w:val="none" w:sz="0" w:space="0" w:color="auto"/>
        <w:right w:val="none" w:sz="0" w:space="0" w:color="auto"/>
      </w:divBdr>
      <w:divsChild>
        <w:div w:id="1458720518">
          <w:marLeft w:val="0"/>
          <w:marRight w:val="0"/>
          <w:marTop w:val="300"/>
          <w:marBottom w:val="300"/>
          <w:divBdr>
            <w:top w:val="single" w:sz="6" w:space="8" w:color="B6D1E4"/>
            <w:left w:val="single" w:sz="6" w:space="8" w:color="B6D1E4"/>
            <w:bottom w:val="single" w:sz="6" w:space="8" w:color="B6D1E4"/>
            <w:right w:val="single" w:sz="6" w:space="8" w:color="B6D1E4"/>
          </w:divBdr>
          <w:divsChild>
            <w:div w:id="1603416049">
              <w:marLeft w:val="0"/>
              <w:marRight w:val="0"/>
              <w:marTop w:val="0"/>
              <w:marBottom w:val="0"/>
              <w:divBdr>
                <w:top w:val="none" w:sz="0" w:space="0" w:color="auto"/>
                <w:left w:val="none" w:sz="0" w:space="0" w:color="auto"/>
                <w:bottom w:val="none" w:sz="0" w:space="0" w:color="auto"/>
                <w:right w:val="none" w:sz="0" w:space="0" w:color="auto"/>
              </w:divBdr>
              <w:divsChild>
                <w:div w:id="1960211780">
                  <w:marLeft w:val="0"/>
                  <w:marRight w:val="0"/>
                  <w:marTop w:val="0"/>
                  <w:marBottom w:val="0"/>
                  <w:divBdr>
                    <w:top w:val="none" w:sz="0" w:space="0" w:color="auto"/>
                    <w:left w:val="none" w:sz="0" w:space="0" w:color="auto"/>
                    <w:bottom w:val="none" w:sz="0" w:space="0" w:color="auto"/>
                    <w:right w:val="none" w:sz="0" w:space="0" w:color="auto"/>
                  </w:divBdr>
                  <w:divsChild>
                    <w:div w:id="1154372380">
                      <w:marLeft w:val="0"/>
                      <w:marRight w:val="0"/>
                      <w:marTop w:val="225"/>
                      <w:marBottom w:val="0"/>
                      <w:divBdr>
                        <w:top w:val="none" w:sz="0" w:space="0" w:color="auto"/>
                        <w:left w:val="none" w:sz="0" w:space="0" w:color="auto"/>
                        <w:bottom w:val="none" w:sz="0" w:space="0" w:color="auto"/>
                        <w:right w:val="none" w:sz="0" w:space="0" w:color="auto"/>
                      </w:divBdr>
                      <w:divsChild>
                        <w:div w:id="85611504">
                          <w:marLeft w:val="0"/>
                          <w:marRight w:val="0"/>
                          <w:marTop w:val="0"/>
                          <w:marBottom w:val="0"/>
                          <w:divBdr>
                            <w:top w:val="none" w:sz="0" w:space="0" w:color="auto"/>
                            <w:left w:val="none" w:sz="0" w:space="0" w:color="auto"/>
                            <w:bottom w:val="none" w:sz="0" w:space="0" w:color="auto"/>
                            <w:right w:val="none" w:sz="0" w:space="0" w:color="auto"/>
                          </w:divBdr>
                          <w:divsChild>
                            <w:div w:id="1845825477">
                              <w:marLeft w:val="0"/>
                              <w:marRight w:val="0"/>
                              <w:marTop w:val="0"/>
                              <w:marBottom w:val="0"/>
                              <w:divBdr>
                                <w:top w:val="none" w:sz="0" w:space="0" w:color="auto"/>
                                <w:left w:val="none" w:sz="0" w:space="0" w:color="auto"/>
                                <w:bottom w:val="none" w:sz="0" w:space="0" w:color="auto"/>
                                <w:right w:val="none" w:sz="0" w:space="0" w:color="auto"/>
                              </w:divBdr>
                              <w:divsChild>
                                <w:div w:id="14095730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156063">
      <w:bodyDiv w:val="1"/>
      <w:marLeft w:val="0"/>
      <w:marRight w:val="0"/>
      <w:marTop w:val="0"/>
      <w:marBottom w:val="0"/>
      <w:divBdr>
        <w:top w:val="none" w:sz="0" w:space="0" w:color="auto"/>
        <w:left w:val="none" w:sz="0" w:space="0" w:color="auto"/>
        <w:bottom w:val="none" w:sz="0" w:space="0" w:color="auto"/>
        <w:right w:val="none" w:sz="0" w:space="0" w:color="auto"/>
      </w:divBdr>
    </w:div>
    <w:div w:id="1033773992">
      <w:bodyDiv w:val="1"/>
      <w:marLeft w:val="0"/>
      <w:marRight w:val="0"/>
      <w:marTop w:val="0"/>
      <w:marBottom w:val="0"/>
      <w:divBdr>
        <w:top w:val="none" w:sz="0" w:space="0" w:color="auto"/>
        <w:left w:val="none" w:sz="0" w:space="0" w:color="auto"/>
        <w:bottom w:val="none" w:sz="0" w:space="0" w:color="auto"/>
        <w:right w:val="none" w:sz="0" w:space="0" w:color="auto"/>
      </w:divBdr>
    </w:div>
    <w:div w:id="1049038723">
      <w:bodyDiv w:val="1"/>
      <w:marLeft w:val="0"/>
      <w:marRight w:val="0"/>
      <w:marTop w:val="0"/>
      <w:marBottom w:val="0"/>
      <w:divBdr>
        <w:top w:val="none" w:sz="0" w:space="0" w:color="auto"/>
        <w:left w:val="none" w:sz="0" w:space="0" w:color="auto"/>
        <w:bottom w:val="none" w:sz="0" w:space="0" w:color="auto"/>
        <w:right w:val="none" w:sz="0" w:space="0" w:color="auto"/>
      </w:divBdr>
    </w:div>
    <w:div w:id="1085491053">
      <w:bodyDiv w:val="1"/>
      <w:marLeft w:val="0"/>
      <w:marRight w:val="0"/>
      <w:marTop w:val="0"/>
      <w:marBottom w:val="0"/>
      <w:divBdr>
        <w:top w:val="none" w:sz="0" w:space="0" w:color="auto"/>
        <w:left w:val="none" w:sz="0" w:space="0" w:color="auto"/>
        <w:bottom w:val="none" w:sz="0" w:space="0" w:color="auto"/>
        <w:right w:val="none" w:sz="0" w:space="0" w:color="auto"/>
      </w:divBdr>
    </w:div>
    <w:div w:id="1092433221">
      <w:bodyDiv w:val="1"/>
      <w:marLeft w:val="0"/>
      <w:marRight w:val="0"/>
      <w:marTop w:val="0"/>
      <w:marBottom w:val="0"/>
      <w:divBdr>
        <w:top w:val="none" w:sz="0" w:space="0" w:color="auto"/>
        <w:left w:val="none" w:sz="0" w:space="0" w:color="auto"/>
        <w:bottom w:val="none" w:sz="0" w:space="0" w:color="auto"/>
        <w:right w:val="none" w:sz="0" w:space="0" w:color="auto"/>
      </w:divBdr>
    </w:div>
    <w:div w:id="1092891955">
      <w:bodyDiv w:val="1"/>
      <w:marLeft w:val="0"/>
      <w:marRight w:val="0"/>
      <w:marTop w:val="0"/>
      <w:marBottom w:val="0"/>
      <w:divBdr>
        <w:top w:val="none" w:sz="0" w:space="0" w:color="auto"/>
        <w:left w:val="none" w:sz="0" w:space="0" w:color="auto"/>
        <w:bottom w:val="none" w:sz="0" w:space="0" w:color="auto"/>
        <w:right w:val="none" w:sz="0" w:space="0" w:color="auto"/>
      </w:divBdr>
    </w:div>
    <w:div w:id="1137256848">
      <w:bodyDiv w:val="1"/>
      <w:marLeft w:val="0"/>
      <w:marRight w:val="0"/>
      <w:marTop w:val="0"/>
      <w:marBottom w:val="0"/>
      <w:divBdr>
        <w:top w:val="none" w:sz="0" w:space="0" w:color="auto"/>
        <w:left w:val="none" w:sz="0" w:space="0" w:color="auto"/>
        <w:bottom w:val="none" w:sz="0" w:space="0" w:color="auto"/>
        <w:right w:val="none" w:sz="0" w:space="0" w:color="auto"/>
      </w:divBdr>
    </w:div>
    <w:div w:id="1141457686">
      <w:bodyDiv w:val="1"/>
      <w:marLeft w:val="0"/>
      <w:marRight w:val="0"/>
      <w:marTop w:val="0"/>
      <w:marBottom w:val="0"/>
      <w:divBdr>
        <w:top w:val="none" w:sz="0" w:space="0" w:color="auto"/>
        <w:left w:val="none" w:sz="0" w:space="0" w:color="auto"/>
        <w:bottom w:val="none" w:sz="0" w:space="0" w:color="auto"/>
        <w:right w:val="none" w:sz="0" w:space="0" w:color="auto"/>
      </w:divBdr>
    </w:div>
    <w:div w:id="1150751684">
      <w:bodyDiv w:val="1"/>
      <w:marLeft w:val="0"/>
      <w:marRight w:val="0"/>
      <w:marTop w:val="0"/>
      <w:marBottom w:val="0"/>
      <w:divBdr>
        <w:top w:val="none" w:sz="0" w:space="0" w:color="auto"/>
        <w:left w:val="none" w:sz="0" w:space="0" w:color="auto"/>
        <w:bottom w:val="none" w:sz="0" w:space="0" w:color="auto"/>
        <w:right w:val="none" w:sz="0" w:space="0" w:color="auto"/>
      </w:divBdr>
    </w:div>
    <w:div w:id="1151556130">
      <w:bodyDiv w:val="1"/>
      <w:marLeft w:val="0"/>
      <w:marRight w:val="0"/>
      <w:marTop w:val="0"/>
      <w:marBottom w:val="0"/>
      <w:divBdr>
        <w:top w:val="none" w:sz="0" w:space="0" w:color="auto"/>
        <w:left w:val="none" w:sz="0" w:space="0" w:color="auto"/>
        <w:bottom w:val="none" w:sz="0" w:space="0" w:color="auto"/>
        <w:right w:val="none" w:sz="0" w:space="0" w:color="auto"/>
      </w:divBdr>
      <w:divsChild>
        <w:div w:id="701369847">
          <w:marLeft w:val="0"/>
          <w:marRight w:val="0"/>
          <w:marTop w:val="0"/>
          <w:marBottom w:val="0"/>
          <w:divBdr>
            <w:top w:val="none" w:sz="0" w:space="0" w:color="auto"/>
            <w:left w:val="none" w:sz="0" w:space="0" w:color="auto"/>
            <w:bottom w:val="none" w:sz="0" w:space="0" w:color="auto"/>
            <w:right w:val="none" w:sz="0" w:space="0" w:color="auto"/>
          </w:divBdr>
          <w:divsChild>
            <w:div w:id="942297148">
              <w:marLeft w:val="0"/>
              <w:marRight w:val="0"/>
              <w:marTop w:val="0"/>
              <w:marBottom w:val="0"/>
              <w:divBdr>
                <w:top w:val="none" w:sz="0" w:space="0" w:color="auto"/>
                <w:left w:val="none" w:sz="0" w:space="0" w:color="auto"/>
                <w:bottom w:val="none" w:sz="0" w:space="0" w:color="auto"/>
                <w:right w:val="none" w:sz="0" w:space="0" w:color="auto"/>
              </w:divBdr>
              <w:divsChild>
                <w:div w:id="19278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7127">
      <w:bodyDiv w:val="1"/>
      <w:marLeft w:val="0"/>
      <w:marRight w:val="0"/>
      <w:marTop w:val="0"/>
      <w:marBottom w:val="0"/>
      <w:divBdr>
        <w:top w:val="none" w:sz="0" w:space="0" w:color="auto"/>
        <w:left w:val="none" w:sz="0" w:space="0" w:color="auto"/>
        <w:bottom w:val="none" w:sz="0" w:space="0" w:color="auto"/>
        <w:right w:val="none" w:sz="0" w:space="0" w:color="auto"/>
      </w:divBdr>
    </w:div>
    <w:div w:id="1173838337">
      <w:bodyDiv w:val="1"/>
      <w:marLeft w:val="0"/>
      <w:marRight w:val="0"/>
      <w:marTop w:val="0"/>
      <w:marBottom w:val="0"/>
      <w:divBdr>
        <w:top w:val="none" w:sz="0" w:space="0" w:color="auto"/>
        <w:left w:val="none" w:sz="0" w:space="0" w:color="auto"/>
        <w:bottom w:val="none" w:sz="0" w:space="0" w:color="auto"/>
        <w:right w:val="none" w:sz="0" w:space="0" w:color="auto"/>
      </w:divBdr>
    </w:div>
    <w:div w:id="1181818875">
      <w:bodyDiv w:val="1"/>
      <w:marLeft w:val="0"/>
      <w:marRight w:val="0"/>
      <w:marTop w:val="0"/>
      <w:marBottom w:val="0"/>
      <w:divBdr>
        <w:top w:val="none" w:sz="0" w:space="0" w:color="auto"/>
        <w:left w:val="none" w:sz="0" w:space="0" w:color="auto"/>
        <w:bottom w:val="none" w:sz="0" w:space="0" w:color="auto"/>
        <w:right w:val="none" w:sz="0" w:space="0" w:color="auto"/>
      </w:divBdr>
    </w:div>
    <w:div w:id="1198740896">
      <w:bodyDiv w:val="1"/>
      <w:marLeft w:val="0"/>
      <w:marRight w:val="0"/>
      <w:marTop w:val="0"/>
      <w:marBottom w:val="0"/>
      <w:divBdr>
        <w:top w:val="none" w:sz="0" w:space="0" w:color="auto"/>
        <w:left w:val="none" w:sz="0" w:space="0" w:color="auto"/>
        <w:bottom w:val="none" w:sz="0" w:space="0" w:color="auto"/>
        <w:right w:val="none" w:sz="0" w:space="0" w:color="auto"/>
      </w:divBdr>
    </w:div>
    <w:div w:id="1206793002">
      <w:bodyDiv w:val="1"/>
      <w:marLeft w:val="0"/>
      <w:marRight w:val="0"/>
      <w:marTop w:val="0"/>
      <w:marBottom w:val="0"/>
      <w:divBdr>
        <w:top w:val="none" w:sz="0" w:space="0" w:color="auto"/>
        <w:left w:val="none" w:sz="0" w:space="0" w:color="auto"/>
        <w:bottom w:val="none" w:sz="0" w:space="0" w:color="auto"/>
        <w:right w:val="none" w:sz="0" w:space="0" w:color="auto"/>
      </w:divBdr>
    </w:div>
    <w:div w:id="1207790745">
      <w:bodyDiv w:val="1"/>
      <w:marLeft w:val="0"/>
      <w:marRight w:val="0"/>
      <w:marTop w:val="0"/>
      <w:marBottom w:val="0"/>
      <w:divBdr>
        <w:top w:val="none" w:sz="0" w:space="0" w:color="auto"/>
        <w:left w:val="none" w:sz="0" w:space="0" w:color="auto"/>
        <w:bottom w:val="none" w:sz="0" w:space="0" w:color="auto"/>
        <w:right w:val="none" w:sz="0" w:space="0" w:color="auto"/>
      </w:divBdr>
      <w:divsChild>
        <w:div w:id="860700618">
          <w:marLeft w:val="0"/>
          <w:marRight w:val="0"/>
          <w:marTop w:val="0"/>
          <w:marBottom w:val="0"/>
          <w:divBdr>
            <w:top w:val="none" w:sz="0" w:space="0" w:color="auto"/>
            <w:left w:val="none" w:sz="0" w:space="0" w:color="auto"/>
            <w:bottom w:val="none" w:sz="0" w:space="0" w:color="auto"/>
            <w:right w:val="none" w:sz="0" w:space="0" w:color="auto"/>
          </w:divBdr>
          <w:divsChild>
            <w:div w:id="1730764508">
              <w:marLeft w:val="0"/>
              <w:marRight w:val="0"/>
              <w:marTop w:val="0"/>
              <w:marBottom w:val="0"/>
              <w:divBdr>
                <w:top w:val="none" w:sz="0" w:space="0" w:color="auto"/>
                <w:left w:val="none" w:sz="0" w:space="0" w:color="auto"/>
                <w:bottom w:val="none" w:sz="0" w:space="0" w:color="auto"/>
                <w:right w:val="none" w:sz="0" w:space="0" w:color="auto"/>
              </w:divBdr>
              <w:divsChild>
                <w:div w:id="1290476555">
                  <w:marLeft w:val="0"/>
                  <w:marRight w:val="0"/>
                  <w:marTop w:val="195"/>
                  <w:marBottom w:val="0"/>
                  <w:divBdr>
                    <w:top w:val="none" w:sz="0" w:space="0" w:color="auto"/>
                    <w:left w:val="none" w:sz="0" w:space="0" w:color="auto"/>
                    <w:bottom w:val="none" w:sz="0" w:space="0" w:color="auto"/>
                    <w:right w:val="none" w:sz="0" w:space="0" w:color="auto"/>
                  </w:divBdr>
                  <w:divsChild>
                    <w:div w:id="1913082244">
                      <w:marLeft w:val="0"/>
                      <w:marRight w:val="0"/>
                      <w:marTop w:val="0"/>
                      <w:marBottom w:val="180"/>
                      <w:divBdr>
                        <w:top w:val="none" w:sz="0" w:space="0" w:color="auto"/>
                        <w:left w:val="none" w:sz="0" w:space="0" w:color="auto"/>
                        <w:bottom w:val="none" w:sz="0" w:space="0" w:color="auto"/>
                        <w:right w:val="none" w:sz="0" w:space="0" w:color="auto"/>
                      </w:divBdr>
                      <w:divsChild>
                        <w:div w:id="2019693415">
                          <w:marLeft w:val="0"/>
                          <w:marRight w:val="0"/>
                          <w:marTop w:val="0"/>
                          <w:marBottom w:val="0"/>
                          <w:divBdr>
                            <w:top w:val="none" w:sz="0" w:space="0" w:color="auto"/>
                            <w:left w:val="none" w:sz="0" w:space="0" w:color="auto"/>
                            <w:bottom w:val="none" w:sz="0" w:space="0" w:color="auto"/>
                            <w:right w:val="none" w:sz="0" w:space="0" w:color="auto"/>
                          </w:divBdr>
                          <w:divsChild>
                            <w:div w:id="1741369507">
                              <w:marLeft w:val="0"/>
                              <w:marRight w:val="0"/>
                              <w:marTop w:val="0"/>
                              <w:marBottom w:val="0"/>
                              <w:divBdr>
                                <w:top w:val="none" w:sz="0" w:space="0" w:color="auto"/>
                                <w:left w:val="none" w:sz="0" w:space="0" w:color="auto"/>
                                <w:bottom w:val="none" w:sz="0" w:space="0" w:color="auto"/>
                                <w:right w:val="none" w:sz="0" w:space="0" w:color="auto"/>
                              </w:divBdr>
                              <w:divsChild>
                                <w:div w:id="1875343785">
                                  <w:marLeft w:val="0"/>
                                  <w:marRight w:val="0"/>
                                  <w:marTop w:val="0"/>
                                  <w:marBottom w:val="0"/>
                                  <w:divBdr>
                                    <w:top w:val="none" w:sz="0" w:space="0" w:color="auto"/>
                                    <w:left w:val="none" w:sz="0" w:space="0" w:color="auto"/>
                                    <w:bottom w:val="none" w:sz="0" w:space="0" w:color="auto"/>
                                    <w:right w:val="none" w:sz="0" w:space="0" w:color="auto"/>
                                  </w:divBdr>
                                  <w:divsChild>
                                    <w:div w:id="1427730516">
                                      <w:marLeft w:val="0"/>
                                      <w:marRight w:val="0"/>
                                      <w:marTop w:val="0"/>
                                      <w:marBottom w:val="0"/>
                                      <w:divBdr>
                                        <w:top w:val="none" w:sz="0" w:space="0" w:color="auto"/>
                                        <w:left w:val="none" w:sz="0" w:space="0" w:color="auto"/>
                                        <w:bottom w:val="none" w:sz="0" w:space="0" w:color="auto"/>
                                        <w:right w:val="none" w:sz="0" w:space="0" w:color="auto"/>
                                      </w:divBdr>
                                      <w:divsChild>
                                        <w:div w:id="91366161">
                                          <w:marLeft w:val="0"/>
                                          <w:marRight w:val="0"/>
                                          <w:marTop w:val="0"/>
                                          <w:marBottom w:val="0"/>
                                          <w:divBdr>
                                            <w:top w:val="none" w:sz="0" w:space="0" w:color="auto"/>
                                            <w:left w:val="none" w:sz="0" w:space="0" w:color="auto"/>
                                            <w:bottom w:val="none" w:sz="0" w:space="0" w:color="auto"/>
                                            <w:right w:val="none" w:sz="0" w:space="0" w:color="auto"/>
                                          </w:divBdr>
                                          <w:divsChild>
                                            <w:div w:id="295183880">
                                              <w:marLeft w:val="0"/>
                                              <w:marRight w:val="0"/>
                                              <w:marTop w:val="0"/>
                                              <w:marBottom w:val="0"/>
                                              <w:divBdr>
                                                <w:top w:val="none" w:sz="0" w:space="0" w:color="auto"/>
                                                <w:left w:val="none" w:sz="0" w:space="0" w:color="auto"/>
                                                <w:bottom w:val="none" w:sz="0" w:space="0" w:color="auto"/>
                                                <w:right w:val="none" w:sz="0" w:space="0" w:color="auto"/>
                                              </w:divBdr>
                                              <w:divsChild>
                                                <w:div w:id="20405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0385698">
      <w:bodyDiv w:val="1"/>
      <w:marLeft w:val="0"/>
      <w:marRight w:val="0"/>
      <w:marTop w:val="0"/>
      <w:marBottom w:val="0"/>
      <w:divBdr>
        <w:top w:val="none" w:sz="0" w:space="0" w:color="auto"/>
        <w:left w:val="none" w:sz="0" w:space="0" w:color="auto"/>
        <w:bottom w:val="none" w:sz="0" w:space="0" w:color="auto"/>
        <w:right w:val="none" w:sz="0" w:space="0" w:color="auto"/>
      </w:divBdr>
    </w:div>
    <w:div w:id="1261599151">
      <w:bodyDiv w:val="1"/>
      <w:marLeft w:val="0"/>
      <w:marRight w:val="0"/>
      <w:marTop w:val="0"/>
      <w:marBottom w:val="0"/>
      <w:divBdr>
        <w:top w:val="none" w:sz="0" w:space="0" w:color="auto"/>
        <w:left w:val="none" w:sz="0" w:space="0" w:color="auto"/>
        <w:bottom w:val="none" w:sz="0" w:space="0" w:color="auto"/>
        <w:right w:val="none" w:sz="0" w:space="0" w:color="auto"/>
      </w:divBdr>
    </w:div>
    <w:div w:id="1269388638">
      <w:bodyDiv w:val="1"/>
      <w:marLeft w:val="0"/>
      <w:marRight w:val="0"/>
      <w:marTop w:val="0"/>
      <w:marBottom w:val="0"/>
      <w:divBdr>
        <w:top w:val="none" w:sz="0" w:space="0" w:color="auto"/>
        <w:left w:val="none" w:sz="0" w:space="0" w:color="auto"/>
        <w:bottom w:val="none" w:sz="0" w:space="0" w:color="auto"/>
        <w:right w:val="none" w:sz="0" w:space="0" w:color="auto"/>
      </w:divBdr>
    </w:div>
    <w:div w:id="1290621998">
      <w:bodyDiv w:val="1"/>
      <w:marLeft w:val="0"/>
      <w:marRight w:val="0"/>
      <w:marTop w:val="0"/>
      <w:marBottom w:val="0"/>
      <w:divBdr>
        <w:top w:val="none" w:sz="0" w:space="0" w:color="auto"/>
        <w:left w:val="none" w:sz="0" w:space="0" w:color="auto"/>
        <w:bottom w:val="none" w:sz="0" w:space="0" w:color="auto"/>
        <w:right w:val="none" w:sz="0" w:space="0" w:color="auto"/>
      </w:divBdr>
    </w:div>
    <w:div w:id="1303534080">
      <w:bodyDiv w:val="1"/>
      <w:marLeft w:val="0"/>
      <w:marRight w:val="0"/>
      <w:marTop w:val="0"/>
      <w:marBottom w:val="0"/>
      <w:divBdr>
        <w:top w:val="none" w:sz="0" w:space="0" w:color="auto"/>
        <w:left w:val="none" w:sz="0" w:space="0" w:color="auto"/>
        <w:bottom w:val="none" w:sz="0" w:space="0" w:color="auto"/>
        <w:right w:val="none" w:sz="0" w:space="0" w:color="auto"/>
      </w:divBdr>
      <w:divsChild>
        <w:div w:id="1854804485">
          <w:marLeft w:val="0"/>
          <w:marRight w:val="0"/>
          <w:marTop w:val="0"/>
          <w:marBottom w:val="0"/>
          <w:divBdr>
            <w:top w:val="none" w:sz="0" w:space="0" w:color="auto"/>
            <w:left w:val="none" w:sz="0" w:space="0" w:color="auto"/>
            <w:bottom w:val="none" w:sz="0" w:space="0" w:color="auto"/>
            <w:right w:val="none" w:sz="0" w:space="0" w:color="auto"/>
          </w:divBdr>
          <w:divsChild>
            <w:div w:id="925768222">
              <w:marLeft w:val="0"/>
              <w:marRight w:val="0"/>
              <w:marTop w:val="0"/>
              <w:marBottom w:val="0"/>
              <w:divBdr>
                <w:top w:val="none" w:sz="0" w:space="0" w:color="auto"/>
                <w:left w:val="none" w:sz="0" w:space="0" w:color="auto"/>
                <w:bottom w:val="none" w:sz="0" w:space="0" w:color="auto"/>
                <w:right w:val="none" w:sz="0" w:space="0" w:color="auto"/>
              </w:divBdr>
              <w:divsChild>
                <w:div w:id="1936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3319">
      <w:bodyDiv w:val="1"/>
      <w:marLeft w:val="0"/>
      <w:marRight w:val="0"/>
      <w:marTop w:val="0"/>
      <w:marBottom w:val="0"/>
      <w:divBdr>
        <w:top w:val="none" w:sz="0" w:space="0" w:color="auto"/>
        <w:left w:val="none" w:sz="0" w:space="0" w:color="auto"/>
        <w:bottom w:val="none" w:sz="0" w:space="0" w:color="auto"/>
        <w:right w:val="none" w:sz="0" w:space="0" w:color="auto"/>
      </w:divBdr>
    </w:div>
    <w:div w:id="1346861394">
      <w:bodyDiv w:val="1"/>
      <w:marLeft w:val="0"/>
      <w:marRight w:val="0"/>
      <w:marTop w:val="0"/>
      <w:marBottom w:val="0"/>
      <w:divBdr>
        <w:top w:val="none" w:sz="0" w:space="0" w:color="auto"/>
        <w:left w:val="none" w:sz="0" w:space="0" w:color="auto"/>
        <w:bottom w:val="none" w:sz="0" w:space="0" w:color="auto"/>
        <w:right w:val="none" w:sz="0" w:space="0" w:color="auto"/>
      </w:divBdr>
    </w:div>
    <w:div w:id="1357846985">
      <w:bodyDiv w:val="1"/>
      <w:marLeft w:val="0"/>
      <w:marRight w:val="0"/>
      <w:marTop w:val="0"/>
      <w:marBottom w:val="0"/>
      <w:divBdr>
        <w:top w:val="none" w:sz="0" w:space="0" w:color="auto"/>
        <w:left w:val="none" w:sz="0" w:space="0" w:color="auto"/>
        <w:bottom w:val="none" w:sz="0" w:space="0" w:color="auto"/>
        <w:right w:val="none" w:sz="0" w:space="0" w:color="auto"/>
      </w:divBdr>
    </w:div>
    <w:div w:id="1361663241">
      <w:bodyDiv w:val="1"/>
      <w:marLeft w:val="0"/>
      <w:marRight w:val="0"/>
      <w:marTop w:val="0"/>
      <w:marBottom w:val="0"/>
      <w:divBdr>
        <w:top w:val="none" w:sz="0" w:space="0" w:color="auto"/>
        <w:left w:val="none" w:sz="0" w:space="0" w:color="auto"/>
        <w:bottom w:val="none" w:sz="0" w:space="0" w:color="auto"/>
        <w:right w:val="none" w:sz="0" w:space="0" w:color="auto"/>
      </w:divBdr>
    </w:div>
    <w:div w:id="1371609929">
      <w:bodyDiv w:val="1"/>
      <w:marLeft w:val="0"/>
      <w:marRight w:val="0"/>
      <w:marTop w:val="0"/>
      <w:marBottom w:val="0"/>
      <w:divBdr>
        <w:top w:val="none" w:sz="0" w:space="0" w:color="auto"/>
        <w:left w:val="none" w:sz="0" w:space="0" w:color="auto"/>
        <w:bottom w:val="none" w:sz="0" w:space="0" w:color="auto"/>
        <w:right w:val="none" w:sz="0" w:space="0" w:color="auto"/>
      </w:divBdr>
    </w:div>
    <w:div w:id="1387291857">
      <w:bodyDiv w:val="1"/>
      <w:marLeft w:val="0"/>
      <w:marRight w:val="0"/>
      <w:marTop w:val="0"/>
      <w:marBottom w:val="0"/>
      <w:divBdr>
        <w:top w:val="none" w:sz="0" w:space="0" w:color="auto"/>
        <w:left w:val="none" w:sz="0" w:space="0" w:color="auto"/>
        <w:bottom w:val="none" w:sz="0" w:space="0" w:color="auto"/>
        <w:right w:val="none" w:sz="0" w:space="0" w:color="auto"/>
      </w:divBdr>
    </w:div>
    <w:div w:id="1414157959">
      <w:bodyDiv w:val="1"/>
      <w:marLeft w:val="0"/>
      <w:marRight w:val="0"/>
      <w:marTop w:val="0"/>
      <w:marBottom w:val="0"/>
      <w:divBdr>
        <w:top w:val="none" w:sz="0" w:space="0" w:color="auto"/>
        <w:left w:val="none" w:sz="0" w:space="0" w:color="auto"/>
        <w:bottom w:val="none" w:sz="0" w:space="0" w:color="auto"/>
        <w:right w:val="none" w:sz="0" w:space="0" w:color="auto"/>
      </w:divBdr>
    </w:div>
    <w:div w:id="1439910449">
      <w:bodyDiv w:val="1"/>
      <w:marLeft w:val="0"/>
      <w:marRight w:val="0"/>
      <w:marTop w:val="0"/>
      <w:marBottom w:val="0"/>
      <w:divBdr>
        <w:top w:val="none" w:sz="0" w:space="0" w:color="auto"/>
        <w:left w:val="none" w:sz="0" w:space="0" w:color="auto"/>
        <w:bottom w:val="none" w:sz="0" w:space="0" w:color="auto"/>
        <w:right w:val="none" w:sz="0" w:space="0" w:color="auto"/>
      </w:divBdr>
      <w:divsChild>
        <w:div w:id="84621612">
          <w:marLeft w:val="0"/>
          <w:marRight w:val="0"/>
          <w:marTop w:val="0"/>
          <w:marBottom w:val="0"/>
          <w:divBdr>
            <w:top w:val="none" w:sz="0" w:space="0" w:color="auto"/>
            <w:left w:val="none" w:sz="0" w:space="0" w:color="auto"/>
            <w:bottom w:val="none" w:sz="0" w:space="0" w:color="auto"/>
            <w:right w:val="none" w:sz="0" w:space="0" w:color="auto"/>
          </w:divBdr>
          <w:divsChild>
            <w:div w:id="1974745903">
              <w:marLeft w:val="0"/>
              <w:marRight w:val="0"/>
              <w:marTop w:val="0"/>
              <w:marBottom w:val="0"/>
              <w:divBdr>
                <w:top w:val="none" w:sz="0" w:space="0" w:color="auto"/>
                <w:left w:val="none" w:sz="0" w:space="0" w:color="auto"/>
                <w:bottom w:val="none" w:sz="0" w:space="0" w:color="auto"/>
                <w:right w:val="none" w:sz="0" w:space="0" w:color="auto"/>
              </w:divBdr>
              <w:divsChild>
                <w:div w:id="75519048">
                  <w:marLeft w:val="0"/>
                  <w:marRight w:val="0"/>
                  <w:marTop w:val="0"/>
                  <w:marBottom w:val="0"/>
                  <w:divBdr>
                    <w:top w:val="none" w:sz="0" w:space="0" w:color="auto"/>
                    <w:left w:val="none" w:sz="0" w:space="0" w:color="auto"/>
                    <w:bottom w:val="none" w:sz="0" w:space="0" w:color="auto"/>
                    <w:right w:val="none" w:sz="0" w:space="0" w:color="auto"/>
                  </w:divBdr>
                  <w:divsChild>
                    <w:div w:id="1539857204">
                      <w:marLeft w:val="0"/>
                      <w:marRight w:val="0"/>
                      <w:marTop w:val="0"/>
                      <w:marBottom w:val="0"/>
                      <w:divBdr>
                        <w:top w:val="none" w:sz="0" w:space="0" w:color="auto"/>
                        <w:left w:val="none" w:sz="0" w:space="0" w:color="auto"/>
                        <w:bottom w:val="none" w:sz="0" w:space="0" w:color="auto"/>
                        <w:right w:val="none" w:sz="0" w:space="0" w:color="auto"/>
                      </w:divBdr>
                      <w:divsChild>
                        <w:div w:id="1141730651">
                          <w:marLeft w:val="0"/>
                          <w:marRight w:val="0"/>
                          <w:marTop w:val="0"/>
                          <w:marBottom w:val="0"/>
                          <w:divBdr>
                            <w:top w:val="none" w:sz="0" w:space="0" w:color="auto"/>
                            <w:left w:val="none" w:sz="0" w:space="0" w:color="auto"/>
                            <w:bottom w:val="none" w:sz="0" w:space="0" w:color="auto"/>
                            <w:right w:val="none" w:sz="0" w:space="0" w:color="auto"/>
                          </w:divBdr>
                          <w:divsChild>
                            <w:div w:id="564024408">
                              <w:marLeft w:val="0"/>
                              <w:marRight w:val="0"/>
                              <w:marTop w:val="2100"/>
                              <w:marBottom w:val="0"/>
                              <w:divBdr>
                                <w:top w:val="none" w:sz="0" w:space="0" w:color="auto"/>
                                <w:left w:val="none" w:sz="0" w:space="0" w:color="auto"/>
                                <w:bottom w:val="none" w:sz="0" w:space="0" w:color="auto"/>
                                <w:right w:val="none" w:sz="0" w:space="0" w:color="auto"/>
                              </w:divBdr>
                              <w:divsChild>
                                <w:div w:id="1852141523">
                                  <w:marLeft w:val="0"/>
                                  <w:marRight w:val="0"/>
                                  <w:marTop w:val="0"/>
                                  <w:marBottom w:val="0"/>
                                  <w:divBdr>
                                    <w:top w:val="none" w:sz="0" w:space="0" w:color="auto"/>
                                    <w:left w:val="none" w:sz="0" w:space="0" w:color="auto"/>
                                    <w:bottom w:val="none" w:sz="0" w:space="0" w:color="auto"/>
                                    <w:right w:val="none" w:sz="0" w:space="0" w:color="auto"/>
                                  </w:divBdr>
                                  <w:divsChild>
                                    <w:div w:id="1336150970">
                                      <w:marLeft w:val="0"/>
                                      <w:marRight w:val="0"/>
                                      <w:marTop w:val="0"/>
                                      <w:marBottom w:val="0"/>
                                      <w:divBdr>
                                        <w:top w:val="none" w:sz="0" w:space="0" w:color="auto"/>
                                        <w:left w:val="none" w:sz="0" w:space="0" w:color="auto"/>
                                        <w:bottom w:val="none" w:sz="0" w:space="0" w:color="auto"/>
                                        <w:right w:val="none" w:sz="0" w:space="0" w:color="auto"/>
                                      </w:divBdr>
                                      <w:divsChild>
                                        <w:div w:id="1202655">
                                          <w:marLeft w:val="0"/>
                                          <w:marRight w:val="0"/>
                                          <w:marTop w:val="0"/>
                                          <w:marBottom w:val="0"/>
                                          <w:divBdr>
                                            <w:top w:val="none" w:sz="0" w:space="0" w:color="auto"/>
                                            <w:left w:val="none" w:sz="0" w:space="0" w:color="auto"/>
                                            <w:bottom w:val="none" w:sz="0" w:space="0" w:color="auto"/>
                                            <w:right w:val="none" w:sz="0" w:space="0" w:color="auto"/>
                                          </w:divBdr>
                                          <w:divsChild>
                                            <w:div w:id="16789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81578">
      <w:bodyDiv w:val="1"/>
      <w:marLeft w:val="0"/>
      <w:marRight w:val="0"/>
      <w:marTop w:val="0"/>
      <w:marBottom w:val="0"/>
      <w:divBdr>
        <w:top w:val="none" w:sz="0" w:space="0" w:color="auto"/>
        <w:left w:val="none" w:sz="0" w:space="0" w:color="auto"/>
        <w:bottom w:val="none" w:sz="0" w:space="0" w:color="auto"/>
        <w:right w:val="none" w:sz="0" w:space="0" w:color="auto"/>
      </w:divBdr>
    </w:div>
    <w:div w:id="1503859848">
      <w:bodyDiv w:val="1"/>
      <w:marLeft w:val="0"/>
      <w:marRight w:val="0"/>
      <w:marTop w:val="0"/>
      <w:marBottom w:val="0"/>
      <w:divBdr>
        <w:top w:val="none" w:sz="0" w:space="0" w:color="auto"/>
        <w:left w:val="none" w:sz="0" w:space="0" w:color="auto"/>
        <w:bottom w:val="none" w:sz="0" w:space="0" w:color="auto"/>
        <w:right w:val="none" w:sz="0" w:space="0" w:color="auto"/>
      </w:divBdr>
    </w:div>
    <w:div w:id="1531727312">
      <w:bodyDiv w:val="1"/>
      <w:marLeft w:val="0"/>
      <w:marRight w:val="0"/>
      <w:marTop w:val="0"/>
      <w:marBottom w:val="0"/>
      <w:divBdr>
        <w:top w:val="single" w:sz="2" w:space="31" w:color="777777"/>
        <w:left w:val="single" w:sz="6" w:space="0" w:color="777777"/>
        <w:bottom w:val="single" w:sz="2" w:space="0" w:color="777777"/>
        <w:right w:val="single" w:sz="6" w:space="0" w:color="777777"/>
      </w:divBdr>
      <w:divsChild>
        <w:div w:id="571427027">
          <w:marLeft w:val="0"/>
          <w:marRight w:val="0"/>
          <w:marTop w:val="0"/>
          <w:marBottom w:val="0"/>
          <w:divBdr>
            <w:top w:val="none" w:sz="0" w:space="0" w:color="auto"/>
            <w:left w:val="none" w:sz="0" w:space="0" w:color="auto"/>
            <w:bottom w:val="none" w:sz="0" w:space="0" w:color="auto"/>
            <w:right w:val="none" w:sz="0" w:space="0" w:color="auto"/>
          </w:divBdr>
          <w:divsChild>
            <w:div w:id="1971007225">
              <w:marLeft w:val="0"/>
              <w:marRight w:val="150"/>
              <w:marTop w:val="0"/>
              <w:marBottom w:val="0"/>
              <w:divBdr>
                <w:top w:val="none" w:sz="0" w:space="0" w:color="auto"/>
                <w:left w:val="none" w:sz="0" w:space="0" w:color="auto"/>
                <w:bottom w:val="none" w:sz="0" w:space="0" w:color="auto"/>
                <w:right w:val="none" w:sz="0" w:space="0" w:color="auto"/>
              </w:divBdr>
              <w:divsChild>
                <w:div w:id="1741515119">
                  <w:marLeft w:val="0"/>
                  <w:marRight w:val="0"/>
                  <w:marTop w:val="0"/>
                  <w:marBottom w:val="0"/>
                  <w:divBdr>
                    <w:top w:val="none" w:sz="0" w:space="0" w:color="auto"/>
                    <w:left w:val="none" w:sz="0" w:space="0" w:color="auto"/>
                    <w:bottom w:val="none" w:sz="0" w:space="0" w:color="auto"/>
                    <w:right w:val="none" w:sz="0" w:space="0" w:color="auto"/>
                  </w:divBdr>
                  <w:divsChild>
                    <w:div w:id="4931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3796">
      <w:bodyDiv w:val="1"/>
      <w:marLeft w:val="0"/>
      <w:marRight w:val="0"/>
      <w:marTop w:val="0"/>
      <w:marBottom w:val="0"/>
      <w:divBdr>
        <w:top w:val="none" w:sz="0" w:space="0" w:color="auto"/>
        <w:left w:val="none" w:sz="0" w:space="0" w:color="auto"/>
        <w:bottom w:val="none" w:sz="0" w:space="0" w:color="auto"/>
        <w:right w:val="none" w:sz="0" w:space="0" w:color="auto"/>
      </w:divBdr>
    </w:div>
    <w:div w:id="1556547848">
      <w:bodyDiv w:val="1"/>
      <w:marLeft w:val="0"/>
      <w:marRight w:val="0"/>
      <w:marTop w:val="0"/>
      <w:marBottom w:val="0"/>
      <w:divBdr>
        <w:top w:val="none" w:sz="0" w:space="0" w:color="auto"/>
        <w:left w:val="none" w:sz="0" w:space="0" w:color="auto"/>
        <w:bottom w:val="none" w:sz="0" w:space="0" w:color="auto"/>
        <w:right w:val="none" w:sz="0" w:space="0" w:color="auto"/>
      </w:divBdr>
    </w:div>
    <w:div w:id="1558123209">
      <w:bodyDiv w:val="1"/>
      <w:marLeft w:val="0"/>
      <w:marRight w:val="0"/>
      <w:marTop w:val="0"/>
      <w:marBottom w:val="0"/>
      <w:divBdr>
        <w:top w:val="none" w:sz="0" w:space="0" w:color="auto"/>
        <w:left w:val="none" w:sz="0" w:space="0" w:color="auto"/>
        <w:bottom w:val="none" w:sz="0" w:space="0" w:color="auto"/>
        <w:right w:val="none" w:sz="0" w:space="0" w:color="auto"/>
      </w:divBdr>
    </w:div>
    <w:div w:id="1590116675">
      <w:bodyDiv w:val="1"/>
      <w:marLeft w:val="0"/>
      <w:marRight w:val="0"/>
      <w:marTop w:val="0"/>
      <w:marBottom w:val="0"/>
      <w:divBdr>
        <w:top w:val="none" w:sz="0" w:space="0" w:color="auto"/>
        <w:left w:val="none" w:sz="0" w:space="0" w:color="auto"/>
        <w:bottom w:val="none" w:sz="0" w:space="0" w:color="auto"/>
        <w:right w:val="none" w:sz="0" w:space="0" w:color="auto"/>
      </w:divBdr>
    </w:div>
    <w:div w:id="1639604599">
      <w:bodyDiv w:val="1"/>
      <w:marLeft w:val="0"/>
      <w:marRight w:val="0"/>
      <w:marTop w:val="0"/>
      <w:marBottom w:val="0"/>
      <w:divBdr>
        <w:top w:val="none" w:sz="0" w:space="0" w:color="auto"/>
        <w:left w:val="none" w:sz="0" w:space="0" w:color="auto"/>
        <w:bottom w:val="none" w:sz="0" w:space="0" w:color="auto"/>
        <w:right w:val="none" w:sz="0" w:space="0" w:color="auto"/>
      </w:divBdr>
    </w:div>
    <w:div w:id="1642998280">
      <w:bodyDiv w:val="1"/>
      <w:marLeft w:val="0"/>
      <w:marRight w:val="0"/>
      <w:marTop w:val="0"/>
      <w:marBottom w:val="0"/>
      <w:divBdr>
        <w:top w:val="none" w:sz="0" w:space="0" w:color="auto"/>
        <w:left w:val="none" w:sz="0" w:space="0" w:color="auto"/>
        <w:bottom w:val="none" w:sz="0" w:space="0" w:color="auto"/>
        <w:right w:val="none" w:sz="0" w:space="0" w:color="auto"/>
      </w:divBdr>
    </w:div>
    <w:div w:id="1648318665">
      <w:bodyDiv w:val="1"/>
      <w:marLeft w:val="0"/>
      <w:marRight w:val="0"/>
      <w:marTop w:val="0"/>
      <w:marBottom w:val="0"/>
      <w:divBdr>
        <w:top w:val="none" w:sz="0" w:space="0" w:color="auto"/>
        <w:left w:val="none" w:sz="0" w:space="0" w:color="auto"/>
        <w:bottom w:val="none" w:sz="0" w:space="0" w:color="auto"/>
        <w:right w:val="none" w:sz="0" w:space="0" w:color="auto"/>
      </w:divBdr>
    </w:div>
    <w:div w:id="1663124138">
      <w:bodyDiv w:val="1"/>
      <w:marLeft w:val="0"/>
      <w:marRight w:val="0"/>
      <w:marTop w:val="0"/>
      <w:marBottom w:val="0"/>
      <w:divBdr>
        <w:top w:val="none" w:sz="0" w:space="0" w:color="auto"/>
        <w:left w:val="none" w:sz="0" w:space="0" w:color="auto"/>
        <w:bottom w:val="none" w:sz="0" w:space="0" w:color="auto"/>
        <w:right w:val="none" w:sz="0" w:space="0" w:color="auto"/>
      </w:divBdr>
    </w:div>
    <w:div w:id="1680424447">
      <w:bodyDiv w:val="1"/>
      <w:marLeft w:val="0"/>
      <w:marRight w:val="0"/>
      <w:marTop w:val="0"/>
      <w:marBottom w:val="0"/>
      <w:divBdr>
        <w:top w:val="none" w:sz="0" w:space="0" w:color="auto"/>
        <w:left w:val="none" w:sz="0" w:space="0" w:color="auto"/>
        <w:bottom w:val="none" w:sz="0" w:space="0" w:color="auto"/>
        <w:right w:val="none" w:sz="0" w:space="0" w:color="auto"/>
      </w:divBdr>
    </w:div>
    <w:div w:id="1690839819">
      <w:bodyDiv w:val="1"/>
      <w:marLeft w:val="0"/>
      <w:marRight w:val="0"/>
      <w:marTop w:val="0"/>
      <w:marBottom w:val="0"/>
      <w:divBdr>
        <w:top w:val="none" w:sz="0" w:space="0" w:color="auto"/>
        <w:left w:val="none" w:sz="0" w:space="0" w:color="auto"/>
        <w:bottom w:val="none" w:sz="0" w:space="0" w:color="auto"/>
        <w:right w:val="none" w:sz="0" w:space="0" w:color="auto"/>
      </w:divBdr>
    </w:div>
    <w:div w:id="1693145533">
      <w:bodyDiv w:val="1"/>
      <w:marLeft w:val="0"/>
      <w:marRight w:val="0"/>
      <w:marTop w:val="0"/>
      <w:marBottom w:val="0"/>
      <w:divBdr>
        <w:top w:val="none" w:sz="0" w:space="0" w:color="auto"/>
        <w:left w:val="none" w:sz="0" w:space="0" w:color="auto"/>
        <w:bottom w:val="none" w:sz="0" w:space="0" w:color="auto"/>
        <w:right w:val="none" w:sz="0" w:space="0" w:color="auto"/>
      </w:divBdr>
    </w:div>
    <w:div w:id="1701474313">
      <w:bodyDiv w:val="1"/>
      <w:marLeft w:val="0"/>
      <w:marRight w:val="0"/>
      <w:marTop w:val="0"/>
      <w:marBottom w:val="0"/>
      <w:divBdr>
        <w:top w:val="none" w:sz="0" w:space="0" w:color="auto"/>
        <w:left w:val="none" w:sz="0" w:space="0" w:color="auto"/>
        <w:bottom w:val="none" w:sz="0" w:space="0" w:color="auto"/>
        <w:right w:val="none" w:sz="0" w:space="0" w:color="auto"/>
      </w:divBdr>
    </w:div>
    <w:div w:id="1707871628">
      <w:bodyDiv w:val="1"/>
      <w:marLeft w:val="0"/>
      <w:marRight w:val="0"/>
      <w:marTop w:val="0"/>
      <w:marBottom w:val="0"/>
      <w:divBdr>
        <w:top w:val="none" w:sz="0" w:space="0" w:color="auto"/>
        <w:left w:val="none" w:sz="0" w:space="0" w:color="auto"/>
        <w:bottom w:val="none" w:sz="0" w:space="0" w:color="auto"/>
        <w:right w:val="none" w:sz="0" w:space="0" w:color="auto"/>
      </w:divBdr>
    </w:div>
    <w:div w:id="1709140463">
      <w:bodyDiv w:val="1"/>
      <w:marLeft w:val="0"/>
      <w:marRight w:val="0"/>
      <w:marTop w:val="0"/>
      <w:marBottom w:val="0"/>
      <w:divBdr>
        <w:top w:val="none" w:sz="0" w:space="0" w:color="auto"/>
        <w:left w:val="none" w:sz="0" w:space="0" w:color="auto"/>
        <w:bottom w:val="none" w:sz="0" w:space="0" w:color="auto"/>
        <w:right w:val="none" w:sz="0" w:space="0" w:color="auto"/>
      </w:divBdr>
      <w:divsChild>
        <w:div w:id="443424583">
          <w:marLeft w:val="547"/>
          <w:marRight w:val="0"/>
          <w:marTop w:val="0"/>
          <w:marBottom w:val="0"/>
          <w:divBdr>
            <w:top w:val="none" w:sz="0" w:space="0" w:color="auto"/>
            <w:left w:val="none" w:sz="0" w:space="0" w:color="auto"/>
            <w:bottom w:val="none" w:sz="0" w:space="0" w:color="auto"/>
            <w:right w:val="none" w:sz="0" w:space="0" w:color="auto"/>
          </w:divBdr>
        </w:div>
        <w:div w:id="972171135">
          <w:marLeft w:val="547"/>
          <w:marRight w:val="0"/>
          <w:marTop w:val="0"/>
          <w:marBottom w:val="0"/>
          <w:divBdr>
            <w:top w:val="none" w:sz="0" w:space="0" w:color="auto"/>
            <w:left w:val="none" w:sz="0" w:space="0" w:color="auto"/>
            <w:bottom w:val="none" w:sz="0" w:space="0" w:color="auto"/>
            <w:right w:val="none" w:sz="0" w:space="0" w:color="auto"/>
          </w:divBdr>
        </w:div>
        <w:div w:id="511453536">
          <w:marLeft w:val="547"/>
          <w:marRight w:val="0"/>
          <w:marTop w:val="0"/>
          <w:marBottom w:val="0"/>
          <w:divBdr>
            <w:top w:val="none" w:sz="0" w:space="0" w:color="auto"/>
            <w:left w:val="none" w:sz="0" w:space="0" w:color="auto"/>
            <w:bottom w:val="none" w:sz="0" w:space="0" w:color="auto"/>
            <w:right w:val="none" w:sz="0" w:space="0" w:color="auto"/>
          </w:divBdr>
        </w:div>
        <w:div w:id="664632043">
          <w:marLeft w:val="547"/>
          <w:marRight w:val="0"/>
          <w:marTop w:val="0"/>
          <w:marBottom w:val="0"/>
          <w:divBdr>
            <w:top w:val="none" w:sz="0" w:space="0" w:color="auto"/>
            <w:left w:val="none" w:sz="0" w:space="0" w:color="auto"/>
            <w:bottom w:val="none" w:sz="0" w:space="0" w:color="auto"/>
            <w:right w:val="none" w:sz="0" w:space="0" w:color="auto"/>
          </w:divBdr>
        </w:div>
        <w:div w:id="1621643143">
          <w:marLeft w:val="547"/>
          <w:marRight w:val="0"/>
          <w:marTop w:val="0"/>
          <w:marBottom w:val="0"/>
          <w:divBdr>
            <w:top w:val="none" w:sz="0" w:space="0" w:color="auto"/>
            <w:left w:val="none" w:sz="0" w:space="0" w:color="auto"/>
            <w:bottom w:val="none" w:sz="0" w:space="0" w:color="auto"/>
            <w:right w:val="none" w:sz="0" w:space="0" w:color="auto"/>
          </w:divBdr>
        </w:div>
        <w:div w:id="1533495553">
          <w:marLeft w:val="547"/>
          <w:marRight w:val="0"/>
          <w:marTop w:val="0"/>
          <w:marBottom w:val="0"/>
          <w:divBdr>
            <w:top w:val="none" w:sz="0" w:space="0" w:color="auto"/>
            <w:left w:val="none" w:sz="0" w:space="0" w:color="auto"/>
            <w:bottom w:val="none" w:sz="0" w:space="0" w:color="auto"/>
            <w:right w:val="none" w:sz="0" w:space="0" w:color="auto"/>
          </w:divBdr>
        </w:div>
        <w:div w:id="236210701">
          <w:marLeft w:val="547"/>
          <w:marRight w:val="0"/>
          <w:marTop w:val="0"/>
          <w:marBottom w:val="0"/>
          <w:divBdr>
            <w:top w:val="none" w:sz="0" w:space="0" w:color="auto"/>
            <w:left w:val="none" w:sz="0" w:space="0" w:color="auto"/>
            <w:bottom w:val="none" w:sz="0" w:space="0" w:color="auto"/>
            <w:right w:val="none" w:sz="0" w:space="0" w:color="auto"/>
          </w:divBdr>
        </w:div>
      </w:divsChild>
    </w:div>
    <w:div w:id="1727292213">
      <w:bodyDiv w:val="1"/>
      <w:marLeft w:val="0"/>
      <w:marRight w:val="0"/>
      <w:marTop w:val="0"/>
      <w:marBottom w:val="0"/>
      <w:divBdr>
        <w:top w:val="none" w:sz="0" w:space="0" w:color="auto"/>
        <w:left w:val="none" w:sz="0" w:space="0" w:color="auto"/>
        <w:bottom w:val="none" w:sz="0" w:space="0" w:color="auto"/>
        <w:right w:val="none" w:sz="0" w:space="0" w:color="auto"/>
      </w:divBdr>
    </w:div>
    <w:div w:id="1733501223">
      <w:bodyDiv w:val="1"/>
      <w:marLeft w:val="0"/>
      <w:marRight w:val="0"/>
      <w:marTop w:val="0"/>
      <w:marBottom w:val="0"/>
      <w:divBdr>
        <w:top w:val="none" w:sz="0" w:space="0" w:color="auto"/>
        <w:left w:val="none" w:sz="0" w:space="0" w:color="auto"/>
        <w:bottom w:val="none" w:sz="0" w:space="0" w:color="auto"/>
        <w:right w:val="none" w:sz="0" w:space="0" w:color="auto"/>
      </w:divBdr>
    </w:div>
    <w:div w:id="1743136845">
      <w:bodyDiv w:val="1"/>
      <w:marLeft w:val="0"/>
      <w:marRight w:val="0"/>
      <w:marTop w:val="0"/>
      <w:marBottom w:val="0"/>
      <w:divBdr>
        <w:top w:val="none" w:sz="0" w:space="0" w:color="auto"/>
        <w:left w:val="none" w:sz="0" w:space="0" w:color="auto"/>
        <w:bottom w:val="none" w:sz="0" w:space="0" w:color="auto"/>
        <w:right w:val="none" w:sz="0" w:space="0" w:color="auto"/>
      </w:divBdr>
    </w:div>
    <w:div w:id="1752383391">
      <w:bodyDiv w:val="1"/>
      <w:marLeft w:val="0"/>
      <w:marRight w:val="0"/>
      <w:marTop w:val="0"/>
      <w:marBottom w:val="0"/>
      <w:divBdr>
        <w:top w:val="none" w:sz="0" w:space="0" w:color="auto"/>
        <w:left w:val="none" w:sz="0" w:space="0" w:color="auto"/>
        <w:bottom w:val="none" w:sz="0" w:space="0" w:color="auto"/>
        <w:right w:val="none" w:sz="0" w:space="0" w:color="auto"/>
      </w:divBdr>
    </w:div>
    <w:div w:id="1763643597">
      <w:bodyDiv w:val="1"/>
      <w:marLeft w:val="0"/>
      <w:marRight w:val="0"/>
      <w:marTop w:val="0"/>
      <w:marBottom w:val="0"/>
      <w:divBdr>
        <w:top w:val="none" w:sz="0" w:space="0" w:color="auto"/>
        <w:left w:val="none" w:sz="0" w:space="0" w:color="auto"/>
        <w:bottom w:val="none" w:sz="0" w:space="0" w:color="auto"/>
        <w:right w:val="none" w:sz="0" w:space="0" w:color="auto"/>
      </w:divBdr>
      <w:divsChild>
        <w:div w:id="910431143">
          <w:marLeft w:val="0"/>
          <w:marRight w:val="0"/>
          <w:marTop w:val="0"/>
          <w:marBottom w:val="0"/>
          <w:divBdr>
            <w:top w:val="none" w:sz="0" w:space="0" w:color="auto"/>
            <w:left w:val="none" w:sz="0" w:space="0" w:color="auto"/>
            <w:bottom w:val="none" w:sz="0" w:space="0" w:color="auto"/>
            <w:right w:val="none" w:sz="0" w:space="0" w:color="auto"/>
          </w:divBdr>
          <w:divsChild>
            <w:div w:id="777530696">
              <w:marLeft w:val="0"/>
              <w:marRight w:val="0"/>
              <w:marTop w:val="0"/>
              <w:marBottom w:val="0"/>
              <w:divBdr>
                <w:top w:val="none" w:sz="0" w:space="0" w:color="auto"/>
                <w:left w:val="none" w:sz="0" w:space="0" w:color="auto"/>
                <w:bottom w:val="none" w:sz="0" w:space="0" w:color="auto"/>
                <w:right w:val="none" w:sz="0" w:space="0" w:color="auto"/>
              </w:divBdr>
              <w:divsChild>
                <w:div w:id="1430005927">
                  <w:marLeft w:val="0"/>
                  <w:marRight w:val="0"/>
                  <w:marTop w:val="0"/>
                  <w:marBottom w:val="0"/>
                  <w:divBdr>
                    <w:top w:val="none" w:sz="0" w:space="0" w:color="auto"/>
                    <w:left w:val="none" w:sz="0" w:space="0" w:color="auto"/>
                    <w:bottom w:val="none" w:sz="0" w:space="0" w:color="auto"/>
                    <w:right w:val="none" w:sz="0" w:space="0" w:color="auto"/>
                  </w:divBdr>
                  <w:divsChild>
                    <w:div w:id="431825871">
                      <w:marLeft w:val="0"/>
                      <w:marRight w:val="0"/>
                      <w:marTop w:val="0"/>
                      <w:marBottom w:val="0"/>
                      <w:divBdr>
                        <w:top w:val="none" w:sz="0" w:space="0" w:color="auto"/>
                        <w:left w:val="none" w:sz="0" w:space="0" w:color="auto"/>
                        <w:bottom w:val="none" w:sz="0" w:space="0" w:color="auto"/>
                        <w:right w:val="none" w:sz="0" w:space="0" w:color="auto"/>
                      </w:divBdr>
                      <w:divsChild>
                        <w:div w:id="554312901">
                          <w:marLeft w:val="0"/>
                          <w:marRight w:val="0"/>
                          <w:marTop w:val="0"/>
                          <w:marBottom w:val="0"/>
                          <w:divBdr>
                            <w:top w:val="none" w:sz="0" w:space="0" w:color="auto"/>
                            <w:left w:val="none" w:sz="0" w:space="0" w:color="auto"/>
                            <w:bottom w:val="none" w:sz="0" w:space="0" w:color="auto"/>
                            <w:right w:val="none" w:sz="0" w:space="0" w:color="auto"/>
                          </w:divBdr>
                          <w:divsChild>
                            <w:div w:id="762070962">
                              <w:marLeft w:val="0"/>
                              <w:marRight w:val="0"/>
                              <w:marTop w:val="0"/>
                              <w:marBottom w:val="0"/>
                              <w:divBdr>
                                <w:top w:val="none" w:sz="0" w:space="0" w:color="auto"/>
                                <w:left w:val="none" w:sz="0" w:space="0" w:color="auto"/>
                                <w:bottom w:val="none" w:sz="0" w:space="0" w:color="auto"/>
                                <w:right w:val="none" w:sz="0" w:space="0" w:color="auto"/>
                              </w:divBdr>
                              <w:divsChild>
                                <w:div w:id="902376719">
                                  <w:marLeft w:val="0"/>
                                  <w:marRight w:val="0"/>
                                  <w:marTop w:val="0"/>
                                  <w:marBottom w:val="0"/>
                                  <w:divBdr>
                                    <w:top w:val="none" w:sz="0" w:space="0" w:color="auto"/>
                                    <w:left w:val="none" w:sz="0" w:space="0" w:color="auto"/>
                                    <w:bottom w:val="none" w:sz="0" w:space="0" w:color="auto"/>
                                    <w:right w:val="none" w:sz="0" w:space="0" w:color="auto"/>
                                  </w:divBdr>
                                  <w:divsChild>
                                    <w:div w:id="1574777921">
                                      <w:marLeft w:val="0"/>
                                      <w:marRight w:val="0"/>
                                      <w:marTop w:val="0"/>
                                      <w:marBottom w:val="0"/>
                                      <w:divBdr>
                                        <w:top w:val="none" w:sz="0" w:space="0" w:color="auto"/>
                                        <w:left w:val="none" w:sz="0" w:space="0" w:color="auto"/>
                                        <w:bottom w:val="none" w:sz="0" w:space="0" w:color="auto"/>
                                        <w:right w:val="none" w:sz="0" w:space="0" w:color="auto"/>
                                      </w:divBdr>
                                      <w:divsChild>
                                        <w:div w:id="1366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380329">
      <w:bodyDiv w:val="1"/>
      <w:marLeft w:val="0"/>
      <w:marRight w:val="0"/>
      <w:marTop w:val="0"/>
      <w:marBottom w:val="0"/>
      <w:divBdr>
        <w:top w:val="none" w:sz="0" w:space="0" w:color="auto"/>
        <w:left w:val="none" w:sz="0" w:space="0" w:color="auto"/>
        <w:bottom w:val="none" w:sz="0" w:space="0" w:color="auto"/>
        <w:right w:val="none" w:sz="0" w:space="0" w:color="auto"/>
      </w:divBdr>
    </w:div>
    <w:div w:id="1790004373">
      <w:bodyDiv w:val="1"/>
      <w:marLeft w:val="0"/>
      <w:marRight w:val="0"/>
      <w:marTop w:val="0"/>
      <w:marBottom w:val="0"/>
      <w:divBdr>
        <w:top w:val="none" w:sz="0" w:space="0" w:color="auto"/>
        <w:left w:val="none" w:sz="0" w:space="0" w:color="auto"/>
        <w:bottom w:val="none" w:sz="0" w:space="0" w:color="auto"/>
        <w:right w:val="none" w:sz="0" w:space="0" w:color="auto"/>
      </w:divBdr>
    </w:div>
    <w:div w:id="1812556682">
      <w:bodyDiv w:val="1"/>
      <w:marLeft w:val="0"/>
      <w:marRight w:val="0"/>
      <w:marTop w:val="0"/>
      <w:marBottom w:val="0"/>
      <w:divBdr>
        <w:top w:val="none" w:sz="0" w:space="0" w:color="auto"/>
        <w:left w:val="none" w:sz="0" w:space="0" w:color="auto"/>
        <w:bottom w:val="none" w:sz="0" w:space="0" w:color="auto"/>
        <w:right w:val="none" w:sz="0" w:space="0" w:color="auto"/>
      </w:divBdr>
    </w:div>
    <w:div w:id="1824083705">
      <w:bodyDiv w:val="1"/>
      <w:marLeft w:val="0"/>
      <w:marRight w:val="0"/>
      <w:marTop w:val="0"/>
      <w:marBottom w:val="0"/>
      <w:divBdr>
        <w:top w:val="none" w:sz="0" w:space="0" w:color="auto"/>
        <w:left w:val="none" w:sz="0" w:space="0" w:color="auto"/>
        <w:bottom w:val="none" w:sz="0" w:space="0" w:color="auto"/>
        <w:right w:val="none" w:sz="0" w:space="0" w:color="auto"/>
      </w:divBdr>
      <w:divsChild>
        <w:div w:id="1358309091">
          <w:marLeft w:val="0"/>
          <w:marRight w:val="0"/>
          <w:marTop w:val="0"/>
          <w:marBottom w:val="0"/>
          <w:divBdr>
            <w:top w:val="none" w:sz="0" w:space="0" w:color="auto"/>
            <w:left w:val="none" w:sz="0" w:space="0" w:color="auto"/>
            <w:bottom w:val="none" w:sz="0" w:space="0" w:color="auto"/>
            <w:right w:val="none" w:sz="0" w:space="0" w:color="auto"/>
          </w:divBdr>
          <w:divsChild>
            <w:div w:id="735207443">
              <w:marLeft w:val="0"/>
              <w:marRight w:val="0"/>
              <w:marTop w:val="0"/>
              <w:marBottom w:val="0"/>
              <w:divBdr>
                <w:top w:val="none" w:sz="0" w:space="0" w:color="auto"/>
                <w:left w:val="none" w:sz="0" w:space="0" w:color="auto"/>
                <w:bottom w:val="none" w:sz="0" w:space="0" w:color="auto"/>
                <w:right w:val="none" w:sz="0" w:space="0" w:color="auto"/>
              </w:divBdr>
              <w:divsChild>
                <w:div w:id="8035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3961">
      <w:bodyDiv w:val="1"/>
      <w:marLeft w:val="0"/>
      <w:marRight w:val="0"/>
      <w:marTop w:val="0"/>
      <w:marBottom w:val="0"/>
      <w:divBdr>
        <w:top w:val="none" w:sz="0" w:space="0" w:color="auto"/>
        <w:left w:val="none" w:sz="0" w:space="0" w:color="auto"/>
        <w:bottom w:val="none" w:sz="0" w:space="0" w:color="auto"/>
        <w:right w:val="none" w:sz="0" w:space="0" w:color="auto"/>
      </w:divBdr>
    </w:div>
    <w:div w:id="1843885170">
      <w:bodyDiv w:val="1"/>
      <w:marLeft w:val="0"/>
      <w:marRight w:val="0"/>
      <w:marTop w:val="0"/>
      <w:marBottom w:val="0"/>
      <w:divBdr>
        <w:top w:val="none" w:sz="0" w:space="0" w:color="auto"/>
        <w:left w:val="none" w:sz="0" w:space="0" w:color="auto"/>
        <w:bottom w:val="none" w:sz="0" w:space="0" w:color="auto"/>
        <w:right w:val="none" w:sz="0" w:space="0" w:color="auto"/>
      </w:divBdr>
    </w:div>
    <w:div w:id="1867327521">
      <w:bodyDiv w:val="1"/>
      <w:marLeft w:val="0"/>
      <w:marRight w:val="0"/>
      <w:marTop w:val="0"/>
      <w:marBottom w:val="0"/>
      <w:divBdr>
        <w:top w:val="none" w:sz="0" w:space="0" w:color="auto"/>
        <w:left w:val="none" w:sz="0" w:space="0" w:color="auto"/>
        <w:bottom w:val="none" w:sz="0" w:space="0" w:color="auto"/>
        <w:right w:val="none" w:sz="0" w:space="0" w:color="auto"/>
      </w:divBdr>
    </w:div>
    <w:div w:id="1906212062">
      <w:bodyDiv w:val="1"/>
      <w:marLeft w:val="0"/>
      <w:marRight w:val="0"/>
      <w:marTop w:val="0"/>
      <w:marBottom w:val="0"/>
      <w:divBdr>
        <w:top w:val="none" w:sz="0" w:space="0" w:color="auto"/>
        <w:left w:val="none" w:sz="0" w:space="0" w:color="auto"/>
        <w:bottom w:val="none" w:sz="0" w:space="0" w:color="auto"/>
        <w:right w:val="none" w:sz="0" w:space="0" w:color="auto"/>
      </w:divBdr>
    </w:div>
    <w:div w:id="1913394929">
      <w:bodyDiv w:val="1"/>
      <w:marLeft w:val="0"/>
      <w:marRight w:val="0"/>
      <w:marTop w:val="0"/>
      <w:marBottom w:val="0"/>
      <w:divBdr>
        <w:top w:val="none" w:sz="0" w:space="0" w:color="auto"/>
        <w:left w:val="none" w:sz="0" w:space="0" w:color="auto"/>
        <w:bottom w:val="none" w:sz="0" w:space="0" w:color="auto"/>
        <w:right w:val="none" w:sz="0" w:space="0" w:color="auto"/>
      </w:divBdr>
    </w:div>
    <w:div w:id="1961643380">
      <w:bodyDiv w:val="1"/>
      <w:marLeft w:val="0"/>
      <w:marRight w:val="0"/>
      <w:marTop w:val="0"/>
      <w:marBottom w:val="0"/>
      <w:divBdr>
        <w:top w:val="none" w:sz="0" w:space="0" w:color="auto"/>
        <w:left w:val="none" w:sz="0" w:space="0" w:color="auto"/>
        <w:bottom w:val="none" w:sz="0" w:space="0" w:color="auto"/>
        <w:right w:val="none" w:sz="0" w:space="0" w:color="auto"/>
      </w:divBdr>
    </w:div>
    <w:div w:id="1962299364">
      <w:bodyDiv w:val="1"/>
      <w:marLeft w:val="0"/>
      <w:marRight w:val="0"/>
      <w:marTop w:val="0"/>
      <w:marBottom w:val="0"/>
      <w:divBdr>
        <w:top w:val="none" w:sz="0" w:space="0" w:color="auto"/>
        <w:left w:val="none" w:sz="0" w:space="0" w:color="auto"/>
        <w:bottom w:val="none" w:sz="0" w:space="0" w:color="auto"/>
        <w:right w:val="none" w:sz="0" w:space="0" w:color="auto"/>
      </w:divBdr>
    </w:div>
    <w:div w:id="1980762533">
      <w:bodyDiv w:val="1"/>
      <w:marLeft w:val="0"/>
      <w:marRight w:val="0"/>
      <w:marTop w:val="0"/>
      <w:marBottom w:val="0"/>
      <w:divBdr>
        <w:top w:val="none" w:sz="0" w:space="0" w:color="auto"/>
        <w:left w:val="none" w:sz="0" w:space="0" w:color="auto"/>
        <w:bottom w:val="none" w:sz="0" w:space="0" w:color="auto"/>
        <w:right w:val="none" w:sz="0" w:space="0" w:color="auto"/>
      </w:divBdr>
      <w:divsChild>
        <w:div w:id="1006206524">
          <w:marLeft w:val="0"/>
          <w:marRight w:val="0"/>
          <w:marTop w:val="300"/>
          <w:marBottom w:val="300"/>
          <w:divBdr>
            <w:top w:val="single" w:sz="6" w:space="8" w:color="B6D1E4"/>
            <w:left w:val="single" w:sz="6" w:space="8" w:color="B6D1E4"/>
            <w:bottom w:val="single" w:sz="6" w:space="8" w:color="B6D1E4"/>
            <w:right w:val="single" w:sz="6" w:space="8" w:color="B6D1E4"/>
          </w:divBdr>
          <w:divsChild>
            <w:div w:id="784344428">
              <w:marLeft w:val="0"/>
              <w:marRight w:val="0"/>
              <w:marTop w:val="0"/>
              <w:marBottom w:val="0"/>
              <w:divBdr>
                <w:top w:val="none" w:sz="0" w:space="0" w:color="auto"/>
                <w:left w:val="none" w:sz="0" w:space="0" w:color="auto"/>
                <w:bottom w:val="none" w:sz="0" w:space="0" w:color="auto"/>
                <w:right w:val="none" w:sz="0" w:space="0" w:color="auto"/>
              </w:divBdr>
              <w:divsChild>
                <w:div w:id="1168012004">
                  <w:marLeft w:val="0"/>
                  <w:marRight w:val="0"/>
                  <w:marTop w:val="0"/>
                  <w:marBottom w:val="0"/>
                  <w:divBdr>
                    <w:top w:val="none" w:sz="0" w:space="0" w:color="auto"/>
                    <w:left w:val="none" w:sz="0" w:space="0" w:color="auto"/>
                    <w:bottom w:val="none" w:sz="0" w:space="0" w:color="auto"/>
                    <w:right w:val="none" w:sz="0" w:space="0" w:color="auto"/>
                  </w:divBdr>
                  <w:divsChild>
                    <w:div w:id="874538590">
                      <w:marLeft w:val="0"/>
                      <w:marRight w:val="0"/>
                      <w:marTop w:val="225"/>
                      <w:marBottom w:val="0"/>
                      <w:divBdr>
                        <w:top w:val="none" w:sz="0" w:space="0" w:color="auto"/>
                        <w:left w:val="none" w:sz="0" w:space="0" w:color="auto"/>
                        <w:bottom w:val="none" w:sz="0" w:space="0" w:color="auto"/>
                        <w:right w:val="none" w:sz="0" w:space="0" w:color="auto"/>
                      </w:divBdr>
                      <w:divsChild>
                        <w:div w:id="242614477">
                          <w:marLeft w:val="0"/>
                          <w:marRight w:val="0"/>
                          <w:marTop w:val="0"/>
                          <w:marBottom w:val="0"/>
                          <w:divBdr>
                            <w:top w:val="none" w:sz="0" w:space="0" w:color="auto"/>
                            <w:left w:val="none" w:sz="0" w:space="0" w:color="auto"/>
                            <w:bottom w:val="none" w:sz="0" w:space="0" w:color="auto"/>
                            <w:right w:val="none" w:sz="0" w:space="0" w:color="auto"/>
                          </w:divBdr>
                          <w:divsChild>
                            <w:div w:id="1001396683">
                              <w:marLeft w:val="0"/>
                              <w:marRight w:val="0"/>
                              <w:marTop w:val="0"/>
                              <w:marBottom w:val="0"/>
                              <w:divBdr>
                                <w:top w:val="none" w:sz="0" w:space="0" w:color="auto"/>
                                <w:left w:val="none" w:sz="0" w:space="0" w:color="auto"/>
                                <w:bottom w:val="none" w:sz="0" w:space="0" w:color="auto"/>
                                <w:right w:val="none" w:sz="0" w:space="0" w:color="auto"/>
                              </w:divBdr>
                              <w:divsChild>
                                <w:div w:id="2025282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205">
      <w:bodyDiv w:val="1"/>
      <w:marLeft w:val="0"/>
      <w:marRight w:val="0"/>
      <w:marTop w:val="0"/>
      <w:marBottom w:val="0"/>
      <w:divBdr>
        <w:top w:val="none" w:sz="0" w:space="0" w:color="auto"/>
        <w:left w:val="none" w:sz="0" w:space="0" w:color="auto"/>
        <w:bottom w:val="none" w:sz="0" w:space="0" w:color="auto"/>
        <w:right w:val="none" w:sz="0" w:space="0" w:color="auto"/>
      </w:divBdr>
    </w:div>
    <w:div w:id="2010939380">
      <w:bodyDiv w:val="1"/>
      <w:marLeft w:val="0"/>
      <w:marRight w:val="0"/>
      <w:marTop w:val="0"/>
      <w:marBottom w:val="0"/>
      <w:divBdr>
        <w:top w:val="none" w:sz="0" w:space="0" w:color="auto"/>
        <w:left w:val="none" w:sz="0" w:space="0" w:color="auto"/>
        <w:bottom w:val="none" w:sz="0" w:space="0" w:color="auto"/>
        <w:right w:val="none" w:sz="0" w:space="0" w:color="auto"/>
      </w:divBdr>
    </w:div>
    <w:div w:id="2016571203">
      <w:bodyDiv w:val="1"/>
      <w:marLeft w:val="0"/>
      <w:marRight w:val="0"/>
      <w:marTop w:val="0"/>
      <w:marBottom w:val="0"/>
      <w:divBdr>
        <w:top w:val="none" w:sz="0" w:space="0" w:color="auto"/>
        <w:left w:val="none" w:sz="0" w:space="0" w:color="auto"/>
        <w:bottom w:val="none" w:sz="0" w:space="0" w:color="auto"/>
        <w:right w:val="none" w:sz="0" w:space="0" w:color="auto"/>
      </w:divBdr>
    </w:div>
    <w:div w:id="2040546285">
      <w:bodyDiv w:val="1"/>
      <w:marLeft w:val="0"/>
      <w:marRight w:val="0"/>
      <w:marTop w:val="0"/>
      <w:marBottom w:val="0"/>
      <w:divBdr>
        <w:top w:val="none" w:sz="0" w:space="0" w:color="auto"/>
        <w:left w:val="none" w:sz="0" w:space="0" w:color="auto"/>
        <w:bottom w:val="none" w:sz="0" w:space="0" w:color="auto"/>
        <w:right w:val="none" w:sz="0" w:space="0" w:color="auto"/>
      </w:divBdr>
    </w:div>
    <w:div w:id="2049184185">
      <w:bodyDiv w:val="1"/>
      <w:marLeft w:val="0"/>
      <w:marRight w:val="0"/>
      <w:marTop w:val="0"/>
      <w:marBottom w:val="0"/>
      <w:divBdr>
        <w:top w:val="none" w:sz="0" w:space="0" w:color="auto"/>
        <w:left w:val="none" w:sz="0" w:space="0" w:color="auto"/>
        <w:bottom w:val="none" w:sz="0" w:space="0" w:color="auto"/>
        <w:right w:val="none" w:sz="0" w:space="0" w:color="auto"/>
      </w:divBdr>
    </w:div>
    <w:div w:id="2055033004">
      <w:bodyDiv w:val="1"/>
      <w:marLeft w:val="0"/>
      <w:marRight w:val="0"/>
      <w:marTop w:val="0"/>
      <w:marBottom w:val="0"/>
      <w:divBdr>
        <w:top w:val="none" w:sz="0" w:space="0" w:color="auto"/>
        <w:left w:val="none" w:sz="0" w:space="0" w:color="auto"/>
        <w:bottom w:val="none" w:sz="0" w:space="0" w:color="auto"/>
        <w:right w:val="none" w:sz="0" w:space="0" w:color="auto"/>
      </w:divBdr>
    </w:div>
    <w:div w:id="2056732138">
      <w:bodyDiv w:val="1"/>
      <w:marLeft w:val="0"/>
      <w:marRight w:val="0"/>
      <w:marTop w:val="0"/>
      <w:marBottom w:val="0"/>
      <w:divBdr>
        <w:top w:val="none" w:sz="0" w:space="0" w:color="auto"/>
        <w:left w:val="none" w:sz="0" w:space="0" w:color="auto"/>
        <w:bottom w:val="none" w:sz="0" w:space="0" w:color="auto"/>
        <w:right w:val="none" w:sz="0" w:space="0" w:color="auto"/>
      </w:divBdr>
    </w:div>
    <w:div w:id="2057662587">
      <w:bodyDiv w:val="1"/>
      <w:marLeft w:val="0"/>
      <w:marRight w:val="0"/>
      <w:marTop w:val="0"/>
      <w:marBottom w:val="0"/>
      <w:divBdr>
        <w:top w:val="none" w:sz="0" w:space="0" w:color="auto"/>
        <w:left w:val="none" w:sz="0" w:space="0" w:color="auto"/>
        <w:bottom w:val="none" w:sz="0" w:space="0" w:color="auto"/>
        <w:right w:val="none" w:sz="0" w:space="0" w:color="auto"/>
      </w:divBdr>
    </w:div>
    <w:div w:id="2089693822">
      <w:bodyDiv w:val="1"/>
      <w:marLeft w:val="0"/>
      <w:marRight w:val="0"/>
      <w:marTop w:val="0"/>
      <w:marBottom w:val="0"/>
      <w:divBdr>
        <w:top w:val="none" w:sz="0" w:space="0" w:color="auto"/>
        <w:left w:val="none" w:sz="0" w:space="0" w:color="auto"/>
        <w:bottom w:val="none" w:sz="0" w:space="0" w:color="auto"/>
        <w:right w:val="none" w:sz="0" w:space="0" w:color="auto"/>
      </w:divBdr>
    </w:div>
    <w:div w:id="2131901613">
      <w:bodyDiv w:val="1"/>
      <w:marLeft w:val="0"/>
      <w:marRight w:val="0"/>
      <w:marTop w:val="0"/>
      <w:marBottom w:val="0"/>
      <w:divBdr>
        <w:top w:val="none" w:sz="0" w:space="0" w:color="auto"/>
        <w:left w:val="none" w:sz="0" w:space="0" w:color="auto"/>
        <w:bottom w:val="none" w:sz="0" w:space="0" w:color="auto"/>
        <w:right w:val="none" w:sz="0" w:space="0" w:color="auto"/>
      </w:divBdr>
      <w:divsChild>
        <w:div w:id="1161700895">
          <w:marLeft w:val="0"/>
          <w:marRight w:val="0"/>
          <w:marTop w:val="0"/>
          <w:marBottom w:val="0"/>
          <w:divBdr>
            <w:top w:val="none" w:sz="0" w:space="0" w:color="auto"/>
            <w:left w:val="none" w:sz="0" w:space="0" w:color="auto"/>
            <w:bottom w:val="none" w:sz="0" w:space="0" w:color="auto"/>
            <w:right w:val="none" w:sz="0" w:space="0" w:color="auto"/>
          </w:divBdr>
          <w:divsChild>
            <w:div w:id="604113279">
              <w:marLeft w:val="0"/>
              <w:marRight w:val="0"/>
              <w:marTop w:val="0"/>
              <w:marBottom w:val="0"/>
              <w:divBdr>
                <w:top w:val="none" w:sz="0" w:space="0" w:color="auto"/>
                <w:left w:val="none" w:sz="0" w:space="0" w:color="auto"/>
                <w:bottom w:val="none" w:sz="0" w:space="0" w:color="auto"/>
                <w:right w:val="none" w:sz="0" w:space="0" w:color="auto"/>
              </w:divBdr>
              <w:divsChild>
                <w:div w:id="750395892">
                  <w:marLeft w:val="0"/>
                  <w:marRight w:val="0"/>
                  <w:marTop w:val="0"/>
                  <w:marBottom w:val="0"/>
                  <w:divBdr>
                    <w:top w:val="none" w:sz="0" w:space="0" w:color="auto"/>
                    <w:left w:val="none" w:sz="0" w:space="0" w:color="auto"/>
                    <w:bottom w:val="none" w:sz="0" w:space="0" w:color="auto"/>
                    <w:right w:val="none" w:sz="0" w:space="0" w:color="auto"/>
                  </w:divBdr>
                  <w:divsChild>
                    <w:div w:id="1784687183">
                      <w:marLeft w:val="0"/>
                      <w:marRight w:val="0"/>
                      <w:marTop w:val="0"/>
                      <w:marBottom w:val="0"/>
                      <w:divBdr>
                        <w:top w:val="none" w:sz="0" w:space="0" w:color="auto"/>
                        <w:left w:val="none" w:sz="0" w:space="0" w:color="auto"/>
                        <w:bottom w:val="none" w:sz="0" w:space="0" w:color="auto"/>
                        <w:right w:val="none" w:sz="0" w:space="0" w:color="auto"/>
                      </w:divBdr>
                      <w:divsChild>
                        <w:div w:id="47152273">
                          <w:marLeft w:val="0"/>
                          <w:marRight w:val="0"/>
                          <w:marTop w:val="0"/>
                          <w:marBottom w:val="0"/>
                          <w:divBdr>
                            <w:top w:val="none" w:sz="0" w:space="0" w:color="auto"/>
                            <w:left w:val="none" w:sz="0" w:space="0" w:color="auto"/>
                            <w:bottom w:val="none" w:sz="0" w:space="0" w:color="auto"/>
                            <w:right w:val="none" w:sz="0" w:space="0" w:color="auto"/>
                          </w:divBdr>
                          <w:divsChild>
                            <w:div w:id="855653824">
                              <w:marLeft w:val="0"/>
                              <w:marRight w:val="0"/>
                              <w:marTop w:val="2100"/>
                              <w:marBottom w:val="0"/>
                              <w:divBdr>
                                <w:top w:val="none" w:sz="0" w:space="0" w:color="auto"/>
                                <w:left w:val="none" w:sz="0" w:space="0" w:color="auto"/>
                                <w:bottom w:val="none" w:sz="0" w:space="0" w:color="auto"/>
                                <w:right w:val="none" w:sz="0" w:space="0" w:color="auto"/>
                              </w:divBdr>
                              <w:divsChild>
                                <w:div w:id="1060593158">
                                  <w:marLeft w:val="0"/>
                                  <w:marRight w:val="0"/>
                                  <w:marTop w:val="0"/>
                                  <w:marBottom w:val="0"/>
                                  <w:divBdr>
                                    <w:top w:val="none" w:sz="0" w:space="0" w:color="auto"/>
                                    <w:left w:val="none" w:sz="0" w:space="0" w:color="auto"/>
                                    <w:bottom w:val="none" w:sz="0" w:space="0" w:color="auto"/>
                                    <w:right w:val="none" w:sz="0" w:space="0" w:color="auto"/>
                                  </w:divBdr>
                                  <w:divsChild>
                                    <w:div w:id="1322612823">
                                      <w:marLeft w:val="0"/>
                                      <w:marRight w:val="0"/>
                                      <w:marTop w:val="0"/>
                                      <w:marBottom w:val="0"/>
                                      <w:divBdr>
                                        <w:top w:val="none" w:sz="0" w:space="0" w:color="auto"/>
                                        <w:left w:val="none" w:sz="0" w:space="0" w:color="auto"/>
                                        <w:bottom w:val="none" w:sz="0" w:space="0" w:color="auto"/>
                                        <w:right w:val="none" w:sz="0" w:space="0" w:color="auto"/>
                                      </w:divBdr>
                                      <w:divsChild>
                                        <w:div w:id="404842689">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521054">
      <w:bodyDiv w:val="1"/>
      <w:marLeft w:val="0"/>
      <w:marRight w:val="0"/>
      <w:marTop w:val="0"/>
      <w:marBottom w:val="0"/>
      <w:divBdr>
        <w:top w:val="none" w:sz="0" w:space="0" w:color="auto"/>
        <w:left w:val="none" w:sz="0" w:space="0" w:color="auto"/>
        <w:bottom w:val="none" w:sz="0" w:space="0" w:color="auto"/>
        <w:right w:val="none" w:sz="0" w:space="0" w:color="auto"/>
      </w:divBdr>
      <w:divsChild>
        <w:div w:id="1314026958">
          <w:marLeft w:val="547"/>
          <w:marRight w:val="0"/>
          <w:marTop w:val="0"/>
          <w:marBottom w:val="0"/>
          <w:divBdr>
            <w:top w:val="none" w:sz="0" w:space="0" w:color="auto"/>
            <w:left w:val="none" w:sz="0" w:space="0" w:color="auto"/>
            <w:bottom w:val="none" w:sz="0" w:space="0" w:color="auto"/>
            <w:right w:val="none" w:sz="0" w:space="0" w:color="auto"/>
          </w:divBdr>
        </w:div>
        <w:div w:id="715398264">
          <w:marLeft w:val="547"/>
          <w:marRight w:val="0"/>
          <w:marTop w:val="0"/>
          <w:marBottom w:val="0"/>
          <w:divBdr>
            <w:top w:val="none" w:sz="0" w:space="0" w:color="auto"/>
            <w:left w:val="none" w:sz="0" w:space="0" w:color="auto"/>
            <w:bottom w:val="none" w:sz="0" w:space="0" w:color="auto"/>
            <w:right w:val="none" w:sz="0" w:space="0" w:color="auto"/>
          </w:divBdr>
        </w:div>
        <w:div w:id="519974800">
          <w:marLeft w:val="547"/>
          <w:marRight w:val="0"/>
          <w:marTop w:val="0"/>
          <w:marBottom w:val="0"/>
          <w:divBdr>
            <w:top w:val="none" w:sz="0" w:space="0" w:color="auto"/>
            <w:left w:val="none" w:sz="0" w:space="0" w:color="auto"/>
            <w:bottom w:val="none" w:sz="0" w:space="0" w:color="auto"/>
            <w:right w:val="none" w:sz="0" w:space="0" w:color="auto"/>
          </w:divBdr>
        </w:div>
        <w:div w:id="526527613">
          <w:marLeft w:val="547"/>
          <w:marRight w:val="0"/>
          <w:marTop w:val="0"/>
          <w:marBottom w:val="0"/>
          <w:divBdr>
            <w:top w:val="none" w:sz="0" w:space="0" w:color="auto"/>
            <w:left w:val="none" w:sz="0" w:space="0" w:color="auto"/>
            <w:bottom w:val="none" w:sz="0" w:space="0" w:color="auto"/>
            <w:right w:val="none" w:sz="0" w:space="0" w:color="auto"/>
          </w:divBdr>
        </w:div>
        <w:div w:id="676034975">
          <w:marLeft w:val="547"/>
          <w:marRight w:val="0"/>
          <w:marTop w:val="0"/>
          <w:marBottom w:val="0"/>
          <w:divBdr>
            <w:top w:val="none" w:sz="0" w:space="0" w:color="auto"/>
            <w:left w:val="none" w:sz="0" w:space="0" w:color="auto"/>
            <w:bottom w:val="none" w:sz="0" w:space="0" w:color="auto"/>
            <w:right w:val="none" w:sz="0" w:space="0" w:color="auto"/>
          </w:divBdr>
        </w:div>
        <w:div w:id="1183979133">
          <w:marLeft w:val="547"/>
          <w:marRight w:val="0"/>
          <w:marTop w:val="0"/>
          <w:marBottom w:val="0"/>
          <w:divBdr>
            <w:top w:val="none" w:sz="0" w:space="0" w:color="auto"/>
            <w:left w:val="none" w:sz="0" w:space="0" w:color="auto"/>
            <w:bottom w:val="none" w:sz="0" w:space="0" w:color="auto"/>
            <w:right w:val="none" w:sz="0" w:space="0" w:color="auto"/>
          </w:divBdr>
        </w:div>
        <w:div w:id="1277177789">
          <w:marLeft w:val="547"/>
          <w:marRight w:val="0"/>
          <w:marTop w:val="0"/>
          <w:marBottom w:val="0"/>
          <w:divBdr>
            <w:top w:val="none" w:sz="0" w:space="0" w:color="auto"/>
            <w:left w:val="none" w:sz="0" w:space="0" w:color="auto"/>
            <w:bottom w:val="none" w:sz="0" w:space="0" w:color="auto"/>
            <w:right w:val="none" w:sz="0" w:space="0" w:color="auto"/>
          </w:divBdr>
        </w:div>
        <w:div w:id="420196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buzz.org/pencaitland/wp-content/blogs.dir/115/files/2017/11/List-of-Acronyms-2017-1.pdf" TargetMode="External"/><Relationship Id="rId26" Type="http://schemas.openxmlformats.org/officeDocument/2006/relationships/chart" Target="charts/chart5.xml"/><Relationship Id="rId39" Type="http://schemas.openxmlformats.org/officeDocument/2006/relationships/image" Target="media/image5.emf"/><Relationship Id="rId21" Type="http://schemas.openxmlformats.org/officeDocument/2006/relationships/image" Target="media/image4.emf"/><Relationship Id="rId34" Type="http://schemas.openxmlformats.org/officeDocument/2006/relationships/hyperlink" Target="https://insight.scotxed.net/Account/ChooseIdentityProvider?ReturnUrl=%2f" TargetMode="External"/><Relationship Id="rId42" Type="http://schemas.microsoft.com/office/2014/relationships/chartEx" Target="charts/chartEx1.xml"/><Relationship Id="rId47" Type="http://schemas.openxmlformats.org/officeDocument/2006/relationships/hyperlink" Target="https://insight.scotxed.net/Account/ChooseIdentityProvider?ReturnUrl=%2f" TargetMode="External"/><Relationship Id="rId50" Type="http://schemas.openxmlformats.org/officeDocument/2006/relationships/chart" Target="charts/chart17.xml"/><Relationship Id="rId55" Type="http://schemas.openxmlformats.org/officeDocument/2006/relationships/hyperlink" Target="https://insight.scotxed.net/Account/ChooseIdentityProvider?ReturnUrl=%2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8.xml"/><Relationship Id="rId11" Type="http://schemas.openxmlformats.org/officeDocument/2006/relationships/header" Target="header1.xml"/><Relationship Id="rId24" Type="http://schemas.openxmlformats.org/officeDocument/2006/relationships/chart" Target="charts/chart3.xml"/><Relationship Id="rId32" Type="http://schemas.openxmlformats.org/officeDocument/2006/relationships/hyperlink" Target="https://insight.scotxed.net/Account/ChooseIdentityProvider?ReturnUrl=%2f" TargetMode="External"/><Relationship Id="rId37" Type="http://schemas.openxmlformats.org/officeDocument/2006/relationships/chart" Target="charts/chart13.xml"/><Relationship Id="rId40" Type="http://schemas.openxmlformats.org/officeDocument/2006/relationships/image" Target="media/image6.png"/><Relationship Id="rId45" Type="http://schemas.openxmlformats.org/officeDocument/2006/relationships/hyperlink" Target="https://insight.scotxed.net/Account/ChooseIdentityProvider?ReturnUrl=%2f" TargetMode="External"/><Relationship Id="rId53" Type="http://schemas.openxmlformats.org/officeDocument/2006/relationships/hyperlink" Target="https://insight.scotxed.net/Account/ChooseIdentityProvider?ReturnUrl=%2f"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www.inverclyde.gov.uk/education-and-learning/education-services-in-inverclyde" TargetMode="External"/><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2.xml"/><Relationship Id="rId43" Type="http://schemas.openxmlformats.org/officeDocument/2006/relationships/image" Target="media/image60.png"/><Relationship Id="rId48" Type="http://schemas.openxmlformats.org/officeDocument/2006/relationships/chart" Target="charts/chart16.xml"/><Relationship Id="rId56" Type="http://schemas.openxmlformats.org/officeDocument/2006/relationships/chart" Target="charts/chart20.xml"/><Relationship Id="rId8" Type="http://schemas.openxmlformats.org/officeDocument/2006/relationships/image" Target="media/image1.jpeg"/><Relationship Id="rId51" Type="http://schemas.openxmlformats.org/officeDocument/2006/relationships/hyperlink" Target="https://insight.scotxed.net/Account/ChooseIdentityProvider?ReturnUrl=%2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education.gov.scot/parentzone/my-school/education-glossary/" TargetMode="External"/><Relationship Id="rId25" Type="http://schemas.openxmlformats.org/officeDocument/2006/relationships/chart" Target="charts/chart4.xml"/><Relationship Id="rId33" Type="http://schemas.openxmlformats.org/officeDocument/2006/relationships/chart" Target="charts/chart11.xml"/><Relationship Id="rId38" Type="http://schemas.openxmlformats.org/officeDocument/2006/relationships/hyperlink" Target="https://insight.scotxed.net/Account/ChooseIdentityProvider?ReturnUrl=%2f" TargetMode="External"/><Relationship Id="rId46" Type="http://schemas.openxmlformats.org/officeDocument/2006/relationships/chart" Target="charts/chart15.xml"/><Relationship Id="rId59" Type="http://schemas.openxmlformats.org/officeDocument/2006/relationships/footer" Target="footer3.xml"/><Relationship Id="rId20" Type="http://schemas.openxmlformats.org/officeDocument/2006/relationships/hyperlink" Target="https://www.inverclyde.gov.uk/education-and-learning/education-services-in-inverclyde" TargetMode="External"/><Relationship Id="rId41" Type="http://schemas.openxmlformats.org/officeDocument/2006/relationships/hyperlink" Target="https://insight.scotxed.net/Account/ChooseIdentityProvider?ReturnUrl=%2f" TargetMode="External"/><Relationship Id="rId54" Type="http://schemas.openxmlformats.org/officeDocument/2006/relationships/chart" Target="charts/chart1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yperlink" Target="https://insight.scotxed.net/Account/ChooseIdentityProvider?ReturnUrl=%2f" TargetMode="External"/><Relationship Id="rId49" Type="http://schemas.openxmlformats.org/officeDocument/2006/relationships/hyperlink" Target="https://insight.scotxed.net/Account/ChooseIdentityProvider?ReturnUrl=%2f" TargetMode="External"/><Relationship Id="rId57" Type="http://schemas.openxmlformats.org/officeDocument/2006/relationships/header" Target="header4.xml"/><Relationship Id="rId10" Type="http://schemas.openxmlformats.org/officeDocument/2006/relationships/image" Target="cid:image003.jpg@01CAB53A.01A4F940" TargetMode="External"/><Relationship Id="rId31" Type="http://schemas.openxmlformats.org/officeDocument/2006/relationships/chart" Target="charts/chart10.xml"/><Relationship Id="rId44" Type="http://schemas.openxmlformats.org/officeDocument/2006/relationships/chart" Target="charts/chart14.xml"/><Relationship Id="rId52" Type="http://schemas.openxmlformats.org/officeDocument/2006/relationships/chart" Target="charts/chart18.xm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5.xml"/><Relationship Id="rId1" Type="http://schemas.microsoft.com/office/2011/relationships/chartStyle" Target="style15.xml"/></Relationships>
</file>

<file path=word/charts/_rels/chart15.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6.xml"/><Relationship Id="rId1" Type="http://schemas.microsoft.com/office/2011/relationships/chartStyle" Target="style16.xml"/></Relationships>
</file>

<file path=word/charts/_rels/chart16.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7.xml"/><Relationship Id="rId1" Type="http://schemas.microsoft.com/office/2011/relationships/chartStyle" Target="style17.xml"/></Relationships>
</file>

<file path=word/charts/_rels/chart17.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8.xml"/><Relationship Id="rId1" Type="http://schemas.microsoft.com/office/2011/relationships/chartStyle" Target="style18.xml"/></Relationships>
</file>

<file path=word/charts/_rels/chart18.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19.xml"/><Relationship Id="rId1" Type="http://schemas.microsoft.com/office/2011/relationships/chartStyle" Target="style19.xml"/></Relationships>
</file>

<file path=word/charts/_rels/chart19.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20.xml"/><Relationship Id="rId1" Type="http://schemas.microsoft.com/office/2011/relationships/chartStyle" Target="style20.xml"/></Relationships>
</file>

<file path=word/charts/_rels/chart2.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cfiler\ECODPublic\Education\Attainment%20Challenge\Reporting\Education%20Standard%20and%20Quality\Charts%20for%20Document%202024-25_With%20Comments.xlsx"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icfiler\ECODPublic\Education\Attainment%20Challenge\Reporting\Education%20Standard%20and%20Quality\Charts%20for%20Document%202024-25_With%20Comm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ACEL S3 (Level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ACEL!$AD$25</c:f>
              <c:strCache>
                <c:ptCount val="1"/>
                <c:pt idx="0">
                  <c:v>2021-22</c:v>
                </c:pt>
              </c:strCache>
            </c:strRef>
          </c:tx>
          <c:spPr>
            <a:solidFill>
              <a:schemeClr val="accent3">
                <a:shade val="58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ACEL!$AB$26:$AC$29</c:f>
              <c:multiLvlStrCache>
                <c:ptCount val="4"/>
                <c:lvl>
                  <c:pt idx="0">
                    <c:v>Inverclyde</c:v>
                  </c:pt>
                  <c:pt idx="1">
                    <c:v>National</c:v>
                  </c:pt>
                  <c:pt idx="2">
                    <c:v>Inverclyde</c:v>
                  </c:pt>
                  <c:pt idx="3">
                    <c:v>National</c:v>
                  </c:pt>
                </c:lvl>
                <c:lvl>
                  <c:pt idx="0">
                    <c:v>Literacy</c:v>
                  </c:pt>
                  <c:pt idx="2">
                    <c:v>Numeracy</c:v>
                  </c:pt>
                </c:lvl>
              </c:multiLvlStrCache>
            </c:multiLvlStrRef>
          </c:cat>
          <c:val>
            <c:numRef>
              <c:f>ACEL!$AD$26:$AD$29</c:f>
              <c:numCache>
                <c:formatCode>General</c:formatCode>
                <c:ptCount val="4"/>
                <c:pt idx="0">
                  <c:v>89</c:v>
                </c:pt>
                <c:pt idx="1">
                  <c:v>86</c:v>
                </c:pt>
                <c:pt idx="2">
                  <c:v>88</c:v>
                </c:pt>
                <c:pt idx="3">
                  <c:v>89</c:v>
                </c:pt>
              </c:numCache>
            </c:numRef>
          </c:val>
          <c:extLst>
            <c:ext xmlns:c16="http://schemas.microsoft.com/office/drawing/2014/chart" uri="{C3380CC4-5D6E-409C-BE32-E72D297353CC}">
              <c16:uniqueId val="{00000000-CB95-4A49-8DDD-925D5AD42292}"/>
            </c:ext>
          </c:extLst>
        </c:ser>
        <c:ser>
          <c:idx val="1"/>
          <c:order val="1"/>
          <c:tx>
            <c:strRef>
              <c:f>ACEL!$AE$25</c:f>
              <c:strCache>
                <c:ptCount val="1"/>
                <c:pt idx="0">
                  <c:v>2022-23</c:v>
                </c:pt>
              </c:strCache>
            </c:strRef>
          </c:tx>
          <c:spPr>
            <a:solidFill>
              <a:schemeClr val="accent3">
                <a:shade val="8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ACEL!$AB$26:$AC$29</c:f>
              <c:multiLvlStrCache>
                <c:ptCount val="4"/>
                <c:lvl>
                  <c:pt idx="0">
                    <c:v>Inverclyde</c:v>
                  </c:pt>
                  <c:pt idx="1">
                    <c:v>National</c:v>
                  </c:pt>
                  <c:pt idx="2">
                    <c:v>Inverclyde</c:v>
                  </c:pt>
                  <c:pt idx="3">
                    <c:v>National</c:v>
                  </c:pt>
                </c:lvl>
                <c:lvl>
                  <c:pt idx="0">
                    <c:v>Literacy</c:v>
                  </c:pt>
                  <c:pt idx="2">
                    <c:v>Numeracy</c:v>
                  </c:pt>
                </c:lvl>
              </c:multiLvlStrCache>
            </c:multiLvlStrRef>
          </c:cat>
          <c:val>
            <c:numRef>
              <c:f>ACEL!$AE$26:$AE$29</c:f>
              <c:numCache>
                <c:formatCode>General</c:formatCode>
                <c:ptCount val="4"/>
                <c:pt idx="0">
                  <c:v>88</c:v>
                </c:pt>
                <c:pt idx="1">
                  <c:v>88</c:v>
                </c:pt>
                <c:pt idx="2">
                  <c:v>88</c:v>
                </c:pt>
                <c:pt idx="3">
                  <c:v>90</c:v>
                </c:pt>
              </c:numCache>
            </c:numRef>
          </c:val>
          <c:extLst>
            <c:ext xmlns:c16="http://schemas.microsoft.com/office/drawing/2014/chart" uri="{C3380CC4-5D6E-409C-BE32-E72D297353CC}">
              <c16:uniqueId val="{00000001-CB95-4A49-8DDD-925D5AD42292}"/>
            </c:ext>
          </c:extLst>
        </c:ser>
        <c:ser>
          <c:idx val="2"/>
          <c:order val="2"/>
          <c:tx>
            <c:strRef>
              <c:f>ACEL!$AF$25</c:f>
              <c:strCache>
                <c:ptCount val="1"/>
                <c:pt idx="0">
                  <c:v>2023-24</c:v>
                </c:pt>
              </c:strCache>
            </c:strRef>
          </c:tx>
          <c:spPr>
            <a:solidFill>
              <a:schemeClr val="accent3">
                <a:tint val="8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ACEL!$AB$26:$AC$29</c:f>
              <c:multiLvlStrCache>
                <c:ptCount val="4"/>
                <c:lvl>
                  <c:pt idx="0">
                    <c:v>Inverclyde</c:v>
                  </c:pt>
                  <c:pt idx="1">
                    <c:v>National</c:v>
                  </c:pt>
                  <c:pt idx="2">
                    <c:v>Inverclyde</c:v>
                  </c:pt>
                  <c:pt idx="3">
                    <c:v>National</c:v>
                  </c:pt>
                </c:lvl>
                <c:lvl>
                  <c:pt idx="0">
                    <c:v>Literacy</c:v>
                  </c:pt>
                  <c:pt idx="2">
                    <c:v>Numeracy</c:v>
                  </c:pt>
                </c:lvl>
              </c:multiLvlStrCache>
            </c:multiLvlStrRef>
          </c:cat>
          <c:val>
            <c:numRef>
              <c:f>ACEL!$AF$26:$AF$29</c:f>
              <c:numCache>
                <c:formatCode>General</c:formatCode>
                <c:ptCount val="4"/>
                <c:pt idx="0">
                  <c:v>90</c:v>
                </c:pt>
                <c:pt idx="1">
                  <c:v>88</c:v>
                </c:pt>
                <c:pt idx="2">
                  <c:v>90</c:v>
                </c:pt>
                <c:pt idx="3">
                  <c:v>90</c:v>
                </c:pt>
              </c:numCache>
            </c:numRef>
          </c:val>
          <c:extLst>
            <c:ext xmlns:c16="http://schemas.microsoft.com/office/drawing/2014/chart" uri="{C3380CC4-5D6E-409C-BE32-E72D297353CC}">
              <c16:uniqueId val="{00000002-CB95-4A49-8DDD-925D5AD42292}"/>
            </c:ext>
          </c:extLst>
        </c:ser>
        <c:ser>
          <c:idx val="3"/>
          <c:order val="3"/>
          <c:tx>
            <c:strRef>
              <c:f>ACEL!$AG$25</c:f>
              <c:strCache>
                <c:ptCount val="1"/>
                <c:pt idx="0">
                  <c:v>2024-25</c:v>
                </c:pt>
              </c:strCache>
            </c:strRef>
          </c:tx>
          <c:spPr>
            <a:solidFill>
              <a:schemeClr val="accent3">
                <a:tint val="58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ACEL!$AB$26:$AC$29</c:f>
              <c:multiLvlStrCache>
                <c:ptCount val="4"/>
                <c:lvl>
                  <c:pt idx="0">
                    <c:v>Inverclyde</c:v>
                  </c:pt>
                  <c:pt idx="1">
                    <c:v>National</c:v>
                  </c:pt>
                  <c:pt idx="2">
                    <c:v>Inverclyde</c:v>
                  </c:pt>
                  <c:pt idx="3">
                    <c:v>National</c:v>
                  </c:pt>
                </c:lvl>
                <c:lvl>
                  <c:pt idx="0">
                    <c:v>Literacy</c:v>
                  </c:pt>
                  <c:pt idx="2">
                    <c:v>Numeracy</c:v>
                  </c:pt>
                </c:lvl>
              </c:multiLvlStrCache>
            </c:multiLvlStrRef>
          </c:cat>
          <c:val>
            <c:numRef>
              <c:f>ACEL!$AG$26:$AG$29</c:f>
              <c:numCache>
                <c:formatCode>General</c:formatCode>
                <c:ptCount val="4"/>
                <c:pt idx="0">
                  <c:v>92</c:v>
                </c:pt>
                <c:pt idx="1">
                  <c:v>90</c:v>
                </c:pt>
                <c:pt idx="2">
                  <c:v>92</c:v>
                </c:pt>
                <c:pt idx="3">
                  <c:v>91</c:v>
                </c:pt>
              </c:numCache>
            </c:numRef>
          </c:val>
          <c:extLst>
            <c:ext xmlns:c16="http://schemas.microsoft.com/office/drawing/2014/chart" uri="{C3380CC4-5D6E-409C-BE32-E72D297353CC}">
              <c16:uniqueId val="{00000003-CB95-4A49-8DDD-925D5AD42292}"/>
            </c:ext>
          </c:extLst>
        </c:ser>
        <c:dLbls>
          <c:dLblPos val="ctr"/>
          <c:showLegendKey val="0"/>
          <c:showVal val="1"/>
          <c:showCatName val="0"/>
          <c:showSerName val="0"/>
          <c:showPercent val="0"/>
          <c:showBubbleSize val="0"/>
        </c:dLbls>
        <c:gapWidth val="219"/>
        <c:overlap val="-27"/>
        <c:axId val="1358267040"/>
        <c:axId val="1358280480"/>
      </c:barChart>
      <c:catAx>
        <c:axId val="135826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280480"/>
        <c:crosses val="autoZero"/>
        <c:auto val="1"/>
        <c:lblAlgn val="ctr"/>
        <c:lblOffset val="100"/>
        <c:noMultiLvlLbl val="0"/>
      </c:catAx>
      <c:valAx>
        <c:axId val="1358280480"/>
        <c:scaling>
          <c:orientation val="minMax"/>
        </c:scaling>
        <c:delete val="1"/>
        <c:axPos val="l"/>
        <c:numFmt formatCode="General" sourceLinked="1"/>
        <c:majorTickMark val="none"/>
        <c:minorTickMark val="none"/>
        <c:tickLblPos val="nextTo"/>
        <c:crossAx val="135826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'L&amp;N (leavers)'!$C$8</c:f>
              <c:strCache>
                <c:ptCount val="1"/>
                <c:pt idx="0">
                  <c:v>2020</c:v>
                </c:pt>
              </c:strCache>
            </c:strRef>
          </c:tx>
          <c:spPr>
            <a:solidFill>
              <a:schemeClr val="accent1">
                <a:shade val="53000"/>
              </a:scheme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(leavers)'!$A$9:$B$9,'L&amp;N (leavers)'!$A$11:$B$12,'L&amp;N (leavers)'!$A$14:$B$14)</c:f>
              <c:multiLvlStrCache>
                <c:ptCount val="4"/>
                <c:lvl>
                  <c:pt idx="0">
                    <c:v>INV</c:v>
                  </c:pt>
                  <c:pt idx="1">
                    <c:v>NAT</c:v>
                  </c:pt>
                  <c:pt idx="2">
                    <c:v>INV</c:v>
                  </c:pt>
                  <c:pt idx="3">
                    <c:v>NAT</c:v>
                  </c:pt>
                </c:lvl>
                <c:lvl>
                  <c:pt idx="0">
                    <c:v>% Level 4 Literacy and Numeracy</c:v>
                  </c:pt>
                  <c:pt idx="2">
                    <c:v>% Level 5 Literacy and Numeracy</c:v>
                  </c:pt>
                </c:lvl>
              </c:multiLvlStrCache>
              <c:extLst/>
            </c:multiLvlStrRef>
          </c:cat>
          <c:val>
            <c:numRef>
              <c:f>('L&amp;N (leavers)'!$C$9,'L&amp;N (leavers)'!$C$11:$C$12,'L&amp;N (leavers)'!$C$14)</c:f>
              <c:numCache>
                <c:formatCode>General</c:formatCode>
                <c:ptCount val="4"/>
                <c:pt idx="0">
                  <c:v>93.9</c:v>
                </c:pt>
                <c:pt idx="1">
                  <c:v>90.23</c:v>
                </c:pt>
                <c:pt idx="2">
                  <c:v>75.34</c:v>
                </c:pt>
                <c:pt idx="3">
                  <c:v>70.55</c:v>
                </c:pt>
              </c:numCache>
              <c:extLst/>
            </c:numRef>
          </c:val>
          <c:extLst>
            <c:ext xmlns:c16="http://schemas.microsoft.com/office/drawing/2014/chart" uri="{C3380CC4-5D6E-409C-BE32-E72D297353CC}">
              <c16:uniqueId val="{00000000-9C43-4466-AF72-E6C3F0E7D6B0}"/>
            </c:ext>
          </c:extLst>
        </c:ser>
        <c:ser>
          <c:idx val="1"/>
          <c:order val="1"/>
          <c:tx>
            <c:strRef>
              <c:f>'L&amp;N (leavers)'!$D$8</c:f>
              <c:strCache>
                <c:ptCount val="1"/>
                <c:pt idx="0">
                  <c:v>2021</c:v>
                </c:pt>
              </c:strCache>
            </c:strRef>
          </c:tx>
          <c:spPr>
            <a:solidFill>
              <a:schemeClr val="accent1">
                <a:shade val="76000"/>
              </a:scheme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(leavers)'!$A$9:$B$9,'L&amp;N (leavers)'!$A$11:$B$12,'L&amp;N (leavers)'!$A$14:$B$14)</c:f>
              <c:multiLvlStrCache>
                <c:ptCount val="4"/>
                <c:lvl>
                  <c:pt idx="0">
                    <c:v>INV</c:v>
                  </c:pt>
                  <c:pt idx="1">
                    <c:v>NAT</c:v>
                  </c:pt>
                  <c:pt idx="2">
                    <c:v>INV</c:v>
                  </c:pt>
                  <c:pt idx="3">
                    <c:v>NAT</c:v>
                  </c:pt>
                </c:lvl>
                <c:lvl>
                  <c:pt idx="0">
                    <c:v>% Level 4 Literacy and Numeracy</c:v>
                  </c:pt>
                  <c:pt idx="2">
                    <c:v>% Level 5 Literacy and Numeracy</c:v>
                  </c:pt>
                </c:lvl>
              </c:multiLvlStrCache>
              <c:extLst/>
            </c:multiLvlStrRef>
          </c:cat>
          <c:val>
            <c:numRef>
              <c:f>('L&amp;N (leavers)'!$D$9,'L&amp;N (leavers)'!$D$11:$D$12,'L&amp;N (leavers)'!$D$14)</c:f>
              <c:numCache>
                <c:formatCode>General</c:formatCode>
                <c:ptCount val="4"/>
                <c:pt idx="0">
                  <c:v>92.22</c:v>
                </c:pt>
                <c:pt idx="1">
                  <c:v>89.7</c:v>
                </c:pt>
                <c:pt idx="2">
                  <c:v>73.53</c:v>
                </c:pt>
                <c:pt idx="3">
                  <c:v>68.180000000000007</c:v>
                </c:pt>
              </c:numCache>
              <c:extLst/>
            </c:numRef>
          </c:val>
          <c:extLst>
            <c:ext xmlns:c16="http://schemas.microsoft.com/office/drawing/2014/chart" uri="{C3380CC4-5D6E-409C-BE32-E72D297353CC}">
              <c16:uniqueId val="{00000001-9C43-4466-AF72-E6C3F0E7D6B0}"/>
            </c:ext>
          </c:extLst>
        </c:ser>
        <c:ser>
          <c:idx val="2"/>
          <c:order val="2"/>
          <c:tx>
            <c:strRef>
              <c:f>'L&amp;N (leavers)'!$E$8</c:f>
              <c:strCache>
                <c:ptCount val="1"/>
                <c:pt idx="0">
                  <c:v>2022</c:v>
                </c:pt>
              </c:strCache>
            </c:strRef>
          </c:tx>
          <c:spPr>
            <a:solidFill>
              <a:schemeClr val="accent1"/>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(leavers)'!$A$9:$B$9,'L&amp;N (leavers)'!$A$11:$B$12,'L&amp;N (leavers)'!$A$14:$B$14)</c:f>
              <c:multiLvlStrCache>
                <c:ptCount val="4"/>
                <c:lvl>
                  <c:pt idx="0">
                    <c:v>INV</c:v>
                  </c:pt>
                  <c:pt idx="1">
                    <c:v>NAT</c:v>
                  </c:pt>
                  <c:pt idx="2">
                    <c:v>INV</c:v>
                  </c:pt>
                  <c:pt idx="3">
                    <c:v>NAT</c:v>
                  </c:pt>
                </c:lvl>
                <c:lvl>
                  <c:pt idx="0">
                    <c:v>% Level 4 Literacy and Numeracy</c:v>
                  </c:pt>
                  <c:pt idx="2">
                    <c:v>% Level 5 Literacy and Numeracy</c:v>
                  </c:pt>
                </c:lvl>
              </c:multiLvlStrCache>
              <c:extLst/>
            </c:multiLvlStrRef>
          </c:cat>
          <c:val>
            <c:numRef>
              <c:f>('L&amp;N (leavers)'!$E$9,'L&amp;N (leavers)'!$E$11:$E$12,'L&amp;N (leavers)'!$E$14)</c:f>
              <c:numCache>
                <c:formatCode>General</c:formatCode>
                <c:ptCount val="4"/>
                <c:pt idx="0">
                  <c:v>92.17</c:v>
                </c:pt>
                <c:pt idx="1">
                  <c:v>89.16</c:v>
                </c:pt>
                <c:pt idx="2">
                  <c:v>71.180000000000007</c:v>
                </c:pt>
                <c:pt idx="3">
                  <c:v>68.02</c:v>
                </c:pt>
              </c:numCache>
              <c:extLst/>
            </c:numRef>
          </c:val>
          <c:extLst>
            <c:ext xmlns:c16="http://schemas.microsoft.com/office/drawing/2014/chart" uri="{C3380CC4-5D6E-409C-BE32-E72D297353CC}">
              <c16:uniqueId val="{00000002-9C43-4466-AF72-E6C3F0E7D6B0}"/>
            </c:ext>
          </c:extLst>
        </c:ser>
        <c:ser>
          <c:idx val="3"/>
          <c:order val="3"/>
          <c:tx>
            <c:strRef>
              <c:f>'L&amp;N (leavers)'!$F$8</c:f>
              <c:strCache>
                <c:ptCount val="1"/>
                <c:pt idx="0">
                  <c:v>2023</c:v>
                </c:pt>
              </c:strCache>
            </c:strRef>
          </c:tx>
          <c:spPr>
            <a:solidFill>
              <a:schemeClr val="accent1">
                <a:tint val="77000"/>
              </a:scheme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(leavers)'!$A$9:$B$9,'L&amp;N (leavers)'!$A$11:$B$12,'L&amp;N (leavers)'!$A$14:$B$14)</c:f>
              <c:multiLvlStrCache>
                <c:ptCount val="4"/>
                <c:lvl>
                  <c:pt idx="0">
                    <c:v>INV</c:v>
                  </c:pt>
                  <c:pt idx="1">
                    <c:v>NAT</c:v>
                  </c:pt>
                  <c:pt idx="2">
                    <c:v>INV</c:v>
                  </c:pt>
                  <c:pt idx="3">
                    <c:v>NAT</c:v>
                  </c:pt>
                </c:lvl>
                <c:lvl>
                  <c:pt idx="0">
                    <c:v>% Level 4 Literacy and Numeracy</c:v>
                  </c:pt>
                  <c:pt idx="2">
                    <c:v>% Level 5 Literacy and Numeracy</c:v>
                  </c:pt>
                </c:lvl>
              </c:multiLvlStrCache>
              <c:extLst/>
            </c:multiLvlStrRef>
          </c:cat>
          <c:val>
            <c:numRef>
              <c:f>('L&amp;N (leavers)'!$F$9,'L&amp;N (leavers)'!$F$11:$F$12,'L&amp;N (leavers)'!$F$14)</c:f>
              <c:numCache>
                <c:formatCode>General</c:formatCode>
                <c:ptCount val="4"/>
                <c:pt idx="0">
                  <c:v>92.1</c:v>
                </c:pt>
                <c:pt idx="1">
                  <c:v>88.57</c:v>
                </c:pt>
                <c:pt idx="2">
                  <c:v>74.39</c:v>
                </c:pt>
                <c:pt idx="3">
                  <c:v>69.05</c:v>
                </c:pt>
              </c:numCache>
              <c:extLst/>
            </c:numRef>
          </c:val>
          <c:extLst>
            <c:ext xmlns:c16="http://schemas.microsoft.com/office/drawing/2014/chart" uri="{C3380CC4-5D6E-409C-BE32-E72D297353CC}">
              <c16:uniqueId val="{00000003-9C43-4466-AF72-E6C3F0E7D6B0}"/>
            </c:ext>
          </c:extLst>
        </c:ser>
        <c:ser>
          <c:idx val="4"/>
          <c:order val="4"/>
          <c:tx>
            <c:strRef>
              <c:f>'L&amp;N (leavers)'!$G$8</c:f>
              <c:strCache>
                <c:ptCount val="1"/>
                <c:pt idx="0">
                  <c:v>2025</c:v>
                </c:pt>
              </c:strCache>
            </c:strRef>
          </c:tx>
          <c:spPr>
            <a:solidFill>
              <a:schemeClr val="accent1">
                <a:tint val="54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(leavers)'!$A$9:$B$9,'L&amp;N (leavers)'!$A$11:$B$12,'L&amp;N (leavers)'!$A$14:$B$14)</c:f>
              <c:multiLvlStrCache>
                <c:ptCount val="4"/>
                <c:lvl>
                  <c:pt idx="0">
                    <c:v>INV</c:v>
                  </c:pt>
                  <c:pt idx="1">
                    <c:v>NAT</c:v>
                  </c:pt>
                  <c:pt idx="2">
                    <c:v>INV</c:v>
                  </c:pt>
                  <c:pt idx="3">
                    <c:v>NAT</c:v>
                  </c:pt>
                </c:lvl>
                <c:lvl>
                  <c:pt idx="0">
                    <c:v>% Level 4 Literacy and Numeracy</c:v>
                  </c:pt>
                  <c:pt idx="2">
                    <c:v>% Level 5 Literacy and Numeracy</c:v>
                  </c:pt>
                </c:lvl>
              </c:multiLvlStrCache>
              <c:extLst/>
            </c:multiLvlStrRef>
          </c:cat>
          <c:val>
            <c:numRef>
              <c:f>('L&amp;N (leavers)'!$G$9,'L&amp;N (leavers)'!$G$11:$G$12,'L&amp;N (leavers)'!$G$14)</c:f>
              <c:numCache>
                <c:formatCode>General</c:formatCode>
                <c:ptCount val="4"/>
                <c:pt idx="0">
                  <c:v>91.17</c:v>
                </c:pt>
                <c:pt idx="1">
                  <c:v>88.86</c:v>
                </c:pt>
                <c:pt idx="2">
                  <c:v>75.5</c:v>
                </c:pt>
                <c:pt idx="3">
                  <c:v>70.45</c:v>
                </c:pt>
              </c:numCache>
              <c:extLst/>
            </c:numRef>
          </c:val>
          <c:extLst>
            <c:ext xmlns:c16="http://schemas.microsoft.com/office/drawing/2014/chart" uri="{C3380CC4-5D6E-409C-BE32-E72D297353CC}">
              <c16:uniqueId val="{00000004-9C43-4466-AF72-E6C3F0E7D6B0}"/>
            </c:ext>
          </c:extLst>
        </c:ser>
        <c:dLbls>
          <c:dLblPos val="ctr"/>
          <c:showLegendKey val="0"/>
          <c:showVal val="1"/>
          <c:showCatName val="0"/>
          <c:showSerName val="0"/>
          <c:showPercent val="0"/>
          <c:showBubbleSize val="0"/>
        </c:dLbls>
        <c:gapWidth val="219"/>
        <c:axId val="1677048688"/>
        <c:axId val="1677061744"/>
      </c:barChart>
      <c:catAx>
        <c:axId val="167704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061744"/>
        <c:crosses val="autoZero"/>
        <c:auto val="1"/>
        <c:lblAlgn val="ctr"/>
        <c:lblOffset val="100"/>
        <c:noMultiLvlLbl val="0"/>
      </c:catAx>
      <c:valAx>
        <c:axId val="1677061744"/>
        <c:scaling>
          <c:orientation val="minMax"/>
          <c:min val="4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04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'L&amp;N (leavers)'!$C$45</c:f>
              <c:strCache>
                <c:ptCount val="1"/>
                <c:pt idx="0">
                  <c:v>2020</c:v>
                </c:pt>
              </c:strCache>
            </c:strRef>
          </c:tx>
          <c:spPr>
            <a:solidFill>
              <a:schemeClr val="accent1">
                <a:shade val="53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(leavers)'!$A$46:$B$46,'L&amp;N (leavers)'!$A$48:$B$49,'L&amp;N (leavers)'!$A$51:$B$51)</c:f>
              <c:multiLvlStrCache>
                <c:ptCount val="4"/>
                <c:lvl>
                  <c:pt idx="0">
                    <c:v>INV</c:v>
                  </c:pt>
                  <c:pt idx="1">
                    <c:v>NAT</c:v>
                  </c:pt>
                  <c:pt idx="2">
                    <c:v>INV</c:v>
                  </c:pt>
                  <c:pt idx="3">
                    <c:v>NAT</c:v>
                  </c:pt>
                </c:lvl>
                <c:lvl>
                  <c:pt idx="0">
                    <c:v>% Level 4 Literacy</c:v>
                  </c:pt>
                  <c:pt idx="2">
                    <c:v>% Level 5 Literacy</c:v>
                  </c:pt>
                </c:lvl>
              </c:multiLvlStrCache>
              <c:extLst/>
            </c:multiLvlStrRef>
          </c:cat>
          <c:val>
            <c:numRef>
              <c:f>('L&amp;N (leavers)'!$C$46,'L&amp;N (leavers)'!$C$48:$C$49,'L&amp;N (leavers)'!$C$51)</c:f>
              <c:numCache>
                <c:formatCode>General</c:formatCode>
                <c:ptCount val="4"/>
                <c:pt idx="0">
                  <c:v>97.29</c:v>
                </c:pt>
                <c:pt idx="1">
                  <c:v>94.77</c:v>
                </c:pt>
                <c:pt idx="2">
                  <c:v>89.16</c:v>
                </c:pt>
                <c:pt idx="3">
                  <c:v>83.43</c:v>
                </c:pt>
              </c:numCache>
              <c:extLst/>
            </c:numRef>
          </c:val>
          <c:extLst>
            <c:ext xmlns:c16="http://schemas.microsoft.com/office/drawing/2014/chart" uri="{C3380CC4-5D6E-409C-BE32-E72D297353CC}">
              <c16:uniqueId val="{00000000-287B-43AD-AD59-FB21109DE594}"/>
            </c:ext>
          </c:extLst>
        </c:ser>
        <c:ser>
          <c:idx val="1"/>
          <c:order val="1"/>
          <c:tx>
            <c:strRef>
              <c:f>'L&amp;N (leavers)'!$D$45</c:f>
              <c:strCache>
                <c:ptCount val="1"/>
                <c:pt idx="0">
                  <c:v>2021</c:v>
                </c:pt>
              </c:strCache>
            </c:strRef>
          </c:tx>
          <c:spPr>
            <a:solidFill>
              <a:schemeClr val="accent1">
                <a:shade val="7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(leavers)'!$A$46:$B$46,'L&amp;N (leavers)'!$A$48:$B$49,'L&amp;N (leavers)'!$A$51:$B$51)</c:f>
              <c:multiLvlStrCache>
                <c:ptCount val="4"/>
                <c:lvl>
                  <c:pt idx="0">
                    <c:v>INV</c:v>
                  </c:pt>
                  <c:pt idx="1">
                    <c:v>NAT</c:v>
                  </c:pt>
                  <c:pt idx="2">
                    <c:v>INV</c:v>
                  </c:pt>
                  <c:pt idx="3">
                    <c:v>NAT</c:v>
                  </c:pt>
                </c:lvl>
                <c:lvl>
                  <c:pt idx="0">
                    <c:v>% Level 4 Literacy</c:v>
                  </c:pt>
                  <c:pt idx="2">
                    <c:v>% Level 5 Literacy</c:v>
                  </c:pt>
                </c:lvl>
              </c:multiLvlStrCache>
              <c:extLst/>
            </c:multiLvlStrRef>
          </c:cat>
          <c:val>
            <c:numRef>
              <c:f>('L&amp;N (leavers)'!$D$46,'L&amp;N (leavers)'!$D$48:$D$49,'L&amp;N (leavers)'!$D$51)</c:f>
              <c:numCache>
                <c:formatCode>General</c:formatCode>
                <c:ptCount val="4"/>
                <c:pt idx="0">
                  <c:v>97.01</c:v>
                </c:pt>
                <c:pt idx="1">
                  <c:v>94.63</c:v>
                </c:pt>
                <c:pt idx="2">
                  <c:v>86.23</c:v>
                </c:pt>
                <c:pt idx="3">
                  <c:v>82.03</c:v>
                </c:pt>
              </c:numCache>
              <c:extLst/>
            </c:numRef>
          </c:val>
          <c:extLst>
            <c:ext xmlns:c16="http://schemas.microsoft.com/office/drawing/2014/chart" uri="{C3380CC4-5D6E-409C-BE32-E72D297353CC}">
              <c16:uniqueId val="{00000001-287B-43AD-AD59-FB21109DE594}"/>
            </c:ext>
          </c:extLst>
        </c:ser>
        <c:ser>
          <c:idx val="2"/>
          <c:order val="2"/>
          <c:tx>
            <c:strRef>
              <c:f>'L&amp;N (leavers)'!$E$45</c:f>
              <c:strCache>
                <c:ptCount val="1"/>
                <c:pt idx="0">
                  <c:v>2022</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(leavers)'!$A$46:$B$46,'L&amp;N (leavers)'!$A$48:$B$49,'L&amp;N (leavers)'!$A$51:$B$51)</c:f>
              <c:multiLvlStrCache>
                <c:ptCount val="4"/>
                <c:lvl>
                  <c:pt idx="0">
                    <c:v>INV</c:v>
                  </c:pt>
                  <c:pt idx="1">
                    <c:v>NAT</c:v>
                  </c:pt>
                  <c:pt idx="2">
                    <c:v>INV</c:v>
                  </c:pt>
                  <c:pt idx="3">
                    <c:v>NAT</c:v>
                  </c:pt>
                </c:lvl>
                <c:lvl>
                  <c:pt idx="0">
                    <c:v>% Level 4 Literacy</c:v>
                  </c:pt>
                  <c:pt idx="2">
                    <c:v>% Level 5 Literacy</c:v>
                  </c:pt>
                </c:lvl>
              </c:multiLvlStrCache>
              <c:extLst/>
            </c:multiLvlStrRef>
          </c:cat>
          <c:val>
            <c:numRef>
              <c:f>('L&amp;N (leavers)'!$E$46,'L&amp;N (leavers)'!$E$48:$E$49,'L&amp;N (leavers)'!$E$51)</c:f>
              <c:numCache>
                <c:formatCode>General</c:formatCode>
                <c:ptCount val="4"/>
                <c:pt idx="0">
                  <c:v>96.65</c:v>
                </c:pt>
                <c:pt idx="1">
                  <c:v>94.12</c:v>
                </c:pt>
                <c:pt idx="2">
                  <c:v>84.1</c:v>
                </c:pt>
                <c:pt idx="3">
                  <c:v>81.48</c:v>
                </c:pt>
              </c:numCache>
              <c:extLst/>
            </c:numRef>
          </c:val>
          <c:extLst>
            <c:ext xmlns:c16="http://schemas.microsoft.com/office/drawing/2014/chart" uri="{C3380CC4-5D6E-409C-BE32-E72D297353CC}">
              <c16:uniqueId val="{00000002-287B-43AD-AD59-FB21109DE594}"/>
            </c:ext>
          </c:extLst>
        </c:ser>
        <c:ser>
          <c:idx val="3"/>
          <c:order val="3"/>
          <c:tx>
            <c:strRef>
              <c:f>'L&amp;N (leavers)'!$F$45</c:f>
              <c:strCache>
                <c:ptCount val="1"/>
                <c:pt idx="0">
                  <c:v>2023</c:v>
                </c:pt>
              </c:strCache>
            </c:strRef>
          </c:tx>
          <c:spPr>
            <a:solidFill>
              <a:schemeClr val="accent1">
                <a:tint val="77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(leavers)'!$A$46:$B$46,'L&amp;N (leavers)'!$A$48:$B$49,'L&amp;N (leavers)'!$A$51:$B$51)</c:f>
              <c:multiLvlStrCache>
                <c:ptCount val="4"/>
                <c:lvl>
                  <c:pt idx="0">
                    <c:v>INV</c:v>
                  </c:pt>
                  <c:pt idx="1">
                    <c:v>NAT</c:v>
                  </c:pt>
                  <c:pt idx="2">
                    <c:v>INV</c:v>
                  </c:pt>
                  <c:pt idx="3">
                    <c:v>NAT</c:v>
                  </c:pt>
                </c:lvl>
                <c:lvl>
                  <c:pt idx="0">
                    <c:v>% Level 4 Literacy</c:v>
                  </c:pt>
                  <c:pt idx="2">
                    <c:v>% Level 5 Literacy</c:v>
                  </c:pt>
                </c:lvl>
              </c:multiLvlStrCache>
              <c:extLst/>
            </c:multiLvlStrRef>
          </c:cat>
          <c:val>
            <c:numRef>
              <c:f>('L&amp;N (leavers)'!$F$46,'L&amp;N (leavers)'!$F$48:$F$49,'L&amp;N (leavers)'!$F$51)</c:f>
              <c:numCache>
                <c:formatCode>General</c:formatCode>
                <c:ptCount val="4"/>
                <c:pt idx="0">
                  <c:v>97.28</c:v>
                </c:pt>
                <c:pt idx="1">
                  <c:v>93.44</c:v>
                </c:pt>
                <c:pt idx="2">
                  <c:v>84.06</c:v>
                </c:pt>
                <c:pt idx="3">
                  <c:v>81.36</c:v>
                </c:pt>
              </c:numCache>
              <c:extLst/>
            </c:numRef>
          </c:val>
          <c:extLst>
            <c:ext xmlns:c16="http://schemas.microsoft.com/office/drawing/2014/chart" uri="{C3380CC4-5D6E-409C-BE32-E72D297353CC}">
              <c16:uniqueId val="{00000003-287B-43AD-AD59-FB21109DE594}"/>
            </c:ext>
          </c:extLst>
        </c:ser>
        <c:ser>
          <c:idx val="4"/>
          <c:order val="4"/>
          <c:tx>
            <c:strRef>
              <c:f>'L&amp;N (leavers)'!$G$45</c:f>
              <c:strCache>
                <c:ptCount val="1"/>
                <c:pt idx="0">
                  <c:v>2025</c:v>
                </c:pt>
              </c:strCache>
            </c:strRef>
          </c:tx>
          <c:spPr>
            <a:solidFill>
              <a:schemeClr val="accent1">
                <a:tint val="54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(leavers)'!$A$46:$B$46,'L&amp;N (leavers)'!$A$48:$B$49,'L&amp;N (leavers)'!$A$51:$B$51)</c:f>
              <c:multiLvlStrCache>
                <c:ptCount val="4"/>
                <c:lvl>
                  <c:pt idx="0">
                    <c:v>INV</c:v>
                  </c:pt>
                  <c:pt idx="1">
                    <c:v>NAT</c:v>
                  </c:pt>
                  <c:pt idx="2">
                    <c:v>INV</c:v>
                  </c:pt>
                  <c:pt idx="3">
                    <c:v>NAT</c:v>
                  </c:pt>
                </c:lvl>
                <c:lvl>
                  <c:pt idx="0">
                    <c:v>% Level 4 Literacy</c:v>
                  </c:pt>
                  <c:pt idx="2">
                    <c:v>% Level 5 Literacy</c:v>
                  </c:pt>
                </c:lvl>
              </c:multiLvlStrCache>
              <c:extLst/>
            </c:multiLvlStrRef>
          </c:cat>
          <c:val>
            <c:numRef>
              <c:f>('L&amp;N (leavers)'!$G$46,'L&amp;N (leavers)'!$G$48:$G$49,'L&amp;N (leavers)'!$G$51)</c:f>
              <c:numCache>
                <c:formatCode>General</c:formatCode>
                <c:ptCount val="4"/>
                <c:pt idx="0">
                  <c:v>95.27</c:v>
                </c:pt>
                <c:pt idx="1">
                  <c:v>93.14</c:v>
                </c:pt>
                <c:pt idx="2">
                  <c:v>85.57</c:v>
                </c:pt>
                <c:pt idx="3">
                  <c:v>81.900000000000006</c:v>
                </c:pt>
              </c:numCache>
              <c:extLst/>
            </c:numRef>
          </c:val>
          <c:extLst>
            <c:ext xmlns:c16="http://schemas.microsoft.com/office/drawing/2014/chart" uri="{C3380CC4-5D6E-409C-BE32-E72D297353CC}">
              <c16:uniqueId val="{00000004-287B-43AD-AD59-FB21109DE594}"/>
            </c:ext>
          </c:extLst>
        </c:ser>
        <c:dLbls>
          <c:dLblPos val="ctr"/>
          <c:showLegendKey val="0"/>
          <c:showVal val="1"/>
          <c:showCatName val="0"/>
          <c:showSerName val="0"/>
          <c:showPercent val="0"/>
          <c:showBubbleSize val="0"/>
        </c:dLbls>
        <c:gapWidth val="219"/>
        <c:overlap val="-27"/>
        <c:axId val="903740464"/>
        <c:axId val="903751504"/>
      </c:barChart>
      <c:catAx>
        <c:axId val="90374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51504"/>
        <c:crosses val="autoZero"/>
        <c:auto val="1"/>
        <c:lblAlgn val="ctr"/>
        <c:lblOffset val="100"/>
        <c:noMultiLvlLbl val="0"/>
      </c:catAx>
      <c:valAx>
        <c:axId val="903751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4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'L&amp;N (leavers)'!$C$62</c:f>
              <c:strCache>
                <c:ptCount val="1"/>
                <c:pt idx="0">
                  <c:v>2020</c:v>
                </c:pt>
              </c:strCache>
            </c:strRef>
          </c:tx>
          <c:spPr>
            <a:solidFill>
              <a:schemeClr val="accent1">
                <a:shade val="53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(leavers)'!$A$63:$B$63,'L&amp;N (leavers)'!$A$65:$B$66,'L&amp;N (leavers)'!$A$68:$B$68)</c:f>
              <c:multiLvlStrCache>
                <c:ptCount val="4"/>
                <c:lvl>
                  <c:pt idx="0">
                    <c:v>INV</c:v>
                  </c:pt>
                  <c:pt idx="1">
                    <c:v>NAT</c:v>
                  </c:pt>
                  <c:pt idx="2">
                    <c:v>INV</c:v>
                  </c:pt>
                  <c:pt idx="3">
                    <c:v>NAT</c:v>
                  </c:pt>
                </c:lvl>
                <c:lvl>
                  <c:pt idx="0">
                    <c:v>% Level 4 Numeracy</c:v>
                  </c:pt>
                  <c:pt idx="2">
                    <c:v>% Level 5 Numeracy</c:v>
                  </c:pt>
                </c:lvl>
              </c:multiLvlStrCache>
              <c:extLst/>
            </c:multiLvlStrRef>
          </c:cat>
          <c:val>
            <c:numRef>
              <c:f>('L&amp;N (leavers)'!$C$63,'L&amp;N (leavers)'!$C$65:$C$66,'L&amp;N (leavers)'!$C$68)</c:f>
              <c:numCache>
                <c:formatCode>General</c:formatCode>
                <c:ptCount val="4"/>
                <c:pt idx="0">
                  <c:v>94.99</c:v>
                </c:pt>
                <c:pt idx="1">
                  <c:v>91.73</c:v>
                </c:pt>
                <c:pt idx="2">
                  <c:v>75.75</c:v>
                </c:pt>
                <c:pt idx="3">
                  <c:v>72.739999999999995</c:v>
                </c:pt>
              </c:numCache>
              <c:extLst/>
            </c:numRef>
          </c:val>
          <c:extLst>
            <c:ext xmlns:c16="http://schemas.microsoft.com/office/drawing/2014/chart" uri="{C3380CC4-5D6E-409C-BE32-E72D297353CC}">
              <c16:uniqueId val="{00000000-2294-4BDB-AEDE-60BE0C202CA5}"/>
            </c:ext>
          </c:extLst>
        </c:ser>
        <c:ser>
          <c:idx val="1"/>
          <c:order val="1"/>
          <c:tx>
            <c:strRef>
              <c:f>'L&amp;N (leavers)'!$D$62</c:f>
              <c:strCache>
                <c:ptCount val="1"/>
                <c:pt idx="0">
                  <c:v>2021</c:v>
                </c:pt>
              </c:strCache>
            </c:strRef>
          </c:tx>
          <c:spPr>
            <a:solidFill>
              <a:schemeClr val="accent1">
                <a:shade val="76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(leavers)'!$A$63:$B$63,'L&amp;N (leavers)'!$A$65:$B$66,'L&amp;N (leavers)'!$A$68:$B$68)</c:f>
              <c:multiLvlStrCache>
                <c:ptCount val="4"/>
                <c:lvl>
                  <c:pt idx="0">
                    <c:v>INV</c:v>
                  </c:pt>
                  <c:pt idx="1">
                    <c:v>NAT</c:v>
                  </c:pt>
                  <c:pt idx="2">
                    <c:v>INV</c:v>
                  </c:pt>
                  <c:pt idx="3">
                    <c:v>NAT</c:v>
                  </c:pt>
                </c:lvl>
                <c:lvl>
                  <c:pt idx="0">
                    <c:v>% Level 4 Numeracy</c:v>
                  </c:pt>
                  <c:pt idx="2">
                    <c:v>% Level 5 Numeracy</c:v>
                  </c:pt>
                </c:lvl>
              </c:multiLvlStrCache>
              <c:extLst/>
            </c:multiLvlStrRef>
          </c:cat>
          <c:val>
            <c:numRef>
              <c:f>('L&amp;N (leavers)'!$D$63,'L&amp;N (leavers)'!$D$65:$D$66,'L&amp;N (leavers)'!$D$68)</c:f>
              <c:numCache>
                <c:formatCode>General</c:formatCode>
                <c:ptCount val="4"/>
                <c:pt idx="0">
                  <c:v>93.05</c:v>
                </c:pt>
                <c:pt idx="1">
                  <c:v>91.28</c:v>
                </c:pt>
                <c:pt idx="2">
                  <c:v>74.97</c:v>
                </c:pt>
                <c:pt idx="3">
                  <c:v>70.78</c:v>
                </c:pt>
              </c:numCache>
              <c:extLst/>
            </c:numRef>
          </c:val>
          <c:extLst>
            <c:ext xmlns:c16="http://schemas.microsoft.com/office/drawing/2014/chart" uri="{C3380CC4-5D6E-409C-BE32-E72D297353CC}">
              <c16:uniqueId val="{00000001-2294-4BDB-AEDE-60BE0C202CA5}"/>
            </c:ext>
          </c:extLst>
        </c:ser>
        <c:ser>
          <c:idx val="2"/>
          <c:order val="2"/>
          <c:tx>
            <c:strRef>
              <c:f>'L&amp;N (leavers)'!$E$62</c:f>
              <c:strCache>
                <c:ptCount val="1"/>
                <c:pt idx="0">
                  <c:v>2022</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(leavers)'!$A$63:$B$63,'L&amp;N (leavers)'!$A$65:$B$66,'L&amp;N (leavers)'!$A$68:$B$68)</c:f>
              <c:multiLvlStrCache>
                <c:ptCount val="4"/>
                <c:lvl>
                  <c:pt idx="0">
                    <c:v>INV</c:v>
                  </c:pt>
                  <c:pt idx="1">
                    <c:v>NAT</c:v>
                  </c:pt>
                  <c:pt idx="2">
                    <c:v>INV</c:v>
                  </c:pt>
                  <c:pt idx="3">
                    <c:v>NAT</c:v>
                  </c:pt>
                </c:lvl>
                <c:lvl>
                  <c:pt idx="0">
                    <c:v>% Level 4 Numeracy</c:v>
                  </c:pt>
                  <c:pt idx="2">
                    <c:v>% Level 5 Numeracy</c:v>
                  </c:pt>
                </c:lvl>
              </c:multiLvlStrCache>
              <c:extLst/>
            </c:multiLvlStrRef>
          </c:cat>
          <c:val>
            <c:numRef>
              <c:f>('L&amp;N (leavers)'!$E$63,'L&amp;N (leavers)'!$E$65:$E$66,'L&amp;N (leavers)'!$E$68)</c:f>
              <c:numCache>
                <c:formatCode>General</c:formatCode>
                <c:ptCount val="4"/>
                <c:pt idx="0">
                  <c:v>93.17</c:v>
                </c:pt>
                <c:pt idx="1">
                  <c:v>90.89</c:v>
                </c:pt>
                <c:pt idx="2">
                  <c:v>74.040000000000006</c:v>
                </c:pt>
                <c:pt idx="3">
                  <c:v>70.88</c:v>
                </c:pt>
              </c:numCache>
              <c:extLst/>
            </c:numRef>
          </c:val>
          <c:extLst>
            <c:ext xmlns:c16="http://schemas.microsoft.com/office/drawing/2014/chart" uri="{C3380CC4-5D6E-409C-BE32-E72D297353CC}">
              <c16:uniqueId val="{00000002-2294-4BDB-AEDE-60BE0C202CA5}"/>
            </c:ext>
          </c:extLst>
        </c:ser>
        <c:ser>
          <c:idx val="3"/>
          <c:order val="3"/>
          <c:tx>
            <c:strRef>
              <c:f>'L&amp;N (leavers)'!$F$62</c:f>
              <c:strCache>
                <c:ptCount val="1"/>
                <c:pt idx="0">
                  <c:v>2023</c:v>
                </c:pt>
              </c:strCache>
            </c:strRef>
          </c:tx>
          <c:spPr>
            <a:solidFill>
              <a:schemeClr val="accent1">
                <a:tint val="77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(leavers)'!$A$63:$B$63,'L&amp;N (leavers)'!$A$65:$B$66,'L&amp;N (leavers)'!$A$68:$B$68)</c:f>
              <c:multiLvlStrCache>
                <c:ptCount val="4"/>
                <c:lvl>
                  <c:pt idx="0">
                    <c:v>INV</c:v>
                  </c:pt>
                  <c:pt idx="1">
                    <c:v>NAT</c:v>
                  </c:pt>
                  <c:pt idx="2">
                    <c:v>INV</c:v>
                  </c:pt>
                  <c:pt idx="3">
                    <c:v>NAT</c:v>
                  </c:pt>
                </c:lvl>
                <c:lvl>
                  <c:pt idx="0">
                    <c:v>% Level 4 Numeracy</c:v>
                  </c:pt>
                  <c:pt idx="2">
                    <c:v>% Level 5 Numeracy</c:v>
                  </c:pt>
                </c:lvl>
              </c:multiLvlStrCache>
              <c:extLst/>
            </c:multiLvlStrRef>
          </c:cat>
          <c:val>
            <c:numRef>
              <c:f>('L&amp;N (leavers)'!$F$63,'L&amp;N (leavers)'!$F$65:$F$66,'L&amp;N (leavers)'!$F$68)</c:f>
              <c:numCache>
                <c:formatCode>General</c:formatCode>
                <c:ptCount val="4"/>
                <c:pt idx="0">
                  <c:v>92.92</c:v>
                </c:pt>
                <c:pt idx="1">
                  <c:v>90.53</c:v>
                </c:pt>
                <c:pt idx="2">
                  <c:v>77.790000000000006</c:v>
                </c:pt>
                <c:pt idx="3">
                  <c:v>71.86</c:v>
                </c:pt>
              </c:numCache>
              <c:extLst/>
            </c:numRef>
          </c:val>
          <c:extLst>
            <c:ext xmlns:c16="http://schemas.microsoft.com/office/drawing/2014/chart" uri="{C3380CC4-5D6E-409C-BE32-E72D297353CC}">
              <c16:uniqueId val="{00000003-2294-4BDB-AEDE-60BE0C202CA5}"/>
            </c:ext>
          </c:extLst>
        </c:ser>
        <c:ser>
          <c:idx val="4"/>
          <c:order val="4"/>
          <c:tx>
            <c:strRef>
              <c:f>'L&amp;N (leavers)'!$G$62</c:f>
              <c:strCache>
                <c:ptCount val="1"/>
                <c:pt idx="0">
                  <c:v>2025</c:v>
                </c:pt>
              </c:strCache>
            </c:strRef>
          </c:tx>
          <c:spPr>
            <a:solidFill>
              <a:schemeClr val="accent1">
                <a:tint val="54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('L&amp;N (leavers)'!$A$63:$B$63,'L&amp;N (leavers)'!$A$65:$B$66,'L&amp;N (leavers)'!$A$68:$B$68)</c:f>
              <c:multiLvlStrCache>
                <c:ptCount val="4"/>
                <c:lvl>
                  <c:pt idx="0">
                    <c:v>INV</c:v>
                  </c:pt>
                  <c:pt idx="1">
                    <c:v>NAT</c:v>
                  </c:pt>
                  <c:pt idx="2">
                    <c:v>INV</c:v>
                  </c:pt>
                  <c:pt idx="3">
                    <c:v>NAT</c:v>
                  </c:pt>
                </c:lvl>
                <c:lvl>
                  <c:pt idx="0">
                    <c:v>% Level 4 Numeracy</c:v>
                  </c:pt>
                  <c:pt idx="2">
                    <c:v>% Level 5 Numeracy</c:v>
                  </c:pt>
                </c:lvl>
              </c:multiLvlStrCache>
              <c:extLst/>
            </c:multiLvlStrRef>
          </c:cat>
          <c:val>
            <c:numRef>
              <c:f>('L&amp;N (leavers)'!$G$63,'L&amp;N (leavers)'!$G$65:$G$66,'L&amp;N (leavers)'!$G$68)</c:f>
              <c:numCache>
                <c:formatCode>General</c:formatCode>
                <c:ptCount val="4"/>
                <c:pt idx="0">
                  <c:v>93.03</c:v>
                </c:pt>
                <c:pt idx="1">
                  <c:v>91.12</c:v>
                </c:pt>
                <c:pt idx="2">
                  <c:v>79.73</c:v>
                </c:pt>
                <c:pt idx="3">
                  <c:v>73.430000000000007</c:v>
                </c:pt>
              </c:numCache>
              <c:extLst/>
            </c:numRef>
          </c:val>
          <c:extLst>
            <c:ext xmlns:c16="http://schemas.microsoft.com/office/drawing/2014/chart" uri="{C3380CC4-5D6E-409C-BE32-E72D297353CC}">
              <c16:uniqueId val="{00000004-2294-4BDB-AEDE-60BE0C202CA5}"/>
            </c:ext>
          </c:extLst>
        </c:ser>
        <c:dLbls>
          <c:dLblPos val="ctr"/>
          <c:showLegendKey val="0"/>
          <c:showVal val="1"/>
          <c:showCatName val="0"/>
          <c:showSerName val="0"/>
          <c:showPercent val="0"/>
          <c:showBubbleSize val="0"/>
        </c:dLbls>
        <c:gapWidth val="219"/>
        <c:overlap val="-27"/>
        <c:axId val="903765904"/>
        <c:axId val="903762064"/>
      </c:barChart>
      <c:catAx>
        <c:axId val="90376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62064"/>
        <c:crosses val="autoZero"/>
        <c:auto val="1"/>
        <c:lblAlgn val="ctr"/>
        <c:lblOffset val="100"/>
        <c:noMultiLvlLbl val="0"/>
      </c:catAx>
      <c:valAx>
        <c:axId val="9037620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6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Attainment!$P$5</c:f>
              <c:strCache>
                <c:ptCount val="1"/>
                <c:pt idx="0">
                  <c:v>2021</c:v>
                </c:pt>
              </c:strCache>
            </c:strRef>
          </c:tx>
          <c:spPr>
            <a:solidFill>
              <a:schemeClr val="accent5">
                <a:shade val="53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Attainment!$N$6:$O$11</c:f>
              <c:multiLvlStrCache>
                <c:ptCount val="6"/>
                <c:lvl>
                  <c:pt idx="0">
                    <c:v>INV</c:v>
                  </c:pt>
                  <c:pt idx="1">
                    <c:v>NAT</c:v>
                  </c:pt>
                  <c:pt idx="2">
                    <c:v>INV</c:v>
                  </c:pt>
                  <c:pt idx="3">
                    <c:v>NAT</c:v>
                  </c:pt>
                  <c:pt idx="4">
                    <c:v>INV</c:v>
                  </c:pt>
                  <c:pt idx="5">
                    <c:v>NAT</c:v>
                  </c:pt>
                </c:lvl>
                <c:lvl>
                  <c:pt idx="0">
                    <c:v>Lowest 20%</c:v>
                  </c:pt>
                  <c:pt idx="2">
                    <c:v>Middle 60%</c:v>
                  </c:pt>
                  <c:pt idx="4">
                    <c:v>Highest 20%</c:v>
                  </c:pt>
                </c:lvl>
              </c:multiLvlStrCache>
            </c:multiLvlStrRef>
          </c:cat>
          <c:val>
            <c:numRef>
              <c:f>Attainment!$P$6:$P$11</c:f>
              <c:numCache>
                <c:formatCode>General</c:formatCode>
                <c:ptCount val="6"/>
                <c:pt idx="0">
                  <c:v>217</c:v>
                </c:pt>
                <c:pt idx="1">
                  <c:v>164</c:v>
                </c:pt>
                <c:pt idx="2">
                  <c:v>874</c:v>
                </c:pt>
                <c:pt idx="3">
                  <c:v>939</c:v>
                </c:pt>
                <c:pt idx="4">
                  <c:v>1834</c:v>
                </c:pt>
                <c:pt idx="5">
                  <c:v>1982</c:v>
                </c:pt>
              </c:numCache>
            </c:numRef>
          </c:val>
          <c:extLst>
            <c:ext xmlns:c16="http://schemas.microsoft.com/office/drawing/2014/chart" uri="{C3380CC4-5D6E-409C-BE32-E72D297353CC}">
              <c16:uniqueId val="{00000000-7506-4686-80F5-4399C31DEDB1}"/>
            </c:ext>
          </c:extLst>
        </c:ser>
        <c:ser>
          <c:idx val="1"/>
          <c:order val="1"/>
          <c:tx>
            <c:strRef>
              <c:f>Attainment!$Q$5</c:f>
              <c:strCache>
                <c:ptCount val="1"/>
                <c:pt idx="0">
                  <c:v>2022</c:v>
                </c:pt>
              </c:strCache>
            </c:strRef>
          </c:tx>
          <c:spPr>
            <a:solidFill>
              <a:schemeClr val="accent5">
                <a:shade val="7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Attainment!$N$6:$O$11</c:f>
              <c:multiLvlStrCache>
                <c:ptCount val="6"/>
                <c:lvl>
                  <c:pt idx="0">
                    <c:v>INV</c:v>
                  </c:pt>
                  <c:pt idx="1">
                    <c:v>NAT</c:v>
                  </c:pt>
                  <c:pt idx="2">
                    <c:v>INV</c:v>
                  </c:pt>
                  <c:pt idx="3">
                    <c:v>NAT</c:v>
                  </c:pt>
                  <c:pt idx="4">
                    <c:v>INV</c:v>
                  </c:pt>
                  <c:pt idx="5">
                    <c:v>NAT</c:v>
                  </c:pt>
                </c:lvl>
                <c:lvl>
                  <c:pt idx="0">
                    <c:v>Lowest 20%</c:v>
                  </c:pt>
                  <c:pt idx="2">
                    <c:v>Middle 60%</c:v>
                  </c:pt>
                  <c:pt idx="4">
                    <c:v>Highest 20%</c:v>
                  </c:pt>
                </c:lvl>
              </c:multiLvlStrCache>
            </c:multiLvlStrRef>
          </c:cat>
          <c:val>
            <c:numRef>
              <c:f>Attainment!$Q$6:$Q$11</c:f>
              <c:numCache>
                <c:formatCode>General</c:formatCode>
                <c:ptCount val="6"/>
                <c:pt idx="0">
                  <c:v>184</c:v>
                </c:pt>
                <c:pt idx="1">
                  <c:v>155</c:v>
                </c:pt>
                <c:pt idx="2">
                  <c:v>889</c:v>
                </c:pt>
                <c:pt idx="3">
                  <c:v>871</c:v>
                </c:pt>
                <c:pt idx="4">
                  <c:v>1915</c:v>
                </c:pt>
                <c:pt idx="5">
                  <c:v>1950</c:v>
                </c:pt>
              </c:numCache>
            </c:numRef>
          </c:val>
          <c:extLst>
            <c:ext xmlns:c16="http://schemas.microsoft.com/office/drawing/2014/chart" uri="{C3380CC4-5D6E-409C-BE32-E72D297353CC}">
              <c16:uniqueId val="{00000001-7506-4686-80F5-4399C31DEDB1}"/>
            </c:ext>
          </c:extLst>
        </c:ser>
        <c:ser>
          <c:idx val="2"/>
          <c:order val="2"/>
          <c:tx>
            <c:strRef>
              <c:f>Attainment!$R$5</c:f>
              <c:strCache>
                <c:ptCount val="1"/>
                <c:pt idx="0">
                  <c:v>2023</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Attainment!$N$6:$O$11</c:f>
              <c:multiLvlStrCache>
                <c:ptCount val="6"/>
                <c:lvl>
                  <c:pt idx="0">
                    <c:v>INV</c:v>
                  </c:pt>
                  <c:pt idx="1">
                    <c:v>NAT</c:v>
                  </c:pt>
                  <c:pt idx="2">
                    <c:v>INV</c:v>
                  </c:pt>
                  <c:pt idx="3">
                    <c:v>NAT</c:v>
                  </c:pt>
                  <c:pt idx="4">
                    <c:v>INV</c:v>
                  </c:pt>
                  <c:pt idx="5">
                    <c:v>NAT</c:v>
                  </c:pt>
                </c:lvl>
                <c:lvl>
                  <c:pt idx="0">
                    <c:v>Lowest 20%</c:v>
                  </c:pt>
                  <c:pt idx="2">
                    <c:v>Middle 60%</c:v>
                  </c:pt>
                  <c:pt idx="4">
                    <c:v>Highest 20%</c:v>
                  </c:pt>
                </c:lvl>
              </c:multiLvlStrCache>
            </c:multiLvlStrRef>
          </c:cat>
          <c:val>
            <c:numRef>
              <c:f>Attainment!$R$6:$R$11</c:f>
              <c:numCache>
                <c:formatCode>General</c:formatCode>
                <c:ptCount val="6"/>
                <c:pt idx="0">
                  <c:v>161</c:v>
                </c:pt>
                <c:pt idx="1">
                  <c:v>141</c:v>
                </c:pt>
                <c:pt idx="2">
                  <c:v>781</c:v>
                </c:pt>
                <c:pt idx="3">
                  <c:v>832</c:v>
                </c:pt>
                <c:pt idx="4">
                  <c:v>1783</c:v>
                </c:pt>
                <c:pt idx="5">
                  <c:v>1931</c:v>
                </c:pt>
              </c:numCache>
            </c:numRef>
          </c:val>
          <c:extLst>
            <c:ext xmlns:c16="http://schemas.microsoft.com/office/drawing/2014/chart" uri="{C3380CC4-5D6E-409C-BE32-E72D297353CC}">
              <c16:uniqueId val="{00000002-7506-4686-80F5-4399C31DEDB1}"/>
            </c:ext>
          </c:extLst>
        </c:ser>
        <c:ser>
          <c:idx val="3"/>
          <c:order val="3"/>
          <c:tx>
            <c:strRef>
              <c:f>Attainment!$S$5</c:f>
              <c:strCache>
                <c:ptCount val="1"/>
                <c:pt idx="0">
                  <c:v>2024</c:v>
                </c:pt>
              </c:strCache>
            </c:strRef>
          </c:tx>
          <c:spPr>
            <a:solidFill>
              <a:schemeClr val="accent5">
                <a:tint val="77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Attainment!$N$6:$O$11</c:f>
              <c:multiLvlStrCache>
                <c:ptCount val="6"/>
                <c:lvl>
                  <c:pt idx="0">
                    <c:v>INV</c:v>
                  </c:pt>
                  <c:pt idx="1">
                    <c:v>NAT</c:v>
                  </c:pt>
                  <c:pt idx="2">
                    <c:v>INV</c:v>
                  </c:pt>
                  <c:pt idx="3">
                    <c:v>NAT</c:v>
                  </c:pt>
                  <c:pt idx="4">
                    <c:v>INV</c:v>
                  </c:pt>
                  <c:pt idx="5">
                    <c:v>NAT</c:v>
                  </c:pt>
                </c:lvl>
                <c:lvl>
                  <c:pt idx="0">
                    <c:v>Lowest 20%</c:v>
                  </c:pt>
                  <c:pt idx="2">
                    <c:v>Middle 60%</c:v>
                  </c:pt>
                  <c:pt idx="4">
                    <c:v>Highest 20%</c:v>
                  </c:pt>
                </c:lvl>
              </c:multiLvlStrCache>
            </c:multiLvlStrRef>
          </c:cat>
          <c:val>
            <c:numRef>
              <c:f>Attainment!$S$6:$S$11</c:f>
              <c:numCache>
                <c:formatCode>General</c:formatCode>
                <c:ptCount val="6"/>
                <c:pt idx="0">
                  <c:v>158</c:v>
                </c:pt>
                <c:pt idx="1">
                  <c:v>129</c:v>
                </c:pt>
                <c:pt idx="2">
                  <c:v>792</c:v>
                </c:pt>
                <c:pt idx="3">
                  <c:v>841</c:v>
                </c:pt>
                <c:pt idx="4">
                  <c:v>1798</c:v>
                </c:pt>
                <c:pt idx="5">
                  <c:v>1928</c:v>
                </c:pt>
              </c:numCache>
            </c:numRef>
          </c:val>
          <c:extLst>
            <c:ext xmlns:c16="http://schemas.microsoft.com/office/drawing/2014/chart" uri="{C3380CC4-5D6E-409C-BE32-E72D297353CC}">
              <c16:uniqueId val="{00000003-7506-4686-80F5-4399C31DEDB1}"/>
            </c:ext>
          </c:extLst>
        </c:ser>
        <c:ser>
          <c:idx val="4"/>
          <c:order val="4"/>
          <c:tx>
            <c:strRef>
              <c:f>Attainment!$T$5</c:f>
              <c:strCache>
                <c:ptCount val="1"/>
                <c:pt idx="0">
                  <c:v>2025</c:v>
                </c:pt>
              </c:strCache>
            </c:strRef>
          </c:tx>
          <c:spPr>
            <a:solidFill>
              <a:schemeClr val="accent5">
                <a:tint val="54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Attainment!$N$6:$O$11</c:f>
              <c:multiLvlStrCache>
                <c:ptCount val="6"/>
                <c:lvl>
                  <c:pt idx="0">
                    <c:v>INV</c:v>
                  </c:pt>
                  <c:pt idx="1">
                    <c:v>NAT</c:v>
                  </c:pt>
                  <c:pt idx="2">
                    <c:v>INV</c:v>
                  </c:pt>
                  <c:pt idx="3">
                    <c:v>NAT</c:v>
                  </c:pt>
                  <c:pt idx="4">
                    <c:v>INV</c:v>
                  </c:pt>
                  <c:pt idx="5">
                    <c:v>NAT</c:v>
                  </c:pt>
                </c:lvl>
                <c:lvl>
                  <c:pt idx="0">
                    <c:v>Lowest 20%</c:v>
                  </c:pt>
                  <c:pt idx="2">
                    <c:v>Middle 60%</c:v>
                  </c:pt>
                  <c:pt idx="4">
                    <c:v>Highest 20%</c:v>
                  </c:pt>
                </c:lvl>
              </c:multiLvlStrCache>
            </c:multiLvlStrRef>
          </c:cat>
          <c:val>
            <c:numRef>
              <c:f>Attainment!$T$6:$T$11</c:f>
              <c:numCache>
                <c:formatCode>General</c:formatCode>
                <c:ptCount val="6"/>
                <c:pt idx="0">
                  <c:v>174</c:v>
                </c:pt>
                <c:pt idx="1">
                  <c:v>132</c:v>
                </c:pt>
                <c:pt idx="2">
                  <c:v>847</c:v>
                </c:pt>
                <c:pt idx="3">
                  <c:v>874</c:v>
                </c:pt>
                <c:pt idx="4">
                  <c:v>1793</c:v>
                </c:pt>
                <c:pt idx="5">
                  <c:v>1965</c:v>
                </c:pt>
              </c:numCache>
            </c:numRef>
          </c:val>
          <c:extLst>
            <c:ext xmlns:c16="http://schemas.microsoft.com/office/drawing/2014/chart" uri="{C3380CC4-5D6E-409C-BE32-E72D297353CC}">
              <c16:uniqueId val="{00000004-7506-4686-80F5-4399C31DEDB1}"/>
            </c:ext>
          </c:extLst>
        </c:ser>
        <c:dLbls>
          <c:dLblPos val="outEnd"/>
          <c:showLegendKey val="0"/>
          <c:showVal val="1"/>
          <c:showCatName val="0"/>
          <c:showSerName val="0"/>
          <c:showPercent val="0"/>
          <c:showBubbleSize val="0"/>
        </c:dLbls>
        <c:gapWidth val="219"/>
        <c:overlap val="-27"/>
        <c:axId val="400323200"/>
        <c:axId val="400303040"/>
      </c:barChart>
      <c:catAx>
        <c:axId val="40032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303040"/>
        <c:crosses val="autoZero"/>
        <c:auto val="1"/>
        <c:lblAlgn val="ctr"/>
        <c:lblOffset val="100"/>
        <c:noMultiLvlLbl val="0"/>
      </c:catAx>
      <c:valAx>
        <c:axId val="40030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32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'SIMD GAP'!$A$46</c:f>
              <c:strCache>
                <c:ptCount val="1"/>
                <c:pt idx="0">
                  <c:v>INV SIMD 1-2</c:v>
                </c:pt>
              </c:strCache>
            </c:strRef>
          </c:tx>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'SIMD GAP'!$B$45:$F$45</c:f>
              <c:numCache>
                <c:formatCode>General</c:formatCode>
                <c:ptCount val="5"/>
                <c:pt idx="0">
                  <c:v>2021</c:v>
                </c:pt>
                <c:pt idx="1">
                  <c:v>2022</c:v>
                </c:pt>
                <c:pt idx="2">
                  <c:v>2023</c:v>
                </c:pt>
                <c:pt idx="3">
                  <c:v>2024</c:v>
                </c:pt>
                <c:pt idx="4">
                  <c:v>2025</c:v>
                </c:pt>
              </c:numCache>
            </c:numRef>
          </c:cat>
          <c:val>
            <c:numRef>
              <c:f>'SIMD GAP'!$B$46:$F$46</c:f>
              <c:numCache>
                <c:formatCode>0</c:formatCode>
                <c:ptCount val="5"/>
                <c:pt idx="0">
                  <c:v>738.42205726405086</c:v>
                </c:pt>
                <c:pt idx="1">
                  <c:v>762.84962858863685</c:v>
                </c:pt>
                <c:pt idx="2">
                  <c:v>687.8116844007227</c:v>
                </c:pt>
                <c:pt idx="3">
                  <c:v>685.96029444568376</c:v>
                </c:pt>
                <c:pt idx="4">
                  <c:v>685.96029444568376</c:v>
                </c:pt>
              </c:numCache>
            </c:numRef>
          </c:val>
          <c:extLst>
            <c:ext xmlns:c16="http://schemas.microsoft.com/office/drawing/2014/chart" uri="{C3380CC4-5D6E-409C-BE32-E72D297353CC}">
              <c16:uniqueId val="{00000000-36E8-4266-9CEC-197F020ED9E9}"/>
            </c:ext>
          </c:extLst>
        </c:ser>
        <c:ser>
          <c:idx val="1"/>
          <c:order val="1"/>
          <c:tx>
            <c:strRef>
              <c:f>'SIMD GAP'!$A$47</c:f>
              <c:strCache>
                <c:ptCount val="1"/>
                <c:pt idx="0">
                  <c:v>INV SIMD 3-10</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'SIMD GAP'!$B$45:$F$45</c:f>
              <c:numCache>
                <c:formatCode>General</c:formatCode>
                <c:ptCount val="5"/>
                <c:pt idx="0">
                  <c:v>2021</c:v>
                </c:pt>
                <c:pt idx="1">
                  <c:v>2022</c:v>
                </c:pt>
                <c:pt idx="2">
                  <c:v>2023</c:v>
                </c:pt>
                <c:pt idx="3">
                  <c:v>2024</c:v>
                </c:pt>
                <c:pt idx="4">
                  <c:v>2025</c:v>
                </c:pt>
              </c:numCache>
            </c:numRef>
          </c:cat>
          <c:val>
            <c:numRef>
              <c:f>'SIMD GAP'!$B$47:$F$47</c:f>
              <c:numCache>
                <c:formatCode>0</c:formatCode>
                <c:ptCount val="5"/>
                <c:pt idx="0">
                  <c:v>1097.8603742545754</c:v>
                </c:pt>
                <c:pt idx="1">
                  <c:v>1145.3980450102297</c:v>
                </c:pt>
                <c:pt idx="2">
                  <c:v>1027.1548079108891</c:v>
                </c:pt>
                <c:pt idx="3">
                  <c:v>1072.7585749478872</c:v>
                </c:pt>
                <c:pt idx="4">
                  <c:v>1072.7585749478872</c:v>
                </c:pt>
              </c:numCache>
            </c:numRef>
          </c:val>
          <c:extLst>
            <c:ext xmlns:c16="http://schemas.microsoft.com/office/drawing/2014/chart" uri="{C3380CC4-5D6E-409C-BE32-E72D297353CC}">
              <c16:uniqueId val="{00000001-36E8-4266-9CEC-197F020ED9E9}"/>
            </c:ext>
          </c:extLst>
        </c:ser>
        <c:ser>
          <c:idx val="2"/>
          <c:order val="2"/>
          <c:tx>
            <c:strRef>
              <c:f>'SIMD GAP'!$A$48</c:f>
              <c:strCache>
                <c:ptCount val="1"/>
                <c:pt idx="0">
                  <c:v>NAT SIMD 1-2</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'SIMD GAP'!$B$45:$F$45</c:f>
              <c:numCache>
                <c:formatCode>General</c:formatCode>
                <c:ptCount val="5"/>
                <c:pt idx="0">
                  <c:v>2021</c:v>
                </c:pt>
                <c:pt idx="1">
                  <c:v>2022</c:v>
                </c:pt>
                <c:pt idx="2">
                  <c:v>2023</c:v>
                </c:pt>
                <c:pt idx="3">
                  <c:v>2024</c:v>
                </c:pt>
                <c:pt idx="4">
                  <c:v>2025</c:v>
                </c:pt>
              </c:numCache>
            </c:numRef>
          </c:cat>
          <c:val>
            <c:numRef>
              <c:f>'SIMD GAP'!$B$48:$F$48</c:f>
              <c:numCache>
                <c:formatCode>0</c:formatCode>
                <c:ptCount val="5"/>
                <c:pt idx="0">
                  <c:v>705.93860465116268</c:v>
                </c:pt>
                <c:pt idx="1">
                  <c:v>658.71285779191282</c:v>
                </c:pt>
                <c:pt idx="2">
                  <c:v>654.71570397111907</c:v>
                </c:pt>
                <c:pt idx="3">
                  <c:v>649.65114196148681</c:v>
                </c:pt>
                <c:pt idx="4">
                  <c:v>664.5776058261265</c:v>
                </c:pt>
              </c:numCache>
            </c:numRef>
          </c:val>
          <c:extLst>
            <c:ext xmlns:c16="http://schemas.microsoft.com/office/drawing/2014/chart" uri="{C3380CC4-5D6E-409C-BE32-E72D297353CC}">
              <c16:uniqueId val="{00000002-36E8-4266-9CEC-197F020ED9E9}"/>
            </c:ext>
          </c:extLst>
        </c:ser>
        <c:ser>
          <c:idx val="3"/>
          <c:order val="3"/>
          <c:tx>
            <c:strRef>
              <c:f>'SIMD GAP'!$A$49</c:f>
              <c:strCache>
                <c:ptCount val="1"/>
                <c:pt idx="0">
                  <c:v>NAT SIMD 3-10</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'SIMD GAP'!$B$45:$F$45</c:f>
              <c:numCache>
                <c:formatCode>General</c:formatCode>
                <c:ptCount val="5"/>
                <c:pt idx="0">
                  <c:v>2021</c:v>
                </c:pt>
                <c:pt idx="1">
                  <c:v>2022</c:v>
                </c:pt>
                <c:pt idx="2">
                  <c:v>2023</c:v>
                </c:pt>
                <c:pt idx="3">
                  <c:v>2024</c:v>
                </c:pt>
                <c:pt idx="4">
                  <c:v>2025</c:v>
                </c:pt>
              </c:numCache>
            </c:numRef>
          </c:cat>
          <c:val>
            <c:numRef>
              <c:f>'SIMD GAP'!$B$49:$F$49</c:f>
              <c:numCache>
                <c:formatCode>0</c:formatCode>
                <c:ptCount val="5"/>
                <c:pt idx="0">
                  <c:v>1064.0180076628351</c:v>
                </c:pt>
                <c:pt idx="1">
                  <c:v>1018.9197530864197</c:v>
                </c:pt>
                <c:pt idx="2">
                  <c:v>985.35869004641552</c:v>
                </c:pt>
                <c:pt idx="3">
                  <c:v>987.53527291452099</c:v>
                </c:pt>
                <c:pt idx="4">
                  <c:v>1016.4865384615387</c:v>
                </c:pt>
              </c:numCache>
            </c:numRef>
          </c:val>
          <c:extLst>
            <c:ext xmlns:c16="http://schemas.microsoft.com/office/drawing/2014/chart" uri="{C3380CC4-5D6E-409C-BE32-E72D297353CC}">
              <c16:uniqueId val="{00000003-36E8-4266-9CEC-197F020ED9E9}"/>
            </c:ext>
          </c:extLst>
        </c:ser>
        <c:dLbls>
          <c:showLegendKey val="0"/>
          <c:showVal val="1"/>
          <c:showCatName val="0"/>
          <c:showSerName val="0"/>
          <c:showPercent val="0"/>
          <c:showBubbleSize val="0"/>
        </c:dLbls>
        <c:gapWidth val="117"/>
        <c:overlap val="-1"/>
        <c:axId val="1078683344"/>
        <c:axId val="1080367168"/>
      </c:barChart>
      <c:lineChart>
        <c:grouping val="standard"/>
        <c:varyColors val="0"/>
        <c:ser>
          <c:idx val="4"/>
          <c:order val="4"/>
          <c:tx>
            <c:strRef>
              <c:f>'SIMD GAP'!$A$50</c:f>
              <c:strCache>
                <c:ptCount val="1"/>
                <c:pt idx="0">
                  <c:v>INV GAP</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'SIMD GAP'!$B$45:$F$45</c:f>
              <c:numCache>
                <c:formatCode>General</c:formatCode>
                <c:ptCount val="5"/>
                <c:pt idx="0">
                  <c:v>2021</c:v>
                </c:pt>
                <c:pt idx="1">
                  <c:v>2022</c:v>
                </c:pt>
                <c:pt idx="2">
                  <c:v>2023</c:v>
                </c:pt>
                <c:pt idx="3">
                  <c:v>2024</c:v>
                </c:pt>
                <c:pt idx="4">
                  <c:v>2025</c:v>
                </c:pt>
              </c:numCache>
            </c:numRef>
          </c:cat>
          <c:val>
            <c:numRef>
              <c:f>'SIMD GAP'!$B$50:$F$50</c:f>
              <c:numCache>
                <c:formatCode>0</c:formatCode>
                <c:ptCount val="5"/>
                <c:pt idx="0">
                  <c:v>359.43831699052453</c:v>
                </c:pt>
                <c:pt idx="1">
                  <c:v>382.54841642159283</c:v>
                </c:pt>
                <c:pt idx="2">
                  <c:v>339.34312351016638</c:v>
                </c:pt>
                <c:pt idx="3">
                  <c:v>386.7982805022034</c:v>
                </c:pt>
                <c:pt idx="4">
                  <c:v>386.7982805022034</c:v>
                </c:pt>
              </c:numCache>
            </c:numRef>
          </c:val>
          <c:smooth val="0"/>
          <c:extLst>
            <c:ext xmlns:c16="http://schemas.microsoft.com/office/drawing/2014/chart" uri="{C3380CC4-5D6E-409C-BE32-E72D297353CC}">
              <c16:uniqueId val="{00000004-36E8-4266-9CEC-197F020ED9E9}"/>
            </c:ext>
          </c:extLst>
        </c:ser>
        <c:ser>
          <c:idx val="5"/>
          <c:order val="5"/>
          <c:tx>
            <c:strRef>
              <c:f>'SIMD GAP'!$A$51</c:f>
              <c:strCache>
                <c:ptCount val="1"/>
                <c:pt idx="0">
                  <c:v>NAT GAP</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'SIMD GAP'!$B$45:$F$45</c:f>
              <c:numCache>
                <c:formatCode>General</c:formatCode>
                <c:ptCount val="5"/>
                <c:pt idx="0">
                  <c:v>2021</c:v>
                </c:pt>
                <c:pt idx="1">
                  <c:v>2022</c:v>
                </c:pt>
                <c:pt idx="2">
                  <c:v>2023</c:v>
                </c:pt>
                <c:pt idx="3">
                  <c:v>2024</c:v>
                </c:pt>
                <c:pt idx="4">
                  <c:v>2025</c:v>
                </c:pt>
              </c:numCache>
            </c:numRef>
          </c:cat>
          <c:val>
            <c:numRef>
              <c:f>'SIMD GAP'!$B$51:$F$51</c:f>
              <c:numCache>
                <c:formatCode>0</c:formatCode>
                <c:ptCount val="5"/>
                <c:pt idx="0">
                  <c:v>358.07940301167241</c:v>
                </c:pt>
                <c:pt idx="1">
                  <c:v>360.20689529450692</c:v>
                </c:pt>
                <c:pt idx="2">
                  <c:v>330.64298607529645</c:v>
                </c:pt>
                <c:pt idx="3">
                  <c:v>337.88413095303417</c:v>
                </c:pt>
                <c:pt idx="4">
                  <c:v>351.90893263541216</c:v>
                </c:pt>
              </c:numCache>
            </c:numRef>
          </c:val>
          <c:smooth val="0"/>
          <c:extLst>
            <c:ext xmlns:c16="http://schemas.microsoft.com/office/drawing/2014/chart" uri="{C3380CC4-5D6E-409C-BE32-E72D297353CC}">
              <c16:uniqueId val="{00000005-36E8-4266-9CEC-197F020ED9E9}"/>
            </c:ext>
          </c:extLst>
        </c:ser>
        <c:dLbls>
          <c:showLegendKey val="0"/>
          <c:showVal val="1"/>
          <c:showCatName val="0"/>
          <c:showSerName val="0"/>
          <c:showPercent val="0"/>
          <c:showBubbleSize val="0"/>
        </c:dLbls>
        <c:marker val="1"/>
        <c:smooth val="0"/>
        <c:axId val="1078683344"/>
        <c:axId val="1080367168"/>
      </c:lineChart>
      <c:catAx>
        <c:axId val="107868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367168"/>
        <c:crosses val="autoZero"/>
        <c:auto val="1"/>
        <c:lblAlgn val="ctr"/>
        <c:lblOffset val="100"/>
        <c:noMultiLvlLbl val="0"/>
      </c:catAx>
      <c:valAx>
        <c:axId val="1080367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868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4.9687696747885049E-2"/>
          <c:y val="0.12392283620805654"/>
          <c:w val="0.93309227299729014"/>
          <c:h val="0.70528611846255018"/>
        </c:manualLayout>
      </c:layout>
      <c:barChart>
        <c:barDir val="col"/>
        <c:grouping val="clustered"/>
        <c:varyColors val="0"/>
        <c:ser>
          <c:idx val="0"/>
          <c:order val="0"/>
          <c:tx>
            <c:strRef>
              <c:f>'B&amp;D (a-d grade)'!$A$103</c:f>
              <c:strCache>
                <c:ptCount val="1"/>
                <c:pt idx="0">
                  <c:v>Inverclyde</c:v>
                </c:pt>
              </c:strCache>
            </c:strRef>
          </c:tx>
          <c:spPr>
            <a:solidFill>
              <a:srgbClr val="009999"/>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grade)'!$B$102:$F$102</c:f>
              <c:numCache>
                <c:formatCode>General</c:formatCode>
                <c:ptCount val="5"/>
                <c:pt idx="0">
                  <c:v>2021</c:v>
                </c:pt>
                <c:pt idx="1">
                  <c:v>2022</c:v>
                </c:pt>
                <c:pt idx="2">
                  <c:v>2023</c:v>
                </c:pt>
                <c:pt idx="3">
                  <c:v>2024</c:v>
                </c:pt>
                <c:pt idx="4">
                  <c:v>2025</c:v>
                </c:pt>
              </c:numCache>
            </c:numRef>
          </c:cat>
          <c:val>
            <c:numRef>
              <c:f>'B&amp;D (a-d grade)'!$B$103:$F$103</c:f>
              <c:numCache>
                <c:formatCode>General</c:formatCode>
                <c:ptCount val="5"/>
                <c:pt idx="0">
                  <c:v>45.79</c:v>
                </c:pt>
                <c:pt idx="1">
                  <c:v>50.33</c:v>
                </c:pt>
                <c:pt idx="2">
                  <c:v>47.31</c:v>
                </c:pt>
                <c:pt idx="3">
                  <c:v>49.1</c:v>
                </c:pt>
                <c:pt idx="4">
                  <c:v>53.9</c:v>
                </c:pt>
              </c:numCache>
            </c:numRef>
          </c:val>
          <c:extLst>
            <c:ext xmlns:c16="http://schemas.microsoft.com/office/drawing/2014/chart" uri="{C3380CC4-5D6E-409C-BE32-E72D297353CC}">
              <c16:uniqueId val="{00000000-156D-41CA-8CFC-8DD9CD9BE849}"/>
            </c:ext>
          </c:extLst>
        </c:ser>
        <c:ser>
          <c:idx val="1"/>
          <c:order val="1"/>
          <c:tx>
            <c:strRef>
              <c:f>'B&amp;D (a-d grade)'!$A$104</c:f>
              <c:strCache>
                <c:ptCount val="1"/>
                <c:pt idx="0">
                  <c:v>National</c:v>
                </c:pt>
              </c:strCache>
            </c:strRef>
          </c:tx>
          <c:spPr>
            <a:solidFill>
              <a:schemeClr val="tx2">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grade)'!$B$102:$F$102</c:f>
              <c:numCache>
                <c:formatCode>General</c:formatCode>
                <c:ptCount val="5"/>
                <c:pt idx="0">
                  <c:v>2021</c:v>
                </c:pt>
                <c:pt idx="1">
                  <c:v>2022</c:v>
                </c:pt>
                <c:pt idx="2">
                  <c:v>2023</c:v>
                </c:pt>
                <c:pt idx="3">
                  <c:v>2024</c:v>
                </c:pt>
                <c:pt idx="4">
                  <c:v>2025</c:v>
                </c:pt>
              </c:numCache>
            </c:numRef>
          </c:cat>
          <c:val>
            <c:numRef>
              <c:f>'B&amp;D (a-d grade)'!$B$104:$F$104</c:f>
              <c:numCache>
                <c:formatCode>General</c:formatCode>
                <c:ptCount val="5"/>
                <c:pt idx="0">
                  <c:v>52.09</c:v>
                </c:pt>
                <c:pt idx="1">
                  <c:v>52.54</c:v>
                </c:pt>
                <c:pt idx="2">
                  <c:v>51.5</c:v>
                </c:pt>
                <c:pt idx="3">
                  <c:v>51</c:v>
                </c:pt>
                <c:pt idx="4">
                  <c:v>52.91</c:v>
                </c:pt>
              </c:numCache>
            </c:numRef>
          </c:val>
          <c:extLst>
            <c:ext xmlns:c16="http://schemas.microsoft.com/office/drawing/2014/chart" uri="{C3380CC4-5D6E-409C-BE32-E72D297353CC}">
              <c16:uniqueId val="{00000001-156D-41CA-8CFC-8DD9CD9BE849}"/>
            </c:ext>
          </c:extLst>
        </c:ser>
        <c:dLbls>
          <c:dLblPos val="ctr"/>
          <c:showLegendKey val="0"/>
          <c:showVal val="1"/>
          <c:showCatName val="0"/>
          <c:showSerName val="0"/>
          <c:showPercent val="0"/>
          <c:showBubbleSize val="0"/>
        </c:dLbls>
        <c:gapWidth val="113"/>
        <c:overlap val="-27"/>
        <c:axId val="1958207456"/>
        <c:axId val="1958210720"/>
        <c:extLst>
          <c:ext xmlns:c15="http://schemas.microsoft.com/office/drawing/2012/chart" uri="{02D57815-91ED-43cb-92C2-25804820EDAC}">
            <c15:filteredBarSeries>
              <c15:ser>
                <c:idx val="2"/>
                <c:order val="2"/>
                <c:tx>
                  <c:strRef>
                    <c:extLst>
                      <c:ext uri="{02D57815-91ED-43cb-92C2-25804820EDAC}">
                        <c15:formulaRef>
                          <c15:sqref>'B&amp;D (a-d grade)'!$A$105</c15:sqref>
                        </c15:formulaRef>
                      </c:ext>
                    </c:extLst>
                    <c:strCache>
                      <c:ptCount val="1"/>
                      <c:pt idx="0">
                        <c:v>Virtual comparator</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'B&amp;D (a-d grade)'!$B$102:$F$102</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'B&amp;D (a-d grade)'!$B$105:$F$105</c15:sqref>
                        </c15:formulaRef>
                      </c:ext>
                    </c:extLst>
                    <c:numCache>
                      <c:formatCode>0.0</c:formatCode>
                      <c:ptCount val="5"/>
                      <c:pt idx="0">
                        <c:v>45.51</c:v>
                      </c:pt>
                      <c:pt idx="1">
                        <c:v>46.24</c:v>
                      </c:pt>
                      <c:pt idx="2">
                        <c:v>46.32</c:v>
                      </c:pt>
                      <c:pt idx="3">
                        <c:v>48.12</c:v>
                      </c:pt>
                      <c:pt idx="4">
                        <c:v>47.34</c:v>
                      </c:pt>
                    </c:numCache>
                  </c:numRef>
                </c:val>
                <c:extLst>
                  <c:ext xmlns:c16="http://schemas.microsoft.com/office/drawing/2014/chart" uri="{C3380CC4-5D6E-409C-BE32-E72D297353CC}">
                    <c16:uniqueId val="{00000002-156D-41CA-8CFC-8DD9CD9BE849}"/>
                  </c:ext>
                </c:extLst>
              </c15:ser>
            </c15:filteredBarSeries>
          </c:ext>
        </c:extLst>
      </c:barChart>
      <c:catAx>
        <c:axId val="195820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10720"/>
        <c:crosses val="autoZero"/>
        <c:auto val="1"/>
        <c:lblAlgn val="ctr"/>
        <c:lblOffset val="100"/>
        <c:noMultiLvlLbl val="0"/>
      </c:catAx>
      <c:valAx>
        <c:axId val="195821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0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'B&amp;D (a-d grade)'!$A$28</c:f>
              <c:strCache>
                <c:ptCount val="1"/>
                <c:pt idx="0">
                  <c:v>Inverclyde</c:v>
                </c:pt>
              </c:strCache>
            </c:strRef>
          </c:tx>
          <c:spPr>
            <a:solidFill>
              <a:srgbClr val="009999"/>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grade)'!$B$27:$F$27</c:f>
              <c:numCache>
                <c:formatCode>General</c:formatCode>
                <c:ptCount val="5"/>
                <c:pt idx="0">
                  <c:v>2021</c:v>
                </c:pt>
                <c:pt idx="1">
                  <c:v>2022</c:v>
                </c:pt>
                <c:pt idx="2">
                  <c:v>2023</c:v>
                </c:pt>
                <c:pt idx="3">
                  <c:v>2024</c:v>
                </c:pt>
                <c:pt idx="4">
                  <c:v>2025</c:v>
                </c:pt>
              </c:numCache>
            </c:numRef>
          </c:cat>
          <c:val>
            <c:numRef>
              <c:f>'B&amp;D (a-d grade)'!$B$28:$F$28</c:f>
              <c:numCache>
                <c:formatCode>General</c:formatCode>
                <c:ptCount val="5"/>
                <c:pt idx="0">
                  <c:v>71.92</c:v>
                </c:pt>
                <c:pt idx="1">
                  <c:v>61.22</c:v>
                </c:pt>
                <c:pt idx="2">
                  <c:v>62.3</c:v>
                </c:pt>
                <c:pt idx="3">
                  <c:v>62.11</c:v>
                </c:pt>
                <c:pt idx="4">
                  <c:v>60.8</c:v>
                </c:pt>
              </c:numCache>
            </c:numRef>
          </c:val>
          <c:extLst>
            <c:ext xmlns:c16="http://schemas.microsoft.com/office/drawing/2014/chart" uri="{C3380CC4-5D6E-409C-BE32-E72D297353CC}">
              <c16:uniqueId val="{00000000-64AC-46C4-A8A9-8382743A16A1}"/>
            </c:ext>
          </c:extLst>
        </c:ser>
        <c:ser>
          <c:idx val="1"/>
          <c:order val="1"/>
          <c:tx>
            <c:strRef>
              <c:f>'B&amp;D (a-d grade)'!$A$29</c:f>
              <c:strCache>
                <c:ptCount val="1"/>
                <c:pt idx="0">
                  <c:v>National</c:v>
                </c:pt>
              </c:strCache>
            </c:strRef>
          </c:tx>
          <c:spPr>
            <a:solidFill>
              <a:schemeClr val="tx2">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grade)'!$B$27:$F$27</c:f>
              <c:numCache>
                <c:formatCode>General</c:formatCode>
                <c:ptCount val="5"/>
                <c:pt idx="0">
                  <c:v>2021</c:v>
                </c:pt>
                <c:pt idx="1">
                  <c:v>2022</c:v>
                </c:pt>
                <c:pt idx="2">
                  <c:v>2023</c:v>
                </c:pt>
                <c:pt idx="3">
                  <c:v>2024</c:v>
                </c:pt>
                <c:pt idx="4">
                  <c:v>2025</c:v>
                </c:pt>
              </c:numCache>
            </c:numRef>
          </c:cat>
          <c:val>
            <c:numRef>
              <c:f>'B&amp;D (a-d grade)'!$B$29:$F$29</c:f>
              <c:numCache>
                <c:formatCode>General</c:formatCode>
                <c:ptCount val="5"/>
                <c:pt idx="0">
                  <c:v>64.36</c:v>
                </c:pt>
                <c:pt idx="1">
                  <c:v>61.68</c:v>
                </c:pt>
                <c:pt idx="2">
                  <c:v>60.11</c:v>
                </c:pt>
                <c:pt idx="3">
                  <c:v>59.05</c:v>
                </c:pt>
                <c:pt idx="4">
                  <c:v>59.01</c:v>
                </c:pt>
              </c:numCache>
            </c:numRef>
          </c:val>
          <c:extLst>
            <c:ext xmlns:c16="http://schemas.microsoft.com/office/drawing/2014/chart" uri="{C3380CC4-5D6E-409C-BE32-E72D297353CC}">
              <c16:uniqueId val="{00000001-64AC-46C4-A8A9-8382743A16A1}"/>
            </c:ext>
          </c:extLst>
        </c:ser>
        <c:dLbls>
          <c:dLblPos val="outEnd"/>
          <c:showLegendKey val="0"/>
          <c:showVal val="1"/>
          <c:showCatName val="0"/>
          <c:showSerName val="0"/>
          <c:showPercent val="0"/>
          <c:showBubbleSize val="0"/>
        </c:dLbls>
        <c:gapWidth val="113"/>
        <c:overlap val="-27"/>
        <c:axId val="1958219424"/>
        <c:axId val="1958218880"/>
        <c:extLst>
          <c:ext xmlns:c15="http://schemas.microsoft.com/office/drawing/2012/chart" uri="{02D57815-91ED-43cb-92C2-25804820EDAC}">
            <c15:filteredBarSeries>
              <c15:ser>
                <c:idx val="2"/>
                <c:order val="2"/>
                <c:tx>
                  <c:strRef>
                    <c:extLst>
                      <c:ext uri="{02D57815-91ED-43cb-92C2-25804820EDAC}">
                        <c15:formulaRef>
                          <c15:sqref>'B&amp;D (a-d grade)'!$A$30</c15:sqref>
                        </c15:formulaRef>
                      </c:ext>
                    </c:extLst>
                    <c:strCache>
                      <c:ptCount val="1"/>
                      <c:pt idx="0">
                        <c:v>Virtual comparator</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'B&amp;D (a-d grade)'!$B$27:$F$27</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'B&amp;D (a-d grade)'!$B$30:$F$30</c15:sqref>
                        </c15:formulaRef>
                      </c:ext>
                    </c:extLst>
                    <c:numCache>
                      <c:formatCode>0.0</c:formatCode>
                      <c:ptCount val="5"/>
                      <c:pt idx="0">
                        <c:v>60.91</c:v>
                      </c:pt>
                      <c:pt idx="1">
                        <c:v>56.74</c:v>
                      </c:pt>
                      <c:pt idx="2">
                        <c:v>55.64</c:v>
                      </c:pt>
                      <c:pt idx="3">
                        <c:v>55.7</c:v>
                      </c:pt>
                      <c:pt idx="4">
                        <c:v>57.83</c:v>
                      </c:pt>
                    </c:numCache>
                  </c:numRef>
                </c:val>
                <c:extLst>
                  <c:ext xmlns:c16="http://schemas.microsoft.com/office/drawing/2014/chart" uri="{C3380CC4-5D6E-409C-BE32-E72D297353CC}">
                    <c16:uniqueId val="{00000002-64AC-46C4-A8A9-8382743A16A1}"/>
                  </c:ext>
                </c:extLst>
              </c15:ser>
            </c15:filteredBarSeries>
          </c:ext>
        </c:extLst>
      </c:barChart>
      <c:catAx>
        <c:axId val="195821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18880"/>
        <c:crosses val="autoZero"/>
        <c:auto val="1"/>
        <c:lblAlgn val="ctr"/>
        <c:lblOffset val="100"/>
        <c:noMultiLvlLbl val="0"/>
      </c:catAx>
      <c:valAx>
        <c:axId val="195821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1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'B&amp;D (a-d grade)'!$A$53</c:f>
              <c:strCache>
                <c:ptCount val="1"/>
                <c:pt idx="0">
                  <c:v>Inverclyde</c:v>
                </c:pt>
              </c:strCache>
            </c:strRef>
          </c:tx>
          <c:spPr>
            <a:solidFill>
              <a:srgbClr val="009999"/>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grade)'!$B$52:$F$52</c:f>
              <c:numCache>
                <c:formatCode>General</c:formatCode>
                <c:ptCount val="5"/>
                <c:pt idx="0">
                  <c:v>2021</c:v>
                </c:pt>
                <c:pt idx="1">
                  <c:v>2022</c:v>
                </c:pt>
                <c:pt idx="2">
                  <c:v>2023</c:v>
                </c:pt>
                <c:pt idx="3">
                  <c:v>2024</c:v>
                </c:pt>
                <c:pt idx="4">
                  <c:v>2025</c:v>
                </c:pt>
              </c:numCache>
            </c:numRef>
          </c:cat>
          <c:val>
            <c:numRef>
              <c:f>'B&amp;D (a-d grade)'!$B$53:$F$53</c:f>
              <c:numCache>
                <c:formatCode>General</c:formatCode>
                <c:ptCount val="5"/>
                <c:pt idx="0">
                  <c:v>48.72</c:v>
                </c:pt>
                <c:pt idx="1">
                  <c:v>42.97</c:v>
                </c:pt>
                <c:pt idx="2">
                  <c:v>40.18</c:v>
                </c:pt>
                <c:pt idx="3">
                  <c:v>42.11</c:v>
                </c:pt>
                <c:pt idx="4">
                  <c:v>41.21</c:v>
                </c:pt>
              </c:numCache>
            </c:numRef>
          </c:val>
          <c:extLst>
            <c:ext xmlns:c16="http://schemas.microsoft.com/office/drawing/2014/chart" uri="{C3380CC4-5D6E-409C-BE32-E72D297353CC}">
              <c16:uniqueId val="{00000000-79EF-4A4E-B2E5-2CE6D975A327}"/>
            </c:ext>
          </c:extLst>
        </c:ser>
        <c:ser>
          <c:idx val="1"/>
          <c:order val="1"/>
          <c:tx>
            <c:strRef>
              <c:f>'B&amp;D (a-d grade)'!$A$54</c:f>
              <c:strCache>
                <c:ptCount val="1"/>
                <c:pt idx="0">
                  <c:v>National</c:v>
                </c:pt>
              </c:strCache>
            </c:strRef>
          </c:tx>
          <c:spPr>
            <a:solidFill>
              <a:schemeClr val="tx2">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grade)'!$B$52:$F$52</c:f>
              <c:numCache>
                <c:formatCode>General</c:formatCode>
                <c:ptCount val="5"/>
                <c:pt idx="0">
                  <c:v>2021</c:v>
                </c:pt>
                <c:pt idx="1">
                  <c:v>2022</c:v>
                </c:pt>
                <c:pt idx="2">
                  <c:v>2023</c:v>
                </c:pt>
                <c:pt idx="3">
                  <c:v>2024</c:v>
                </c:pt>
                <c:pt idx="4">
                  <c:v>2025</c:v>
                </c:pt>
              </c:numCache>
            </c:numRef>
          </c:cat>
          <c:val>
            <c:numRef>
              <c:f>'B&amp;D (a-d grade)'!$B$54:$F$54</c:f>
              <c:numCache>
                <c:formatCode>General</c:formatCode>
                <c:ptCount val="5"/>
                <c:pt idx="0">
                  <c:v>45.87</c:v>
                </c:pt>
                <c:pt idx="1">
                  <c:v>43.9</c:v>
                </c:pt>
                <c:pt idx="2">
                  <c:v>42.33</c:v>
                </c:pt>
                <c:pt idx="3">
                  <c:v>41.13</c:v>
                </c:pt>
                <c:pt idx="4">
                  <c:v>41.46</c:v>
                </c:pt>
              </c:numCache>
            </c:numRef>
          </c:val>
          <c:extLst>
            <c:ext xmlns:c16="http://schemas.microsoft.com/office/drawing/2014/chart" uri="{C3380CC4-5D6E-409C-BE32-E72D297353CC}">
              <c16:uniqueId val="{00000001-79EF-4A4E-B2E5-2CE6D975A327}"/>
            </c:ext>
          </c:extLst>
        </c:ser>
        <c:dLbls>
          <c:dLblPos val="ctr"/>
          <c:showLegendKey val="0"/>
          <c:showVal val="1"/>
          <c:showCatName val="0"/>
          <c:showSerName val="0"/>
          <c:showPercent val="0"/>
          <c:showBubbleSize val="0"/>
        </c:dLbls>
        <c:gapWidth val="113"/>
        <c:overlap val="-27"/>
        <c:axId val="1958224864"/>
        <c:axId val="1958199840"/>
        <c:extLst>
          <c:ext xmlns:c15="http://schemas.microsoft.com/office/drawing/2012/chart" uri="{02D57815-91ED-43cb-92C2-25804820EDAC}">
            <c15:filteredBarSeries>
              <c15:ser>
                <c:idx val="2"/>
                <c:order val="2"/>
                <c:tx>
                  <c:strRef>
                    <c:extLst>
                      <c:ext uri="{02D57815-91ED-43cb-92C2-25804820EDAC}">
                        <c15:formulaRef>
                          <c15:sqref>'B&amp;D (a-d grade)'!$A$55</c15:sqref>
                        </c15:formulaRef>
                      </c:ext>
                    </c:extLst>
                    <c:strCache>
                      <c:ptCount val="1"/>
                      <c:pt idx="0">
                        <c:v>Virtual comparator</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'B&amp;D (a-d grade)'!$B$52:$F$52</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'B&amp;D (a-d grade)'!$B$55:$F$55</c15:sqref>
                        </c15:formulaRef>
                      </c:ext>
                    </c:extLst>
                    <c:numCache>
                      <c:formatCode>0.0</c:formatCode>
                      <c:ptCount val="5"/>
                      <c:pt idx="0">
                        <c:v>40.880000000000003</c:v>
                      </c:pt>
                      <c:pt idx="1">
                        <c:v>38.25</c:v>
                      </c:pt>
                      <c:pt idx="2">
                        <c:v>36.61</c:v>
                      </c:pt>
                      <c:pt idx="3">
                        <c:v>36.51</c:v>
                      </c:pt>
                      <c:pt idx="4">
                        <c:v>38.74</c:v>
                      </c:pt>
                    </c:numCache>
                  </c:numRef>
                </c:val>
                <c:extLst>
                  <c:ext xmlns:c16="http://schemas.microsoft.com/office/drawing/2014/chart" uri="{C3380CC4-5D6E-409C-BE32-E72D297353CC}">
                    <c16:uniqueId val="{00000002-79EF-4A4E-B2E5-2CE6D975A327}"/>
                  </c:ext>
                </c:extLst>
              </c15:ser>
            </c15:filteredBarSeries>
          </c:ext>
        </c:extLst>
      </c:barChart>
      <c:catAx>
        <c:axId val="19582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199840"/>
        <c:crosses val="autoZero"/>
        <c:auto val="1"/>
        <c:lblAlgn val="ctr"/>
        <c:lblOffset val="100"/>
        <c:noMultiLvlLbl val="0"/>
      </c:catAx>
      <c:valAx>
        <c:axId val="195819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2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'B&amp;D (a-d grade)'!$A$78</c:f>
              <c:strCache>
                <c:ptCount val="1"/>
                <c:pt idx="0">
                  <c:v>Inverclyde</c:v>
                </c:pt>
              </c:strCache>
            </c:strRef>
          </c:tx>
          <c:spPr>
            <a:solidFill>
              <a:srgbClr val="009999"/>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grade)'!$B$77:$F$77</c:f>
              <c:numCache>
                <c:formatCode>General</c:formatCode>
                <c:ptCount val="5"/>
                <c:pt idx="0">
                  <c:v>2021</c:v>
                </c:pt>
                <c:pt idx="1">
                  <c:v>2022</c:v>
                </c:pt>
                <c:pt idx="2">
                  <c:v>2023</c:v>
                </c:pt>
                <c:pt idx="3">
                  <c:v>2024</c:v>
                </c:pt>
                <c:pt idx="4">
                  <c:v>2025</c:v>
                </c:pt>
              </c:numCache>
            </c:numRef>
          </c:cat>
          <c:val>
            <c:numRef>
              <c:f>'B&amp;D (a-d grade)'!$B$78:$F$78</c:f>
              <c:numCache>
                <c:formatCode>General</c:formatCode>
                <c:ptCount val="5"/>
                <c:pt idx="0">
                  <c:v>24.23</c:v>
                </c:pt>
                <c:pt idx="1">
                  <c:v>18.25</c:v>
                </c:pt>
                <c:pt idx="2">
                  <c:v>18.32</c:v>
                </c:pt>
                <c:pt idx="3">
                  <c:v>18.760000000000002</c:v>
                </c:pt>
                <c:pt idx="4">
                  <c:v>19.72</c:v>
                </c:pt>
              </c:numCache>
            </c:numRef>
          </c:val>
          <c:extLst>
            <c:ext xmlns:c16="http://schemas.microsoft.com/office/drawing/2014/chart" uri="{C3380CC4-5D6E-409C-BE32-E72D297353CC}">
              <c16:uniqueId val="{00000000-43F1-45F8-B389-753E59A43A03}"/>
            </c:ext>
          </c:extLst>
        </c:ser>
        <c:ser>
          <c:idx val="1"/>
          <c:order val="1"/>
          <c:tx>
            <c:strRef>
              <c:f>'B&amp;D (a-d grade)'!$A$79</c:f>
              <c:strCache>
                <c:ptCount val="1"/>
                <c:pt idx="0">
                  <c:v>National</c:v>
                </c:pt>
              </c:strCache>
            </c:strRef>
          </c:tx>
          <c:spPr>
            <a:solidFill>
              <a:schemeClr val="tx2">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grade)'!$B$77:$F$77</c:f>
              <c:numCache>
                <c:formatCode>General</c:formatCode>
                <c:ptCount val="5"/>
                <c:pt idx="0">
                  <c:v>2021</c:v>
                </c:pt>
                <c:pt idx="1">
                  <c:v>2022</c:v>
                </c:pt>
                <c:pt idx="2">
                  <c:v>2023</c:v>
                </c:pt>
                <c:pt idx="3">
                  <c:v>2024</c:v>
                </c:pt>
                <c:pt idx="4">
                  <c:v>2025</c:v>
                </c:pt>
              </c:numCache>
            </c:numRef>
          </c:cat>
          <c:val>
            <c:numRef>
              <c:f>'B&amp;D (a-d grade)'!$B$79:$F$79</c:f>
              <c:numCache>
                <c:formatCode>General</c:formatCode>
                <c:ptCount val="5"/>
                <c:pt idx="0">
                  <c:v>22.44</c:v>
                </c:pt>
                <c:pt idx="1">
                  <c:v>21.6</c:v>
                </c:pt>
                <c:pt idx="2">
                  <c:v>21.82</c:v>
                </c:pt>
                <c:pt idx="3">
                  <c:v>21.05</c:v>
                </c:pt>
                <c:pt idx="4">
                  <c:v>21.81</c:v>
                </c:pt>
              </c:numCache>
            </c:numRef>
          </c:val>
          <c:extLst>
            <c:ext xmlns:c16="http://schemas.microsoft.com/office/drawing/2014/chart" uri="{C3380CC4-5D6E-409C-BE32-E72D297353CC}">
              <c16:uniqueId val="{00000001-43F1-45F8-B389-753E59A43A03}"/>
            </c:ext>
          </c:extLst>
        </c:ser>
        <c:dLbls>
          <c:dLblPos val="ctr"/>
          <c:showLegendKey val="0"/>
          <c:showVal val="1"/>
          <c:showCatName val="0"/>
          <c:showSerName val="0"/>
          <c:showPercent val="0"/>
          <c:showBubbleSize val="0"/>
        </c:dLbls>
        <c:gapWidth val="113"/>
        <c:overlap val="-27"/>
        <c:axId val="1958225408"/>
        <c:axId val="1958198752"/>
        <c:extLst>
          <c:ext xmlns:c15="http://schemas.microsoft.com/office/drawing/2012/chart" uri="{02D57815-91ED-43cb-92C2-25804820EDAC}">
            <c15:filteredBarSeries>
              <c15:ser>
                <c:idx val="2"/>
                <c:order val="2"/>
                <c:tx>
                  <c:strRef>
                    <c:extLst>
                      <c:ext uri="{02D57815-91ED-43cb-92C2-25804820EDAC}">
                        <c15:formulaRef>
                          <c15:sqref>'B&amp;D (a-d grade)'!$A$80</c15:sqref>
                        </c15:formulaRef>
                      </c:ext>
                    </c:extLst>
                    <c:strCache>
                      <c:ptCount val="1"/>
                      <c:pt idx="0">
                        <c:v>Virtual comparator</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'B&amp;D (a-d grade)'!$B$77:$F$77</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'B&amp;D (a-d grade)'!$B$80:$F$80</c15:sqref>
                        </c15:formulaRef>
                      </c:ext>
                    </c:extLst>
                    <c:numCache>
                      <c:formatCode>0.0</c:formatCode>
                      <c:ptCount val="5"/>
                      <c:pt idx="0">
                        <c:v>18.97</c:v>
                      </c:pt>
                      <c:pt idx="1">
                        <c:v>17.809999999999999</c:v>
                      </c:pt>
                      <c:pt idx="2">
                        <c:v>17.399999999999999</c:v>
                      </c:pt>
                      <c:pt idx="3">
                        <c:v>17.25</c:v>
                      </c:pt>
                      <c:pt idx="4">
                        <c:v>19.079999999999998</c:v>
                      </c:pt>
                    </c:numCache>
                  </c:numRef>
                </c:val>
                <c:extLst>
                  <c:ext xmlns:c16="http://schemas.microsoft.com/office/drawing/2014/chart" uri="{C3380CC4-5D6E-409C-BE32-E72D297353CC}">
                    <c16:uniqueId val="{00000002-43F1-45F8-B389-753E59A43A03}"/>
                  </c:ext>
                </c:extLst>
              </c15:ser>
            </c15:filteredBarSeries>
          </c:ext>
        </c:extLst>
      </c:barChart>
      <c:catAx>
        <c:axId val="195822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198752"/>
        <c:crosses val="autoZero"/>
        <c:auto val="1"/>
        <c:lblAlgn val="ctr"/>
        <c:lblOffset val="100"/>
        <c:noMultiLvlLbl val="0"/>
      </c:catAx>
      <c:valAx>
        <c:axId val="195819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2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'B&amp;D (a-d grade)'!$A$3</c:f>
              <c:strCache>
                <c:ptCount val="1"/>
                <c:pt idx="0">
                  <c:v>Inverclyde</c:v>
                </c:pt>
              </c:strCache>
            </c:strRef>
          </c:tx>
          <c:spPr>
            <a:solidFill>
              <a:srgbClr val="009999"/>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grade)'!$B$2:$F$2</c:f>
              <c:numCache>
                <c:formatCode>General</c:formatCode>
                <c:ptCount val="5"/>
                <c:pt idx="0">
                  <c:v>2021</c:v>
                </c:pt>
                <c:pt idx="1">
                  <c:v>2022</c:v>
                </c:pt>
                <c:pt idx="2">
                  <c:v>2023</c:v>
                </c:pt>
                <c:pt idx="3">
                  <c:v>2024</c:v>
                </c:pt>
                <c:pt idx="4">
                  <c:v>2025</c:v>
                </c:pt>
              </c:numCache>
            </c:numRef>
          </c:cat>
          <c:val>
            <c:numRef>
              <c:f>'B&amp;D (a-d grade)'!$B$3:$F$3</c:f>
              <c:numCache>
                <c:formatCode>General</c:formatCode>
                <c:ptCount val="5"/>
                <c:pt idx="0">
                  <c:v>25.41</c:v>
                </c:pt>
                <c:pt idx="1">
                  <c:v>29.31</c:v>
                </c:pt>
                <c:pt idx="2">
                  <c:v>21.34</c:v>
                </c:pt>
                <c:pt idx="3">
                  <c:v>18.8</c:v>
                </c:pt>
                <c:pt idx="4">
                  <c:v>20.170000000000002</c:v>
                </c:pt>
              </c:numCache>
            </c:numRef>
          </c:val>
          <c:extLst>
            <c:ext xmlns:c16="http://schemas.microsoft.com/office/drawing/2014/chart" uri="{C3380CC4-5D6E-409C-BE32-E72D297353CC}">
              <c16:uniqueId val="{00000000-133D-4529-916B-1A8B37D517C7}"/>
            </c:ext>
          </c:extLst>
        </c:ser>
        <c:ser>
          <c:idx val="1"/>
          <c:order val="1"/>
          <c:tx>
            <c:strRef>
              <c:f>'B&amp;D (a-d grade)'!$A$4</c:f>
              <c:strCache>
                <c:ptCount val="1"/>
                <c:pt idx="0">
                  <c:v>National</c:v>
                </c:pt>
              </c:strCache>
            </c:strRef>
          </c:tx>
          <c:spPr>
            <a:solidFill>
              <a:schemeClr val="tx2">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'B&amp;D (a-d grade)'!$B$2:$F$2</c:f>
              <c:numCache>
                <c:formatCode>General</c:formatCode>
                <c:ptCount val="5"/>
                <c:pt idx="0">
                  <c:v>2021</c:v>
                </c:pt>
                <c:pt idx="1">
                  <c:v>2022</c:v>
                </c:pt>
                <c:pt idx="2">
                  <c:v>2023</c:v>
                </c:pt>
                <c:pt idx="3">
                  <c:v>2024</c:v>
                </c:pt>
                <c:pt idx="4">
                  <c:v>2025</c:v>
                </c:pt>
              </c:numCache>
            </c:numRef>
          </c:cat>
          <c:val>
            <c:numRef>
              <c:f>'B&amp;D (a-d grade)'!$B$4:$F$4</c:f>
              <c:numCache>
                <c:formatCode>General</c:formatCode>
                <c:ptCount val="5"/>
                <c:pt idx="0">
                  <c:v>25.27</c:v>
                </c:pt>
                <c:pt idx="1">
                  <c:v>25.5</c:v>
                </c:pt>
                <c:pt idx="2">
                  <c:v>23.71</c:v>
                </c:pt>
                <c:pt idx="3">
                  <c:v>23.04</c:v>
                </c:pt>
                <c:pt idx="4">
                  <c:v>22.36</c:v>
                </c:pt>
              </c:numCache>
            </c:numRef>
          </c:val>
          <c:extLst>
            <c:ext xmlns:c16="http://schemas.microsoft.com/office/drawing/2014/chart" uri="{C3380CC4-5D6E-409C-BE32-E72D297353CC}">
              <c16:uniqueId val="{00000001-133D-4529-916B-1A8B37D517C7}"/>
            </c:ext>
          </c:extLst>
        </c:ser>
        <c:dLbls>
          <c:dLblPos val="outEnd"/>
          <c:showLegendKey val="0"/>
          <c:showVal val="1"/>
          <c:showCatName val="0"/>
          <c:showSerName val="0"/>
          <c:showPercent val="0"/>
          <c:showBubbleSize val="0"/>
        </c:dLbls>
        <c:gapWidth val="113"/>
        <c:overlap val="-27"/>
        <c:axId val="1958201472"/>
        <c:axId val="1958221600"/>
        <c:extLst>
          <c:ext xmlns:c15="http://schemas.microsoft.com/office/drawing/2012/chart" uri="{02D57815-91ED-43cb-92C2-25804820EDAC}">
            <c15:filteredBarSeries>
              <c15:ser>
                <c:idx val="2"/>
                <c:order val="2"/>
                <c:tx>
                  <c:strRef>
                    <c:extLst>
                      <c:ext uri="{02D57815-91ED-43cb-92C2-25804820EDAC}">
                        <c15:formulaRef>
                          <c15:sqref>'B&amp;D (a-d grade)'!$A$5</c15:sqref>
                        </c15:formulaRef>
                      </c:ext>
                    </c:extLst>
                    <c:strCache>
                      <c:ptCount val="1"/>
                      <c:pt idx="0">
                        <c:v>Virtual comparator</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'B&amp;D (a-d grade)'!$B$2:$F$2</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'B&amp;D (a-d grade)'!$B$5:$F$5</c15:sqref>
                        </c15:formulaRef>
                      </c:ext>
                    </c:extLst>
                    <c:numCache>
                      <c:formatCode>0.0</c:formatCode>
                      <c:ptCount val="5"/>
                      <c:pt idx="0">
                        <c:v>20.420000000000002</c:v>
                      </c:pt>
                      <c:pt idx="1">
                        <c:v>21.26</c:v>
                      </c:pt>
                      <c:pt idx="2">
                        <c:v>20.11</c:v>
                      </c:pt>
                      <c:pt idx="3">
                        <c:v>19.46</c:v>
                      </c:pt>
                      <c:pt idx="4">
                        <c:v>18.510000000000002</c:v>
                      </c:pt>
                    </c:numCache>
                  </c:numRef>
                </c:val>
                <c:extLst>
                  <c:ext xmlns:c16="http://schemas.microsoft.com/office/drawing/2014/chart" uri="{C3380CC4-5D6E-409C-BE32-E72D297353CC}">
                    <c16:uniqueId val="{00000002-133D-4529-916B-1A8B37D517C7}"/>
                  </c:ext>
                </c:extLst>
              </c15:ser>
            </c15:filteredBarSeries>
          </c:ext>
        </c:extLst>
      </c:barChart>
      <c:catAx>
        <c:axId val="195820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21600"/>
        <c:crosses val="autoZero"/>
        <c:auto val="1"/>
        <c:lblAlgn val="ctr"/>
        <c:lblOffset val="100"/>
        <c:noMultiLvlLbl val="0"/>
      </c:catAx>
      <c:valAx>
        <c:axId val="195822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0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ACEL S3 (Level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ACEL!$AL$25</c:f>
              <c:strCache>
                <c:ptCount val="1"/>
                <c:pt idx="0">
                  <c:v>2021-22</c:v>
                </c:pt>
              </c:strCache>
            </c:strRef>
          </c:tx>
          <c:spPr>
            <a:solidFill>
              <a:schemeClr val="accent3">
                <a:shade val="58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ACEL!$AJ$26:$AK$29</c:f>
              <c:multiLvlStrCache>
                <c:ptCount val="4"/>
                <c:lvl>
                  <c:pt idx="0">
                    <c:v>Inverclyde</c:v>
                  </c:pt>
                  <c:pt idx="1">
                    <c:v>National</c:v>
                  </c:pt>
                  <c:pt idx="2">
                    <c:v>Inverclyde</c:v>
                  </c:pt>
                  <c:pt idx="3">
                    <c:v>National</c:v>
                  </c:pt>
                </c:lvl>
                <c:lvl>
                  <c:pt idx="0">
                    <c:v>Literacy</c:v>
                  </c:pt>
                  <c:pt idx="2">
                    <c:v>Numeracy</c:v>
                  </c:pt>
                </c:lvl>
              </c:multiLvlStrCache>
            </c:multiLvlStrRef>
          </c:cat>
          <c:val>
            <c:numRef>
              <c:f>ACEL!$AL$26:$AL$29</c:f>
              <c:numCache>
                <c:formatCode>General</c:formatCode>
                <c:ptCount val="4"/>
                <c:pt idx="0">
                  <c:v>40</c:v>
                </c:pt>
                <c:pt idx="1">
                  <c:v>48</c:v>
                </c:pt>
                <c:pt idx="2">
                  <c:v>52</c:v>
                </c:pt>
                <c:pt idx="3">
                  <c:v>59</c:v>
                </c:pt>
              </c:numCache>
            </c:numRef>
          </c:val>
          <c:extLst>
            <c:ext xmlns:c16="http://schemas.microsoft.com/office/drawing/2014/chart" uri="{C3380CC4-5D6E-409C-BE32-E72D297353CC}">
              <c16:uniqueId val="{00000000-53D5-4FC6-AD5B-89C1CF50BD51}"/>
            </c:ext>
          </c:extLst>
        </c:ser>
        <c:ser>
          <c:idx val="1"/>
          <c:order val="1"/>
          <c:tx>
            <c:strRef>
              <c:f>ACEL!$AM$25</c:f>
              <c:strCache>
                <c:ptCount val="1"/>
                <c:pt idx="0">
                  <c:v>2022-23</c:v>
                </c:pt>
              </c:strCache>
            </c:strRef>
          </c:tx>
          <c:spPr>
            <a:solidFill>
              <a:schemeClr val="accent3">
                <a:shade val="8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ACEL!$AJ$26:$AK$29</c:f>
              <c:multiLvlStrCache>
                <c:ptCount val="4"/>
                <c:lvl>
                  <c:pt idx="0">
                    <c:v>Inverclyde</c:v>
                  </c:pt>
                  <c:pt idx="1">
                    <c:v>National</c:v>
                  </c:pt>
                  <c:pt idx="2">
                    <c:v>Inverclyde</c:v>
                  </c:pt>
                  <c:pt idx="3">
                    <c:v>National</c:v>
                  </c:pt>
                </c:lvl>
                <c:lvl>
                  <c:pt idx="0">
                    <c:v>Literacy</c:v>
                  </c:pt>
                  <c:pt idx="2">
                    <c:v>Numeracy</c:v>
                  </c:pt>
                </c:lvl>
              </c:multiLvlStrCache>
            </c:multiLvlStrRef>
          </c:cat>
          <c:val>
            <c:numRef>
              <c:f>ACEL!$AM$26:$AM$29</c:f>
              <c:numCache>
                <c:formatCode>General</c:formatCode>
                <c:ptCount val="4"/>
                <c:pt idx="0">
                  <c:v>52</c:v>
                </c:pt>
                <c:pt idx="1">
                  <c:v>56</c:v>
                </c:pt>
                <c:pt idx="2">
                  <c:v>51</c:v>
                </c:pt>
                <c:pt idx="3">
                  <c:v>63</c:v>
                </c:pt>
              </c:numCache>
            </c:numRef>
          </c:val>
          <c:extLst>
            <c:ext xmlns:c16="http://schemas.microsoft.com/office/drawing/2014/chart" uri="{C3380CC4-5D6E-409C-BE32-E72D297353CC}">
              <c16:uniqueId val="{00000001-53D5-4FC6-AD5B-89C1CF50BD51}"/>
            </c:ext>
          </c:extLst>
        </c:ser>
        <c:ser>
          <c:idx val="2"/>
          <c:order val="2"/>
          <c:tx>
            <c:strRef>
              <c:f>ACEL!$AN$25</c:f>
              <c:strCache>
                <c:ptCount val="1"/>
                <c:pt idx="0">
                  <c:v>2023-24</c:v>
                </c:pt>
              </c:strCache>
            </c:strRef>
          </c:tx>
          <c:spPr>
            <a:solidFill>
              <a:schemeClr val="accent3">
                <a:tint val="8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ACEL!$AJ$26:$AK$29</c:f>
              <c:multiLvlStrCache>
                <c:ptCount val="4"/>
                <c:lvl>
                  <c:pt idx="0">
                    <c:v>Inverclyde</c:v>
                  </c:pt>
                  <c:pt idx="1">
                    <c:v>National</c:v>
                  </c:pt>
                  <c:pt idx="2">
                    <c:v>Inverclyde</c:v>
                  </c:pt>
                  <c:pt idx="3">
                    <c:v>National</c:v>
                  </c:pt>
                </c:lvl>
                <c:lvl>
                  <c:pt idx="0">
                    <c:v>Literacy</c:v>
                  </c:pt>
                  <c:pt idx="2">
                    <c:v>Numeracy</c:v>
                  </c:pt>
                </c:lvl>
              </c:multiLvlStrCache>
            </c:multiLvlStrRef>
          </c:cat>
          <c:val>
            <c:numRef>
              <c:f>ACEL!$AN$26:$AN$29</c:f>
              <c:numCache>
                <c:formatCode>General</c:formatCode>
                <c:ptCount val="4"/>
                <c:pt idx="0">
                  <c:v>52</c:v>
                </c:pt>
                <c:pt idx="1">
                  <c:v>58</c:v>
                </c:pt>
                <c:pt idx="2">
                  <c:v>57</c:v>
                </c:pt>
                <c:pt idx="3">
                  <c:v>65</c:v>
                </c:pt>
              </c:numCache>
            </c:numRef>
          </c:val>
          <c:extLst>
            <c:ext xmlns:c16="http://schemas.microsoft.com/office/drawing/2014/chart" uri="{C3380CC4-5D6E-409C-BE32-E72D297353CC}">
              <c16:uniqueId val="{00000002-53D5-4FC6-AD5B-89C1CF50BD51}"/>
            </c:ext>
          </c:extLst>
        </c:ser>
        <c:ser>
          <c:idx val="3"/>
          <c:order val="3"/>
          <c:tx>
            <c:strRef>
              <c:f>ACEL!$AO$25</c:f>
              <c:strCache>
                <c:ptCount val="1"/>
                <c:pt idx="0">
                  <c:v>2024-25</c:v>
                </c:pt>
              </c:strCache>
            </c:strRef>
          </c:tx>
          <c:spPr>
            <a:solidFill>
              <a:schemeClr val="accent3">
                <a:tint val="58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ACEL!$AJ$26:$AK$29</c:f>
              <c:multiLvlStrCache>
                <c:ptCount val="4"/>
                <c:lvl>
                  <c:pt idx="0">
                    <c:v>Inverclyde</c:v>
                  </c:pt>
                  <c:pt idx="1">
                    <c:v>National</c:v>
                  </c:pt>
                  <c:pt idx="2">
                    <c:v>Inverclyde</c:v>
                  </c:pt>
                  <c:pt idx="3">
                    <c:v>National</c:v>
                  </c:pt>
                </c:lvl>
                <c:lvl>
                  <c:pt idx="0">
                    <c:v>Literacy</c:v>
                  </c:pt>
                  <c:pt idx="2">
                    <c:v>Numeracy</c:v>
                  </c:pt>
                </c:lvl>
              </c:multiLvlStrCache>
            </c:multiLvlStrRef>
          </c:cat>
          <c:val>
            <c:numRef>
              <c:f>ACEL!$AO$26:$AO$29</c:f>
              <c:numCache>
                <c:formatCode>General</c:formatCode>
                <c:ptCount val="4"/>
                <c:pt idx="0">
                  <c:v>59</c:v>
                </c:pt>
                <c:pt idx="1">
                  <c:v>63</c:v>
                </c:pt>
                <c:pt idx="2">
                  <c:v>61</c:v>
                </c:pt>
                <c:pt idx="3">
                  <c:v>68</c:v>
                </c:pt>
              </c:numCache>
            </c:numRef>
          </c:val>
          <c:extLst>
            <c:ext xmlns:c16="http://schemas.microsoft.com/office/drawing/2014/chart" uri="{C3380CC4-5D6E-409C-BE32-E72D297353CC}">
              <c16:uniqueId val="{00000003-53D5-4FC6-AD5B-89C1CF50BD51}"/>
            </c:ext>
          </c:extLst>
        </c:ser>
        <c:dLbls>
          <c:dLblPos val="ctr"/>
          <c:showLegendKey val="0"/>
          <c:showVal val="1"/>
          <c:showCatName val="0"/>
          <c:showSerName val="0"/>
          <c:showPercent val="0"/>
          <c:showBubbleSize val="0"/>
        </c:dLbls>
        <c:gapWidth val="219"/>
        <c:overlap val="-27"/>
        <c:axId val="1358302080"/>
        <c:axId val="1358306400"/>
      </c:barChart>
      <c:catAx>
        <c:axId val="135830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306400"/>
        <c:crosses val="autoZero"/>
        <c:auto val="1"/>
        <c:lblAlgn val="ctr"/>
        <c:lblOffset val="100"/>
        <c:noMultiLvlLbl val="0"/>
      </c:catAx>
      <c:valAx>
        <c:axId val="1358306400"/>
        <c:scaling>
          <c:orientation val="minMax"/>
        </c:scaling>
        <c:delete val="1"/>
        <c:axPos val="l"/>
        <c:numFmt formatCode="General" sourceLinked="1"/>
        <c:majorTickMark val="none"/>
        <c:minorTickMark val="none"/>
        <c:tickLblPos val="nextTo"/>
        <c:crossAx val="135830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Critical Incidents 2024/25 -</a:t>
            </a:r>
            <a:r>
              <a:rPr lang="en-GB" baseline="0"/>
              <a:t> 2025/26</a:t>
            </a:r>
            <a:endParaRPr lang="en-GB"/>
          </a:p>
        </c:rich>
      </c:tx>
      <c:layout>
        <c:manualLayout>
          <c:xMode val="edge"/>
          <c:yMode val="edge"/>
          <c:x val="0.11510492810858169"/>
          <c:y val="4.244996967859308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04/2024 to 03/2025</c:v>
                </c:pt>
              </c:strCache>
            </c:strRef>
          </c:tx>
          <c:spPr>
            <a:solidFill>
              <a:schemeClr val="accent4">
                <a:shade val="76000"/>
              </a:schemeClr>
            </a:solidFill>
            <a:ln>
              <a:noFill/>
            </a:ln>
            <a:effectLst/>
          </c:spPr>
          <c:invertIfNegative val="0"/>
          <c:cat>
            <c:strRef>
              <c:f>Sheet1!$A$2:$A$3</c:f>
              <c:strCache>
                <c:ptCount val="2"/>
                <c:pt idx="0">
                  <c:v>Incidents</c:v>
                </c:pt>
                <c:pt idx="1">
                  <c:v>Individuals</c:v>
                </c:pt>
              </c:strCache>
            </c:strRef>
          </c:cat>
          <c:val>
            <c:numRef>
              <c:f>Sheet1!$B$2:$B$3</c:f>
              <c:numCache>
                <c:formatCode>General</c:formatCode>
                <c:ptCount val="2"/>
                <c:pt idx="0">
                  <c:v>354</c:v>
                </c:pt>
                <c:pt idx="1">
                  <c:v>92</c:v>
                </c:pt>
              </c:numCache>
            </c:numRef>
          </c:val>
          <c:extLst>
            <c:ext xmlns:c16="http://schemas.microsoft.com/office/drawing/2014/chart" uri="{C3380CC4-5D6E-409C-BE32-E72D297353CC}">
              <c16:uniqueId val="{00000000-F66E-49A7-9DC3-6C2B824CB157}"/>
            </c:ext>
          </c:extLst>
        </c:ser>
        <c:ser>
          <c:idx val="1"/>
          <c:order val="1"/>
          <c:tx>
            <c:strRef>
              <c:f>Sheet1!$C$1</c:f>
              <c:strCache>
                <c:ptCount val="1"/>
                <c:pt idx="0">
                  <c:v>04/2025 to 03/2026</c:v>
                </c:pt>
              </c:strCache>
            </c:strRef>
          </c:tx>
          <c:spPr>
            <a:solidFill>
              <a:schemeClr val="accent4">
                <a:tint val="77000"/>
              </a:schemeClr>
            </a:solidFill>
            <a:ln>
              <a:noFill/>
            </a:ln>
            <a:effectLst/>
          </c:spPr>
          <c:invertIfNegative val="0"/>
          <c:cat>
            <c:strRef>
              <c:f>Sheet1!$A$2:$A$3</c:f>
              <c:strCache>
                <c:ptCount val="2"/>
                <c:pt idx="0">
                  <c:v>Incidents</c:v>
                </c:pt>
                <c:pt idx="1">
                  <c:v>Individuals</c:v>
                </c:pt>
              </c:strCache>
            </c:strRef>
          </c:cat>
          <c:val>
            <c:numRef>
              <c:f>Sheet1!$C$2:$C$3</c:f>
              <c:numCache>
                <c:formatCode>General</c:formatCode>
                <c:ptCount val="2"/>
                <c:pt idx="0">
                  <c:v>293</c:v>
                </c:pt>
                <c:pt idx="1">
                  <c:v>94</c:v>
                </c:pt>
              </c:numCache>
            </c:numRef>
          </c:val>
          <c:extLst>
            <c:ext xmlns:c16="http://schemas.microsoft.com/office/drawing/2014/chart" uri="{C3380CC4-5D6E-409C-BE32-E72D297353CC}">
              <c16:uniqueId val="{00000001-F66E-49A7-9DC3-6C2B824CB157}"/>
            </c:ext>
          </c:extLst>
        </c:ser>
        <c:dLbls>
          <c:showLegendKey val="0"/>
          <c:showVal val="0"/>
          <c:showCatName val="0"/>
          <c:showSerName val="0"/>
          <c:showPercent val="0"/>
          <c:showBubbleSize val="0"/>
        </c:dLbls>
        <c:gapWidth val="219"/>
        <c:overlap val="-27"/>
        <c:axId val="1659728464"/>
        <c:axId val="1659745264"/>
      </c:barChart>
      <c:catAx>
        <c:axId val="165972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745264"/>
        <c:crosses val="autoZero"/>
        <c:auto val="1"/>
        <c:lblAlgn val="ctr"/>
        <c:lblOffset val="100"/>
        <c:noMultiLvlLbl val="0"/>
      </c:catAx>
      <c:valAx>
        <c:axId val="165974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72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ACEL!$E$26</c:f>
              <c:strCache>
                <c:ptCount val="1"/>
                <c:pt idx="0">
                  <c:v>2020-21</c:v>
                </c:pt>
              </c:strCache>
            </c:strRef>
          </c:tx>
          <c:spPr>
            <a:solidFill>
              <a:schemeClr val="accent3">
                <a:shade val="53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ACEL!$C$27:$D$30</c:f>
              <c:multiLvlStrCache>
                <c:ptCount val="4"/>
                <c:lvl>
                  <c:pt idx="0">
                    <c:v>Inverclyde</c:v>
                  </c:pt>
                  <c:pt idx="1">
                    <c:v>National</c:v>
                  </c:pt>
                  <c:pt idx="2">
                    <c:v>Inverclyde</c:v>
                  </c:pt>
                  <c:pt idx="3">
                    <c:v>National</c:v>
                  </c:pt>
                </c:lvl>
                <c:lvl>
                  <c:pt idx="0">
                    <c:v>Literacy</c:v>
                  </c:pt>
                  <c:pt idx="2">
                    <c:v>Numeracy</c:v>
                  </c:pt>
                </c:lvl>
              </c:multiLvlStrCache>
            </c:multiLvlStrRef>
          </c:cat>
          <c:val>
            <c:numRef>
              <c:f>ACEL!$E$27:$E$30</c:f>
              <c:numCache>
                <c:formatCode>0.0</c:formatCode>
                <c:ptCount val="4"/>
                <c:pt idx="0" formatCode="General">
                  <c:v>67.900000000000006</c:v>
                </c:pt>
                <c:pt idx="1">
                  <c:v>66.877499266000001</c:v>
                </c:pt>
                <c:pt idx="2">
                  <c:v>74.5</c:v>
                </c:pt>
                <c:pt idx="3">
                  <c:v>74.690638798999998</c:v>
                </c:pt>
              </c:numCache>
            </c:numRef>
          </c:val>
          <c:extLst>
            <c:ext xmlns:c16="http://schemas.microsoft.com/office/drawing/2014/chart" uri="{C3380CC4-5D6E-409C-BE32-E72D297353CC}">
              <c16:uniqueId val="{00000000-98FA-4E2F-96AB-FC8F2E7B337D}"/>
            </c:ext>
          </c:extLst>
        </c:ser>
        <c:ser>
          <c:idx val="1"/>
          <c:order val="1"/>
          <c:tx>
            <c:strRef>
              <c:f>ACEL!$F$26</c:f>
              <c:strCache>
                <c:ptCount val="1"/>
                <c:pt idx="0">
                  <c:v>2021-22</c:v>
                </c:pt>
              </c:strCache>
            </c:strRef>
          </c:tx>
          <c:spPr>
            <a:solidFill>
              <a:schemeClr val="accent3">
                <a:shade val="7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ACEL!$C$27:$D$30</c:f>
              <c:multiLvlStrCache>
                <c:ptCount val="4"/>
                <c:lvl>
                  <c:pt idx="0">
                    <c:v>Inverclyde</c:v>
                  </c:pt>
                  <c:pt idx="1">
                    <c:v>National</c:v>
                  </c:pt>
                  <c:pt idx="2">
                    <c:v>Inverclyde</c:v>
                  </c:pt>
                  <c:pt idx="3">
                    <c:v>National</c:v>
                  </c:pt>
                </c:lvl>
                <c:lvl>
                  <c:pt idx="0">
                    <c:v>Literacy</c:v>
                  </c:pt>
                  <c:pt idx="2">
                    <c:v>Numeracy</c:v>
                  </c:pt>
                </c:lvl>
              </c:multiLvlStrCache>
            </c:multiLvlStrRef>
          </c:cat>
          <c:val>
            <c:numRef>
              <c:f>ACEL!$F$27:$F$30</c:f>
              <c:numCache>
                <c:formatCode>0.0</c:formatCode>
                <c:ptCount val="4"/>
                <c:pt idx="0" formatCode="General">
                  <c:v>73.7</c:v>
                </c:pt>
                <c:pt idx="1">
                  <c:v>70.5</c:v>
                </c:pt>
                <c:pt idx="2">
                  <c:v>80.099999999999994</c:v>
                </c:pt>
                <c:pt idx="3">
                  <c:v>77.900000000000006</c:v>
                </c:pt>
              </c:numCache>
            </c:numRef>
          </c:val>
          <c:extLst>
            <c:ext xmlns:c16="http://schemas.microsoft.com/office/drawing/2014/chart" uri="{C3380CC4-5D6E-409C-BE32-E72D297353CC}">
              <c16:uniqueId val="{00000001-98FA-4E2F-96AB-FC8F2E7B337D}"/>
            </c:ext>
          </c:extLst>
        </c:ser>
        <c:ser>
          <c:idx val="2"/>
          <c:order val="2"/>
          <c:tx>
            <c:strRef>
              <c:f>ACEL!$G$26</c:f>
              <c:strCache>
                <c:ptCount val="1"/>
                <c:pt idx="0">
                  <c:v>2022-23</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ACEL!$C$27:$D$30</c:f>
              <c:multiLvlStrCache>
                <c:ptCount val="4"/>
                <c:lvl>
                  <c:pt idx="0">
                    <c:v>Inverclyde</c:v>
                  </c:pt>
                  <c:pt idx="1">
                    <c:v>National</c:v>
                  </c:pt>
                  <c:pt idx="2">
                    <c:v>Inverclyde</c:v>
                  </c:pt>
                  <c:pt idx="3">
                    <c:v>National</c:v>
                  </c:pt>
                </c:lvl>
                <c:lvl>
                  <c:pt idx="0">
                    <c:v>Literacy</c:v>
                  </c:pt>
                  <c:pt idx="2">
                    <c:v>Numeracy</c:v>
                  </c:pt>
                </c:lvl>
              </c:multiLvlStrCache>
            </c:multiLvlStrRef>
          </c:cat>
          <c:val>
            <c:numRef>
              <c:f>ACEL!$G$27:$G$30</c:f>
              <c:numCache>
                <c:formatCode>0.0</c:formatCode>
                <c:ptCount val="4"/>
                <c:pt idx="0">
                  <c:v>76.376554174000006</c:v>
                </c:pt>
                <c:pt idx="1">
                  <c:v>72.740965662999997</c:v>
                </c:pt>
                <c:pt idx="2">
                  <c:v>83.296509059000002</c:v>
                </c:pt>
                <c:pt idx="3">
                  <c:v>79.603108188999997</c:v>
                </c:pt>
              </c:numCache>
            </c:numRef>
          </c:val>
          <c:extLst>
            <c:ext xmlns:c16="http://schemas.microsoft.com/office/drawing/2014/chart" uri="{C3380CC4-5D6E-409C-BE32-E72D297353CC}">
              <c16:uniqueId val="{00000002-98FA-4E2F-96AB-FC8F2E7B337D}"/>
            </c:ext>
          </c:extLst>
        </c:ser>
        <c:ser>
          <c:idx val="3"/>
          <c:order val="3"/>
          <c:tx>
            <c:strRef>
              <c:f>ACEL!$H$26</c:f>
              <c:strCache>
                <c:ptCount val="1"/>
                <c:pt idx="0">
                  <c:v>2023-24</c:v>
                </c:pt>
              </c:strCache>
            </c:strRef>
          </c:tx>
          <c:spPr>
            <a:solidFill>
              <a:schemeClr val="accent3">
                <a:tint val="77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ACEL!$C$27:$D$30</c:f>
              <c:multiLvlStrCache>
                <c:ptCount val="4"/>
                <c:lvl>
                  <c:pt idx="0">
                    <c:v>Inverclyde</c:v>
                  </c:pt>
                  <c:pt idx="1">
                    <c:v>National</c:v>
                  </c:pt>
                  <c:pt idx="2">
                    <c:v>Inverclyde</c:v>
                  </c:pt>
                  <c:pt idx="3">
                    <c:v>National</c:v>
                  </c:pt>
                </c:lvl>
                <c:lvl>
                  <c:pt idx="0">
                    <c:v>Literacy</c:v>
                  </c:pt>
                  <c:pt idx="2">
                    <c:v>Numeracy</c:v>
                  </c:pt>
                </c:lvl>
              </c:multiLvlStrCache>
            </c:multiLvlStrRef>
          </c:cat>
          <c:val>
            <c:numRef>
              <c:f>ACEL!$H$27:$H$30</c:f>
              <c:numCache>
                <c:formatCode>0.0</c:formatCode>
                <c:ptCount val="4"/>
                <c:pt idx="0">
                  <c:v>76.486860300000004</c:v>
                </c:pt>
                <c:pt idx="1">
                  <c:v>73.992534559999996</c:v>
                </c:pt>
                <c:pt idx="2">
                  <c:v>81.663602940000004</c:v>
                </c:pt>
                <c:pt idx="3">
                  <c:v>80.291381490000006</c:v>
                </c:pt>
              </c:numCache>
            </c:numRef>
          </c:val>
          <c:extLst>
            <c:ext xmlns:c16="http://schemas.microsoft.com/office/drawing/2014/chart" uri="{C3380CC4-5D6E-409C-BE32-E72D297353CC}">
              <c16:uniqueId val="{00000003-98FA-4E2F-96AB-FC8F2E7B337D}"/>
            </c:ext>
          </c:extLst>
        </c:ser>
        <c:ser>
          <c:idx val="4"/>
          <c:order val="4"/>
          <c:tx>
            <c:strRef>
              <c:f>ACEL!$I$26</c:f>
              <c:strCache>
                <c:ptCount val="1"/>
                <c:pt idx="0">
                  <c:v>2024-25</c:v>
                </c:pt>
              </c:strCache>
            </c:strRef>
          </c:tx>
          <c:spPr>
            <a:solidFill>
              <a:schemeClr val="accent3">
                <a:tint val="54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ACEL!$C$27:$D$30</c:f>
              <c:multiLvlStrCache>
                <c:ptCount val="4"/>
                <c:lvl>
                  <c:pt idx="0">
                    <c:v>Inverclyde</c:v>
                  </c:pt>
                  <c:pt idx="1">
                    <c:v>National</c:v>
                  </c:pt>
                  <c:pt idx="2">
                    <c:v>Inverclyde</c:v>
                  </c:pt>
                  <c:pt idx="3">
                    <c:v>National</c:v>
                  </c:pt>
                </c:lvl>
                <c:lvl>
                  <c:pt idx="0">
                    <c:v>Literacy</c:v>
                  </c:pt>
                  <c:pt idx="2">
                    <c:v>Numeracy</c:v>
                  </c:pt>
                </c:lvl>
              </c:multiLvlStrCache>
            </c:multiLvlStrRef>
          </c:cat>
          <c:val>
            <c:numRef>
              <c:f>ACEL!$I$27:$I$30</c:f>
              <c:numCache>
                <c:formatCode>0.0</c:formatCode>
                <c:ptCount val="4"/>
                <c:pt idx="0">
                  <c:v>77.279236280000006</c:v>
                </c:pt>
                <c:pt idx="1">
                  <c:v>74.531070639999996</c:v>
                </c:pt>
                <c:pt idx="2">
                  <c:v>82.324916630000004</c:v>
                </c:pt>
                <c:pt idx="3">
                  <c:v>80.297250680000005</c:v>
                </c:pt>
              </c:numCache>
            </c:numRef>
          </c:val>
          <c:extLst>
            <c:ext xmlns:c16="http://schemas.microsoft.com/office/drawing/2014/chart" uri="{C3380CC4-5D6E-409C-BE32-E72D297353CC}">
              <c16:uniqueId val="{00000004-98FA-4E2F-96AB-FC8F2E7B337D}"/>
            </c:ext>
          </c:extLst>
        </c:ser>
        <c:dLbls>
          <c:dLblPos val="ctr"/>
          <c:showLegendKey val="0"/>
          <c:showVal val="1"/>
          <c:showCatName val="0"/>
          <c:showSerName val="0"/>
          <c:showPercent val="0"/>
          <c:showBubbleSize val="0"/>
        </c:dLbls>
        <c:gapWidth val="219"/>
        <c:overlap val="-27"/>
        <c:axId val="903668464"/>
        <c:axId val="903663664"/>
      </c:barChart>
      <c:catAx>
        <c:axId val="90366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663664"/>
        <c:crosses val="autoZero"/>
        <c:auto val="1"/>
        <c:lblAlgn val="ctr"/>
        <c:lblOffset val="100"/>
        <c:noMultiLvlLbl val="0"/>
      </c:catAx>
      <c:valAx>
        <c:axId val="903663664"/>
        <c:scaling>
          <c:orientation val="minMax"/>
        </c:scaling>
        <c:delete val="1"/>
        <c:axPos val="l"/>
        <c:numFmt formatCode="General" sourceLinked="1"/>
        <c:majorTickMark val="none"/>
        <c:minorTickMark val="none"/>
        <c:tickLblPos val="nextTo"/>
        <c:crossAx val="90366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ACEL!$E$40:$E$41</c:f>
              <c:strCache>
                <c:ptCount val="2"/>
                <c:pt idx="0">
                  <c:v>Literacy</c:v>
                </c:pt>
                <c:pt idx="1">
                  <c:v>SIMD 1-2</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ACEL!$D$42:$D$46</c:f>
              <c:strCache>
                <c:ptCount val="5"/>
                <c:pt idx="0">
                  <c:v>2020-21</c:v>
                </c:pt>
                <c:pt idx="1">
                  <c:v>2021-22</c:v>
                </c:pt>
                <c:pt idx="2">
                  <c:v>2022-23</c:v>
                </c:pt>
                <c:pt idx="3">
                  <c:v>2023/24</c:v>
                </c:pt>
                <c:pt idx="4">
                  <c:v>2024/25</c:v>
                </c:pt>
              </c:strCache>
            </c:strRef>
          </c:cat>
          <c:val>
            <c:numRef>
              <c:f>ACEL!$E$42:$E$46</c:f>
              <c:numCache>
                <c:formatCode>0.0%</c:formatCode>
                <c:ptCount val="5"/>
                <c:pt idx="0">
                  <c:v>0.55200000000000005</c:v>
                </c:pt>
                <c:pt idx="1">
                  <c:v>0.65569999999999995</c:v>
                </c:pt>
                <c:pt idx="2">
                  <c:v>0.67</c:v>
                </c:pt>
                <c:pt idx="3">
                  <c:v>0.70084666039510823</c:v>
                </c:pt>
                <c:pt idx="4">
                  <c:v>0.69637610186092103</c:v>
                </c:pt>
              </c:numCache>
            </c:numRef>
          </c:val>
          <c:extLst>
            <c:ext xmlns:c16="http://schemas.microsoft.com/office/drawing/2014/chart" uri="{C3380CC4-5D6E-409C-BE32-E72D297353CC}">
              <c16:uniqueId val="{00000000-8A5E-4764-902A-B4808F1927B1}"/>
            </c:ext>
          </c:extLst>
        </c:ser>
        <c:ser>
          <c:idx val="1"/>
          <c:order val="1"/>
          <c:tx>
            <c:strRef>
              <c:f>ACEL!$F$40:$F$41</c:f>
              <c:strCache>
                <c:ptCount val="2"/>
                <c:pt idx="0">
                  <c:v>Literacy</c:v>
                </c:pt>
                <c:pt idx="1">
                  <c:v>SIMD 3-10</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ACEL!$D$42:$D$46</c:f>
              <c:strCache>
                <c:ptCount val="5"/>
                <c:pt idx="0">
                  <c:v>2020-21</c:v>
                </c:pt>
                <c:pt idx="1">
                  <c:v>2021-22</c:v>
                </c:pt>
                <c:pt idx="2">
                  <c:v>2022-23</c:v>
                </c:pt>
                <c:pt idx="3">
                  <c:v>2023/24</c:v>
                </c:pt>
                <c:pt idx="4">
                  <c:v>2024/25</c:v>
                </c:pt>
              </c:strCache>
            </c:strRef>
          </c:cat>
          <c:val>
            <c:numRef>
              <c:f>ACEL!$F$42:$F$46</c:f>
              <c:numCache>
                <c:formatCode>0.0%</c:formatCode>
                <c:ptCount val="5"/>
                <c:pt idx="0">
                  <c:v>0.79200000000000004</c:v>
                </c:pt>
                <c:pt idx="1">
                  <c:v>0.86099999999999999</c:v>
                </c:pt>
                <c:pt idx="2">
                  <c:v>0.84</c:v>
                </c:pt>
                <c:pt idx="3">
                  <c:v>0.82976436698865141</c:v>
                </c:pt>
                <c:pt idx="4">
                  <c:v>0.85144957873616367</c:v>
                </c:pt>
              </c:numCache>
            </c:numRef>
          </c:val>
          <c:extLst>
            <c:ext xmlns:c16="http://schemas.microsoft.com/office/drawing/2014/chart" uri="{C3380CC4-5D6E-409C-BE32-E72D297353CC}">
              <c16:uniqueId val="{00000001-8A5E-4764-902A-B4808F1927B1}"/>
            </c:ext>
          </c:extLst>
        </c:ser>
        <c:ser>
          <c:idx val="2"/>
          <c:order val="2"/>
          <c:tx>
            <c:strRef>
              <c:f>ACEL!$G$40:$G$41</c:f>
              <c:strCache>
                <c:ptCount val="2"/>
                <c:pt idx="0">
                  <c:v>Literacy</c:v>
                </c:pt>
                <c:pt idx="1">
                  <c:v>GAP</c:v>
                </c:pt>
              </c:strCache>
            </c:strRef>
          </c:tx>
          <c:spPr>
            <a:solidFill>
              <a:schemeClr val="accent6">
                <a:lumMod val="40000"/>
                <a:lumOff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ACEL!$D$42:$D$46</c:f>
              <c:strCache>
                <c:ptCount val="5"/>
                <c:pt idx="0">
                  <c:v>2020-21</c:v>
                </c:pt>
                <c:pt idx="1">
                  <c:v>2021-22</c:v>
                </c:pt>
                <c:pt idx="2">
                  <c:v>2022-23</c:v>
                </c:pt>
                <c:pt idx="3">
                  <c:v>2023/24</c:v>
                </c:pt>
                <c:pt idx="4">
                  <c:v>2024/25</c:v>
                </c:pt>
              </c:strCache>
            </c:strRef>
          </c:cat>
          <c:val>
            <c:numRef>
              <c:f>ACEL!$G$42:$G$46</c:f>
              <c:numCache>
                <c:formatCode>0.0%</c:formatCode>
                <c:ptCount val="5"/>
                <c:pt idx="0">
                  <c:v>0.24</c:v>
                </c:pt>
                <c:pt idx="1">
                  <c:v>0.20530000000000004</c:v>
                </c:pt>
                <c:pt idx="2">
                  <c:v>0.16999999999999993</c:v>
                </c:pt>
                <c:pt idx="3">
                  <c:v>0.12891770659354318</c:v>
                </c:pt>
                <c:pt idx="4">
                  <c:v>0.15507347687524264</c:v>
                </c:pt>
              </c:numCache>
            </c:numRef>
          </c:val>
          <c:extLst>
            <c:ext xmlns:c16="http://schemas.microsoft.com/office/drawing/2014/chart" uri="{C3380CC4-5D6E-409C-BE32-E72D297353CC}">
              <c16:uniqueId val="{00000002-8A5E-4764-902A-B4808F1927B1}"/>
            </c:ext>
          </c:extLst>
        </c:ser>
        <c:dLbls>
          <c:dLblPos val="inEnd"/>
          <c:showLegendKey val="0"/>
          <c:showVal val="1"/>
          <c:showCatName val="0"/>
          <c:showSerName val="0"/>
          <c:showPercent val="0"/>
          <c:showBubbleSize val="0"/>
        </c:dLbls>
        <c:gapWidth val="219"/>
        <c:overlap val="-27"/>
        <c:axId val="903725104"/>
        <c:axId val="903746704"/>
      </c:barChart>
      <c:catAx>
        <c:axId val="90372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46704"/>
        <c:crosses val="autoZero"/>
        <c:auto val="1"/>
        <c:lblAlgn val="ctr"/>
        <c:lblOffset val="100"/>
        <c:noMultiLvlLbl val="0"/>
      </c:catAx>
      <c:valAx>
        <c:axId val="9037467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2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ACEL!$E$51:$E$52</c:f>
              <c:strCache>
                <c:ptCount val="2"/>
                <c:pt idx="0">
                  <c:v>Numeracy</c:v>
                </c:pt>
                <c:pt idx="1">
                  <c:v>SIMD 1-2</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ACEL!$D$53:$D$57</c:f>
              <c:strCache>
                <c:ptCount val="5"/>
                <c:pt idx="0">
                  <c:v>2020-21</c:v>
                </c:pt>
                <c:pt idx="1">
                  <c:v>2021-22</c:v>
                </c:pt>
                <c:pt idx="2">
                  <c:v>2022-23</c:v>
                </c:pt>
                <c:pt idx="3">
                  <c:v>2023/24</c:v>
                </c:pt>
                <c:pt idx="4">
                  <c:v>2024/25</c:v>
                </c:pt>
              </c:strCache>
            </c:strRef>
          </c:cat>
          <c:val>
            <c:numRef>
              <c:f>ACEL!$E$53:$E$57</c:f>
              <c:numCache>
                <c:formatCode>0.0%</c:formatCode>
                <c:ptCount val="5"/>
                <c:pt idx="0" formatCode="0%">
                  <c:v>0.63</c:v>
                </c:pt>
                <c:pt idx="1">
                  <c:v>0.73410404624277459</c:v>
                </c:pt>
                <c:pt idx="2">
                  <c:v>0.77</c:v>
                </c:pt>
                <c:pt idx="3">
                  <c:v>0.76150234741784029</c:v>
                </c:pt>
                <c:pt idx="4">
                  <c:v>0.76712328767123295</c:v>
                </c:pt>
              </c:numCache>
            </c:numRef>
          </c:val>
          <c:extLst>
            <c:ext xmlns:c16="http://schemas.microsoft.com/office/drawing/2014/chart" uri="{C3380CC4-5D6E-409C-BE32-E72D297353CC}">
              <c16:uniqueId val="{00000000-B9E8-480F-9D0C-B580A4B8E6E5}"/>
            </c:ext>
          </c:extLst>
        </c:ser>
        <c:ser>
          <c:idx val="1"/>
          <c:order val="1"/>
          <c:tx>
            <c:strRef>
              <c:f>ACEL!$F$51:$F$52</c:f>
              <c:strCache>
                <c:ptCount val="2"/>
                <c:pt idx="0">
                  <c:v>Numeracy</c:v>
                </c:pt>
                <c:pt idx="1">
                  <c:v>SIMD 3-10</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ACEL!$D$53:$D$57</c:f>
              <c:strCache>
                <c:ptCount val="5"/>
                <c:pt idx="0">
                  <c:v>2020-21</c:v>
                </c:pt>
                <c:pt idx="1">
                  <c:v>2021-22</c:v>
                </c:pt>
                <c:pt idx="2">
                  <c:v>2022-23</c:v>
                </c:pt>
                <c:pt idx="3">
                  <c:v>2023/24</c:v>
                </c:pt>
                <c:pt idx="4">
                  <c:v>2024/25</c:v>
                </c:pt>
              </c:strCache>
            </c:strRef>
          </c:cat>
          <c:val>
            <c:numRef>
              <c:f>ACEL!$F$53:$F$57</c:f>
              <c:numCache>
                <c:formatCode>0.0%</c:formatCode>
                <c:ptCount val="5"/>
                <c:pt idx="0" formatCode="0.00%">
                  <c:v>0.84899999999999998</c:v>
                </c:pt>
                <c:pt idx="1">
                  <c:v>0.90790000000000004</c:v>
                </c:pt>
                <c:pt idx="2">
                  <c:v>0.89</c:v>
                </c:pt>
                <c:pt idx="3">
                  <c:v>0.87138543714199512</c:v>
                </c:pt>
                <c:pt idx="4">
                  <c:v>0.88385449619736722</c:v>
                </c:pt>
              </c:numCache>
            </c:numRef>
          </c:val>
          <c:extLst>
            <c:ext xmlns:c16="http://schemas.microsoft.com/office/drawing/2014/chart" uri="{C3380CC4-5D6E-409C-BE32-E72D297353CC}">
              <c16:uniqueId val="{00000001-B9E8-480F-9D0C-B580A4B8E6E5}"/>
            </c:ext>
          </c:extLst>
        </c:ser>
        <c:ser>
          <c:idx val="2"/>
          <c:order val="2"/>
          <c:tx>
            <c:strRef>
              <c:f>ACEL!$G$51:$G$52</c:f>
              <c:strCache>
                <c:ptCount val="2"/>
                <c:pt idx="0">
                  <c:v>Numeracy</c:v>
                </c:pt>
                <c:pt idx="1">
                  <c:v>GAP</c:v>
                </c:pt>
              </c:strCache>
            </c:strRef>
          </c:tx>
          <c:spPr>
            <a:solidFill>
              <a:schemeClr val="accent6">
                <a:lumMod val="40000"/>
                <a:lumOff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ACEL!$D$53:$D$57</c:f>
              <c:strCache>
                <c:ptCount val="5"/>
                <c:pt idx="0">
                  <c:v>2020-21</c:v>
                </c:pt>
                <c:pt idx="1">
                  <c:v>2021-22</c:v>
                </c:pt>
                <c:pt idx="2">
                  <c:v>2022-23</c:v>
                </c:pt>
                <c:pt idx="3">
                  <c:v>2023/24</c:v>
                </c:pt>
                <c:pt idx="4">
                  <c:v>2024/25</c:v>
                </c:pt>
              </c:strCache>
            </c:strRef>
          </c:cat>
          <c:val>
            <c:numRef>
              <c:f>ACEL!$G$53:$G$57</c:f>
              <c:numCache>
                <c:formatCode>0.0%</c:formatCode>
                <c:ptCount val="5"/>
                <c:pt idx="0">
                  <c:v>0.21899999999999997</c:v>
                </c:pt>
                <c:pt idx="1">
                  <c:v>0.17379595375722545</c:v>
                </c:pt>
                <c:pt idx="2">
                  <c:v>0.12</c:v>
                </c:pt>
                <c:pt idx="3">
                  <c:v>0.10988308972415484</c:v>
                </c:pt>
                <c:pt idx="4">
                  <c:v>0.11673120852613428</c:v>
                </c:pt>
              </c:numCache>
            </c:numRef>
          </c:val>
          <c:extLst>
            <c:ext xmlns:c16="http://schemas.microsoft.com/office/drawing/2014/chart" uri="{C3380CC4-5D6E-409C-BE32-E72D297353CC}">
              <c16:uniqueId val="{00000002-B9E8-480F-9D0C-B580A4B8E6E5}"/>
            </c:ext>
          </c:extLst>
        </c:ser>
        <c:dLbls>
          <c:dLblPos val="inEnd"/>
          <c:showLegendKey val="0"/>
          <c:showVal val="1"/>
          <c:showCatName val="0"/>
          <c:showSerName val="0"/>
          <c:showPercent val="0"/>
          <c:showBubbleSize val="0"/>
        </c:dLbls>
        <c:gapWidth val="219"/>
        <c:overlap val="-27"/>
        <c:axId val="903730864"/>
        <c:axId val="903749104"/>
      </c:barChart>
      <c:catAx>
        <c:axId val="90373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49104"/>
        <c:crosses val="autoZero"/>
        <c:auto val="1"/>
        <c:lblAlgn val="ctr"/>
        <c:lblOffset val="100"/>
        <c:noMultiLvlLbl val="0"/>
      </c:catAx>
      <c:valAx>
        <c:axId val="903749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73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 5 &amp; 6'!$AB$14</c:f>
              <c:strCache>
                <c:ptCount val="1"/>
                <c:pt idx="0">
                  <c:v>Inverclyde</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6'!$AA$15:$AA$19</c:f>
              <c:strCache>
                <c:ptCount val="5"/>
                <c:pt idx="0">
                  <c:v>2020/21</c:v>
                </c:pt>
                <c:pt idx="1">
                  <c:v>2021/22</c:v>
                </c:pt>
                <c:pt idx="2">
                  <c:v>2022/23</c:v>
                </c:pt>
                <c:pt idx="3">
                  <c:v>2023/24</c:v>
                </c:pt>
                <c:pt idx="4">
                  <c:v>2024/25</c:v>
                </c:pt>
              </c:strCache>
            </c:strRef>
          </c:cat>
          <c:val>
            <c:numRef>
              <c:f>'L 5 &amp; 6'!$AB$15:$AB$19</c:f>
              <c:numCache>
                <c:formatCode>0%</c:formatCode>
                <c:ptCount val="5"/>
                <c:pt idx="0">
                  <c:v>0.67930000000000001</c:v>
                </c:pt>
                <c:pt idx="1">
                  <c:v>0.73909999999999998</c:v>
                </c:pt>
                <c:pt idx="2">
                  <c:v>0.64269999999999994</c:v>
                </c:pt>
                <c:pt idx="3">
                  <c:v>0.66839999999999999</c:v>
                </c:pt>
                <c:pt idx="4">
                  <c:v>0.60150000000000003</c:v>
                </c:pt>
              </c:numCache>
            </c:numRef>
          </c:val>
          <c:extLst>
            <c:ext xmlns:c16="http://schemas.microsoft.com/office/drawing/2014/chart" uri="{C3380CC4-5D6E-409C-BE32-E72D297353CC}">
              <c16:uniqueId val="{00000000-B7EF-4D4C-89AA-878DECE4A029}"/>
            </c:ext>
          </c:extLst>
        </c:ser>
        <c:ser>
          <c:idx val="1"/>
          <c:order val="1"/>
          <c:tx>
            <c:strRef>
              <c:f>'L 5 &amp; 6'!$AC$14</c:f>
              <c:strCache>
                <c:ptCount val="1"/>
                <c:pt idx="0">
                  <c:v>National</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6'!$AA$15:$AA$19</c:f>
              <c:strCache>
                <c:ptCount val="5"/>
                <c:pt idx="0">
                  <c:v>2020/21</c:v>
                </c:pt>
                <c:pt idx="1">
                  <c:v>2021/22</c:v>
                </c:pt>
                <c:pt idx="2">
                  <c:v>2022/23</c:v>
                </c:pt>
                <c:pt idx="3">
                  <c:v>2023/24</c:v>
                </c:pt>
                <c:pt idx="4">
                  <c:v>2024/25</c:v>
                </c:pt>
              </c:strCache>
            </c:strRef>
          </c:cat>
          <c:val>
            <c:numRef>
              <c:f>'L 5 &amp; 6'!$AC$15:$AC$19</c:f>
              <c:numCache>
                <c:formatCode>0%</c:formatCode>
                <c:ptCount val="5"/>
                <c:pt idx="0">
                  <c:v>0.67290000000000005</c:v>
                </c:pt>
                <c:pt idx="1">
                  <c:v>0.69330000000000003</c:v>
                </c:pt>
                <c:pt idx="2">
                  <c:v>0.67359999999999998</c:v>
                </c:pt>
                <c:pt idx="3">
                  <c:v>0.66879999999999995</c:v>
                </c:pt>
                <c:pt idx="4">
                  <c:v>0.66700000000000004</c:v>
                </c:pt>
              </c:numCache>
            </c:numRef>
          </c:val>
          <c:extLst>
            <c:ext xmlns:c16="http://schemas.microsoft.com/office/drawing/2014/chart" uri="{C3380CC4-5D6E-409C-BE32-E72D297353CC}">
              <c16:uniqueId val="{00000001-B7EF-4D4C-89AA-878DECE4A029}"/>
            </c:ext>
          </c:extLst>
        </c:ser>
        <c:dLbls>
          <c:dLblPos val="outEnd"/>
          <c:showLegendKey val="0"/>
          <c:showVal val="1"/>
          <c:showCatName val="0"/>
          <c:showSerName val="0"/>
          <c:showPercent val="0"/>
          <c:showBubbleSize val="0"/>
        </c:dLbls>
        <c:gapWidth val="219"/>
        <c:overlap val="-27"/>
        <c:axId val="903820144"/>
        <c:axId val="903834544"/>
      </c:barChart>
      <c:catAx>
        <c:axId val="90382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834544"/>
        <c:crosses val="autoZero"/>
        <c:auto val="1"/>
        <c:lblAlgn val="ctr"/>
        <c:lblOffset val="100"/>
        <c:noMultiLvlLbl val="0"/>
      </c:catAx>
      <c:valAx>
        <c:axId val="903834544"/>
        <c:scaling>
          <c:orientation val="minMax"/>
        </c:scaling>
        <c:delete val="1"/>
        <c:axPos val="l"/>
        <c:numFmt formatCode="0%" sourceLinked="1"/>
        <c:majorTickMark val="none"/>
        <c:minorTickMark val="none"/>
        <c:tickLblPos val="nextTo"/>
        <c:crossAx val="90382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 5 &amp; 6'!$AB$24</c:f>
              <c:strCache>
                <c:ptCount val="1"/>
                <c:pt idx="0">
                  <c:v>Inverclyde</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6'!$AA$25:$AA$29</c:f>
              <c:strCache>
                <c:ptCount val="5"/>
                <c:pt idx="0">
                  <c:v>2020/21</c:v>
                </c:pt>
                <c:pt idx="1">
                  <c:v>2021/22</c:v>
                </c:pt>
                <c:pt idx="2">
                  <c:v>2022/23</c:v>
                </c:pt>
                <c:pt idx="3">
                  <c:v>2023/24</c:v>
                </c:pt>
                <c:pt idx="4">
                  <c:v>2024/25</c:v>
                </c:pt>
              </c:strCache>
            </c:strRef>
          </c:cat>
          <c:val>
            <c:numRef>
              <c:f>'L 5 &amp; 6'!$AB$25:$AB$29</c:f>
              <c:numCache>
                <c:formatCode>0%</c:formatCode>
                <c:ptCount val="5"/>
                <c:pt idx="0">
                  <c:v>0.37229999999999996</c:v>
                </c:pt>
                <c:pt idx="1">
                  <c:v>0.43700000000000006</c:v>
                </c:pt>
                <c:pt idx="2">
                  <c:v>0.34470000000000001</c:v>
                </c:pt>
                <c:pt idx="3">
                  <c:v>0.33549999999999996</c:v>
                </c:pt>
                <c:pt idx="4">
                  <c:v>0.37520000000000003</c:v>
                </c:pt>
              </c:numCache>
            </c:numRef>
          </c:val>
          <c:extLst>
            <c:ext xmlns:c16="http://schemas.microsoft.com/office/drawing/2014/chart" uri="{C3380CC4-5D6E-409C-BE32-E72D297353CC}">
              <c16:uniqueId val="{00000000-7F41-472C-9550-BF644921CE33}"/>
            </c:ext>
          </c:extLst>
        </c:ser>
        <c:ser>
          <c:idx val="1"/>
          <c:order val="1"/>
          <c:tx>
            <c:strRef>
              <c:f>'L 5 &amp; 6'!$AC$24</c:f>
              <c:strCache>
                <c:ptCount val="1"/>
                <c:pt idx="0">
                  <c:v>National</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6'!$AA$25:$AA$29</c:f>
              <c:strCache>
                <c:ptCount val="5"/>
                <c:pt idx="0">
                  <c:v>2020/21</c:v>
                </c:pt>
                <c:pt idx="1">
                  <c:v>2021/22</c:v>
                </c:pt>
                <c:pt idx="2">
                  <c:v>2022/23</c:v>
                </c:pt>
                <c:pt idx="3">
                  <c:v>2023/24</c:v>
                </c:pt>
                <c:pt idx="4">
                  <c:v>2024/25</c:v>
                </c:pt>
              </c:strCache>
            </c:strRef>
          </c:cat>
          <c:val>
            <c:numRef>
              <c:f>'L 5 &amp; 6'!$AC$25:$AC$29</c:f>
              <c:numCache>
                <c:formatCode>0%</c:formatCode>
                <c:ptCount val="5"/>
                <c:pt idx="0">
                  <c:v>0.41070000000000001</c:v>
                </c:pt>
                <c:pt idx="1">
                  <c:v>0.40329999999999999</c:v>
                </c:pt>
                <c:pt idx="2">
                  <c:v>0.38659999999999994</c:v>
                </c:pt>
                <c:pt idx="3">
                  <c:v>0.38919999999999999</c:v>
                </c:pt>
                <c:pt idx="4">
                  <c:v>0.3926</c:v>
                </c:pt>
              </c:numCache>
            </c:numRef>
          </c:val>
          <c:extLst>
            <c:ext xmlns:c16="http://schemas.microsoft.com/office/drawing/2014/chart" uri="{C3380CC4-5D6E-409C-BE32-E72D297353CC}">
              <c16:uniqueId val="{00000001-7F41-472C-9550-BF644921CE33}"/>
            </c:ext>
          </c:extLst>
        </c:ser>
        <c:dLbls>
          <c:dLblPos val="outEnd"/>
          <c:showLegendKey val="0"/>
          <c:showVal val="1"/>
          <c:showCatName val="0"/>
          <c:showSerName val="0"/>
          <c:showPercent val="0"/>
          <c:showBubbleSize val="0"/>
        </c:dLbls>
        <c:gapWidth val="219"/>
        <c:overlap val="-27"/>
        <c:axId val="903597424"/>
        <c:axId val="903596464"/>
      </c:barChart>
      <c:catAx>
        <c:axId val="90359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596464"/>
        <c:crosses val="autoZero"/>
        <c:auto val="1"/>
        <c:lblAlgn val="ctr"/>
        <c:lblOffset val="100"/>
        <c:noMultiLvlLbl val="0"/>
      </c:catAx>
      <c:valAx>
        <c:axId val="903596464"/>
        <c:scaling>
          <c:orientation val="minMax"/>
        </c:scaling>
        <c:delete val="1"/>
        <c:axPos val="l"/>
        <c:numFmt formatCode="0%" sourceLinked="1"/>
        <c:majorTickMark val="none"/>
        <c:minorTickMark val="none"/>
        <c:tickLblPos val="nextTo"/>
        <c:crossAx val="903597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 5 &amp; 6'!$AB$35</c:f>
              <c:strCache>
                <c:ptCount val="1"/>
                <c:pt idx="0">
                  <c:v>Inverclyde</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6'!$AA$36:$AA$40</c:f>
              <c:strCache>
                <c:ptCount val="5"/>
                <c:pt idx="0">
                  <c:v>2020/21</c:v>
                </c:pt>
                <c:pt idx="1">
                  <c:v>2021/22</c:v>
                </c:pt>
                <c:pt idx="2">
                  <c:v>2022/23</c:v>
                </c:pt>
                <c:pt idx="3">
                  <c:v>2023/24</c:v>
                </c:pt>
                <c:pt idx="4">
                  <c:v>2024/25</c:v>
                </c:pt>
              </c:strCache>
            </c:strRef>
          </c:cat>
          <c:val>
            <c:numRef>
              <c:f>'L 5 &amp; 6'!$AB$36:$AB$40</c:f>
              <c:numCache>
                <c:formatCode>0%</c:formatCode>
                <c:ptCount val="5"/>
                <c:pt idx="0">
                  <c:v>0.56720000000000004</c:v>
                </c:pt>
                <c:pt idx="1">
                  <c:v>0.6391</c:v>
                </c:pt>
                <c:pt idx="2">
                  <c:v>0.54949999999999999</c:v>
                </c:pt>
                <c:pt idx="3">
                  <c:v>0.54520000000000002</c:v>
                </c:pt>
                <c:pt idx="4">
                  <c:v>0.52369999999999994</c:v>
                </c:pt>
              </c:numCache>
            </c:numRef>
          </c:val>
          <c:extLst>
            <c:ext xmlns:c16="http://schemas.microsoft.com/office/drawing/2014/chart" uri="{C3380CC4-5D6E-409C-BE32-E72D297353CC}">
              <c16:uniqueId val="{00000000-FBE7-4872-9C1A-BA31E907E4F9}"/>
            </c:ext>
          </c:extLst>
        </c:ser>
        <c:ser>
          <c:idx val="1"/>
          <c:order val="1"/>
          <c:tx>
            <c:strRef>
              <c:f>'L 5 &amp; 6'!$AC$35</c:f>
              <c:strCache>
                <c:ptCount val="1"/>
                <c:pt idx="0">
                  <c:v>National</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6'!$AA$36:$AA$40</c:f>
              <c:strCache>
                <c:ptCount val="5"/>
                <c:pt idx="0">
                  <c:v>2020/21</c:v>
                </c:pt>
                <c:pt idx="1">
                  <c:v>2021/22</c:v>
                </c:pt>
                <c:pt idx="2">
                  <c:v>2022/23</c:v>
                </c:pt>
                <c:pt idx="3">
                  <c:v>2023/24</c:v>
                </c:pt>
                <c:pt idx="4">
                  <c:v>2024/25</c:v>
                </c:pt>
              </c:strCache>
            </c:strRef>
          </c:cat>
          <c:val>
            <c:numRef>
              <c:f>'L 5 &amp; 6'!$AC$36:$AC$40</c:f>
              <c:numCache>
                <c:formatCode>0%</c:formatCode>
                <c:ptCount val="5"/>
                <c:pt idx="0">
                  <c:v>0.495</c:v>
                </c:pt>
                <c:pt idx="1">
                  <c:v>0.52159999999999995</c:v>
                </c:pt>
                <c:pt idx="2">
                  <c:v>0.501</c:v>
                </c:pt>
                <c:pt idx="3">
                  <c:v>0.50600000000000001</c:v>
                </c:pt>
                <c:pt idx="4">
                  <c:v>0.50240000000000007</c:v>
                </c:pt>
              </c:numCache>
            </c:numRef>
          </c:val>
          <c:extLst>
            <c:ext xmlns:c16="http://schemas.microsoft.com/office/drawing/2014/chart" uri="{C3380CC4-5D6E-409C-BE32-E72D297353CC}">
              <c16:uniqueId val="{00000001-FBE7-4872-9C1A-BA31E907E4F9}"/>
            </c:ext>
          </c:extLst>
        </c:ser>
        <c:dLbls>
          <c:dLblPos val="outEnd"/>
          <c:showLegendKey val="0"/>
          <c:showVal val="1"/>
          <c:showCatName val="0"/>
          <c:showSerName val="0"/>
          <c:showPercent val="0"/>
          <c:showBubbleSize val="0"/>
        </c:dLbls>
        <c:gapWidth val="219"/>
        <c:overlap val="-27"/>
        <c:axId val="903578224"/>
        <c:axId val="903581104"/>
      </c:barChart>
      <c:catAx>
        <c:axId val="90357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581104"/>
        <c:crosses val="autoZero"/>
        <c:auto val="1"/>
        <c:lblAlgn val="ctr"/>
        <c:lblOffset val="100"/>
        <c:noMultiLvlLbl val="0"/>
      </c:catAx>
      <c:valAx>
        <c:axId val="903581104"/>
        <c:scaling>
          <c:orientation val="minMax"/>
        </c:scaling>
        <c:delete val="1"/>
        <c:axPos val="l"/>
        <c:numFmt formatCode="0%" sourceLinked="1"/>
        <c:majorTickMark val="none"/>
        <c:minorTickMark val="none"/>
        <c:tickLblPos val="nextTo"/>
        <c:crossAx val="90357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 5 &amp; 6'!$AB$47</c:f>
              <c:strCache>
                <c:ptCount val="1"/>
                <c:pt idx="0">
                  <c:v>Inverclyde</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6'!$AA$48:$AA$52</c:f>
              <c:strCache>
                <c:ptCount val="5"/>
                <c:pt idx="0">
                  <c:v>2020/21</c:v>
                </c:pt>
                <c:pt idx="1">
                  <c:v>2021/22</c:v>
                </c:pt>
                <c:pt idx="2">
                  <c:v>2022/23</c:v>
                </c:pt>
                <c:pt idx="3">
                  <c:v>2023/24</c:v>
                </c:pt>
                <c:pt idx="4">
                  <c:v>2024/25</c:v>
                </c:pt>
              </c:strCache>
            </c:strRef>
          </c:cat>
          <c:val>
            <c:numRef>
              <c:f>'L 5 &amp; 6'!$AB$48:$AB$52</c:f>
              <c:numCache>
                <c:formatCode>0%</c:formatCode>
                <c:ptCount val="5"/>
                <c:pt idx="0">
                  <c:v>0.23879999999999998</c:v>
                </c:pt>
                <c:pt idx="1">
                  <c:v>0.2893</c:v>
                </c:pt>
                <c:pt idx="2">
                  <c:v>0.22030000000000002</c:v>
                </c:pt>
                <c:pt idx="3">
                  <c:v>0.20670000000000002</c:v>
                </c:pt>
                <c:pt idx="4">
                  <c:v>0.2132</c:v>
                </c:pt>
              </c:numCache>
            </c:numRef>
          </c:val>
          <c:extLst>
            <c:ext xmlns:c16="http://schemas.microsoft.com/office/drawing/2014/chart" uri="{C3380CC4-5D6E-409C-BE32-E72D297353CC}">
              <c16:uniqueId val="{00000000-E7B6-4469-8783-B7342E920CC4}"/>
            </c:ext>
          </c:extLst>
        </c:ser>
        <c:ser>
          <c:idx val="1"/>
          <c:order val="1"/>
          <c:tx>
            <c:strRef>
              <c:f>'L 5 &amp; 6'!$AC$47</c:f>
              <c:strCache>
                <c:ptCount val="1"/>
                <c:pt idx="0">
                  <c:v>National</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 5 &amp; 6'!$AA$48:$AA$52</c:f>
              <c:strCache>
                <c:ptCount val="5"/>
                <c:pt idx="0">
                  <c:v>2020/21</c:v>
                </c:pt>
                <c:pt idx="1">
                  <c:v>2021/22</c:v>
                </c:pt>
                <c:pt idx="2">
                  <c:v>2022/23</c:v>
                </c:pt>
                <c:pt idx="3">
                  <c:v>2023/24</c:v>
                </c:pt>
                <c:pt idx="4">
                  <c:v>2024/25</c:v>
                </c:pt>
              </c:strCache>
            </c:strRef>
          </c:cat>
          <c:val>
            <c:numRef>
              <c:f>'L 5 &amp; 6'!$AC$48:$AC$52</c:f>
              <c:numCache>
                <c:formatCode>0%</c:formatCode>
                <c:ptCount val="5"/>
                <c:pt idx="0">
                  <c:v>0.22739999999999999</c:v>
                </c:pt>
                <c:pt idx="1">
                  <c:v>0.23010000000000003</c:v>
                </c:pt>
                <c:pt idx="2">
                  <c:v>0.2238</c:v>
                </c:pt>
                <c:pt idx="3">
                  <c:v>0.22940000000000002</c:v>
                </c:pt>
                <c:pt idx="4">
                  <c:v>0.22889999999999999</c:v>
                </c:pt>
              </c:numCache>
            </c:numRef>
          </c:val>
          <c:extLst>
            <c:ext xmlns:c16="http://schemas.microsoft.com/office/drawing/2014/chart" uri="{C3380CC4-5D6E-409C-BE32-E72D297353CC}">
              <c16:uniqueId val="{00000001-E7B6-4469-8783-B7342E920CC4}"/>
            </c:ext>
          </c:extLst>
        </c:ser>
        <c:dLbls>
          <c:dLblPos val="outEnd"/>
          <c:showLegendKey val="0"/>
          <c:showVal val="1"/>
          <c:showCatName val="0"/>
          <c:showSerName val="0"/>
          <c:showPercent val="0"/>
          <c:showBubbleSize val="0"/>
        </c:dLbls>
        <c:gapWidth val="219"/>
        <c:overlap val="-27"/>
        <c:axId val="903575344"/>
        <c:axId val="903576304"/>
      </c:barChart>
      <c:catAx>
        <c:axId val="90357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576304"/>
        <c:crosses val="autoZero"/>
        <c:auto val="1"/>
        <c:lblAlgn val="ctr"/>
        <c:lblOffset val="100"/>
        <c:noMultiLvlLbl val="0"/>
      </c:catAx>
      <c:valAx>
        <c:axId val="903576304"/>
        <c:scaling>
          <c:orientation val="minMax"/>
        </c:scaling>
        <c:delete val="1"/>
        <c:axPos val="l"/>
        <c:numFmt formatCode="0%" sourceLinked="1"/>
        <c:majorTickMark val="none"/>
        <c:minorTickMark val="none"/>
        <c:tickLblPos val="nextTo"/>
        <c:crossAx val="90357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'Attainment Versus Deprivation'!$C$11:$L$11</cx:f>
        <cx:lvl ptCount="10">
          <cx:pt idx="0">1</cx:pt>
          <cx:pt idx="1">2</cx:pt>
          <cx:pt idx="2">3</cx:pt>
          <cx:pt idx="3">4</cx:pt>
          <cx:pt idx="4">5</cx:pt>
          <cx:pt idx="5">6</cx:pt>
          <cx:pt idx="6">7</cx:pt>
          <cx:pt idx="7">8</cx:pt>
          <cx:pt idx="8">9</cx:pt>
          <cx:pt idx="9">10</cx:pt>
        </cx:lvl>
      </cx:strDim>
      <cx:numDim type="val">
        <cx:f dir="row">'Attainment Versus Deprivation'!$C$12:$L$12</cx:f>
        <cx:lvl ptCount="10" formatCode="0">
          <cx:pt idx="0">25</cx:pt>
          <cx:pt idx="1">3</cx:pt>
          <cx:pt idx="2">91</cx:pt>
          <cx:pt idx="3">7</cx:pt>
          <cx:pt idx="4">223</cx:pt>
          <cx:pt idx="5">319</cx:pt>
          <cx:pt idx="6">148</cx:pt>
          <cx:pt idx="7">-15</cx:pt>
          <cx:pt idx="8">-6</cx:pt>
          <cx:pt idx="9">-8</cx:pt>
        </cx:lvl>
      </cx:numDim>
    </cx:data>
  </cx:chartData>
  <cx:chart>
    <cx:plotArea>
      <cx:plotAreaRegion>
        <cx:series layoutId="waterfall" uniqueId="{5D194205-D9E2-4D14-A0A2-C7E89A80653F}">
          <cx:tx>
            <cx:txData>
              <cx:f>'Attainment Versus Deprivation'!$B$12</cx:f>
              <cx:v>Gap</cx:v>
            </cx:txData>
          </cx:tx>
          <cx:dataLabels>
            <cx:visibility seriesName="0" categoryName="0" value="1"/>
          </cx:dataLabels>
          <cx:dataId val="0"/>
          <cx:layoutPr>
            <cx:visibility connectorLines="0"/>
            <cx:subtotals/>
          </cx:layoutPr>
        </cx:series>
      </cx:plotAreaRegion>
      <cx:axis id="0">
        <cx:catScaling gapWidth="2.19000006"/>
        <cx:tickLabels/>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7">
  <a:schemeClr val="accent4"/>
</cs:colorStyle>
</file>

<file path=word/charts/colors17.xml><?xml version="1.0" encoding="utf-8"?>
<cs:colorStyle xmlns:cs="http://schemas.microsoft.com/office/drawing/2012/chartStyle" xmlns:a="http://schemas.openxmlformats.org/drawingml/2006/main" meth="withinLinear" id="17">
  <a:schemeClr val="accent4"/>
</cs:colorStyle>
</file>

<file path=word/charts/colors18.xml><?xml version="1.0" encoding="utf-8"?>
<cs:colorStyle xmlns:cs="http://schemas.microsoft.com/office/drawing/2012/chartStyle" xmlns:a="http://schemas.openxmlformats.org/drawingml/2006/main" meth="withinLinear" id="17">
  <a:schemeClr val="accent4"/>
</cs:colorStyle>
</file>

<file path=word/charts/colors19.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20.xml><?xml version="1.0" encoding="utf-8"?>
<cs:colorStyle xmlns:cs="http://schemas.microsoft.com/office/drawing/2012/chartStyle" xmlns:a="http://schemas.openxmlformats.org/drawingml/2006/main" meth="withinLinear" id="17">
  <a:schemeClr val="accent4"/>
</cs:colorStyle>
</file>

<file path=word/charts/colors21.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136C6-794B-43B4-BF03-CC2F5CDB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15795</Words>
  <Characters>90037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Roach</dc:creator>
  <cp:lastModifiedBy>Mrs Coggins</cp:lastModifiedBy>
  <cp:revision>2</cp:revision>
  <dcterms:created xsi:type="dcterms:W3CDTF">2026-05-28T13:42:00Z</dcterms:created>
  <dcterms:modified xsi:type="dcterms:W3CDTF">2026-05-28T13:42:00Z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6544369c,29951d72,d681e99,103d9b42,6310c885,113b37d1</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2024-03-18T13:32:55Z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0c967d55-d39a-4e92-9cf5-4881b2904003</vt:lpwstr>
  </property>
  <property fmtid="{D5CDD505-2E9C-101B-9397-08002B2CF9AE}" pid="11" name="MSIP_Label_ed63e432-7a5b-4534-ada9-2e736aca8ba4_ContentBits">
    <vt:lpwstr>1</vt:lpwstr>
  </property>
</Properties>
</file>