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2C770" w14:textId="77777777" w:rsidR="0082145D" w:rsidRPr="0082145D" w:rsidRDefault="0082145D" w:rsidP="0082145D">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8240" behindDoc="0" locked="0" layoutInCell="1" allowOverlap="1" wp14:anchorId="5D67C0B6" wp14:editId="7058E2E0">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1B7772">
        <w:rPr>
          <w:rFonts w:cstheme="minorHAnsi"/>
          <w:b/>
          <w:sz w:val="40"/>
          <w:szCs w:val="40"/>
        </w:rPr>
        <w:t>Bluebird Family Centre</w:t>
      </w:r>
    </w:p>
    <w:p w14:paraId="78FA06B3" w14:textId="77777777"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2ADFFA56"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46" w:type="dxa"/>
        <w:tblLook w:val="04A0" w:firstRow="1" w:lastRow="0" w:firstColumn="1" w:lastColumn="0" w:noHBand="0" w:noVBand="1"/>
      </w:tblPr>
      <w:tblGrid>
        <w:gridCol w:w="10646"/>
      </w:tblGrid>
      <w:tr w:rsidR="00C601BE" w:rsidRPr="0082145D" w14:paraId="33FDF124" w14:textId="77777777" w:rsidTr="0001388A">
        <w:trPr>
          <w:trHeight w:val="776"/>
        </w:trPr>
        <w:tc>
          <w:tcPr>
            <w:tcW w:w="10646" w:type="dxa"/>
            <w:shd w:val="clear" w:color="auto" w:fill="33CCCC"/>
          </w:tcPr>
          <w:p w14:paraId="6D939213" w14:textId="77777777"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5157E521" w14:textId="77777777" w:rsidR="00C601BE" w:rsidRPr="0082145D" w:rsidRDefault="00C601BE" w:rsidP="00C601BE">
            <w:pPr>
              <w:rPr>
                <w:rFonts w:cstheme="minorHAnsi"/>
                <w:sz w:val="24"/>
                <w:szCs w:val="24"/>
              </w:rPr>
            </w:pPr>
          </w:p>
        </w:tc>
      </w:tr>
      <w:tr w:rsidR="00C601BE" w:rsidRPr="0082145D" w14:paraId="2ED974B2" w14:textId="77777777" w:rsidTr="0001388A">
        <w:trPr>
          <w:trHeight w:val="1012"/>
        </w:trPr>
        <w:tc>
          <w:tcPr>
            <w:tcW w:w="10646" w:type="dxa"/>
          </w:tcPr>
          <w:p w14:paraId="3018B6DD" w14:textId="77777777" w:rsidR="003C33A2" w:rsidRPr="0082145D" w:rsidRDefault="008E325C" w:rsidP="001A7C78">
            <w:pPr>
              <w:spacing w:after="80"/>
              <w:rPr>
                <w:rFonts w:cstheme="minorHAnsi"/>
                <w:b/>
                <w:sz w:val="28"/>
                <w:szCs w:val="28"/>
              </w:rPr>
            </w:pPr>
            <w:r>
              <w:rPr>
                <w:b/>
                <w:sz w:val="24"/>
              </w:rPr>
              <w:t>Our Establishment</w:t>
            </w:r>
          </w:p>
          <w:p w14:paraId="3F2C0C62" w14:textId="77777777" w:rsidR="003C33A2" w:rsidRPr="003E25F4" w:rsidRDefault="008E325C" w:rsidP="001A7C78">
            <w:pPr>
              <w:spacing w:before="100" w:beforeAutospacing="1" w:after="140" w:afterAutospacing="1"/>
              <w:rPr>
                <w:rFonts w:eastAsia="Times New Roman" w:cstheme="minorHAnsi"/>
                <w:color w:val="000000"/>
                <w:sz w:val="24"/>
                <w:szCs w:val="24"/>
                <w:lang w:eastAsia="en-GB"/>
              </w:rPr>
            </w:pPr>
            <w:r>
              <w:rPr>
                <w:sz w:val="24"/>
              </w:rPr>
              <w:t>Bluebird Family Centre is a non-denominational early learning and childcare setting located in the south-west area of Greenock. The centre has benefited from a £1.3 million refurbishment, providing a welcoming and nurturing environment for children and families. We provide a service for children from birth to five years and operate from 8.00am until 6.00pm, Monday to Friday, for 50 weeks of the year.</w:t>
            </w:r>
          </w:p>
          <w:p w14:paraId="17E3EC1D" w14:textId="77777777" w:rsidR="003C33A2" w:rsidRPr="000A37E6" w:rsidRDefault="008E325C" w:rsidP="001A7C78">
            <w:pPr>
              <w:spacing w:before="100" w:beforeAutospacing="1" w:after="140" w:afterAutospacing="1"/>
              <w:rPr>
                <w:rFonts w:eastAsia="Times New Roman" w:cstheme="minorHAnsi"/>
                <w:color w:val="000000"/>
                <w:sz w:val="24"/>
                <w:szCs w:val="24"/>
                <w:lang w:eastAsia="en-GB"/>
              </w:rPr>
            </w:pPr>
            <w:r>
              <w:rPr>
                <w:sz w:val="24"/>
              </w:rPr>
              <w:t>The establishment has capacity for 59 children across its birth-to-two, two-to-three and three-to-five provision. The number of children registered and attending varies throughout the year because families access a range of attendance models and weekly patterns. These flexible arrangements allow the centre to respond to individual family circumstances while making effective use of the places available across each age group.</w:t>
            </w:r>
          </w:p>
          <w:p w14:paraId="1DE5C637" w14:textId="77777777" w:rsidR="003C33A2" w:rsidRPr="000A37E6" w:rsidRDefault="008E325C" w:rsidP="001A7C78">
            <w:pPr>
              <w:spacing w:before="100" w:beforeAutospacing="1" w:after="140" w:afterAutospacing="1"/>
              <w:rPr>
                <w:rFonts w:eastAsia="Times New Roman" w:cstheme="minorHAnsi"/>
                <w:color w:val="000000"/>
                <w:sz w:val="24"/>
                <w:szCs w:val="24"/>
                <w:lang w:eastAsia="en-GB"/>
              </w:rPr>
            </w:pPr>
            <w:r>
              <w:rPr>
                <w:sz w:val="24"/>
              </w:rPr>
              <w:t>Bluebird serves a community experiencing significant socioeconomic challenge, with 89% of children living within SIMD 1 and 2 areas. This context shapes our approach to service delivery and reinforces the importance of early intervention, strong relationships and accessible family support. Staff work closely with families to understand individual circumstances, reduce barriers to participation and ensure that children receive the support, care and learning experiences they need to make progress.</w:t>
            </w:r>
          </w:p>
          <w:p w14:paraId="12F1EFDE" w14:textId="1B88524E" w:rsidR="003C33A2" w:rsidRPr="000A37E6" w:rsidRDefault="008E325C" w:rsidP="001A7C78">
            <w:pPr>
              <w:spacing w:after="140"/>
              <w:rPr>
                <w:rFonts w:eastAsia="Times New Roman" w:cstheme="minorHAnsi"/>
                <w:color w:val="000000"/>
                <w:sz w:val="24"/>
                <w:szCs w:val="24"/>
                <w:lang w:eastAsia="en-GB"/>
              </w:rPr>
            </w:pPr>
            <w:r>
              <w:rPr>
                <w:sz w:val="24"/>
              </w:rPr>
              <w:t>The centre is supported by a team of 27 staff: 1</w:t>
            </w:r>
            <w:r w:rsidR="007B41F1">
              <w:rPr>
                <w:sz w:val="24"/>
              </w:rPr>
              <w:t>4</w:t>
            </w:r>
            <w:r>
              <w:rPr>
                <w:sz w:val="24"/>
              </w:rPr>
              <w:t xml:space="preserve"> Early Years Education and Childcare Officers, one Early Years Graduate, four Early Years Support Assistants, one Senior Early Years Education and Childcare Officer, one Depute Head of Centre, one Head of Centre, one administrative worker and three domestic staff. This range of roles enables the centre to provide consistent care, learning and targeted support throughout the extended day and across all developmental stages.</w:t>
            </w:r>
          </w:p>
          <w:p w14:paraId="28D65834" w14:textId="77777777" w:rsidR="007B41F1" w:rsidRDefault="008E325C" w:rsidP="001A7C78">
            <w:pPr>
              <w:spacing w:before="100" w:beforeAutospacing="1" w:after="140" w:afterAutospacing="1"/>
              <w:rPr>
                <w:sz w:val="24"/>
              </w:rPr>
            </w:pPr>
            <w:r>
              <w:rPr>
                <w:sz w:val="24"/>
              </w:rPr>
              <w:t xml:space="preserve">Bluebird benefits from strong engagement with the local community and provides services that respond to the changing needs of children and families. A Friday-morning drop-in facility includes Bookbug sessions, while additional classes, family-learning opportunities and support are offered throughout the year according to identified need. </w:t>
            </w:r>
          </w:p>
          <w:p w14:paraId="668BE0DA" w14:textId="42027DA2" w:rsidR="003C33A2" w:rsidRPr="000A37E6" w:rsidRDefault="008E325C" w:rsidP="001A7C78">
            <w:pPr>
              <w:spacing w:before="100" w:beforeAutospacing="1" w:after="140" w:afterAutospacing="1"/>
              <w:rPr>
                <w:rFonts w:eastAsia="Times New Roman" w:cstheme="minorHAnsi"/>
                <w:color w:val="000000"/>
                <w:sz w:val="24"/>
                <w:szCs w:val="24"/>
                <w:lang w:eastAsia="en-GB"/>
              </w:rPr>
            </w:pPr>
            <w:r>
              <w:rPr>
                <w:sz w:val="24"/>
              </w:rPr>
              <w:t>Our main feeder schools are St Joseph's, Lady Alice, St Ninian's and St Andrew's Primary Schools. Close partnership working with families, schools, community organisations and other professionals supports continuity, early intervention and positive transitions for children.</w:t>
            </w:r>
          </w:p>
          <w:p w14:paraId="44175F41" w14:textId="77777777" w:rsidR="007B41F1" w:rsidRDefault="007B41F1" w:rsidP="001A7C78">
            <w:pPr>
              <w:rPr>
                <w:b/>
                <w:sz w:val="32"/>
                <w:szCs w:val="32"/>
              </w:rPr>
            </w:pPr>
          </w:p>
          <w:p w14:paraId="65C0BFBB" w14:textId="77777777" w:rsidR="007B41F1" w:rsidRDefault="007B41F1" w:rsidP="001A7C78">
            <w:pPr>
              <w:rPr>
                <w:b/>
                <w:sz w:val="32"/>
                <w:szCs w:val="32"/>
              </w:rPr>
            </w:pPr>
          </w:p>
          <w:p w14:paraId="41DD1965" w14:textId="77777777" w:rsidR="007B41F1" w:rsidRDefault="007B41F1" w:rsidP="001A7C78">
            <w:pPr>
              <w:rPr>
                <w:b/>
                <w:sz w:val="32"/>
                <w:szCs w:val="32"/>
              </w:rPr>
            </w:pPr>
          </w:p>
          <w:p w14:paraId="3695EB00" w14:textId="77777777" w:rsidR="007B41F1" w:rsidRDefault="007B41F1" w:rsidP="001A7C78">
            <w:pPr>
              <w:rPr>
                <w:b/>
                <w:sz w:val="32"/>
                <w:szCs w:val="32"/>
              </w:rPr>
            </w:pPr>
          </w:p>
          <w:p w14:paraId="3342E44F" w14:textId="77777777" w:rsidR="007B41F1" w:rsidRDefault="007B41F1" w:rsidP="001A7C78">
            <w:pPr>
              <w:rPr>
                <w:b/>
                <w:sz w:val="32"/>
                <w:szCs w:val="32"/>
              </w:rPr>
            </w:pPr>
          </w:p>
          <w:p w14:paraId="592CA9A9" w14:textId="77777777" w:rsidR="007B41F1" w:rsidRDefault="007B41F1" w:rsidP="001A7C78">
            <w:pPr>
              <w:rPr>
                <w:b/>
                <w:sz w:val="32"/>
                <w:szCs w:val="32"/>
              </w:rPr>
            </w:pPr>
          </w:p>
          <w:p w14:paraId="3749B007" w14:textId="77777777" w:rsidR="007B41F1" w:rsidRDefault="007B41F1" w:rsidP="001A7C78">
            <w:pPr>
              <w:rPr>
                <w:b/>
                <w:sz w:val="32"/>
                <w:szCs w:val="32"/>
              </w:rPr>
            </w:pPr>
          </w:p>
          <w:p w14:paraId="7F25741B" w14:textId="77777777" w:rsidR="00F27CEF" w:rsidRDefault="00F27CEF" w:rsidP="001A7C78">
            <w:pPr>
              <w:rPr>
                <w:b/>
                <w:sz w:val="32"/>
                <w:szCs w:val="32"/>
              </w:rPr>
            </w:pPr>
          </w:p>
          <w:p w14:paraId="1F3DF6CB" w14:textId="5DBB8D38" w:rsidR="003C33A2" w:rsidRDefault="008E325C" w:rsidP="001A7C78">
            <w:pPr>
              <w:rPr>
                <w:b/>
                <w:sz w:val="32"/>
                <w:szCs w:val="32"/>
              </w:rPr>
            </w:pPr>
            <w:r w:rsidRPr="00925DAB">
              <w:rPr>
                <w:b/>
                <w:sz w:val="32"/>
                <w:szCs w:val="32"/>
              </w:rPr>
              <w:t>Vision</w:t>
            </w:r>
          </w:p>
          <w:p w14:paraId="27319D4B" w14:textId="77777777" w:rsidR="003C33A2" w:rsidRDefault="008E325C" w:rsidP="001A7C78">
            <w:pPr>
              <w:rPr>
                <w:rFonts w:cstheme="minorHAnsi"/>
                <w:sz w:val="24"/>
                <w:szCs w:val="24"/>
              </w:rPr>
            </w:pPr>
            <w:r w:rsidRPr="000A37E6">
              <w:rPr>
                <w:rFonts w:cstheme="minorHAnsi"/>
                <w:color w:val="000000"/>
                <w:sz w:val="24"/>
                <w:szCs w:val="24"/>
              </w:rPr>
              <w:t>At Bluebird Family Centre we provide a welcoming environment which is safe, nurturing and caring for all children and families. All children are provided with enriching opportunities to allow them to achieve their full potential and build on their confidence for the future.</w:t>
            </w:r>
          </w:p>
          <w:p w14:paraId="356C0E07" w14:textId="77777777" w:rsidR="003C33A2" w:rsidRDefault="0099318E" w:rsidP="001A7C78">
            <w:pPr>
              <w:rPr>
                <w:rFonts w:cstheme="minorHAnsi"/>
                <w:sz w:val="24"/>
                <w:szCs w:val="24"/>
              </w:rPr>
            </w:pPr>
          </w:p>
          <w:p w14:paraId="0D62FCD6" w14:textId="77777777" w:rsidR="003C33A2" w:rsidRPr="00C601BE" w:rsidRDefault="008E325C" w:rsidP="001A7C78">
            <w:pPr>
              <w:rPr>
                <w:rFonts w:ascii="Arial" w:hAnsi="Arial" w:cs="Arial"/>
                <w:b/>
                <w:bCs/>
                <w:sz w:val="24"/>
                <w:szCs w:val="24"/>
              </w:rPr>
            </w:pPr>
            <w:r w:rsidRPr="000A3D86">
              <w:rPr>
                <w:rFonts w:ascii="Arial" w:hAnsi="Arial" w:cs="Arial"/>
                <w:b/>
                <w:bCs/>
                <w:sz w:val="24"/>
                <w:szCs w:val="24"/>
              </w:rPr>
              <w:t>Our Aims:</w:t>
            </w:r>
          </w:p>
          <w:p w14:paraId="298A4C80" w14:textId="77777777" w:rsidR="003C33A2" w:rsidRPr="000A37E6" w:rsidRDefault="008E325C" w:rsidP="001A7C78">
            <w:pPr>
              <w:pStyle w:val="NormalWeb"/>
              <w:rPr>
                <w:rFonts w:asciiTheme="minorHAnsi" w:hAnsiTheme="minorHAnsi" w:cstheme="minorHAnsi"/>
                <w:b/>
                <w:i/>
                <w:color w:val="000000"/>
              </w:rPr>
            </w:pPr>
            <w:r w:rsidRPr="000A37E6">
              <w:rPr>
                <w:rFonts w:asciiTheme="minorHAnsi" w:hAnsiTheme="minorHAnsi" w:cstheme="minorHAnsi"/>
                <w:b/>
                <w:i/>
                <w:color w:val="000000"/>
              </w:rPr>
              <w:t>At Bluebird Family Centre it is our belief that;</w:t>
            </w:r>
          </w:p>
          <w:p w14:paraId="39A58B2A"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SAFE</w:t>
            </w:r>
            <w:r w:rsidRPr="000A37E6">
              <w:rPr>
                <w:rFonts w:asciiTheme="minorHAnsi" w:hAnsiTheme="minorHAnsi" w:cstheme="minorHAnsi"/>
                <w:color w:val="000000"/>
              </w:rPr>
              <w:t>: Each child has the right to a learning environment which is safe and secure.</w:t>
            </w:r>
          </w:p>
          <w:p w14:paraId="1ED89ABC"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HEALTHY</w:t>
            </w:r>
            <w:r w:rsidRPr="000A37E6">
              <w:rPr>
                <w:rFonts w:asciiTheme="minorHAnsi" w:hAnsiTheme="minorHAnsi" w:cstheme="minorHAnsi"/>
                <w:color w:val="000000"/>
              </w:rPr>
              <w:t>: Each child has the right to learn about healthy lifestyles to make positive choices for the future.</w:t>
            </w:r>
          </w:p>
          <w:p w14:paraId="76B4D4EB"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ACHIEVING</w:t>
            </w:r>
            <w:r w:rsidRPr="000A37E6">
              <w:rPr>
                <w:rFonts w:asciiTheme="minorHAnsi" w:hAnsiTheme="minorHAnsi" w:cstheme="minorHAnsi"/>
                <w:color w:val="000000"/>
              </w:rPr>
              <w:t>: Each child has the right to be a successful learner, confident individual, responsible citizen and effective contributor.</w:t>
            </w:r>
          </w:p>
          <w:p w14:paraId="1259252C"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NURTURED:</w:t>
            </w:r>
            <w:r w:rsidRPr="000A37E6">
              <w:rPr>
                <w:rFonts w:asciiTheme="minorHAnsi" w:hAnsiTheme="minorHAnsi" w:cstheme="minorHAnsi"/>
                <w:color w:val="000000"/>
              </w:rPr>
              <w:t xml:space="preserve"> Each child has the right to a sense of belonging and the opportunity to build positive attachments with staff.</w:t>
            </w:r>
          </w:p>
          <w:p w14:paraId="00F3CEBF"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ACTIVE:</w:t>
            </w:r>
            <w:r w:rsidRPr="000A37E6">
              <w:rPr>
                <w:rFonts w:asciiTheme="minorHAnsi" w:hAnsiTheme="minorHAnsi" w:cstheme="minorHAnsi"/>
                <w:color w:val="000000"/>
              </w:rPr>
              <w:t xml:space="preserve"> Each child has the right to stimulating activities which encourage meaningful play, impacting positively on lifelong learning.</w:t>
            </w:r>
          </w:p>
          <w:p w14:paraId="244F2CFC"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RESPECTED:</w:t>
            </w:r>
            <w:r w:rsidRPr="000A37E6">
              <w:rPr>
                <w:rFonts w:asciiTheme="minorHAnsi" w:hAnsiTheme="minorHAnsi" w:cstheme="minorHAnsi"/>
                <w:color w:val="000000"/>
              </w:rPr>
              <w:t xml:space="preserve"> Each child has the right to be involved in making decisions within the centre.</w:t>
            </w:r>
          </w:p>
          <w:p w14:paraId="0C7D90D9" w14:textId="77777777" w:rsidR="003C33A2" w:rsidRPr="000A37E6"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RESPONSIBLE:</w:t>
            </w:r>
            <w:r w:rsidRPr="000A37E6">
              <w:rPr>
                <w:rFonts w:asciiTheme="minorHAnsi" w:hAnsiTheme="minorHAnsi" w:cstheme="minorHAnsi"/>
                <w:color w:val="000000"/>
              </w:rPr>
              <w:t xml:space="preserve"> Each child has the right to develop an understanding of the centre’s core values, to equip them with the skills to be a responsible citizen.</w:t>
            </w:r>
          </w:p>
          <w:p w14:paraId="482A96E2" w14:textId="77777777" w:rsidR="003C33A2" w:rsidRDefault="008E325C" w:rsidP="001A7C78">
            <w:pPr>
              <w:pStyle w:val="NormalWeb"/>
              <w:rPr>
                <w:rFonts w:asciiTheme="minorHAnsi" w:hAnsiTheme="minorHAnsi" w:cstheme="minorHAnsi"/>
                <w:color w:val="000000"/>
              </w:rPr>
            </w:pPr>
            <w:r w:rsidRPr="000A37E6">
              <w:rPr>
                <w:rFonts w:asciiTheme="minorHAnsi" w:hAnsiTheme="minorHAnsi" w:cstheme="minorHAnsi"/>
                <w:b/>
                <w:color w:val="000000"/>
              </w:rPr>
              <w:t>INCLUDED:</w:t>
            </w:r>
            <w:r w:rsidRPr="000A37E6">
              <w:rPr>
                <w:rFonts w:asciiTheme="minorHAnsi" w:hAnsiTheme="minorHAnsi" w:cstheme="minorHAnsi"/>
                <w:color w:val="000000"/>
              </w:rPr>
              <w:t xml:space="preserve"> Each child has the right to be accepted and valued</w:t>
            </w:r>
            <w:r>
              <w:rPr>
                <w:rFonts w:asciiTheme="minorHAnsi" w:hAnsiTheme="minorHAnsi" w:cstheme="minorHAnsi"/>
                <w:color w:val="000000"/>
              </w:rPr>
              <w:t>.</w:t>
            </w:r>
          </w:p>
          <w:p w14:paraId="24EB2738" w14:textId="77777777" w:rsidR="003C33A2" w:rsidRDefault="0099318E" w:rsidP="001A7C78">
            <w:pPr>
              <w:pStyle w:val="NormalWeb"/>
              <w:rPr>
                <w:rFonts w:asciiTheme="minorHAnsi" w:hAnsiTheme="minorHAnsi" w:cstheme="minorHAnsi"/>
                <w:color w:val="000000"/>
              </w:rPr>
            </w:pPr>
          </w:p>
          <w:p w14:paraId="6C4C59AC" w14:textId="77777777" w:rsidR="003C33A2" w:rsidRDefault="0099318E" w:rsidP="001A7C78">
            <w:pPr>
              <w:pStyle w:val="NormalWeb"/>
              <w:rPr>
                <w:rFonts w:asciiTheme="minorHAnsi" w:hAnsiTheme="minorHAnsi" w:cstheme="minorHAnsi"/>
                <w:color w:val="000000"/>
              </w:rPr>
            </w:pPr>
          </w:p>
          <w:p w14:paraId="4818FC84" w14:textId="77777777" w:rsidR="003C33A2" w:rsidRDefault="0099318E" w:rsidP="001A7C78">
            <w:pPr>
              <w:pStyle w:val="NormalWeb"/>
              <w:rPr>
                <w:rFonts w:asciiTheme="minorHAnsi" w:hAnsiTheme="minorHAnsi" w:cstheme="minorHAnsi"/>
                <w:color w:val="000000"/>
              </w:rPr>
            </w:pPr>
          </w:p>
          <w:p w14:paraId="019C367D" w14:textId="77777777" w:rsidR="003C33A2" w:rsidRDefault="0099318E" w:rsidP="001A7C78">
            <w:pPr>
              <w:pStyle w:val="NormalWeb"/>
              <w:rPr>
                <w:rFonts w:asciiTheme="minorHAnsi" w:hAnsiTheme="minorHAnsi" w:cstheme="minorHAnsi"/>
                <w:color w:val="000000"/>
              </w:rPr>
            </w:pPr>
          </w:p>
          <w:p w14:paraId="60E3076A" w14:textId="77777777" w:rsidR="003C33A2" w:rsidRDefault="0099318E" w:rsidP="001A7C78">
            <w:pPr>
              <w:pStyle w:val="NormalWeb"/>
              <w:rPr>
                <w:rFonts w:asciiTheme="minorHAnsi" w:hAnsiTheme="minorHAnsi" w:cstheme="minorHAnsi"/>
                <w:color w:val="000000"/>
              </w:rPr>
            </w:pPr>
          </w:p>
          <w:p w14:paraId="00A05B95" w14:textId="77777777" w:rsidR="003C33A2" w:rsidRDefault="0099318E" w:rsidP="001A7C78">
            <w:pPr>
              <w:pStyle w:val="NormalWeb"/>
              <w:rPr>
                <w:rFonts w:asciiTheme="minorHAnsi" w:hAnsiTheme="minorHAnsi" w:cstheme="minorHAnsi"/>
                <w:color w:val="000000"/>
              </w:rPr>
            </w:pPr>
          </w:p>
          <w:p w14:paraId="22E61B8D" w14:textId="77777777" w:rsidR="003C33A2" w:rsidRDefault="0099318E" w:rsidP="001A7C78">
            <w:pPr>
              <w:pStyle w:val="NormalWeb"/>
              <w:rPr>
                <w:rFonts w:asciiTheme="minorHAnsi" w:hAnsiTheme="minorHAnsi" w:cstheme="minorHAnsi"/>
                <w:color w:val="000000"/>
              </w:rPr>
            </w:pPr>
          </w:p>
          <w:p w14:paraId="70BBC172" w14:textId="77777777" w:rsidR="003C33A2" w:rsidRDefault="0099318E" w:rsidP="001A7C78">
            <w:pPr>
              <w:pStyle w:val="NormalWeb"/>
              <w:rPr>
                <w:rFonts w:asciiTheme="minorHAnsi" w:hAnsiTheme="minorHAnsi" w:cstheme="minorHAnsi"/>
                <w:color w:val="000000"/>
              </w:rPr>
            </w:pPr>
          </w:p>
          <w:p w14:paraId="6DF913DB" w14:textId="77777777" w:rsidR="003C33A2" w:rsidRDefault="0099318E" w:rsidP="001A7C78">
            <w:pPr>
              <w:pStyle w:val="NormalWeb"/>
              <w:rPr>
                <w:rFonts w:asciiTheme="minorHAnsi" w:hAnsiTheme="minorHAnsi" w:cstheme="minorHAnsi"/>
                <w:color w:val="000000"/>
              </w:rPr>
            </w:pPr>
          </w:p>
          <w:p w14:paraId="077BAE46" w14:textId="77777777" w:rsidR="003C33A2" w:rsidRPr="004247FF" w:rsidRDefault="0099318E" w:rsidP="001A7C78">
            <w:pPr>
              <w:pStyle w:val="NormalWeb"/>
              <w:rPr>
                <w:rFonts w:asciiTheme="minorHAnsi" w:hAnsiTheme="minorHAnsi" w:cstheme="minorHAnsi"/>
                <w:color w:val="000000"/>
              </w:rPr>
            </w:pPr>
          </w:p>
        </w:tc>
      </w:tr>
    </w:tbl>
    <w:p w14:paraId="675E8C28" w14:textId="77777777" w:rsidR="00C601BE" w:rsidRPr="0082145D" w:rsidRDefault="00A80F7E">
      <w:pPr>
        <w:rPr>
          <w:rFonts w:cstheme="minorHAnsi"/>
          <w:color w:val="000000"/>
          <w:sz w:val="23"/>
          <w:szCs w:val="23"/>
        </w:rPr>
      </w:pPr>
      <w:r w:rsidRPr="0082145D">
        <w:rPr>
          <w:rFonts w:cstheme="minorHAnsi"/>
          <w:color w:val="000000"/>
          <w:sz w:val="23"/>
          <w:szCs w:val="23"/>
        </w:rPr>
        <w:lastRenderedPageBreak/>
        <w:br w:type="page"/>
      </w:r>
    </w:p>
    <w:tbl>
      <w:tblPr>
        <w:tblStyle w:val="TableGrid"/>
        <w:tblW w:w="10485" w:type="dxa"/>
        <w:tblLook w:val="04A0" w:firstRow="1" w:lastRow="0" w:firstColumn="1" w:lastColumn="0" w:noHBand="0" w:noVBand="1"/>
      </w:tblPr>
      <w:tblGrid>
        <w:gridCol w:w="5242"/>
        <w:gridCol w:w="5243"/>
      </w:tblGrid>
      <w:tr w:rsidR="00C601BE" w:rsidRPr="0082145D" w14:paraId="2CD37600" w14:textId="77777777" w:rsidTr="002E09AE">
        <w:tc>
          <w:tcPr>
            <w:tcW w:w="10485" w:type="dxa"/>
            <w:gridSpan w:val="2"/>
            <w:shd w:val="clear" w:color="auto" w:fill="33CCCC"/>
          </w:tcPr>
          <w:p w14:paraId="3133BCEA"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 xml:space="preserve">Establishment </w:t>
            </w:r>
            <w:r w:rsidR="00C601BE" w:rsidRPr="0082145D">
              <w:rPr>
                <w:rFonts w:asciiTheme="minorHAnsi" w:hAnsiTheme="minorHAnsi" w:cstheme="minorHAnsi"/>
                <w:b/>
                <w:bCs/>
                <w:sz w:val="28"/>
                <w:szCs w:val="28"/>
              </w:rPr>
              <w:t>priority 1</w:t>
            </w:r>
          </w:p>
          <w:p w14:paraId="28E32371" w14:textId="77777777" w:rsidR="0082145D" w:rsidRPr="0082145D" w:rsidRDefault="0082145D" w:rsidP="004A3534">
            <w:pPr>
              <w:pStyle w:val="Default"/>
              <w:rPr>
                <w:rFonts w:asciiTheme="minorHAnsi" w:hAnsiTheme="minorHAnsi" w:cstheme="minorHAnsi"/>
              </w:rPr>
            </w:pPr>
          </w:p>
        </w:tc>
      </w:tr>
      <w:tr w:rsidR="00C601BE" w:rsidRPr="0082145D" w14:paraId="126F361D" w14:textId="77777777" w:rsidTr="0082145D">
        <w:trPr>
          <w:trHeight w:val="1868"/>
        </w:trPr>
        <w:tc>
          <w:tcPr>
            <w:tcW w:w="5242" w:type="dxa"/>
          </w:tcPr>
          <w:p w14:paraId="4762B092" w14:textId="77777777" w:rsidR="00854DB6" w:rsidRDefault="008E325C">
            <w:r>
              <w:rPr>
                <w:b/>
              </w:rPr>
              <w:t>NIF Priority</w:t>
            </w:r>
          </w:p>
          <w:p w14:paraId="301CB153" w14:textId="77777777" w:rsidR="00854DB6" w:rsidRDefault="008E325C">
            <w:r>
              <w:t>Improvements in attainment, particularly in literacy and numeracy</w:t>
            </w:r>
          </w:p>
          <w:p w14:paraId="57CB8049" w14:textId="77777777" w:rsidR="00854DB6" w:rsidRDefault="008E325C">
            <w:r>
              <w:t>Closing the attainment gap between the most and least disadvantaged children and young people</w:t>
            </w:r>
          </w:p>
          <w:p w14:paraId="35056722" w14:textId="77777777" w:rsidR="00854DB6" w:rsidRDefault="008E325C">
            <w:r>
              <w:rPr>
                <w:b/>
              </w:rPr>
              <w:t>NIF Driver</w:t>
            </w:r>
          </w:p>
          <w:p w14:paraId="2B524B6F" w14:textId="77777777" w:rsidR="00854DB6" w:rsidRDefault="008E325C">
            <w:r>
              <w:t>Assessment of children's progress</w:t>
            </w:r>
          </w:p>
          <w:p w14:paraId="0F24B120" w14:textId="77777777" w:rsidR="00854DB6" w:rsidRDefault="008E325C">
            <w:r>
              <w:t>Teacher professionalism</w:t>
            </w:r>
          </w:p>
          <w:p w14:paraId="0DABDD43" w14:textId="77777777" w:rsidR="00854DB6" w:rsidRDefault="008E325C">
            <w:r>
              <w:t>Parental engagement</w:t>
            </w:r>
          </w:p>
        </w:tc>
        <w:tc>
          <w:tcPr>
            <w:tcW w:w="5243" w:type="dxa"/>
          </w:tcPr>
          <w:p w14:paraId="15541581" w14:textId="77777777" w:rsidR="00854DB6" w:rsidRDefault="008E325C">
            <w:r>
              <w:rPr>
                <w:b/>
              </w:rPr>
              <w:t>HGIOS / QIF ELC QIs</w:t>
            </w:r>
          </w:p>
          <w:p w14:paraId="55C9B840" w14:textId="77777777" w:rsidR="00854DB6" w:rsidRDefault="008E325C">
            <w:r>
              <w:t>3.2 Securing children's progress</w:t>
            </w:r>
          </w:p>
          <w:p w14:paraId="36AE468B" w14:textId="77777777" w:rsidR="00854DB6" w:rsidRDefault="008E325C">
            <w:r>
              <w:t>4.3 Children's progress</w:t>
            </w:r>
          </w:p>
          <w:p w14:paraId="56D50D6C" w14:textId="77777777" w:rsidR="00854DB6" w:rsidRDefault="008E325C">
            <w:r>
              <w:t>3.3 Learning, teaching and assessment</w:t>
            </w:r>
          </w:p>
          <w:p w14:paraId="4670DAA6" w14:textId="77777777" w:rsidR="00854DB6" w:rsidRDefault="008E325C">
            <w:r>
              <w:t>4.1 Nurturing care and support</w:t>
            </w:r>
          </w:p>
          <w:p w14:paraId="7280FA27" w14:textId="77777777" w:rsidR="00854DB6" w:rsidRDefault="008E325C">
            <w:r>
              <w:rPr>
                <w:b/>
              </w:rPr>
              <w:t>UNCRC</w:t>
            </w:r>
          </w:p>
          <w:p w14:paraId="5909A0EE" w14:textId="77777777" w:rsidR="00854DB6" w:rsidRDefault="008E325C">
            <w:r>
              <w:t>Article 28 (Right to education)</w:t>
            </w:r>
          </w:p>
          <w:p w14:paraId="616FA08D" w14:textId="77777777" w:rsidR="00854DB6" w:rsidRDefault="008E325C">
            <w:r>
              <w:t>Article 29 (Goals of education)</w:t>
            </w:r>
          </w:p>
        </w:tc>
      </w:tr>
      <w:tr w:rsidR="00C601BE" w:rsidRPr="0082145D" w14:paraId="7A57F182" w14:textId="77777777" w:rsidTr="002E09AE">
        <w:tc>
          <w:tcPr>
            <w:tcW w:w="10485" w:type="dxa"/>
            <w:gridSpan w:val="2"/>
          </w:tcPr>
          <w:p w14:paraId="4F7BB7CC" w14:textId="77777777" w:rsidR="00854DB6" w:rsidRDefault="008E325C">
            <w:pPr>
              <w:spacing w:after="80"/>
            </w:pPr>
            <w:r>
              <w:rPr>
                <w:b/>
                <w:sz w:val="24"/>
              </w:rPr>
              <w:t>Outcome:</w:t>
            </w:r>
          </w:p>
          <w:p w14:paraId="5846EEF7"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October 2025, all practitioners working with children under three will be trained and increasingly confident in using the Under-3s Developmental Journey to understand children's development, recognise progress and identify appropriate next steps.</w:t>
            </w:r>
          </w:p>
          <w:p w14:paraId="344A5C1D"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January 2026, almost all children under three will demonstrate increased engagement and curiosity during play, as evidenced through observations recorded within the Under-3s Developmental Journey.</w:t>
            </w:r>
          </w:p>
          <w:p w14:paraId="23BC8AF8"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June 2026, all practitioners working with children under three will have an increased understanding of the early identification of additional support needs and the appropriate referral pathways to external agencies and local authority forums.</w:t>
            </w:r>
          </w:p>
          <w:p w14:paraId="132C1C0C"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June 2026, all children identified as requiring additional support will have personalised support plans and will make positive progress towards targets within their identified developmental areas, including language and communication, motor development and social interaction.</w:t>
            </w:r>
          </w:p>
          <w:p w14:paraId="1E3CA492"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June 2026, the under-three learning environment will provide a wider range of developmentally appropriate resources and experiences that promote high-quality play, interaction, exploration and independence.</w:t>
            </w:r>
          </w:p>
          <w:p w14:paraId="17822EF6"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June 2026, families will have increased opportunities to understand and contribute to their child's learning and development through Stay and Play sessions, Bedtime Bookbug sessions and online learning journals.</w:t>
            </w:r>
          </w:p>
          <w:p w14:paraId="78505680" w14:textId="77777777" w:rsidR="00854DB6" w:rsidRDefault="008E325C" w:rsidP="004D1644">
            <w:pPr>
              <w:pStyle w:val="ListParagraph"/>
              <w:numPr>
                <w:ilvl w:val="0"/>
                <w:numId w:val="2"/>
              </w:numPr>
              <w:tabs>
                <w:tab w:val="left" w:pos="264"/>
              </w:tabs>
              <w:spacing w:after="100"/>
              <w:rPr>
                <w:rFonts w:cstheme="minorHAnsi"/>
                <w:sz w:val="24"/>
                <w:szCs w:val="24"/>
              </w:rPr>
            </w:pPr>
            <w:r>
              <w:rPr>
                <w:sz w:val="24"/>
              </w:rPr>
              <w:t>By August 2026, the new planning documentation will be introduced, building on practitioners' strengthened understanding of child development and the quality of observation.</w:t>
            </w:r>
          </w:p>
          <w:p w14:paraId="3D13631D" w14:textId="77777777" w:rsidR="00854DB6" w:rsidRDefault="008E325C">
            <w:pPr>
              <w:spacing w:after="100"/>
            </w:pPr>
            <w:r>
              <w:rPr>
                <w:b/>
                <w:i/>
                <w:sz w:val="24"/>
              </w:rPr>
              <w:t>Progress and impact of outcomes for learners:</w:t>
            </w:r>
          </w:p>
          <w:p w14:paraId="2BCE17B1" w14:textId="77777777" w:rsidR="00854DB6" w:rsidRDefault="008E325C">
            <w:pPr>
              <w:spacing w:after="120"/>
            </w:pPr>
            <w:r>
              <w:rPr>
                <w:sz w:val="24"/>
              </w:rPr>
              <w:t>By June 2026, all practitioners working with children under three had completed training on the Under-3s Developmental Journey. This strengthened practitioners' understanding of early child development and supported a more consistent approach to observing children, recognising progress and identifying appropriate next steps. As a result, all children demonstrated increased engagement and curiosity during play, with practitioners providing experiences that were more closely matched to children's developmental stages, interests and individual needs.</w:t>
            </w:r>
          </w:p>
          <w:p w14:paraId="1C6FB812" w14:textId="77777777" w:rsidR="00854DB6" w:rsidRDefault="008E325C">
            <w:pPr>
              <w:spacing w:after="120"/>
            </w:pPr>
            <w:r>
              <w:rPr>
                <w:sz w:val="24"/>
              </w:rPr>
              <w:t>All practitioners also completed training on the early identification of additional support needs and the referral pathways available through external agencies, the ASG Forum and the ASN Monitoring Forum. This resulted in practitioners identifying children's support needs at an earlier stage and responding more confidently and effectively. Team Around the Child meetings were arranged promptly, enabling families, practitioners and relevant professionals to share information, agree appropriate targets and coordinate support.</w:t>
            </w:r>
          </w:p>
          <w:p w14:paraId="04F54B0E" w14:textId="77777777" w:rsidR="00854DB6" w:rsidRDefault="008E325C">
            <w:pPr>
              <w:spacing w:after="120"/>
            </w:pPr>
            <w:r>
              <w:rPr>
                <w:sz w:val="24"/>
              </w:rPr>
              <w:t xml:space="preserve">All children with identified additional support needs were following the appropriate support pathway and making positive progress towards their individual targets. Review meetings took place consistently, ensuring that progress was monitored, information was shared and support strategies were adjusted when required. Families felt supported and more involved in decisions about their child's development. </w:t>
            </w:r>
            <w:r>
              <w:rPr>
                <w:sz w:val="24"/>
              </w:rPr>
              <w:lastRenderedPageBreak/>
              <w:t>Practitioners developed a clearer shared understanding of each child's developmental needs and the strategies required to support progress.</w:t>
            </w:r>
          </w:p>
          <w:p w14:paraId="514D1A9F" w14:textId="77777777" w:rsidR="00854DB6" w:rsidRDefault="008E325C">
            <w:pPr>
              <w:spacing w:after="120"/>
            </w:pPr>
            <w:r>
              <w:rPr>
                <w:sz w:val="24"/>
              </w:rPr>
              <w:t>A review of the Under-3s Developmental Journey informed improvements to the learning environment. Budget was allocated to purchase developmentally appropriate resources that promoted high-quality play, interaction and exploration. This included resources to support schematic play, lower-level sandboxes that enabled children to sit within the sensory experience, and a three-tier water trough with funnels and guttering to extend children's exploration of pouring, filling and movement. Observations demonstrated increased engagement across the under-three cohort as children accessed resources and experiences that were appropriately matched to their stages of development.</w:t>
            </w:r>
          </w:p>
          <w:p w14:paraId="16032AFE" w14:textId="57CA4138" w:rsidR="00854DB6" w:rsidRDefault="008E325C">
            <w:pPr>
              <w:spacing w:after="120"/>
            </w:pPr>
            <w:r>
              <w:rPr>
                <w:sz w:val="24"/>
              </w:rPr>
              <w:t>Practitioners also developed a stronger understanding of the learning that takes place through everyday routines. Opportunities to develop independence were embedded throughout the day, including putting on outdoor clothing, fastening buttons and participating in snack and lunchtime routines. Practitioners increasingly recognised these experiences as meaningful opportunities to develop children's motor skills, communication, confidence and independence rather than viewing them only as daily tasks.</w:t>
            </w:r>
          </w:p>
          <w:p w14:paraId="129514F6" w14:textId="1A87F26D" w:rsidR="00854DB6" w:rsidRDefault="008E325C">
            <w:pPr>
              <w:spacing w:after="120"/>
            </w:pPr>
            <w:r>
              <w:rPr>
                <w:sz w:val="24"/>
              </w:rPr>
              <w:t xml:space="preserve">Family engagement was strengthened through weekly Wednesday Stay and Play sessions. Every child had a parent or carer attend at least </w:t>
            </w:r>
            <w:r w:rsidR="007B41F1">
              <w:rPr>
                <w:sz w:val="24"/>
              </w:rPr>
              <w:t>one</w:t>
            </w:r>
            <w:r>
              <w:rPr>
                <w:sz w:val="24"/>
              </w:rPr>
              <w:t xml:space="preserve"> session during the year, providing families with opportunities to observe their child's learning and engage in developmentally appropriate play. Bedtime Bookbug sessions were also introduced on Tuesday evenings and were particularly valued by working parents. These sessions supported positive discussions about bedtime routines and demonstrated how stories, rhymes and singing can promote children's early literacy and communication.</w:t>
            </w:r>
          </w:p>
          <w:p w14:paraId="7C51EE2A" w14:textId="77777777" w:rsidR="00854DB6" w:rsidRDefault="008E325C">
            <w:pPr>
              <w:spacing w:after="120"/>
            </w:pPr>
            <w:r>
              <w:rPr>
                <w:sz w:val="24"/>
              </w:rPr>
              <w:t>Parental engagement with online learning journals also increased. Families developed a clearer understanding of their child's current stage of development and became more involved in recognising achievements and supporting learning at home.</w:t>
            </w:r>
          </w:p>
          <w:p w14:paraId="6E2AC86D" w14:textId="77777777" w:rsidR="00854DB6" w:rsidRDefault="008E325C">
            <w:pPr>
              <w:spacing w:after="120"/>
            </w:pPr>
            <w:r>
              <w:rPr>
                <w:sz w:val="24"/>
              </w:rPr>
              <w:t>Following observation and professional reflection, the planned transition to the new planning documentation was rescheduled for August 2026. Leaders identified that practitioners would benefit most from initially deepening their understanding of child development and strengthening the quality of observation. This responsive adjustment ensured that professional learning remained focused on the area likely to have the greatest immediate impact on children. The stronger foundation established this year will support practitioners to implement the new planning documentation confidently and consistently.</w:t>
            </w:r>
          </w:p>
        </w:tc>
      </w:tr>
      <w:tr w:rsidR="00C601BE" w:rsidRPr="0082145D" w14:paraId="736A7DF7" w14:textId="77777777" w:rsidTr="0082145D">
        <w:trPr>
          <w:trHeight w:val="943"/>
        </w:trPr>
        <w:tc>
          <w:tcPr>
            <w:tcW w:w="10485" w:type="dxa"/>
            <w:gridSpan w:val="2"/>
          </w:tcPr>
          <w:p w14:paraId="1AD9086E" w14:textId="77777777" w:rsidR="00854DB6" w:rsidRDefault="008E325C">
            <w:pPr>
              <w:spacing w:after="80"/>
            </w:pPr>
            <w:r>
              <w:rPr>
                <w:b/>
                <w:sz w:val="24"/>
              </w:rPr>
              <w:lastRenderedPageBreak/>
              <w:t>Next steps</w:t>
            </w:r>
          </w:p>
          <w:p w14:paraId="132535B6" w14:textId="77777777" w:rsidR="00854DB6" w:rsidRDefault="008E325C" w:rsidP="004D1644">
            <w:pPr>
              <w:pStyle w:val="ListParagraph"/>
              <w:numPr>
                <w:ilvl w:val="0"/>
                <w:numId w:val="3"/>
              </w:numPr>
              <w:spacing w:after="60"/>
              <w:rPr>
                <w:rFonts w:cstheme="minorHAnsi"/>
                <w:sz w:val="24"/>
                <w:szCs w:val="24"/>
              </w:rPr>
            </w:pPr>
            <w:r>
              <w:rPr>
                <w:sz w:val="24"/>
              </w:rPr>
              <w:t>Introduce the new planning documentation in August 2026, supported by clear guidance, modelling and opportunities for practitioners to review its effectiveness.</w:t>
            </w:r>
          </w:p>
          <w:p w14:paraId="158A411D" w14:textId="77777777" w:rsidR="00854DB6" w:rsidRDefault="008E325C" w:rsidP="004D1644">
            <w:pPr>
              <w:pStyle w:val="ListParagraph"/>
              <w:numPr>
                <w:ilvl w:val="0"/>
                <w:numId w:val="3"/>
              </w:numPr>
              <w:spacing w:after="60"/>
              <w:rPr>
                <w:rFonts w:cstheme="minorHAnsi"/>
                <w:sz w:val="24"/>
                <w:szCs w:val="24"/>
              </w:rPr>
            </w:pPr>
            <w:r>
              <w:rPr>
                <w:sz w:val="24"/>
              </w:rPr>
              <w:t>Continue to strengthen practitioners' use of the Under-3s Developmental Journey to inform observation, assessment and responsive planning.</w:t>
            </w:r>
          </w:p>
          <w:p w14:paraId="73F0BFA3" w14:textId="77777777" w:rsidR="00854DB6" w:rsidRDefault="008E325C" w:rsidP="004D1644">
            <w:pPr>
              <w:pStyle w:val="ListParagraph"/>
              <w:numPr>
                <w:ilvl w:val="0"/>
                <w:numId w:val="3"/>
              </w:numPr>
              <w:spacing w:after="60"/>
              <w:rPr>
                <w:rFonts w:cstheme="minorHAnsi"/>
                <w:sz w:val="24"/>
                <w:szCs w:val="24"/>
              </w:rPr>
            </w:pPr>
            <w:r>
              <w:rPr>
                <w:sz w:val="24"/>
              </w:rPr>
              <w:t>Maintain effective review processes for children with additional support needs, ensuring that targets remain specific, appropriate and regularly evaluated.</w:t>
            </w:r>
          </w:p>
          <w:p w14:paraId="75F4C2B4" w14:textId="77777777" w:rsidR="00854DB6" w:rsidRDefault="008E325C" w:rsidP="004D1644">
            <w:pPr>
              <w:pStyle w:val="ListParagraph"/>
              <w:numPr>
                <w:ilvl w:val="0"/>
                <w:numId w:val="3"/>
              </w:numPr>
              <w:spacing w:after="60"/>
              <w:rPr>
                <w:rFonts w:cstheme="minorHAnsi"/>
                <w:sz w:val="24"/>
                <w:szCs w:val="24"/>
              </w:rPr>
            </w:pPr>
            <w:r>
              <w:rPr>
                <w:sz w:val="24"/>
              </w:rPr>
              <w:t>Continue developing the under-three learning environment in response to children's developmental stages, interests and observed patterns of play.</w:t>
            </w:r>
          </w:p>
          <w:p w14:paraId="49DE6236" w14:textId="77777777" w:rsidR="00854DB6" w:rsidRDefault="008E325C" w:rsidP="004D1644">
            <w:pPr>
              <w:pStyle w:val="ListParagraph"/>
              <w:numPr>
                <w:ilvl w:val="0"/>
                <w:numId w:val="3"/>
              </w:numPr>
              <w:spacing w:after="60"/>
              <w:rPr>
                <w:rFonts w:cstheme="minorHAnsi"/>
                <w:sz w:val="24"/>
                <w:szCs w:val="24"/>
              </w:rPr>
            </w:pPr>
            <w:r>
              <w:rPr>
                <w:sz w:val="24"/>
              </w:rPr>
              <w:t>Build on the success of Stay and Play and Bedtime Bookbug sessions to sustain meaningful family engagement and support learning at home.</w:t>
            </w:r>
          </w:p>
        </w:tc>
      </w:tr>
    </w:tbl>
    <w:p w14:paraId="576F7074" w14:textId="6C6BFBC3" w:rsidR="001E28F9" w:rsidRDefault="001E28F9" w:rsidP="00F22FA5">
      <w:pPr>
        <w:pStyle w:val="Default"/>
        <w:rPr>
          <w:rFonts w:asciiTheme="minorHAnsi" w:hAnsiTheme="minorHAnsi" w:cstheme="minorHAnsi"/>
          <w:b/>
          <w:color w:val="auto"/>
        </w:rPr>
      </w:pPr>
    </w:p>
    <w:p w14:paraId="05A66294" w14:textId="5B206942" w:rsidR="007B41F1" w:rsidRDefault="007B41F1" w:rsidP="00F22FA5">
      <w:pPr>
        <w:pStyle w:val="Default"/>
        <w:rPr>
          <w:rFonts w:asciiTheme="minorHAnsi" w:hAnsiTheme="minorHAnsi" w:cstheme="minorHAnsi"/>
          <w:b/>
          <w:color w:val="auto"/>
        </w:rPr>
      </w:pPr>
    </w:p>
    <w:p w14:paraId="0572EA3D" w14:textId="2490D0CC" w:rsidR="007B41F1" w:rsidRDefault="007B41F1" w:rsidP="00F22FA5">
      <w:pPr>
        <w:pStyle w:val="Default"/>
        <w:rPr>
          <w:rFonts w:asciiTheme="minorHAnsi" w:hAnsiTheme="minorHAnsi" w:cstheme="minorHAnsi"/>
          <w:b/>
          <w:color w:val="auto"/>
        </w:rPr>
      </w:pPr>
    </w:p>
    <w:p w14:paraId="62A6E325" w14:textId="3764F5C2" w:rsidR="007B41F1" w:rsidRDefault="007B41F1" w:rsidP="00F22FA5">
      <w:pPr>
        <w:pStyle w:val="Default"/>
        <w:rPr>
          <w:rFonts w:asciiTheme="minorHAnsi" w:hAnsiTheme="minorHAnsi" w:cstheme="minorHAnsi"/>
          <w:b/>
          <w:color w:val="auto"/>
        </w:rPr>
      </w:pPr>
    </w:p>
    <w:p w14:paraId="3734DBDC" w14:textId="01E34C3C" w:rsidR="007B41F1" w:rsidRDefault="007B41F1" w:rsidP="00F22FA5">
      <w:pPr>
        <w:pStyle w:val="Default"/>
        <w:rPr>
          <w:rFonts w:asciiTheme="minorHAnsi" w:hAnsiTheme="minorHAnsi" w:cstheme="minorHAnsi"/>
          <w:b/>
          <w:color w:val="auto"/>
        </w:rPr>
      </w:pPr>
    </w:p>
    <w:p w14:paraId="07F04DF3" w14:textId="28EB26F1" w:rsidR="007B41F1" w:rsidRDefault="007B41F1" w:rsidP="00F22FA5">
      <w:pPr>
        <w:pStyle w:val="Default"/>
        <w:rPr>
          <w:rFonts w:asciiTheme="minorHAnsi" w:hAnsiTheme="minorHAnsi" w:cstheme="minorHAnsi"/>
          <w:b/>
          <w:color w:val="auto"/>
        </w:rPr>
      </w:pPr>
    </w:p>
    <w:p w14:paraId="6041B6D8" w14:textId="77777777" w:rsidR="007B41F1" w:rsidRPr="0082145D" w:rsidRDefault="007B41F1"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D01A195" w14:textId="77777777" w:rsidTr="001545DC">
        <w:tc>
          <w:tcPr>
            <w:tcW w:w="10485" w:type="dxa"/>
            <w:gridSpan w:val="2"/>
            <w:shd w:val="clear" w:color="auto" w:fill="33CCCC"/>
          </w:tcPr>
          <w:p w14:paraId="6939F891" w14:textId="77777777"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2</w:t>
            </w:r>
          </w:p>
          <w:p w14:paraId="7001B820" w14:textId="77777777" w:rsidR="0082145D" w:rsidRPr="0082145D" w:rsidRDefault="0082145D" w:rsidP="00461399">
            <w:pPr>
              <w:pStyle w:val="Default"/>
              <w:rPr>
                <w:rFonts w:asciiTheme="minorHAnsi" w:hAnsiTheme="minorHAnsi" w:cstheme="minorHAnsi"/>
              </w:rPr>
            </w:pPr>
          </w:p>
        </w:tc>
      </w:tr>
      <w:tr w:rsidR="0082145D" w:rsidRPr="0082145D" w14:paraId="0F084D34" w14:textId="77777777" w:rsidTr="0082145D">
        <w:trPr>
          <w:trHeight w:val="1868"/>
        </w:trPr>
        <w:tc>
          <w:tcPr>
            <w:tcW w:w="5242" w:type="dxa"/>
          </w:tcPr>
          <w:p w14:paraId="12A091A5" w14:textId="77777777" w:rsidR="00854DB6" w:rsidRDefault="008E325C">
            <w:r>
              <w:rPr>
                <w:b/>
              </w:rPr>
              <w:t>NIF Priority</w:t>
            </w:r>
          </w:p>
          <w:p w14:paraId="3500297B" w14:textId="77777777" w:rsidR="00854DB6" w:rsidRDefault="008E325C">
            <w:r>
              <w:t>Closing the attainment gap between the most and least disadvantaged children and young people</w:t>
            </w:r>
          </w:p>
          <w:p w14:paraId="6244128C" w14:textId="77777777" w:rsidR="00854DB6" w:rsidRDefault="008E325C">
            <w:r>
              <w:t>Improvements in attainment, particularly in literacy and numeracy</w:t>
            </w:r>
          </w:p>
          <w:p w14:paraId="68886DE8" w14:textId="77777777" w:rsidR="00854DB6" w:rsidRDefault="008E325C">
            <w:r>
              <w:rPr>
                <w:b/>
              </w:rPr>
              <w:t>NIF Driver</w:t>
            </w:r>
          </w:p>
          <w:p w14:paraId="54ED5072" w14:textId="77777777" w:rsidR="00854DB6" w:rsidRDefault="008E325C">
            <w:r>
              <w:t>Teacher professionalism</w:t>
            </w:r>
          </w:p>
          <w:p w14:paraId="2F340639" w14:textId="77777777" w:rsidR="00854DB6" w:rsidRDefault="008E325C">
            <w:r>
              <w:t>Assessment of children's progress</w:t>
            </w:r>
          </w:p>
          <w:p w14:paraId="79DF8641" w14:textId="77777777" w:rsidR="00854DB6" w:rsidRDefault="008E325C">
            <w:r>
              <w:t>School improvement</w:t>
            </w:r>
          </w:p>
          <w:p w14:paraId="0F2E6BBE" w14:textId="77777777" w:rsidR="00854DB6" w:rsidRDefault="008E325C">
            <w:r>
              <w:t>Parental engagement</w:t>
            </w:r>
          </w:p>
        </w:tc>
        <w:tc>
          <w:tcPr>
            <w:tcW w:w="5243" w:type="dxa"/>
          </w:tcPr>
          <w:p w14:paraId="02E822E1" w14:textId="77777777" w:rsidR="00854DB6" w:rsidRDefault="008E325C">
            <w:r>
              <w:rPr>
                <w:b/>
              </w:rPr>
              <w:t>HGIOS / QIF ELC QIs</w:t>
            </w:r>
          </w:p>
          <w:p w14:paraId="1E8ED6D3" w14:textId="77777777" w:rsidR="00854DB6" w:rsidRDefault="008E325C">
            <w:r>
              <w:t>3.3 Learning, teaching and assessment</w:t>
            </w:r>
          </w:p>
          <w:p w14:paraId="68D42243" w14:textId="77777777" w:rsidR="00854DB6" w:rsidRDefault="008E325C">
            <w:r>
              <w:t>4.3 Children's progress</w:t>
            </w:r>
          </w:p>
          <w:p w14:paraId="2D334B5E" w14:textId="77777777" w:rsidR="00854DB6" w:rsidRDefault="008E325C">
            <w:r>
              <w:t>1.2 Staff skills, knowledge, values and deployment</w:t>
            </w:r>
          </w:p>
          <w:p w14:paraId="23DF25A0" w14:textId="77777777" w:rsidR="00854DB6" w:rsidRDefault="008E325C">
            <w:r>
              <w:t>4.2 Wellbeing, inclusion and equality</w:t>
            </w:r>
          </w:p>
          <w:p w14:paraId="42B321BF" w14:textId="77777777" w:rsidR="00854DB6" w:rsidRDefault="008E325C">
            <w:r>
              <w:rPr>
                <w:b/>
              </w:rPr>
              <w:t>UNCRC</w:t>
            </w:r>
          </w:p>
          <w:p w14:paraId="6D22862F" w14:textId="77777777" w:rsidR="00854DB6" w:rsidRDefault="008E325C">
            <w:r>
              <w:t>Article 28 (Right to education)</w:t>
            </w:r>
          </w:p>
          <w:p w14:paraId="6082A532" w14:textId="77777777" w:rsidR="00854DB6" w:rsidRDefault="008E325C">
            <w:r>
              <w:t>Article 29 (Goals of education)</w:t>
            </w:r>
          </w:p>
        </w:tc>
      </w:tr>
      <w:tr w:rsidR="00461399" w:rsidRPr="0082145D" w14:paraId="0CD8CC47" w14:textId="77777777" w:rsidTr="001545DC">
        <w:tc>
          <w:tcPr>
            <w:tcW w:w="10485" w:type="dxa"/>
            <w:gridSpan w:val="2"/>
          </w:tcPr>
          <w:p w14:paraId="4C8675CB" w14:textId="77777777" w:rsidR="00854DB6" w:rsidRDefault="008E325C">
            <w:pPr>
              <w:pStyle w:val="ListParagraph"/>
            </w:pPr>
            <w:r>
              <w:rPr>
                <w:b/>
                <w:sz w:val="24"/>
              </w:rPr>
              <w:t>Outcome:</w:t>
            </w:r>
          </w:p>
          <w:p w14:paraId="5D61C589" w14:textId="77777777" w:rsidR="00854DB6" w:rsidRDefault="008E325C" w:rsidP="004D1644">
            <w:pPr>
              <w:pStyle w:val="ListParagraph"/>
              <w:numPr>
                <w:ilvl w:val="0"/>
                <w:numId w:val="5"/>
              </w:numPr>
            </w:pPr>
            <w:r w:rsidRPr="007B41F1">
              <w:rPr>
                <w:sz w:val="24"/>
              </w:rPr>
              <w:t>By June 2026, all practitioners will have fully embedded the 3-5 tracking tool into planning and assessment, leading to more consistent tracking of progress and improved individualised learning in numeracy and wider learning areas.</w:t>
            </w:r>
          </w:p>
          <w:p w14:paraId="0AE3FBFA" w14:textId="77777777" w:rsidR="00854DB6" w:rsidRDefault="008E325C" w:rsidP="004D1644">
            <w:pPr>
              <w:pStyle w:val="ListParagraph"/>
              <w:numPr>
                <w:ilvl w:val="0"/>
                <w:numId w:val="5"/>
              </w:numPr>
            </w:pPr>
            <w:r>
              <w:rPr>
                <w:sz w:val="24"/>
              </w:rPr>
              <w:t>By January 2026, all practitioners will be upskilled in delivering high-quality early numeracy learning, teaching and assessment through Inverclyde's Numeracy Strategy, ensuring almost all children make very good progress.</w:t>
            </w:r>
          </w:p>
          <w:p w14:paraId="67466C2D" w14:textId="77777777" w:rsidR="00854DB6" w:rsidRDefault="008E325C" w:rsidP="004D1644">
            <w:pPr>
              <w:pStyle w:val="ListParagraph"/>
              <w:numPr>
                <w:ilvl w:val="0"/>
                <w:numId w:val="5"/>
              </w:numPr>
            </w:pPr>
            <w:r>
              <w:rPr>
                <w:sz w:val="24"/>
              </w:rPr>
              <w:t>By April 2026, 90% of children aged 3-5 will demonstrate improved numeracy skills across early number, pattern, measure and shape appropriate to their developmental stage.</w:t>
            </w:r>
          </w:p>
          <w:p w14:paraId="13B0E9B2" w14:textId="77777777" w:rsidR="00854DB6" w:rsidRDefault="008E325C" w:rsidP="004D1644">
            <w:pPr>
              <w:pStyle w:val="ListParagraph"/>
              <w:numPr>
                <w:ilvl w:val="0"/>
                <w:numId w:val="5"/>
              </w:numPr>
            </w:pPr>
            <w:r>
              <w:rPr>
                <w:sz w:val="24"/>
              </w:rPr>
              <w:t>By June 2026, 90% or more of children will show increased confidence and engagement in numeracy activities, using mathematical language and problem-solving skills through play.</w:t>
            </w:r>
          </w:p>
          <w:p w14:paraId="050201FF" w14:textId="77777777" w:rsidR="00854DB6" w:rsidRDefault="008E325C" w:rsidP="004D1644">
            <w:pPr>
              <w:pStyle w:val="ListParagraph"/>
              <w:numPr>
                <w:ilvl w:val="0"/>
                <w:numId w:val="5"/>
              </w:numPr>
            </w:pPr>
            <w:r>
              <w:rPr>
                <w:sz w:val="24"/>
              </w:rPr>
              <w:t>By June 2026, all children identified as needing additional support in numeracy will have tailored interventions in place, with at least 80% making measurable progress from their starting points.</w:t>
            </w:r>
          </w:p>
          <w:p w14:paraId="39134D2F" w14:textId="77777777" w:rsidR="00854DB6" w:rsidRDefault="008E325C">
            <w:r>
              <w:rPr>
                <w:b/>
                <w:sz w:val="24"/>
              </w:rPr>
              <w:t>Progress and impact of outcomes for learners:</w:t>
            </w:r>
          </w:p>
          <w:p w14:paraId="3484CABC" w14:textId="77777777" w:rsidR="00854DB6" w:rsidRDefault="008E325C">
            <w:r>
              <w:rPr>
                <w:sz w:val="24"/>
              </w:rPr>
              <w:t>Most practitioners completed professional learning based on Inverclyde's Numeracy Strategy. This increased practitioners' understanding of early numeracy development and supported a more consistent approach to planning high-quality numeracy experiences. Staff became more confident in recognising opportunities to develop early number, pattern, shape and measure through children's play and everyday routines.</w:t>
            </w:r>
          </w:p>
          <w:p w14:paraId="65624CC9" w14:textId="77777777" w:rsidR="00854DB6" w:rsidRDefault="008E325C">
            <w:r>
              <w:rPr>
                <w:sz w:val="24"/>
              </w:rPr>
              <w:t>The Equity and Excellence Lead had a clear remit to raise attainment in numeracy. She worked directly within the playrooms, providing targeted support for children who required additional help and appropriate challenge for children who were progressing beyond expectations. This ensured that support was responsive to assessment information and closely matched to children's individual needs. Numeracy was also placed at the forefront of Stay and Play sessions, giving families practical opportunities to develop their understanding of how early mathematical skills can be supported through play at home.</w:t>
            </w:r>
          </w:p>
          <w:p w14:paraId="0728A798" w14:textId="5AE43D0C" w:rsidR="00854DB6" w:rsidRDefault="008E325C">
            <w:r>
              <w:rPr>
                <w:sz w:val="24"/>
              </w:rPr>
              <w:t>Practitioners evaluated their own areas and participated in peer evaluations to consider the quality and availability of numeracy experiences across the setting. As a result, numeracy became more visible throughout indoor and outdoor environments. Children had increased opportunities to count, compare, measure, recognise patterns, solve problems and use mathematical language naturally across their play.</w:t>
            </w:r>
          </w:p>
          <w:p w14:paraId="3DB22D43" w14:textId="77777777" w:rsidR="00854DB6" w:rsidRDefault="008E325C">
            <w:r>
              <w:rPr>
                <w:sz w:val="24"/>
              </w:rPr>
              <w:t>A more focused and systematic approach to data analysis was introduced this year. At the end of each tracking block, the leadership team analysed establishment data alongside keyworkers during focused meetings. This enabled practitioners to identify children requiring additional support or challenge, agree appropriate interventions and make timely changes to planning and provision.</w:t>
            </w:r>
          </w:p>
          <w:p w14:paraId="777F4245" w14:textId="7ED6FA8C" w:rsidR="00854DB6" w:rsidRDefault="008E325C">
            <w:r>
              <w:rPr>
                <w:sz w:val="24"/>
              </w:rPr>
              <w:t>Data was also explored in greater depth through Early Years Attainment and Precise Professional Conversation meetings involving peer heads from other nurseries and the Early Years Manager</w:t>
            </w:r>
            <w:r w:rsidR="00F27CEF">
              <w:rPr>
                <w:sz w:val="24"/>
              </w:rPr>
              <w:t xml:space="preserve"> and Quality Improvement Officer</w:t>
            </w:r>
            <w:r>
              <w:rPr>
                <w:sz w:val="24"/>
              </w:rPr>
              <w:t>. These discussions provided professional support and challenge, strengthened the accuracy of professional judgements and helped the leadership team identify patterns and priorities across the setting. This regular cycle of assessment, professional dialogue, targeted intervention and review enabled appropriate changes to be made throughout the year.</w:t>
            </w:r>
          </w:p>
          <w:p w14:paraId="681E5696" w14:textId="77777777" w:rsidR="00854DB6" w:rsidRDefault="008E325C">
            <w:r>
              <w:rPr>
                <w:sz w:val="24"/>
              </w:rPr>
              <w:lastRenderedPageBreak/>
              <w:t>Tracking data demonstrated strong progress across the preschool cohort. In Block 1, 41% of preschool children were assessed as behind expectation in numeracy. This reduced to 29% in Block 2 and 12% by Block 3. The proportion of children assessed as being at or beyond expectation increased from 59% in Block 1 to 71% in Block 2 and 88% by Block 3. This demonstrated that strengthened planning, targeted intervention and a sustained focus on numeracy had a positive impact on children's progress.</w:t>
            </w:r>
          </w:p>
          <w:p w14:paraId="6EECACB4" w14:textId="77777777" w:rsidR="00854DB6" w:rsidRDefault="008E325C">
            <w:r>
              <w:rPr>
                <w:sz w:val="24"/>
              </w:rPr>
              <w:t>The ante-preschool cohort also demonstrated improvement. The proportion of children assessed as behind expectation in numeracy reduced from 33% in Block 1 to 12% in Block 2. By Block 3, following changes and growth within the cohort, 15% were behind expectation and 85% were at or beyond expectation. Although there was a small increase in the proportion requiring support between Blocks 2 and 3, the final position remained substantially stronger than the Block 1 baseline. Tracking enabled practitioners to identify individual needs quickly and ensure that focused support remained in place.</w:t>
            </w:r>
          </w:p>
          <w:p w14:paraId="08AA6B08" w14:textId="77777777" w:rsidR="00854DB6" w:rsidRDefault="008E325C">
            <w:r>
              <w:rPr>
                <w:sz w:val="24"/>
              </w:rPr>
              <w:t>Overall, the data demonstrated very good progress in children's numeracy development. By June 2026, almost all preschool children and most ante-preschool children were working at or beyond expectation. Although the final figures were slightly below the 90% target, there was a significant reduction in the number of children requiring additional support. This showed that the consistent use of the tracking tool, targeted interventions and improvements to numeracy experiences were having a positive impact. Children demonstrated increased confidence and engagement in numeracy and were more able to use mathematical language and problem-solving skills naturally through their play.</w:t>
            </w:r>
          </w:p>
        </w:tc>
      </w:tr>
      <w:tr w:rsidR="00461399" w:rsidRPr="0082145D" w14:paraId="2FE498E4" w14:textId="77777777" w:rsidTr="0082145D">
        <w:trPr>
          <w:trHeight w:val="769"/>
        </w:trPr>
        <w:tc>
          <w:tcPr>
            <w:tcW w:w="10485" w:type="dxa"/>
            <w:gridSpan w:val="2"/>
          </w:tcPr>
          <w:p w14:paraId="7421865F" w14:textId="77777777" w:rsidR="00854DB6" w:rsidRDefault="008E325C">
            <w:pPr>
              <w:pStyle w:val="NormalWeb"/>
            </w:pPr>
            <w:r>
              <w:rPr>
                <w:b/>
              </w:rPr>
              <w:lastRenderedPageBreak/>
              <w:t>Next steps</w:t>
            </w:r>
          </w:p>
          <w:p w14:paraId="452CEEC3" w14:textId="77777777" w:rsidR="00854DB6" w:rsidRPr="007B41F1" w:rsidRDefault="008E325C">
            <w:pPr>
              <w:pStyle w:val="NormalWeb"/>
              <w:rPr>
                <w:rFonts w:asciiTheme="minorHAnsi" w:hAnsiTheme="minorHAnsi" w:cstheme="minorHAnsi"/>
              </w:rPr>
            </w:pPr>
            <w:r w:rsidRPr="007B41F1">
              <w:rPr>
                <w:rFonts w:asciiTheme="minorHAnsi" w:hAnsiTheme="minorHAnsi" w:cstheme="minorHAnsi"/>
              </w:rPr>
              <w:t>Ensure all remaining and newly appointed practitioners complete professional learning based on Inverclyde's Numeracy Strategy.</w:t>
            </w:r>
          </w:p>
          <w:p w14:paraId="67D0793E" w14:textId="77777777" w:rsidR="00854DB6" w:rsidRPr="007B41F1" w:rsidRDefault="008E325C">
            <w:pPr>
              <w:pStyle w:val="NormalWeb"/>
              <w:rPr>
                <w:rFonts w:asciiTheme="minorHAnsi" w:hAnsiTheme="minorHAnsi" w:cstheme="minorHAnsi"/>
              </w:rPr>
            </w:pPr>
            <w:r w:rsidRPr="007B41F1">
              <w:rPr>
                <w:rFonts w:asciiTheme="minorHAnsi" w:hAnsiTheme="minorHAnsi" w:cstheme="minorHAnsi"/>
              </w:rPr>
              <w:t>Continue to use the 3-5 tracking tool and termly data analysis to identify children requiring timely support or additional challenge.</w:t>
            </w:r>
          </w:p>
          <w:p w14:paraId="43C82786" w14:textId="77777777" w:rsidR="00854DB6" w:rsidRPr="007B41F1" w:rsidRDefault="008E325C">
            <w:pPr>
              <w:pStyle w:val="NormalWeb"/>
              <w:rPr>
                <w:rFonts w:asciiTheme="minorHAnsi" w:hAnsiTheme="minorHAnsi" w:cstheme="minorHAnsi"/>
              </w:rPr>
            </w:pPr>
            <w:r w:rsidRPr="007B41F1">
              <w:rPr>
                <w:rFonts w:asciiTheme="minorHAnsi" w:hAnsiTheme="minorHAnsi" w:cstheme="minorHAnsi"/>
              </w:rPr>
              <w:t>Maintain the Equity and Excellence Lead's targeted numeracy role and evaluate the progress of children receiving individual interventions.</w:t>
            </w:r>
          </w:p>
          <w:p w14:paraId="70A11E03" w14:textId="77777777" w:rsidR="00854DB6" w:rsidRPr="007B41F1" w:rsidRDefault="008E325C">
            <w:pPr>
              <w:pStyle w:val="NormalWeb"/>
              <w:rPr>
                <w:rFonts w:asciiTheme="minorHAnsi" w:hAnsiTheme="minorHAnsi" w:cstheme="minorHAnsi"/>
              </w:rPr>
            </w:pPr>
            <w:r w:rsidRPr="007B41F1">
              <w:rPr>
                <w:rFonts w:asciiTheme="minorHAnsi" w:hAnsiTheme="minorHAnsi" w:cstheme="minorHAnsi"/>
              </w:rPr>
              <w:t>Continue peer evaluation of indoor and outdoor environments to ensure numeracy remains visible, meaningful and responsive to children's interests and developmental needs.</w:t>
            </w:r>
          </w:p>
          <w:p w14:paraId="70094D3A" w14:textId="77777777" w:rsidR="00854DB6" w:rsidRDefault="008E325C">
            <w:pPr>
              <w:pStyle w:val="NormalWeb"/>
            </w:pPr>
            <w:r w:rsidRPr="007B41F1">
              <w:rPr>
                <w:rFonts w:asciiTheme="minorHAnsi" w:hAnsiTheme="minorHAnsi" w:cstheme="minorHAnsi"/>
              </w:rPr>
              <w:t>Build on numeracy-focused Stay and Play sessions and home-learning opportunities to strengthen families' confidence in supporting early mathematics.</w:t>
            </w:r>
          </w:p>
        </w:tc>
      </w:tr>
    </w:tbl>
    <w:p w14:paraId="6FCA2F2D" w14:textId="77777777" w:rsidR="00461399" w:rsidRPr="0082145D" w:rsidRDefault="00461399" w:rsidP="00F22FA5">
      <w:pPr>
        <w:pStyle w:val="Default"/>
        <w:rPr>
          <w:rFonts w:asciiTheme="minorHAnsi" w:hAnsiTheme="minorHAnsi" w:cstheme="minorHAnsi"/>
          <w:b/>
          <w:color w:val="auto"/>
        </w:rPr>
      </w:pPr>
    </w:p>
    <w:p w14:paraId="3A80D51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692E08D0" w14:textId="77777777" w:rsidTr="001545DC">
        <w:tc>
          <w:tcPr>
            <w:tcW w:w="10485" w:type="dxa"/>
            <w:gridSpan w:val="2"/>
            <w:shd w:val="clear" w:color="auto" w:fill="33CCCC"/>
          </w:tcPr>
          <w:p w14:paraId="7B7AF9F6"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3</w:t>
            </w:r>
          </w:p>
          <w:p w14:paraId="37D45E2F" w14:textId="77777777" w:rsidR="0082145D" w:rsidRPr="0082145D" w:rsidRDefault="0082145D" w:rsidP="001545DC">
            <w:pPr>
              <w:pStyle w:val="Default"/>
              <w:rPr>
                <w:rFonts w:asciiTheme="minorHAnsi" w:hAnsiTheme="minorHAnsi" w:cstheme="minorHAnsi"/>
              </w:rPr>
            </w:pPr>
          </w:p>
        </w:tc>
      </w:tr>
      <w:tr w:rsidR="0082145D" w:rsidRPr="0082145D" w14:paraId="48514BAE" w14:textId="77777777" w:rsidTr="0082145D">
        <w:trPr>
          <w:trHeight w:val="1868"/>
        </w:trPr>
        <w:tc>
          <w:tcPr>
            <w:tcW w:w="5242" w:type="dxa"/>
          </w:tcPr>
          <w:p w14:paraId="2615084D" w14:textId="77777777" w:rsidR="00854DB6" w:rsidRDefault="008E325C">
            <w:r>
              <w:rPr>
                <w:b/>
              </w:rPr>
              <w:t>NIF Priority</w:t>
            </w:r>
          </w:p>
          <w:p w14:paraId="0FEC4BAA" w14:textId="77777777" w:rsidR="00854DB6" w:rsidRDefault="008E325C">
            <w:r>
              <w:t>Closing the attainment gap between the most and least disadvantaged children and young people</w:t>
            </w:r>
          </w:p>
          <w:p w14:paraId="771F7C7D" w14:textId="77777777" w:rsidR="00854DB6" w:rsidRDefault="008E325C">
            <w:r>
              <w:rPr>
                <w:b/>
              </w:rPr>
              <w:t>NIF Driver</w:t>
            </w:r>
          </w:p>
          <w:p w14:paraId="0DF7CF69" w14:textId="77777777" w:rsidR="00854DB6" w:rsidRDefault="008E325C">
            <w:r>
              <w:t>Parental engagement</w:t>
            </w:r>
          </w:p>
          <w:p w14:paraId="76DC9654" w14:textId="77777777" w:rsidR="00854DB6" w:rsidRDefault="008E325C">
            <w:r>
              <w:t>Assessment of children's progress</w:t>
            </w:r>
          </w:p>
          <w:p w14:paraId="078014A6" w14:textId="77777777" w:rsidR="00854DB6" w:rsidRDefault="008E325C">
            <w:r>
              <w:t>School improvement</w:t>
            </w:r>
          </w:p>
        </w:tc>
        <w:tc>
          <w:tcPr>
            <w:tcW w:w="5243" w:type="dxa"/>
          </w:tcPr>
          <w:p w14:paraId="57A4C8CB" w14:textId="77777777" w:rsidR="00854DB6" w:rsidRDefault="008E325C">
            <w:r>
              <w:rPr>
                <w:b/>
              </w:rPr>
              <w:t>HGIOS / QIF ELC QIs</w:t>
            </w:r>
          </w:p>
          <w:p w14:paraId="67B7FF31" w14:textId="77777777" w:rsidR="00854DB6" w:rsidRDefault="008E325C">
            <w:r>
              <w:t>4.1 Nurturing care and support</w:t>
            </w:r>
          </w:p>
          <w:p w14:paraId="18C5E6C6" w14:textId="77777777" w:rsidR="00854DB6" w:rsidRDefault="008E325C">
            <w:r>
              <w:t>4.2 Wellbeing, inclusion and equality</w:t>
            </w:r>
          </w:p>
          <w:p w14:paraId="7B3309F3" w14:textId="77777777" w:rsidR="00854DB6" w:rsidRDefault="008E325C">
            <w:r>
              <w:t>4.3 Children's progress</w:t>
            </w:r>
          </w:p>
          <w:p w14:paraId="7011AF2D" w14:textId="77777777" w:rsidR="00854DB6" w:rsidRDefault="008E325C">
            <w:r>
              <w:t>2.5 Family learning</w:t>
            </w:r>
          </w:p>
          <w:p w14:paraId="717A53F2" w14:textId="77777777" w:rsidR="00854DB6" w:rsidRDefault="008E325C">
            <w:r>
              <w:rPr>
                <w:b/>
              </w:rPr>
              <w:t>UNCRC</w:t>
            </w:r>
          </w:p>
          <w:p w14:paraId="7CF35BD4" w14:textId="77777777" w:rsidR="00854DB6" w:rsidRDefault="008E325C">
            <w:r>
              <w:t>Article 3 (Best interests of the child)</w:t>
            </w:r>
          </w:p>
          <w:p w14:paraId="1F16CA08" w14:textId="77777777" w:rsidR="00854DB6" w:rsidRDefault="008E325C">
            <w:r>
              <w:t>Article 28 (Right to education)</w:t>
            </w:r>
          </w:p>
        </w:tc>
      </w:tr>
      <w:tr w:rsidR="00461399" w:rsidRPr="0082145D" w14:paraId="3C50BEC0" w14:textId="77777777" w:rsidTr="001545DC">
        <w:tc>
          <w:tcPr>
            <w:tcW w:w="10485" w:type="dxa"/>
            <w:gridSpan w:val="2"/>
          </w:tcPr>
          <w:p w14:paraId="71D12395" w14:textId="77777777" w:rsidR="00854DB6" w:rsidRDefault="008E325C">
            <w:pPr>
              <w:pStyle w:val="ListParagraph"/>
            </w:pPr>
            <w:r>
              <w:rPr>
                <w:b/>
                <w:sz w:val="24"/>
              </w:rPr>
              <w:t>Outcome:</w:t>
            </w:r>
          </w:p>
          <w:p w14:paraId="7F4EEF01" w14:textId="77777777" w:rsidR="00854DB6" w:rsidRDefault="008E325C" w:rsidP="004D1644">
            <w:pPr>
              <w:pStyle w:val="ListParagraph"/>
              <w:numPr>
                <w:ilvl w:val="0"/>
                <w:numId w:val="6"/>
              </w:numPr>
            </w:pPr>
            <w:r w:rsidRPr="007B41F1">
              <w:rPr>
                <w:sz w:val="24"/>
              </w:rPr>
              <w:t>By December 2025, 90% of families will have an increased understanding of the link between regular attendance, their child's wellbeing and learning, demonstrated through feedback and improved communication about absences.</w:t>
            </w:r>
          </w:p>
          <w:p w14:paraId="1233FE84" w14:textId="77777777" w:rsidR="00854DB6" w:rsidRDefault="008E325C" w:rsidP="004D1644">
            <w:pPr>
              <w:pStyle w:val="ListParagraph"/>
              <w:numPr>
                <w:ilvl w:val="0"/>
                <w:numId w:val="6"/>
              </w:numPr>
            </w:pPr>
            <w:r>
              <w:rPr>
                <w:sz w:val="24"/>
              </w:rPr>
              <w:t>By March 2026, at least 70% of children with previously low attendance will show measurable improvement in attendance, supported by strengthened relationships, targeted family support and regular check-ins with keyworkers.</w:t>
            </w:r>
          </w:p>
          <w:p w14:paraId="6FB7B8E2" w14:textId="77777777" w:rsidR="00854DB6" w:rsidRDefault="008E325C" w:rsidP="004D1644">
            <w:pPr>
              <w:pStyle w:val="ListParagraph"/>
              <w:numPr>
                <w:ilvl w:val="0"/>
                <w:numId w:val="6"/>
              </w:numPr>
            </w:pPr>
            <w:r>
              <w:rPr>
                <w:sz w:val="24"/>
              </w:rPr>
              <w:t>By June 2026, 90% of families will actively engage in home-nursery learning opportunities, contributing regularly to their child's learning journey through shared observations, participation in activities and collaborative planning.</w:t>
            </w:r>
          </w:p>
          <w:p w14:paraId="763CB95F" w14:textId="77777777" w:rsidR="00854DB6" w:rsidRDefault="008E325C" w:rsidP="004D1644">
            <w:pPr>
              <w:pStyle w:val="ListParagraph"/>
              <w:numPr>
                <w:ilvl w:val="0"/>
                <w:numId w:val="6"/>
              </w:numPr>
            </w:pPr>
            <w:r>
              <w:rPr>
                <w:sz w:val="24"/>
              </w:rPr>
              <w:t>By June 2026, almost all children (90%+) will benefit from more consistent attendance, leading to stronger relationships with staff, smoother transitions and improved developmental progress.</w:t>
            </w:r>
          </w:p>
          <w:p w14:paraId="12A07AB5" w14:textId="77777777" w:rsidR="00854DB6" w:rsidRDefault="008E325C" w:rsidP="004D1644">
            <w:pPr>
              <w:pStyle w:val="ListParagraph"/>
              <w:numPr>
                <w:ilvl w:val="0"/>
                <w:numId w:val="6"/>
              </w:numPr>
            </w:pPr>
            <w:r>
              <w:rPr>
                <w:sz w:val="24"/>
              </w:rPr>
              <w:t>Attendance, family engagement and children's developmental progress will be monitored through attendance data, family questionnaires, learning journal contributions, keyworker reflection and regular termly tracking of children's wellbeing and learning.</w:t>
            </w:r>
          </w:p>
          <w:p w14:paraId="31903BB6" w14:textId="77777777" w:rsidR="00854DB6" w:rsidRDefault="008E325C">
            <w:r>
              <w:rPr>
                <w:b/>
                <w:sz w:val="24"/>
              </w:rPr>
              <w:t>Progress and impact of outcomes for learners:</w:t>
            </w:r>
          </w:p>
          <w:p w14:paraId="054F7350" w14:textId="77777777" w:rsidR="00854DB6" w:rsidRDefault="008E325C">
            <w:r>
              <w:rPr>
                <w:sz w:val="24"/>
              </w:rPr>
              <w:t>Attendance data was audited monthly to identify emerging patterns and concerns. This gave the leadership team and keyworkers a clear understanding of each child's attendance and enabled support to be introduced at the earliest possible stage. The attendance policy was reviewed and shared with families, strengthening parents' understanding of expectations and the procedures for reporting absence.</w:t>
            </w:r>
          </w:p>
          <w:p w14:paraId="54076E65" w14:textId="77777777" w:rsidR="00854DB6" w:rsidRDefault="008E325C">
            <w:r>
              <w:rPr>
                <w:sz w:val="24"/>
              </w:rPr>
              <w:t>During parents' evenings and Terrific Target meetings, staff regularly discussed the importance of good attendance and the positive link between consistent nursery attendance, children's wellbeing, learning and the development of routines for starting primary school. These conversations were approached sensitively and supportively, taking account of each family's circumstances. For two children, flexible attendance models were agreed with their families to help establish positive and sustainable routines.</w:t>
            </w:r>
          </w:p>
          <w:p w14:paraId="3C230A95" w14:textId="77777777" w:rsidR="00854DB6" w:rsidRDefault="008E325C">
            <w:r>
              <w:rPr>
                <w:sz w:val="24"/>
              </w:rPr>
              <w:t>Communication about unexplained absences became more consistent. When a parent did not contact the nursery, a text message was sent and followed by a telephone call if no response was received. This strengthened communication between home and nursery and allowed staff to identify difficulties and offer appropriate support promptly.</w:t>
            </w:r>
          </w:p>
          <w:p w14:paraId="2759D391" w14:textId="77777777" w:rsidR="00854DB6" w:rsidRDefault="008E325C">
            <w:r>
              <w:rPr>
                <w:sz w:val="24"/>
              </w:rPr>
              <w:t>One child experienced an extended period of absence during the winter because of a health condition. A carefully planned, gradual return was agreed with the family. The child initially attended reduced sessions, which were increased over time as their health and confidence improved. This flexible approach enabled the child to return to nursery sooner while protecting their wellbeing and rebuilding familiar relationships and routines.</w:t>
            </w:r>
          </w:p>
          <w:p w14:paraId="3C16288F" w14:textId="77777777" w:rsidR="00854DB6" w:rsidRDefault="008E325C">
            <w:r>
              <w:rPr>
                <w:sz w:val="24"/>
              </w:rPr>
              <w:t>Health visitors were kept informed about children whose attendance was causing concern. This strengthened partnership working and helped ensure that families received consistent, coordinated support. Improvements in attendance were recognised and celebrated informally with children and parents. This positive approach reassured families that their efforts were noticed and valued and helped maintain supportive relationships between families and the nursery.</w:t>
            </w:r>
          </w:p>
          <w:p w14:paraId="391EC958" w14:textId="268D9EA4" w:rsidR="00854DB6" w:rsidRPr="00077993" w:rsidRDefault="008E325C">
            <w:pPr>
              <w:rPr>
                <w:sz w:val="24"/>
                <w:szCs w:val="24"/>
              </w:rPr>
            </w:pPr>
            <w:r w:rsidRPr="00077993">
              <w:rPr>
                <w:sz w:val="24"/>
                <w:szCs w:val="24"/>
              </w:rPr>
              <w:t>At the end of the year, we analysed the monthly attendance information alongside the children who had been identified as having lower attendance. Of the 14 children</w:t>
            </w:r>
            <w:r w:rsidR="00077993">
              <w:rPr>
                <w:sz w:val="24"/>
                <w:szCs w:val="24"/>
              </w:rPr>
              <w:t xml:space="preserve">, </w:t>
            </w:r>
            <w:r w:rsidRPr="00077993">
              <w:rPr>
                <w:sz w:val="24"/>
                <w:szCs w:val="24"/>
              </w:rPr>
              <w:t xml:space="preserve">11 children improved their attendance. </w:t>
            </w:r>
            <w:r w:rsidRPr="00077993">
              <w:rPr>
                <w:sz w:val="24"/>
                <w:szCs w:val="24"/>
              </w:rPr>
              <w:lastRenderedPageBreak/>
              <w:t>This is 79% and is above our target of 70%. This showed us that regular checks, early conversations with families, flexible attendance models and targeted keyworker support were making a positive difference for most of these children.</w:t>
            </w:r>
          </w:p>
          <w:p w14:paraId="6D1F152D" w14:textId="77777777" w:rsidR="00854DB6" w:rsidRPr="00077993" w:rsidRDefault="008E325C">
            <w:pPr>
              <w:rPr>
                <w:sz w:val="24"/>
                <w:szCs w:val="24"/>
              </w:rPr>
            </w:pPr>
            <w:r w:rsidRPr="00077993">
              <w:rPr>
                <w:sz w:val="24"/>
                <w:szCs w:val="24"/>
              </w:rPr>
              <w:t>The wider attendance data was more mixed. The percentage of children achieving 85% attendance or above ranged from 71% to 85.4% across the year, with 72.4% achieving this in June. The monthly average was 76.2%, compared with 80.7% in 2023-24 and 77.5% in 2024-25. This means the wider target of almost all children benefiting from more consistent attendance was not fully met.</w:t>
            </w:r>
          </w:p>
          <w:p w14:paraId="5C7C41E1" w14:textId="77777777" w:rsidR="00854DB6" w:rsidRPr="00077993" w:rsidRDefault="008E325C">
            <w:pPr>
              <w:rPr>
                <w:sz w:val="24"/>
                <w:szCs w:val="24"/>
              </w:rPr>
            </w:pPr>
            <w:r w:rsidRPr="00077993">
              <w:rPr>
                <w:sz w:val="24"/>
                <w:szCs w:val="24"/>
              </w:rPr>
              <w:t>When we looked more closely at the monthly information, we could see clear reasons affecting attendance. These included operations and hospital stays, ongoing health needs, winter illness, family holidays and some families not using their full entitlement. Looking at the information in this way helped staff respond to each family's circumstances rather than viewing attendance in isolation. It also allowed us to use a supportive approach, involve health visitors when required and make flexible arrangements that helped individual children return to nursery and rebuild routines.</w:t>
            </w:r>
          </w:p>
          <w:p w14:paraId="25F8292F" w14:textId="77777777" w:rsidR="00854DB6" w:rsidRDefault="008E325C">
            <w:r w:rsidRPr="00077993">
              <w:rPr>
                <w:sz w:val="24"/>
                <w:szCs w:val="24"/>
              </w:rPr>
              <w:t>Overall, this priority was successful in strengthening how we monitor attendance and how we work with families when there are barriers. The target for children with previously low attendance was achieved and families received more consistent communication and support. The wider figures show that improving attendance across the whole nursery continues to be an area for improvement. Family feedback, learning journal contributions and children's developmental tracking will continue to be considered alongside the attendance information so that we can measure the impact on wellbeing and learning more clearly.</w:t>
            </w:r>
          </w:p>
        </w:tc>
      </w:tr>
      <w:tr w:rsidR="00461399" w:rsidRPr="0082145D" w14:paraId="725C3D14" w14:textId="77777777" w:rsidTr="0082145D">
        <w:trPr>
          <w:trHeight w:val="943"/>
        </w:trPr>
        <w:tc>
          <w:tcPr>
            <w:tcW w:w="10485" w:type="dxa"/>
            <w:gridSpan w:val="2"/>
          </w:tcPr>
          <w:p w14:paraId="00B29AF4" w14:textId="77777777" w:rsidR="00854DB6" w:rsidRDefault="008E325C">
            <w:pPr>
              <w:pStyle w:val="NormalWeb"/>
            </w:pPr>
            <w:r>
              <w:rPr>
                <w:b/>
              </w:rPr>
              <w:lastRenderedPageBreak/>
              <w:t>Next steps</w:t>
            </w:r>
          </w:p>
          <w:p w14:paraId="5EEF35E4" w14:textId="77777777" w:rsidR="00854DB6" w:rsidRPr="00077993" w:rsidRDefault="008E325C">
            <w:pPr>
              <w:pStyle w:val="NormalWeb"/>
              <w:rPr>
                <w:rFonts w:asciiTheme="minorHAnsi" w:hAnsiTheme="minorHAnsi" w:cstheme="minorHAnsi"/>
              </w:rPr>
            </w:pPr>
            <w:r w:rsidRPr="00077993">
              <w:rPr>
                <w:rFonts w:asciiTheme="minorHAnsi" w:hAnsiTheme="minorHAnsi" w:cstheme="minorHAnsi"/>
              </w:rPr>
              <w:t>Continue monthly attendance audits and early intervention for children whose attendance begins to decline.</w:t>
            </w:r>
          </w:p>
          <w:p w14:paraId="19F34EF6" w14:textId="77777777" w:rsidR="00854DB6" w:rsidRPr="00077993" w:rsidRDefault="008E325C">
            <w:pPr>
              <w:pStyle w:val="NormalWeb"/>
              <w:rPr>
                <w:rFonts w:asciiTheme="minorHAnsi" w:hAnsiTheme="minorHAnsi" w:cstheme="minorHAnsi"/>
              </w:rPr>
            </w:pPr>
            <w:r w:rsidRPr="00077993">
              <w:rPr>
                <w:rFonts w:asciiTheme="minorHAnsi" w:hAnsiTheme="minorHAnsi" w:cstheme="minorHAnsi"/>
              </w:rPr>
              <w:t>Maintain supportive communication with families, including prompt follow-up of unexplained absences and flexible attendance planning where appropriate.</w:t>
            </w:r>
          </w:p>
          <w:p w14:paraId="2628FE39" w14:textId="77777777" w:rsidR="00854DB6" w:rsidRPr="00077993" w:rsidRDefault="008E325C">
            <w:pPr>
              <w:pStyle w:val="NormalWeb"/>
              <w:rPr>
                <w:rFonts w:asciiTheme="minorHAnsi" w:hAnsiTheme="minorHAnsi" w:cstheme="minorHAnsi"/>
              </w:rPr>
            </w:pPr>
            <w:r w:rsidRPr="00077993">
              <w:rPr>
                <w:rFonts w:asciiTheme="minorHAnsi" w:hAnsiTheme="minorHAnsi" w:cstheme="minorHAnsi"/>
              </w:rPr>
              <w:t>Continue partnership working with health visitors and other agencies to provide coordinated support for families experiencing barriers to attendance.</w:t>
            </w:r>
          </w:p>
          <w:p w14:paraId="0DAD95CB" w14:textId="77777777" w:rsidR="00854DB6" w:rsidRPr="00077993" w:rsidRDefault="008E325C">
            <w:pPr>
              <w:pStyle w:val="NormalWeb"/>
              <w:rPr>
                <w:rFonts w:asciiTheme="minorHAnsi" w:hAnsiTheme="minorHAnsi" w:cstheme="minorHAnsi"/>
              </w:rPr>
            </w:pPr>
            <w:r w:rsidRPr="00077993">
              <w:rPr>
                <w:rFonts w:asciiTheme="minorHAnsi" w:hAnsiTheme="minorHAnsi" w:cstheme="minorHAnsi"/>
              </w:rPr>
              <w:t>Build on home-nursery learning opportunities and encourage families to contribute regularly to children's learning journals and collaborative planning.</w:t>
            </w:r>
          </w:p>
          <w:p w14:paraId="5758525A" w14:textId="77777777" w:rsidR="00854DB6" w:rsidRDefault="008E325C">
            <w:pPr>
              <w:pStyle w:val="NormalWeb"/>
            </w:pPr>
            <w:r w:rsidRPr="00077993">
              <w:rPr>
                <w:rFonts w:asciiTheme="minorHAnsi" w:hAnsiTheme="minorHAnsi" w:cstheme="minorHAnsi"/>
              </w:rPr>
              <w:t>Continue to compare attendance information across the year and use family feedback, learning journal contributions and developmental tracking to measure the impact of improved attendance on children's wellbeing and learning.</w:t>
            </w:r>
          </w:p>
        </w:tc>
      </w:tr>
    </w:tbl>
    <w:p w14:paraId="57A0282B" w14:textId="77777777" w:rsidR="00A80F7E" w:rsidRPr="0082145D" w:rsidRDefault="00A80F7E" w:rsidP="00F22FA5">
      <w:pPr>
        <w:pStyle w:val="Default"/>
        <w:rPr>
          <w:rFonts w:asciiTheme="minorHAnsi" w:hAnsiTheme="minorHAnsi" w:cstheme="minorHAnsi"/>
          <w:b/>
          <w:color w:val="auto"/>
        </w:rPr>
      </w:pPr>
    </w:p>
    <w:p w14:paraId="3631D5DC" w14:textId="77777777" w:rsidR="002E09AE" w:rsidRPr="0082145D" w:rsidRDefault="002E09AE" w:rsidP="00F22FA5">
      <w:pPr>
        <w:rPr>
          <w:rFonts w:cstheme="minorHAnsi"/>
          <w:sz w:val="24"/>
          <w:szCs w:val="24"/>
        </w:rPr>
      </w:pPr>
    </w:p>
    <w:p w14:paraId="30E62367"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78F157D7" w14:textId="77777777" w:rsidTr="00461399">
        <w:tc>
          <w:tcPr>
            <w:tcW w:w="10485" w:type="dxa"/>
            <w:shd w:val="clear" w:color="auto" w:fill="33CCCC"/>
          </w:tcPr>
          <w:p w14:paraId="07E8EF07"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0E269366" w14:textId="77777777" w:rsidR="00360119" w:rsidRPr="0082145D" w:rsidRDefault="00360119" w:rsidP="00461399">
            <w:pPr>
              <w:pStyle w:val="Default"/>
              <w:rPr>
                <w:rFonts w:asciiTheme="minorHAnsi" w:hAnsiTheme="minorHAnsi" w:cstheme="minorHAnsi"/>
              </w:rPr>
            </w:pPr>
          </w:p>
        </w:tc>
      </w:tr>
      <w:tr w:rsidR="00461399" w:rsidRPr="00C67416" w14:paraId="71CA8D55" w14:textId="77777777" w:rsidTr="00461399">
        <w:trPr>
          <w:trHeight w:val="10465"/>
        </w:trPr>
        <w:tc>
          <w:tcPr>
            <w:tcW w:w="10485" w:type="dxa"/>
          </w:tcPr>
          <w:p w14:paraId="5DC3BE40" w14:textId="77777777" w:rsidR="00461399" w:rsidRPr="00C67416" w:rsidRDefault="00461399" w:rsidP="00461399">
            <w:pPr>
              <w:pStyle w:val="Default"/>
              <w:ind w:left="32"/>
              <w:rPr>
                <w:rFonts w:asciiTheme="minorHAnsi" w:hAnsiTheme="minorHAnsi" w:cstheme="minorHAnsi"/>
                <w:b/>
                <w:bCs/>
                <w:color w:val="auto"/>
              </w:rPr>
            </w:pPr>
            <w:r w:rsidRPr="00C67416">
              <w:rPr>
                <w:rFonts w:asciiTheme="minorHAnsi" w:hAnsiTheme="minorHAnsi" w:cstheme="minorHAnsi"/>
                <w:b/>
                <w:bCs/>
                <w:color w:val="auto"/>
              </w:rPr>
              <w:t>Key Strengths:</w:t>
            </w:r>
          </w:p>
          <w:p w14:paraId="396693DD" w14:textId="335A6FF9" w:rsidR="003C33A2" w:rsidRPr="00C67416" w:rsidRDefault="008E325C" w:rsidP="003C33A2">
            <w:pPr>
              <w:spacing w:before="100" w:beforeAutospacing="1" w:after="100" w:afterAutospacing="1"/>
              <w:rPr>
                <w:rFonts w:eastAsia="Times New Roman" w:cstheme="minorHAnsi"/>
                <w:sz w:val="24"/>
                <w:szCs w:val="24"/>
                <w:lang w:eastAsia="en-GB"/>
              </w:rPr>
            </w:pPr>
            <w:r w:rsidRPr="00C67416">
              <w:rPr>
                <w:rFonts w:cstheme="minorHAnsi"/>
                <w:sz w:val="24"/>
                <w:szCs w:val="24"/>
              </w:rPr>
              <w:t>This year we introduced a more focused approach to gathering and analysing information. At the end of each block, the leadership team analysed the data alongside keyworkers. This was also discussed through focused Early Years Attainment and Precise Professional Conversation meetings with peer heads and the Early Years Manager</w:t>
            </w:r>
            <w:r w:rsidR="00C67416">
              <w:rPr>
                <w:rFonts w:cstheme="minorHAnsi"/>
                <w:sz w:val="24"/>
                <w:szCs w:val="24"/>
              </w:rPr>
              <w:t xml:space="preserve"> and Quality Improvement Officer</w:t>
            </w:r>
            <w:r w:rsidRPr="00C67416">
              <w:rPr>
                <w:rFonts w:cstheme="minorHAnsi"/>
                <w:sz w:val="24"/>
                <w:szCs w:val="24"/>
              </w:rPr>
              <w:t>. This allowed us to look more closely at children's progress, identify children requiring additional support or challenge and make appropriate changes throughout the year.</w:t>
            </w:r>
          </w:p>
          <w:p w14:paraId="2F434D5E" w14:textId="77777777" w:rsidR="003C33A2" w:rsidRPr="00C67416" w:rsidRDefault="008E325C" w:rsidP="003C33A2">
            <w:pPr>
              <w:spacing w:before="100" w:beforeAutospacing="1" w:after="100" w:afterAutospacing="1"/>
              <w:rPr>
                <w:rFonts w:eastAsia="Times New Roman" w:cstheme="minorHAnsi"/>
                <w:sz w:val="24"/>
                <w:szCs w:val="24"/>
                <w:lang w:eastAsia="en-GB"/>
              </w:rPr>
            </w:pPr>
            <w:r w:rsidRPr="00C67416">
              <w:rPr>
                <w:rFonts w:cstheme="minorHAnsi"/>
                <w:sz w:val="24"/>
                <w:szCs w:val="24"/>
              </w:rPr>
              <w:t>There was very good progress in numeracy. The percentage of preschool children working at or beyond expectation increased from 59% in Block 1 to 88% in Block 3. Within the ante-preschool group, 85% of children were working at or beyond expectation by Block 3. Most staff completed professional learning based on Inverclyde's Numeracy Strategy. The Equity and Excellence Lead provided targeted support and challenge within the playrooms, while staff self-evaluation and peer evaluation ensured numeracy was available across indoor and outdoor environments. Children demonstrated increased confidence in using mathematical language and problem-solving skills through their play.</w:t>
            </w:r>
          </w:p>
          <w:p w14:paraId="43FBDEF2" w14:textId="77777777" w:rsidR="003C33A2" w:rsidRPr="00C67416" w:rsidRDefault="008E325C" w:rsidP="003C33A2">
            <w:pPr>
              <w:spacing w:before="100" w:beforeAutospacing="1" w:after="100" w:afterAutospacing="1"/>
              <w:rPr>
                <w:rFonts w:eastAsia="Times New Roman" w:cstheme="minorHAnsi"/>
                <w:sz w:val="24"/>
                <w:szCs w:val="24"/>
                <w:lang w:eastAsia="en-GB"/>
              </w:rPr>
            </w:pPr>
            <w:r w:rsidRPr="00C67416">
              <w:rPr>
                <w:rFonts w:cstheme="minorHAnsi"/>
                <w:sz w:val="24"/>
                <w:szCs w:val="24"/>
              </w:rPr>
              <w:t>Our approach to supporting children under three was also strengthened. All relevant practitioners completed training on the Under-3s Developmental Journey and developed a better understanding of child development, observation and the early identification of additional support needs. Children benefited from experiences and resources that were more closely matched to their developmental stages. All children with identified additional support needs followed the appropriate support pathways and made positive progress towards their individual targets.</w:t>
            </w:r>
          </w:p>
          <w:p w14:paraId="30A4D4EA" w14:textId="3C26F8CC" w:rsidR="00854DB6" w:rsidRPr="00C67416" w:rsidRDefault="008E325C">
            <w:pPr>
              <w:spacing w:before="100" w:beforeAutospacing="1" w:after="100" w:afterAutospacing="1"/>
              <w:rPr>
                <w:rFonts w:eastAsia="Times New Roman" w:cstheme="minorHAnsi"/>
                <w:sz w:val="24"/>
                <w:szCs w:val="24"/>
                <w:lang w:eastAsia="en-GB"/>
              </w:rPr>
            </w:pPr>
            <w:r w:rsidRPr="00C67416">
              <w:rPr>
                <w:rFonts w:cstheme="minorHAnsi"/>
                <w:sz w:val="24"/>
                <w:szCs w:val="24"/>
              </w:rPr>
              <w:t xml:space="preserve">Family engagement was a major strength this year. Focused Stay and Play sessions were provided each month for children and families in the 3-5 room. These followed themes such as Fizzy February, which focused on science and numeracy, Messy March and Active April. The sessions gave parents practical examples of how children learn through play and how these experiences could be continued at home. The sessions were so popular that we increased them to twice weekly to accommodate the number of families wishing to attend. Every child in the under-three provision also had a parent or carer attend at least </w:t>
            </w:r>
            <w:r w:rsidR="00C67416">
              <w:rPr>
                <w:rFonts w:cstheme="minorHAnsi"/>
                <w:sz w:val="24"/>
                <w:szCs w:val="24"/>
              </w:rPr>
              <w:t>one</w:t>
            </w:r>
            <w:r w:rsidRPr="00C67416">
              <w:rPr>
                <w:rFonts w:cstheme="minorHAnsi"/>
                <w:sz w:val="24"/>
                <w:szCs w:val="24"/>
              </w:rPr>
              <w:t xml:space="preserve"> Stay and Play sessions.</w:t>
            </w:r>
          </w:p>
          <w:p w14:paraId="3E88D72B" w14:textId="730B58A3" w:rsidR="00854DB6" w:rsidRPr="00C67416" w:rsidRDefault="008E325C">
            <w:pPr>
              <w:spacing w:before="100" w:beforeAutospacing="1" w:after="100" w:afterAutospacing="1"/>
              <w:rPr>
                <w:rFonts w:eastAsia="Times New Roman" w:cstheme="minorHAnsi"/>
                <w:sz w:val="24"/>
                <w:szCs w:val="24"/>
                <w:lang w:eastAsia="en-GB"/>
              </w:rPr>
            </w:pPr>
            <w:r w:rsidRPr="00C67416">
              <w:rPr>
                <w:rFonts w:cstheme="minorHAnsi"/>
                <w:sz w:val="24"/>
                <w:szCs w:val="24"/>
              </w:rPr>
              <w:t xml:space="preserve">We worked alongside the Trust to provide the THRIVE course, with six parents taking part. The course supported parents to consider returning to work, develop their confidence, prepare a CV and complete paediatric </w:t>
            </w:r>
            <w:r w:rsidR="00C67416" w:rsidRPr="00C67416">
              <w:rPr>
                <w:rFonts w:cstheme="minorHAnsi"/>
                <w:sz w:val="24"/>
                <w:szCs w:val="24"/>
              </w:rPr>
              <w:t>first aid</w:t>
            </w:r>
            <w:r w:rsidRPr="00C67416">
              <w:rPr>
                <w:rFonts w:cstheme="minorHAnsi"/>
                <w:sz w:val="24"/>
                <w:szCs w:val="24"/>
              </w:rPr>
              <w:t xml:space="preserve"> and mental-health first-aid training. Cooking classes focused on cooking within a budget, preparing one-pot meals and using vegetables to make meals healthier and go further. Bookbug continued to support the wider community every Friday, with additional Tuesday-evening sessions for families of children under three. The evening sessions were particularly helpful for working parents who could not attend during the day.</w:t>
            </w:r>
          </w:p>
          <w:p w14:paraId="22B3755F" w14:textId="77777777" w:rsidR="00854DB6" w:rsidRPr="00C67416" w:rsidRDefault="008E325C">
            <w:pPr>
              <w:spacing w:before="100" w:beforeAutospacing="1" w:after="100" w:afterAutospacing="1"/>
              <w:rPr>
                <w:rFonts w:eastAsia="Times New Roman" w:cstheme="minorHAnsi"/>
                <w:sz w:val="24"/>
                <w:szCs w:val="24"/>
                <w:lang w:eastAsia="en-GB"/>
              </w:rPr>
            </w:pPr>
            <w:r w:rsidRPr="00C67416">
              <w:rPr>
                <w:rFonts w:cstheme="minorHAnsi"/>
                <w:sz w:val="24"/>
                <w:szCs w:val="24"/>
              </w:rPr>
              <w:t xml:space="preserve">Working in partnership with Home-Start Renfrewshire and Inverclyde, we delivered the Circle of Security Parenting programme to five families. Feedback demonstrated a very positive impact. All parents reported reduced parenting stress, increased confidence and stronger relationships with their children. Parents developed a better understanding of children's behaviour as communication and became more able to pause and reflect before responding. All participants rated the group as helpful and the facilitator as highly effective. Two of the five families went on to access additional Home-Start support, and all five </w:t>
            </w:r>
            <w:r w:rsidRPr="00C67416">
              <w:rPr>
                <w:rFonts w:cstheme="minorHAnsi"/>
                <w:sz w:val="24"/>
                <w:szCs w:val="24"/>
              </w:rPr>
              <w:lastRenderedPageBreak/>
              <w:t>expressed an interest in future parenting and self-development programmes. This demonstrated increased trust in services and a willingness to continue engaging with support.</w:t>
            </w:r>
          </w:p>
          <w:p w14:paraId="59AA94CD" w14:textId="15545A7B" w:rsidR="00854DB6" w:rsidRPr="00C67416" w:rsidRDefault="008E325C">
            <w:pPr>
              <w:spacing w:before="100" w:beforeAutospacing="1" w:after="100" w:afterAutospacing="1"/>
              <w:rPr>
                <w:rFonts w:eastAsia="Times New Roman" w:cstheme="minorHAnsi"/>
                <w:sz w:val="24"/>
                <w:szCs w:val="24"/>
                <w:lang w:eastAsia="en-GB"/>
              </w:rPr>
            </w:pPr>
            <w:r w:rsidRPr="00C67416">
              <w:rPr>
                <w:rFonts w:cstheme="minorHAnsi"/>
                <w:sz w:val="24"/>
                <w:szCs w:val="24"/>
              </w:rPr>
              <w:t>Attendance monitoring and family support became more consistent. Monthly audits, prompt follow-up of unexplained absences, flexible attendance arrangements and partnership working with health visitors allowed concerns to be identified and addressed earlier. Of the 14 children with previously low attendance, 11 improved their attendance. This represents 79% and exceeded our target of 70%. Although attendance across the whole nursery remains an area for continued improvement, the data demonstrated that targeted and supportive intervention had a positive impact for most identified children.</w:t>
            </w:r>
          </w:p>
          <w:p w14:paraId="001B6DC5" w14:textId="77777777" w:rsidR="00854DB6" w:rsidRPr="00C67416" w:rsidRDefault="00854DB6">
            <w:pPr>
              <w:pStyle w:val="Default"/>
              <w:ind w:left="32"/>
              <w:rPr>
                <w:rFonts w:asciiTheme="minorHAnsi" w:hAnsiTheme="minorHAnsi" w:cstheme="minorHAnsi"/>
                <w:b/>
                <w:bCs/>
                <w:color w:val="auto"/>
              </w:rPr>
            </w:pPr>
          </w:p>
          <w:p w14:paraId="374EC442" w14:textId="77777777" w:rsidR="00854DB6" w:rsidRPr="00C67416" w:rsidRDefault="008E325C">
            <w:pPr>
              <w:pStyle w:val="Default"/>
              <w:ind w:left="32"/>
              <w:rPr>
                <w:rFonts w:asciiTheme="minorHAnsi" w:hAnsiTheme="minorHAnsi" w:cstheme="minorHAnsi"/>
                <w:b/>
                <w:bCs/>
                <w:color w:val="auto"/>
              </w:rPr>
            </w:pPr>
            <w:r w:rsidRPr="00C67416">
              <w:rPr>
                <w:rFonts w:asciiTheme="minorHAnsi" w:hAnsiTheme="minorHAnsi" w:cstheme="minorHAnsi"/>
                <w:b/>
              </w:rPr>
              <w:t>Key Priorities:</w:t>
            </w:r>
          </w:p>
          <w:p w14:paraId="63CBD977" w14:textId="77777777" w:rsidR="00854DB6" w:rsidRPr="00C67416" w:rsidRDefault="008E325C" w:rsidP="004D1644">
            <w:pPr>
              <w:pStyle w:val="ListParagraph"/>
              <w:numPr>
                <w:ilvl w:val="0"/>
                <w:numId w:val="4"/>
              </w:numPr>
              <w:spacing w:before="100" w:beforeAutospacing="1" w:after="100" w:afterAutospacing="1"/>
              <w:rPr>
                <w:rFonts w:eastAsia="Times New Roman" w:cstheme="minorHAnsi"/>
                <w:sz w:val="24"/>
                <w:szCs w:val="24"/>
                <w:lang w:eastAsia="en-GB"/>
              </w:rPr>
            </w:pPr>
            <w:r w:rsidRPr="00C67416">
              <w:rPr>
                <w:rFonts w:cstheme="minorHAnsi"/>
                <w:sz w:val="24"/>
                <w:szCs w:val="24"/>
              </w:rPr>
              <w:t>Continue to embed the Inverclyde Numeracy Strategy and ensure all new and remaining staff complete the relevant professional learning.</w:t>
            </w:r>
          </w:p>
          <w:p w14:paraId="1E628904" w14:textId="77777777" w:rsidR="00854DB6" w:rsidRPr="00C67416" w:rsidRDefault="008E325C" w:rsidP="004D1644">
            <w:pPr>
              <w:pStyle w:val="ListParagraph"/>
              <w:numPr>
                <w:ilvl w:val="0"/>
                <w:numId w:val="4"/>
              </w:numPr>
              <w:spacing w:before="100" w:beforeAutospacing="1" w:after="100" w:afterAutospacing="1"/>
              <w:rPr>
                <w:rFonts w:eastAsia="Times New Roman" w:cstheme="minorHAnsi"/>
                <w:sz w:val="24"/>
                <w:szCs w:val="24"/>
                <w:lang w:eastAsia="en-GB"/>
              </w:rPr>
            </w:pPr>
            <w:r w:rsidRPr="00C67416">
              <w:rPr>
                <w:rFonts w:cstheme="minorHAnsi"/>
                <w:sz w:val="24"/>
                <w:szCs w:val="24"/>
              </w:rPr>
              <w:t>Continue the focused use of tracking information, keyworker meetings and professional dialogue to identify children requiring support or additional challenge.</w:t>
            </w:r>
          </w:p>
          <w:p w14:paraId="452F2FAD" w14:textId="77777777" w:rsidR="00854DB6" w:rsidRPr="00C67416" w:rsidRDefault="008E325C" w:rsidP="004D1644">
            <w:pPr>
              <w:pStyle w:val="ListParagraph"/>
              <w:numPr>
                <w:ilvl w:val="0"/>
                <w:numId w:val="4"/>
              </w:numPr>
              <w:spacing w:before="100" w:beforeAutospacing="1" w:after="100" w:afterAutospacing="1"/>
              <w:rPr>
                <w:rFonts w:eastAsia="Times New Roman" w:cstheme="minorHAnsi"/>
                <w:sz w:val="24"/>
                <w:szCs w:val="24"/>
                <w:lang w:eastAsia="en-GB"/>
              </w:rPr>
            </w:pPr>
            <w:r w:rsidRPr="00C67416">
              <w:rPr>
                <w:rFonts w:cstheme="minorHAnsi"/>
                <w:sz w:val="24"/>
                <w:szCs w:val="24"/>
              </w:rPr>
              <w:t>Improve whole-nursery attendance while maintaining supportive, flexible and family-centred approaches for children experiencing barriers.</w:t>
            </w:r>
          </w:p>
          <w:p w14:paraId="3E44D5CA" w14:textId="77777777" w:rsidR="00854DB6" w:rsidRPr="00C67416" w:rsidRDefault="008E325C" w:rsidP="004D1644">
            <w:pPr>
              <w:pStyle w:val="ListParagraph"/>
              <w:numPr>
                <w:ilvl w:val="0"/>
                <w:numId w:val="4"/>
              </w:numPr>
              <w:spacing w:before="100" w:beforeAutospacing="1" w:after="100" w:afterAutospacing="1"/>
              <w:rPr>
                <w:rFonts w:eastAsia="Times New Roman" w:cstheme="minorHAnsi"/>
                <w:sz w:val="24"/>
                <w:szCs w:val="24"/>
                <w:lang w:eastAsia="en-GB"/>
              </w:rPr>
            </w:pPr>
            <w:r w:rsidRPr="00C67416">
              <w:rPr>
                <w:rFonts w:cstheme="minorHAnsi"/>
                <w:sz w:val="24"/>
                <w:szCs w:val="24"/>
              </w:rPr>
              <w:t>Continue to evaluate family-learning programmes through participation information, parent feedback and evidence of benefits for children and families.</w:t>
            </w:r>
          </w:p>
        </w:tc>
      </w:tr>
    </w:tbl>
    <w:p w14:paraId="029CE5C0" w14:textId="77777777" w:rsidR="00644548" w:rsidRPr="00C67416" w:rsidRDefault="00644548" w:rsidP="00644548">
      <w:pPr>
        <w:rPr>
          <w:rFonts w:cstheme="minorHAnsi"/>
          <w:b/>
          <w:sz w:val="24"/>
          <w:szCs w:val="24"/>
        </w:rPr>
      </w:pPr>
    </w:p>
    <w:p w14:paraId="5826B191" w14:textId="77777777" w:rsidR="006064F5" w:rsidRPr="00360119" w:rsidRDefault="006064F5" w:rsidP="00644548">
      <w:pPr>
        <w:rPr>
          <w:rFonts w:cstheme="minorHAnsi"/>
          <w:b/>
          <w:bCs/>
          <w:sz w:val="32"/>
          <w:szCs w:val="32"/>
        </w:rPr>
      </w:pPr>
      <w:r w:rsidRPr="00C67416">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7742CFA6" w14:textId="77777777" w:rsidTr="00D82817">
        <w:tc>
          <w:tcPr>
            <w:tcW w:w="5242" w:type="dxa"/>
            <w:shd w:val="clear" w:color="auto" w:fill="33CCCC"/>
          </w:tcPr>
          <w:p w14:paraId="5F76F812" w14:textId="77777777" w:rsidR="00854DB6" w:rsidRDefault="008E325C">
            <w:pPr>
              <w:pStyle w:val="Default"/>
              <w:rPr>
                <w:rFonts w:asciiTheme="minorHAnsi" w:hAnsiTheme="minorHAnsi" w:cstheme="minorHAnsi"/>
                <w:b/>
                <w:bCs/>
                <w:sz w:val="28"/>
                <w:szCs w:val="28"/>
              </w:rPr>
            </w:pPr>
            <w:r>
              <w:rPr>
                <w:b/>
              </w:rPr>
              <w:t>1.3 Leadership of Change</w:t>
            </w:r>
          </w:p>
          <w:p w14:paraId="7217A6B3" w14:textId="77777777" w:rsidR="00854DB6" w:rsidRDefault="008E325C">
            <w:pPr>
              <w:pStyle w:val="Default"/>
              <w:rPr>
                <w:rFonts w:asciiTheme="minorHAnsi" w:hAnsiTheme="minorHAnsi" w:cstheme="minorHAnsi"/>
                <w:b/>
                <w:bCs/>
                <w:sz w:val="28"/>
                <w:szCs w:val="28"/>
              </w:rPr>
            </w:pPr>
            <w:r>
              <w:rPr>
                <w:b/>
              </w:rPr>
              <w:t>Very Good</w:t>
            </w:r>
          </w:p>
        </w:tc>
        <w:tc>
          <w:tcPr>
            <w:tcW w:w="5243" w:type="dxa"/>
            <w:shd w:val="clear" w:color="auto" w:fill="33CCCC"/>
          </w:tcPr>
          <w:p w14:paraId="10630AE7" w14:textId="77777777" w:rsidR="00854DB6" w:rsidRDefault="008E325C">
            <w:pPr>
              <w:pStyle w:val="Default"/>
              <w:rPr>
                <w:rFonts w:asciiTheme="minorHAnsi" w:hAnsiTheme="minorHAnsi" w:cstheme="minorHAnsi"/>
                <w:b/>
                <w:bCs/>
                <w:sz w:val="28"/>
                <w:szCs w:val="28"/>
              </w:rPr>
            </w:pPr>
            <w:r>
              <w:rPr>
                <w:b/>
              </w:rPr>
              <w:t>1.3 Leadership of Continuous Improvement (ELC QIF)</w:t>
            </w:r>
          </w:p>
          <w:p w14:paraId="42A60CB8" w14:textId="77777777" w:rsidR="00854DB6" w:rsidRDefault="008E325C">
            <w:pPr>
              <w:pStyle w:val="Default"/>
              <w:rPr>
                <w:rFonts w:asciiTheme="minorHAnsi" w:hAnsiTheme="minorHAnsi" w:cstheme="minorHAnsi"/>
              </w:rPr>
            </w:pPr>
            <w:r>
              <w:rPr>
                <w:b/>
              </w:rPr>
              <w:t>Very Good</w:t>
            </w:r>
          </w:p>
        </w:tc>
      </w:tr>
      <w:tr w:rsidR="006064F5" w:rsidRPr="0082145D" w14:paraId="4543A9FD" w14:textId="77777777" w:rsidTr="001545DC">
        <w:tc>
          <w:tcPr>
            <w:tcW w:w="10485" w:type="dxa"/>
            <w:gridSpan w:val="2"/>
          </w:tcPr>
          <w:p w14:paraId="59250738" w14:textId="77777777" w:rsidR="00854DB6" w:rsidRDefault="008E325C">
            <w:pPr>
              <w:pStyle w:val="Default"/>
              <w:ind w:left="32"/>
              <w:rPr>
                <w:rFonts w:asciiTheme="minorHAnsi" w:hAnsiTheme="minorHAnsi" w:cstheme="minorHAnsi"/>
                <w:b/>
                <w:bCs/>
                <w:color w:val="auto"/>
              </w:rPr>
            </w:pPr>
            <w:r>
              <w:rPr>
                <w:b/>
              </w:rPr>
              <w:t>Key Strengths:</w:t>
            </w:r>
          </w:p>
          <w:p w14:paraId="7C92C92E"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Staff were actively involved in self-evaluation, improvement planning, Champion roles and peer evaluation.</w:t>
            </w:r>
          </w:p>
          <w:p w14:paraId="263CE1BF"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A systematic block-by-block approach to analysing attainment information supported timely decision-making.</w:t>
            </w:r>
          </w:p>
          <w:p w14:paraId="08AD35EE"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 Equity and Excellence Lead provided focused leadership of numeracy improvement.</w:t>
            </w:r>
          </w:p>
          <w:p w14:paraId="77FAA142"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Partnership working with peer heads, the Early Years Manager and external agencies strengthened professional challenge and support.</w:t>
            </w:r>
          </w:p>
          <w:p w14:paraId="65094AD9" w14:textId="77777777" w:rsidR="00854DB6" w:rsidRDefault="00854DB6">
            <w:pPr>
              <w:pStyle w:val="Default"/>
              <w:ind w:left="32"/>
              <w:rPr>
                <w:rFonts w:asciiTheme="minorHAnsi" w:hAnsiTheme="minorHAnsi" w:cstheme="minorHAnsi"/>
                <w:b/>
                <w:bCs/>
                <w:color w:val="auto"/>
              </w:rPr>
            </w:pPr>
          </w:p>
          <w:p w14:paraId="30895A00" w14:textId="77777777" w:rsidR="00854DB6" w:rsidRDefault="008E325C">
            <w:pPr>
              <w:pStyle w:val="Default"/>
              <w:ind w:left="32"/>
              <w:rPr>
                <w:rFonts w:asciiTheme="minorHAnsi" w:hAnsiTheme="minorHAnsi" w:cstheme="minorHAnsi"/>
                <w:b/>
                <w:bCs/>
                <w:color w:val="auto"/>
              </w:rPr>
            </w:pPr>
            <w:r>
              <w:rPr>
                <w:b/>
              </w:rPr>
              <w:t>Key Priorities:</w:t>
            </w:r>
          </w:p>
          <w:p w14:paraId="204E6C72"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Further embed distributed leadership across the staff team.</w:t>
            </w:r>
          </w:p>
          <w:p w14:paraId="7BA31EF6"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Continue to strengthen staff confidence in analysing data and evaluating the impact of leadership actions on children's outcomes.</w:t>
            </w:r>
          </w:p>
          <w:p w14:paraId="3BE7C37F"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Strengthen moderation and quality-assurance processes across the centre.</w:t>
            </w:r>
          </w:p>
        </w:tc>
      </w:tr>
    </w:tbl>
    <w:p w14:paraId="7851EE25" w14:textId="77777777" w:rsidR="0093770B" w:rsidRPr="0082145D" w:rsidRDefault="0093770B"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2D4D0D41" w14:textId="77777777" w:rsidTr="003568FB">
        <w:tc>
          <w:tcPr>
            <w:tcW w:w="5242" w:type="dxa"/>
            <w:shd w:val="clear" w:color="auto" w:fill="33CCCC"/>
          </w:tcPr>
          <w:p w14:paraId="7A29F607" w14:textId="77777777" w:rsidR="00854DB6" w:rsidRDefault="008E325C">
            <w:pPr>
              <w:pStyle w:val="Default"/>
              <w:rPr>
                <w:rFonts w:asciiTheme="minorHAnsi" w:hAnsiTheme="minorHAnsi" w:cstheme="minorHAnsi"/>
                <w:b/>
                <w:bCs/>
                <w:sz w:val="28"/>
                <w:szCs w:val="28"/>
              </w:rPr>
            </w:pPr>
            <w:r>
              <w:rPr>
                <w:b/>
              </w:rPr>
              <w:t>2.3 Learning, teaching and assessment</w:t>
            </w:r>
          </w:p>
          <w:p w14:paraId="36D05CA9" w14:textId="77777777" w:rsidR="00854DB6" w:rsidRDefault="008E325C">
            <w:pPr>
              <w:pStyle w:val="Default"/>
              <w:rPr>
                <w:rFonts w:asciiTheme="minorHAnsi" w:hAnsiTheme="minorHAnsi" w:cstheme="minorHAnsi"/>
                <w:b/>
                <w:bCs/>
              </w:rPr>
            </w:pPr>
            <w:r>
              <w:rPr>
                <w:b/>
              </w:rPr>
              <w:t>Very Good</w:t>
            </w:r>
          </w:p>
        </w:tc>
        <w:tc>
          <w:tcPr>
            <w:tcW w:w="5243" w:type="dxa"/>
            <w:shd w:val="clear" w:color="auto" w:fill="33CCCC"/>
          </w:tcPr>
          <w:p w14:paraId="727F8B72" w14:textId="77777777" w:rsidR="00854DB6" w:rsidRDefault="008E325C">
            <w:pPr>
              <w:pStyle w:val="Default"/>
              <w:rPr>
                <w:rFonts w:asciiTheme="minorHAnsi" w:hAnsiTheme="minorHAnsi" w:cstheme="minorHAnsi"/>
                <w:b/>
                <w:bCs/>
                <w:sz w:val="28"/>
                <w:szCs w:val="28"/>
              </w:rPr>
            </w:pPr>
            <w:r>
              <w:rPr>
                <w:b/>
              </w:rPr>
              <w:t>3.3 Learning, teaching and assessment (ELC QIF)</w:t>
            </w:r>
          </w:p>
          <w:p w14:paraId="22157C44" w14:textId="77777777" w:rsidR="00854DB6" w:rsidRDefault="008E325C">
            <w:pPr>
              <w:pStyle w:val="Default"/>
              <w:rPr>
                <w:rFonts w:asciiTheme="minorHAnsi" w:hAnsiTheme="minorHAnsi" w:cstheme="minorHAnsi"/>
              </w:rPr>
            </w:pPr>
            <w:r>
              <w:rPr>
                <w:b/>
              </w:rPr>
              <w:t>Very Good</w:t>
            </w:r>
          </w:p>
        </w:tc>
      </w:tr>
      <w:tr w:rsidR="006064F5" w:rsidRPr="0082145D" w14:paraId="6BAD72D3" w14:textId="77777777" w:rsidTr="001545DC">
        <w:tc>
          <w:tcPr>
            <w:tcW w:w="10485" w:type="dxa"/>
            <w:gridSpan w:val="2"/>
          </w:tcPr>
          <w:p w14:paraId="00023435" w14:textId="77777777" w:rsidR="00854DB6" w:rsidRDefault="008E325C">
            <w:pPr>
              <w:pStyle w:val="Default"/>
              <w:ind w:left="32"/>
              <w:rPr>
                <w:rFonts w:asciiTheme="minorHAnsi" w:hAnsiTheme="minorHAnsi" w:cstheme="minorHAnsi"/>
                <w:b/>
                <w:bCs/>
                <w:color w:val="auto"/>
              </w:rPr>
            </w:pPr>
            <w:r>
              <w:rPr>
                <w:b/>
              </w:rPr>
              <w:t>Key Strengths:</w:t>
            </w:r>
          </w:p>
          <w:p w14:paraId="6F999491"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High-quality indoor and outdoor learning environments supported increased engagement and child-led learning.</w:t>
            </w:r>
          </w:p>
          <w:p w14:paraId="71E56B2C"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Assessment trackers and professional dialogue were used to plan targeted support and appropriate challenge.</w:t>
            </w:r>
          </w:p>
          <w:p w14:paraId="094D5F5D"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Numeracy became more visible and meaningful across the environment through staff and peer evaluation.</w:t>
            </w:r>
          </w:p>
          <w:p w14:paraId="7850274F"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Preschool children working at or beyond numeracy expectations increased from 59% to 88%, with 85% of ante-preschool children at or beyond expectation by Block 3.</w:t>
            </w:r>
          </w:p>
          <w:p w14:paraId="3600E834"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Terrific Target meetings strengthened families' understanding of children's progress.</w:t>
            </w:r>
          </w:p>
          <w:p w14:paraId="5BD8D8F2" w14:textId="77777777" w:rsidR="00854DB6" w:rsidRPr="00077993" w:rsidRDefault="00854DB6">
            <w:pPr>
              <w:pStyle w:val="Default"/>
              <w:ind w:left="32"/>
              <w:rPr>
                <w:rFonts w:asciiTheme="minorHAnsi" w:hAnsiTheme="minorHAnsi" w:cstheme="minorHAnsi"/>
                <w:b/>
                <w:bCs/>
                <w:color w:val="auto"/>
              </w:rPr>
            </w:pPr>
          </w:p>
          <w:p w14:paraId="2907B5C0" w14:textId="77777777" w:rsidR="00854DB6" w:rsidRPr="00077993" w:rsidRDefault="008E325C">
            <w:pPr>
              <w:pStyle w:val="Default"/>
              <w:ind w:left="32"/>
              <w:rPr>
                <w:rFonts w:asciiTheme="minorHAnsi" w:hAnsiTheme="minorHAnsi" w:cstheme="minorHAnsi"/>
                <w:b/>
                <w:bCs/>
                <w:color w:val="auto"/>
              </w:rPr>
            </w:pPr>
            <w:r w:rsidRPr="00077993">
              <w:rPr>
                <w:rFonts w:asciiTheme="minorHAnsi" w:hAnsiTheme="minorHAnsi" w:cstheme="minorHAnsi"/>
                <w:b/>
              </w:rPr>
              <w:t>Key Priorities:</w:t>
            </w:r>
          </w:p>
          <w:p w14:paraId="27D44791"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Embed the Inverclyde Numeracy Strategy for all practitioners.</w:t>
            </w:r>
          </w:p>
          <w:p w14:paraId="15CA3DBA"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Continue focused tracking and professional dialogue at the end of each block.</w:t>
            </w:r>
          </w:p>
          <w:p w14:paraId="0AAEB6F4"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rFonts w:cstheme="minorHAnsi"/>
                <w:sz w:val="24"/>
                <w:szCs w:val="24"/>
              </w:rPr>
              <w:t>Expand peer observation and evaluation to strengthen shared practice.</w:t>
            </w:r>
          </w:p>
        </w:tc>
      </w:tr>
    </w:tbl>
    <w:p w14:paraId="781AEDBA" w14:textId="77777777" w:rsidR="006064F5" w:rsidRDefault="006064F5" w:rsidP="00F22FA5">
      <w:pPr>
        <w:rPr>
          <w:rFonts w:cstheme="minorHAnsi"/>
          <w:sz w:val="24"/>
          <w:szCs w:val="24"/>
        </w:rPr>
      </w:pPr>
    </w:p>
    <w:p w14:paraId="3C1EFA1F" w14:textId="77777777" w:rsidR="0088064C" w:rsidRDefault="0088064C" w:rsidP="00F22FA5">
      <w:pPr>
        <w:rPr>
          <w:rFonts w:cstheme="minorHAnsi"/>
          <w:sz w:val="24"/>
          <w:szCs w:val="24"/>
        </w:rPr>
      </w:pPr>
    </w:p>
    <w:p w14:paraId="65C6A3B5" w14:textId="77777777" w:rsidR="00E8206D" w:rsidRPr="0082145D" w:rsidRDefault="00E8206D"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730CB47" w14:textId="77777777" w:rsidTr="00C25367">
        <w:tc>
          <w:tcPr>
            <w:tcW w:w="5242" w:type="dxa"/>
            <w:shd w:val="clear" w:color="auto" w:fill="33CCCC"/>
          </w:tcPr>
          <w:p w14:paraId="108354A3" w14:textId="77777777" w:rsidR="00854DB6" w:rsidRDefault="008E325C">
            <w:pPr>
              <w:pStyle w:val="Default"/>
              <w:rPr>
                <w:rFonts w:asciiTheme="minorHAnsi" w:hAnsiTheme="minorHAnsi" w:cstheme="minorHAnsi"/>
                <w:b/>
                <w:bCs/>
                <w:sz w:val="28"/>
                <w:szCs w:val="28"/>
              </w:rPr>
            </w:pPr>
            <w:r>
              <w:rPr>
                <w:b/>
              </w:rPr>
              <w:lastRenderedPageBreak/>
              <w:t>3.1 Ensuring wellbeing, equity and inclusion</w:t>
            </w:r>
          </w:p>
          <w:p w14:paraId="1952AAB0" w14:textId="77777777" w:rsidR="00854DB6" w:rsidRDefault="008E325C">
            <w:pPr>
              <w:pStyle w:val="Default"/>
              <w:rPr>
                <w:rFonts w:asciiTheme="minorHAnsi" w:hAnsiTheme="minorHAnsi" w:cstheme="minorHAnsi"/>
                <w:b/>
                <w:bCs/>
              </w:rPr>
            </w:pPr>
            <w:r>
              <w:rPr>
                <w:b/>
              </w:rPr>
              <w:t>Very Good</w:t>
            </w:r>
          </w:p>
        </w:tc>
        <w:tc>
          <w:tcPr>
            <w:tcW w:w="5243" w:type="dxa"/>
            <w:shd w:val="clear" w:color="auto" w:fill="33CCCC"/>
          </w:tcPr>
          <w:p w14:paraId="136AE1A1" w14:textId="77777777" w:rsidR="00854DB6" w:rsidRDefault="008E325C">
            <w:pPr>
              <w:pStyle w:val="Default"/>
              <w:rPr>
                <w:rFonts w:asciiTheme="minorHAnsi" w:hAnsiTheme="minorHAnsi" w:cstheme="minorHAnsi"/>
                <w:b/>
                <w:bCs/>
                <w:sz w:val="28"/>
                <w:szCs w:val="28"/>
              </w:rPr>
            </w:pPr>
            <w:r>
              <w:rPr>
                <w:b/>
              </w:rPr>
              <w:t>4.2 Wellbeing, inclusion and equity (ELC QIF)</w:t>
            </w:r>
          </w:p>
          <w:p w14:paraId="065EA01A" w14:textId="77777777" w:rsidR="00854DB6" w:rsidRDefault="008E325C">
            <w:pPr>
              <w:pStyle w:val="Default"/>
              <w:rPr>
                <w:rFonts w:asciiTheme="minorHAnsi" w:hAnsiTheme="minorHAnsi" w:cstheme="minorHAnsi"/>
              </w:rPr>
            </w:pPr>
            <w:r>
              <w:rPr>
                <w:b/>
              </w:rPr>
              <w:t>Very Good</w:t>
            </w:r>
          </w:p>
        </w:tc>
      </w:tr>
      <w:tr w:rsidR="006064F5" w:rsidRPr="0082145D" w14:paraId="5C3FB878" w14:textId="77777777" w:rsidTr="001545DC">
        <w:tc>
          <w:tcPr>
            <w:tcW w:w="10485" w:type="dxa"/>
            <w:gridSpan w:val="2"/>
          </w:tcPr>
          <w:p w14:paraId="25F347B9" w14:textId="77777777" w:rsidR="00854DB6" w:rsidRDefault="008E325C">
            <w:pPr>
              <w:pStyle w:val="Default"/>
              <w:ind w:left="32"/>
              <w:rPr>
                <w:rFonts w:asciiTheme="minorHAnsi" w:hAnsiTheme="minorHAnsi" w:cstheme="minorHAnsi"/>
                <w:b/>
                <w:bCs/>
                <w:color w:val="auto"/>
              </w:rPr>
            </w:pPr>
            <w:r>
              <w:rPr>
                <w:b/>
              </w:rPr>
              <w:t>Key Strengths:</w:t>
            </w:r>
          </w:p>
          <w:p w14:paraId="01135176"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Trauma-informed practice and PATHS supported emotional literacy, self-regulation and wellbeing.</w:t>
            </w:r>
          </w:p>
          <w:p w14:paraId="5D28D9C2"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 Under-3s Developmental Journey strengthened observation, early identification and responsive support.</w:t>
            </w:r>
          </w:p>
          <w:p w14:paraId="0336C2AB"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Circle of Security feedback showed reduced parenting stress, increased confidence and stronger parent-child relationships for all five participating families.</w:t>
            </w:r>
          </w:p>
          <w:p w14:paraId="66D6DB3B"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Flexible attendance approaches and partnership working with Home-Start, health visitors and the Trust widened support for children and families.</w:t>
            </w:r>
          </w:p>
          <w:p w14:paraId="5BA560B8" w14:textId="77777777" w:rsidR="00854DB6" w:rsidRPr="00077993" w:rsidRDefault="00854DB6">
            <w:pPr>
              <w:pStyle w:val="Default"/>
              <w:ind w:left="32"/>
              <w:rPr>
                <w:rFonts w:asciiTheme="minorHAnsi" w:hAnsiTheme="minorHAnsi" w:cstheme="minorHAnsi"/>
                <w:b/>
                <w:bCs/>
                <w:color w:val="auto"/>
              </w:rPr>
            </w:pPr>
          </w:p>
          <w:p w14:paraId="727C4E1B" w14:textId="77777777" w:rsidR="00854DB6" w:rsidRPr="00077993" w:rsidRDefault="008E325C">
            <w:pPr>
              <w:pStyle w:val="Default"/>
              <w:ind w:left="32"/>
              <w:rPr>
                <w:rFonts w:asciiTheme="minorHAnsi" w:hAnsiTheme="minorHAnsi" w:cstheme="minorHAnsi"/>
                <w:b/>
                <w:bCs/>
                <w:color w:val="auto"/>
              </w:rPr>
            </w:pPr>
            <w:r w:rsidRPr="00077993">
              <w:rPr>
                <w:b/>
              </w:rPr>
              <w:t>Key Priorities:</w:t>
            </w:r>
          </w:p>
          <w:p w14:paraId="25CD44CA"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Ensure all new staff complete relevant wellbeing, trauma-informed and PATHS training.</w:t>
            </w:r>
          </w:p>
          <w:p w14:paraId="4ED4D146"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Continue coordinated partnership support for children and families.</w:t>
            </w:r>
          </w:p>
          <w:p w14:paraId="556D46BE"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Use family feedback and developmental information to evaluate wellbeing and equity outcomes more systematically.</w:t>
            </w:r>
          </w:p>
        </w:tc>
      </w:tr>
    </w:tbl>
    <w:p w14:paraId="1394BE7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7D5CAD" w14:textId="77777777" w:rsidTr="00AE3BF4">
        <w:tc>
          <w:tcPr>
            <w:tcW w:w="5242" w:type="dxa"/>
            <w:shd w:val="clear" w:color="auto" w:fill="33CCCC"/>
          </w:tcPr>
          <w:p w14:paraId="4C5ACFA3" w14:textId="77777777" w:rsidR="00854DB6" w:rsidRDefault="008E325C">
            <w:pPr>
              <w:pStyle w:val="Default"/>
              <w:rPr>
                <w:rFonts w:asciiTheme="minorHAnsi" w:hAnsiTheme="minorHAnsi" w:cstheme="minorHAnsi"/>
                <w:b/>
                <w:bCs/>
                <w:sz w:val="28"/>
                <w:szCs w:val="28"/>
              </w:rPr>
            </w:pPr>
            <w:r>
              <w:rPr>
                <w:b/>
              </w:rPr>
              <w:t>3.2 Raising attainment and achievement/Securing children's progress</w:t>
            </w:r>
          </w:p>
          <w:p w14:paraId="52DC9135" w14:textId="77777777" w:rsidR="00854DB6" w:rsidRDefault="008E325C">
            <w:pPr>
              <w:pStyle w:val="Default"/>
              <w:rPr>
                <w:rFonts w:asciiTheme="minorHAnsi" w:hAnsiTheme="minorHAnsi" w:cstheme="minorHAnsi"/>
                <w:b/>
                <w:bCs/>
                <w:sz w:val="28"/>
                <w:szCs w:val="28"/>
              </w:rPr>
            </w:pPr>
            <w:r>
              <w:rPr>
                <w:b/>
              </w:rPr>
              <w:t>Very Good</w:t>
            </w:r>
          </w:p>
        </w:tc>
        <w:tc>
          <w:tcPr>
            <w:tcW w:w="5243" w:type="dxa"/>
            <w:shd w:val="clear" w:color="auto" w:fill="33CCCC"/>
          </w:tcPr>
          <w:p w14:paraId="72BB74CB" w14:textId="77777777" w:rsidR="00854DB6" w:rsidRDefault="008E325C">
            <w:pPr>
              <w:pStyle w:val="Default"/>
              <w:rPr>
                <w:rFonts w:asciiTheme="minorHAnsi" w:hAnsiTheme="minorHAnsi" w:cstheme="minorHAnsi"/>
                <w:b/>
                <w:bCs/>
                <w:sz w:val="28"/>
                <w:szCs w:val="28"/>
              </w:rPr>
            </w:pPr>
            <w:r>
              <w:rPr>
                <w:b/>
              </w:rPr>
              <w:t>4.3 Children's progress (ELC QIF)</w:t>
            </w:r>
          </w:p>
          <w:p w14:paraId="1C7C8815" w14:textId="77777777" w:rsidR="00854DB6" w:rsidRDefault="008E325C">
            <w:pPr>
              <w:pStyle w:val="Default"/>
              <w:rPr>
                <w:rFonts w:asciiTheme="minorHAnsi" w:hAnsiTheme="minorHAnsi" w:cstheme="minorHAnsi"/>
                <w:b/>
                <w:bCs/>
                <w:sz w:val="28"/>
                <w:szCs w:val="28"/>
              </w:rPr>
            </w:pPr>
            <w:r>
              <w:rPr>
                <w:b/>
              </w:rPr>
              <w:t>Very Good</w:t>
            </w:r>
          </w:p>
        </w:tc>
      </w:tr>
      <w:tr w:rsidR="006064F5" w:rsidRPr="0082145D" w14:paraId="544C4247" w14:textId="77777777" w:rsidTr="001545DC">
        <w:tc>
          <w:tcPr>
            <w:tcW w:w="10485" w:type="dxa"/>
            <w:gridSpan w:val="2"/>
          </w:tcPr>
          <w:p w14:paraId="14594AE4" w14:textId="77777777" w:rsidR="00854DB6" w:rsidRDefault="008E325C">
            <w:pPr>
              <w:pStyle w:val="Default"/>
              <w:ind w:left="32"/>
              <w:rPr>
                <w:rFonts w:asciiTheme="minorHAnsi" w:hAnsiTheme="minorHAnsi" w:cstheme="minorHAnsi"/>
                <w:b/>
                <w:bCs/>
                <w:color w:val="auto"/>
              </w:rPr>
            </w:pPr>
            <w:r>
              <w:rPr>
                <w:b/>
              </w:rPr>
              <w:t>Key Strengths:</w:t>
            </w:r>
          </w:p>
          <w:p w14:paraId="409AD1FD"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Very good numeracy progress was demonstrated across the preschool and ante-preschool cohorts.</w:t>
            </w:r>
          </w:p>
          <w:p w14:paraId="0E76A37D"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Focused tracking enabled practitioners to identify children requiring support or challenge and respond promptly.</w:t>
            </w:r>
          </w:p>
          <w:p w14:paraId="786ABE4F"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Eleven of the fourteen children with previously low attendance improved, exceeding the 70% targeted outcome.</w:t>
            </w:r>
          </w:p>
          <w:p w14:paraId="3213DCFA"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Children under three benefited from developmentally appropriate experiences, improved environments and personalised support.</w:t>
            </w:r>
          </w:p>
          <w:p w14:paraId="3F113B76"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Family learning strengthened parents' understanding of how to support children's learning and wellbeing at home.</w:t>
            </w:r>
          </w:p>
          <w:p w14:paraId="1322F323" w14:textId="77777777" w:rsidR="00854DB6" w:rsidRDefault="00854DB6">
            <w:pPr>
              <w:pStyle w:val="Default"/>
              <w:ind w:left="32"/>
              <w:rPr>
                <w:rFonts w:asciiTheme="minorHAnsi" w:hAnsiTheme="minorHAnsi" w:cstheme="minorHAnsi"/>
                <w:b/>
                <w:bCs/>
                <w:color w:val="auto"/>
              </w:rPr>
            </w:pPr>
          </w:p>
          <w:p w14:paraId="3ED65451" w14:textId="77777777" w:rsidR="00854DB6" w:rsidRDefault="008E325C">
            <w:pPr>
              <w:pStyle w:val="Default"/>
              <w:ind w:left="32"/>
              <w:rPr>
                <w:rFonts w:asciiTheme="minorHAnsi" w:hAnsiTheme="minorHAnsi" w:cstheme="minorHAnsi"/>
                <w:b/>
                <w:bCs/>
                <w:color w:val="auto"/>
              </w:rPr>
            </w:pPr>
            <w:r>
              <w:rPr>
                <w:b/>
              </w:rPr>
              <w:t>Key Priorities:</w:t>
            </w:r>
          </w:p>
          <w:p w14:paraId="3F6D6FA8"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Improve attendance outcomes across the whole nursery.</w:t>
            </w:r>
          </w:p>
          <w:p w14:paraId="64615DC4"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Maintain targeted interventions and evaluate children's progress from their individual starting points.</w:t>
            </w:r>
          </w:p>
          <w:p w14:paraId="06570AF6"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t>Continue to connect attendance, wellbeing, engagement and developmental tracking when evaluating progress.</w:t>
            </w:r>
          </w:p>
        </w:tc>
      </w:tr>
    </w:tbl>
    <w:p w14:paraId="0C977F81" w14:textId="601FDE7F" w:rsidR="006064F5" w:rsidRDefault="006064F5" w:rsidP="00F22FA5">
      <w:pPr>
        <w:rPr>
          <w:rFonts w:cstheme="minorHAnsi"/>
          <w:sz w:val="24"/>
          <w:szCs w:val="24"/>
        </w:rPr>
      </w:pPr>
    </w:p>
    <w:p w14:paraId="41A7A8B8" w14:textId="58007AFA" w:rsidR="00C67416" w:rsidRDefault="00C67416" w:rsidP="00F22FA5">
      <w:pPr>
        <w:rPr>
          <w:rFonts w:cstheme="minorHAnsi"/>
          <w:sz w:val="24"/>
          <w:szCs w:val="24"/>
        </w:rPr>
      </w:pPr>
    </w:p>
    <w:p w14:paraId="257AA462" w14:textId="77777777" w:rsidR="00C67416" w:rsidRPr="0082145D" w:rsidRDefault="00C67416" w:rsidP="00F22FA5">
      <w:pPr>
        <w:rPr>
          <w:rFonts w:cstheme="minorHAnsi"/>
          <w:sz w:val="24"/>
          <w:szCs w:val="24"/>
        </w:rPr>
      </w:pPr>
    </w:p>
    <w:tbl>
      <w:tblPr>
        <w:tblStyle w:val="TableGrid"/>
        <w:tblW w:w="10096" w:type="dxa"/>
        <w:tblLook w:val="04A0" w:firstRow="1" w:lastRow="0" w:firstColumn="1" w:lastColumn="0" w:noHBand="0" w:noVBand="1"/>
      </w:tblPr>
      <w:tblGrid>
        <w:gridCol w:w="2524"/>
        <w:gridCol w:w="2524"/>
        <w:gridCol w:w="2524"/>
        <w:gridCol w:w="2488"/>
        <w:gridCol w:w="36"/>
      </w:tblGrid>
      <w:tr w:rsidR="0019552D" w14:paraId="776C070D" w14:textId="77777777" w:rsidTr="00C67416">
        <w:trPr>
          <w:trHeight w:val="331"/>
        </w:trPr>
        <w:tc>
          <w:tcPr>
            <w:tcW w:w="5048" w:type="dxa"/>
            <w:gridSpan w:val="2"/>
            <w:shd w:val="clear" w:color="auto" w:fill="33CCCC"/>
          </w:tcPr>
          <w:p w14:paraId="2B0325F2" w14:textId="77777777" w:rsidR="0019552D" w:rsidRDefault="0019552D" w:rsidP="00800BE3">
            <w:r w:rsidRPr="00360119">
              <w:rPr>
                <w:rFonts w:cstheme="minorHAnsi"/>
                <w:b/>
                <w:bCs/>
                <w:sz w:val="28"/>
                <w:szCs w:val="28"/>
              </w:rPr>
              <w:lastRenderedPageBreak/>
              <w:t>Other quality indictors evaluated from 3-year plan</w:t>
            </w:r>
            <w:r>
              <w:rPr>
                <w:rFonts w:cstheme="minorHAnsi"/>
                <w:b/>
                <w:bCs/>
                <w:sz w:val="28"/>
                <w:szCs w:val="28"/>
              </w:rPr>
              <w:t xml:space="preserve"> (Schools)</w:t>
            </w:r>
          </w:p>
        </w:tc>
        <w:tc>
          <w:tcPr>
            <w:tcW w:w="5048" w:type="dxa"/>
            <w:gridSpan w:val="3"/>
            <w:shd w:val="clear" w:color="auto" w:fill="33CCCC"/>
          </w:tcPr>
          <w:p w14:paraId="32D38397"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(Nursery)</w:t>
            </w:r>
          </w:p>
        </w:tc>
      </w:tr>
      <w:tr w:rsidR="0019552D" w14:paraId="59A9F214" w14:textId="77777777" w:rsidTr="00C67416">
        <w:trPr>
          <w:trHeight w:val="331"/>
        </w:trPr>
        <w:tc>
          <w:tcPr>
            <w:tcW w:w="5048" w:type="dxa"/>
            <w:gridSpan w:val="2"/>
            <w:shd w:val="clear" w:color="auto" w:fill="33CCCC"/>
          </w:tcPr>
          <w:p w14:paraId="06577DB4"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657E1F28" w14:textId="77777777" w:rsidR="0019552D" w:rsidRDefault="0019552D" w:rsidP="00800BE3"/>
        </w:tc>
        <w:tc>
          <w:tcPr>
            <w:tcW w:w="5048" w:type="dxa"/>
            <w:gridSpan w:val="3"/>
            <w:shd w:val="clear" w:color="auto" w:fill="33CCCC"/>
          </w:tcPr>
          <w:p w14:paraId="327E2749"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2CB5E89F" w14:textId="77777777" w:rsidR="0019552D" w:rsidRDefault="0019552D" w:rsidP="00800BE3"/>
        </w:tc>
      </w:tr>
      <w:tr w:rsidR="0019552D" w14:paraId="6DF723F8" w14:textId="77777777" w:rsidTr="00C67416">
        <w:trPr>
          <w:trHeight w:val="331"/>
        </w:trPr>
        <w:tc>
          <w:tcPr>
            <w:tcW w:w="2524" w:type="dxa"/>
            <w:shd w:val="clear" w:color="auto" w:fill="33CCCC"/>
          </w:tcPr>
          <w:p w14:paraId="67B8CCB2" w14:textId="77777777" w:rsidR="00854DB6" w:rsidRDefault="008E325C">
            <w:pPr>
              <w:pStyle w:val="Default"/>
              <w:ind w:left="32"/>
              <w:rPr>
                <w:rFonts w:asciiTheme="minorHAnsi" w:hAnsiTheme="minorHAnsi" w:cstheme="minorHAnsi"/>
                <w:b/>
                <w:bCs/>
                <w:color w:val="auto"/>
              </w:rPr>
            </w:pPr>
            <w:r>
              <w:t>Not applicable</w:t>
            </w:r>
          </w:p>
        </w:tc>
        <w:tc>
          <w:tcPr>
            <w:tcW w:w="2524" w:type="dxa"/>
            <w:shd w:val="clear" w:color="auto" w:fill="33CCCC"/>
          </w:tcPr>
          <w:p w14:paraId="3791A3ED" w14:textId="77777777" w:rsidR="00854DB6" w:rsidRDefault="008E325C">
            <w:pPr>
              <w:pStyle w:val="Default"/>
              <w:ind w:left="32"/>
              <w:rPr>
                <w:rFonts w:asciiTheme="minorHAnsi" w:hAnsiTheme="minorHAnsi" w:cstheme="minorHAnsi"/>
                <w:b/>
                <w:bCs/>
                <w:color w:val="auto"/>
              </w:rPr>
            </w:pPr>
            <w:r>
              <w:t>Not applicable</w:t>
            </w:r>
          </w:p>
        </w:tc>
        <w:tc>
          <w:tcPr>
            <w:tcW w:w="2524" w:type="dxa"/>
            <w:shd w:val="clear" w:color="auto" w:fill="33CCCC"/>
          </w:tcPr>
          <w:p w14:paraId="694A9E13" w14:textId="77777777" w:rsidR="00854DB6" w:rsidRDefault="008E325C">
            <w:pPr>
              <w:pStyle w:val="Default"/>
              <w:ind w:left="32"/>
              <w:rPr>
                <w:rFonts w:asciiTheme="minorHAnsi" w:hAnsiTheme="minorHAnsi" w:cstheme="minorHAnsi"/>
                <w:b/>
                <w:bCs/>
                <w:color w:val="auto"/>
              </w:rPr>
            </w:pPr>
            <w:r>
              <w:rPr>
                <w:b/>
              </w:rPr>
              <w:t>Curriculum</w:t>
            </w:r>
          </w:p>
        </w:tc>
        <w:tc>
          <w:tcPr>
            <w:tcW w:w="2524" w:type="dxa"/>
            <w:gridSpan w:val="2"/>
            <w:shd w:val="clear" w:color="auto" w:fill="33CCCC"/>
          </w:tcPr>
          <w:p w14:paraId="6E9F3D14" w14:textId="77777777" w:rsidR="00854DB6" w:rsidRDefault="008E325C">
            <w:pPr>
              <w:pStyle w:val="Default"/>
              <w:ind w:left="32"/>
              <w:rPr>
                <w:rFonts w:asciiTheme="minorHAnsi" w:hAnsiTheme="minorHAnsi" w:cstheme="minorHAnsi"/>
                <w:b/>
                <w:bCs/>
                <w:color w:val="auto"/>
              </w:rPr>
            </w:pPr>
            <w:r>
              <w:rPr>
                <w:b/>
              </w:rPr>
              <w:t>Curriculum and learning environment</w:t>
            </w:r>
          </w:p>
        </w:tc>
      </w:tr>
      <w:tr w:rsidR="0019552D" w14:paraId="443E2B37" w14:textId="77777777" w:rsidTr="00C67416">
        <w:trPr>
          <w:trHeight w:val="331"/>
        </w:trPr>
        <w:tc>
          <w:tcPr>
            <w:tcW w:w="10096" w:type="dxa"/>
            <w:gridSpan w:val="5"/>
          </w:tcPr>
          <w:p w14:paraId="3D2BDD1A" w14:textId="77777777" w:rsidR="00854DB6" w:rsidRDefault="008E325C">
            <w:pPr>
              <w:pStyle w:val="Default"/>
              <w:ind w:left="32"/>
              <w:rPr>
                <w:rFonts w:asciiTheme="minorHAnsi" w:hAnsiTheme="minorHAnsi" w:cstheme="minorHAnsi"/>
                <w:b/>
                <w:bCs/>
                <w:color w:val="auto"/>
              </w:rPr>
            </w:pPr>
            <w:r>
              <w:rPr>
                <w:b/>
              </w:rPr>
              <w:t>Key Strengths:</w:t>
            </w:r>
          </w:p>
          <w:p w14:paraId="56CDF999"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Learning environments promoted child-led exploration, creativity and independence.</w:t>
            </w:r>
          </w:p>
          <w:p w14:paraId="36ED438A"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Literacy and numeracy experiences were planned across the environment and through everyday routines.</w:t>
            </w:r>
          </w:p>
          <w:p w14:paraId="4744E09F" w14:textId="691A3580"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 curriculum responded to children</w:t>
            </w:r>
            <w:r w:rsidR="00C67416">
              <w:rPr>
                <w:sz w:val="24"/>
                <w:szCs w:val="24"/>
              </w:rPr>
              <w:t>’</w:t>
            </w:r>
            <w:r w:rsidRPr="00077993">
              <w:rPr>
                <w:sz w:val="24"/>
                <w:szCs w:val="24"/>
              </w:rPr>
              <w:t>s developmental stages, interests and observed patterns of play.</w:t>
            </w:r>
          </w:p>
          <w:p w14:paraId="386A0549"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PATHS and nurturing approaches supported emotional literacy and wellbeing.</w:t>
            </w:r>
          </w:p>
          <w:p w14:paraId="56598CF9"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Family learning connected nursery experiences with learning, relationships and wellbeing at home.</w:t>
            </w:r>
          </w:p>
          <w:p w14:paraId="448202ED" w14:textId="77777777" w:rsidR="00854DB6" w:rsidRPr="00077993" w:rsidRDefault="00854DB6">
            <w:pPr>
              <w:pStyle w:val="Default"/>
              <w:ind w:left="32"/>
              <w:rPr>
                <w:rFonts w:asciiTheme="minorHAnsi" w:hAnsiTheme="minorHAnsi" w:cstheme="minorHAnsi"/>
                <w:b/>
                <w:bCs/>
                <w:color w:val="auto"/>
              </w:rPr>
            </w:pPr>
          </w:p>
          <w:p w14:paraId="4AB7091A" w14:textId="77777777" w:rsidR="00854DB6" w:rsidRPr="00077993" w:rsidRDefault="008E325C">
            <w:pPr>
              <w:pStyle w:val="Default"/>
              <w:ind w:left="32"/>
              <w:rPr>
                <w:rFonts w:asciiTheme="minorHAnsi" w:hAnsiTheme="minorHAnsi" w:cstheme="minorHAnsi"/>
                <w:b/>
                <w:bCs/>
                <w:color w:val="auto"/>
              </w:rPr>
            </w:pPr>
            <w:r w:rsidRPr="00077993">
              <w:rPr>
                <w:b/>
              </w:rPr>
              <w:t>Key Priorities:</w:t>
            </w:r>
          </w:p>
          <w:p w14:paraId="6AE4FD77"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Continue to review curriculum depth, breadth and progression across all developmental stages.</w:t>
            </w:r>
          </w:p>
          <w:p w14:paraId="6DDCA1F5"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Continue to evaluate the curriculum using observation, tracking, family feedback and peer evaluation.</w:t>
            </w:r>
          </w:p>
        </w:tc>
      </w:tr>
      <w:tr w:rsidR="00C67416" w14:paraId="29CCA591" w14:textId="77777777" w:rsidTr="00C67416">
        <w:trPr>
          <w:trHeight w:val="70"/>
        </w:trPr>
        <w:tc>
          <w:tcPr>
            <w:tcW w:w="10096" w:type="dxa"/>
            <w:gridSpan w:val="5"/>
          </w:tcPr>
          <w:p w14:paraId="1866AA50" w14:textId="77777777" w:rsidR="00C67416" w:rsidRDefault="00C67416">
            <w:pPr>
              <w:pStyle w:val="Default"/>
              <w:ind w:left="32"/>
              <w:rPr>
                <w:b/>
              </w:rPr>
            </w:pPr>
          </w:p>
          <w:p w14:paraId="5E9F8C0D" w14:textId="2AF87329" w:rsidR="00C67416" w:rsidRDefault="00C67416">
            <w:pPr>
              <w:pStyle w:val="Default"/>
              <w:ind w:left="32"/>
              <w:rPr>
                <w:b/>
              </w:rPr>
            </w:pPr>
          </w:p>
        </w:tc>
      </w:tr>
      <w:tr w:rsidR="002E09AE" w:rsidRPr="0082145D" w14:paraId="2A5D7A32" w14:textId="77777777" w:rsidTr="00C67416">
        <w:trPr>
          <w:gridAfter w:val="1"/>
          <w:wAfter w:w="36" w:type="dxa"/>
        </w:trPr>
        <w:tc>
          <w:tcPr>
            <w:tcW w:w="10060" w:type="dxa"/>
            <w:gridSpan w:val="4"/>
            <w:shd w:val="clear" w:color="auto" w:fill="33CCCC"/>
          </w:tcPr>
          <w:p w14:paraId="200CB686"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Key Achievements of the </w:t>
            </w:r>
            <w:r w:rsidR="0007371F" w:rsidRPr="00360119">
              <w:rPr>
                <w:rFonts w:asciiTheme="minorHAnsi" w:hAnsiTheme="minorHAnsi" w:cstheme="minorHAnsi"/>
                <w:b/>
                <w:bCs/>
                <w:sz w:val="28"/>
                <w:szCs w:val="28"/>
              </w:rPr>
              <w:t>Establishment</w:t>
            </w:r>
          </w:p>
          <w:p w14:paraId="22C2E87B" w14:textId="77777777" w:rsidR="00644548" w:rsidRPr="0082145D" w:rsidRDefault="00644548" w:rsidP="002E09AE">
            <w:pPr>
              <w:pStyle w:val="Default"/>
              <w:rPr>
                <w:rFonts w:asciiTheme="minorHAnsi" w:hAnsiTheme="minorHAnsi" w:cstheme="minorHAnsi"/>
              </w:rPr>
            </w:pPr>
          </w:p>
        </w:tc>
      </w:tr>
      <w:tr w:rsidR="002E09AE" w:rsidRPr="0082145D" w14:paraId="6189FBBF" w14:textId="77777777" w:rsidTr="00C67416">
        <w:trPr>
          <w:gridAfter w:val="1"/>
          <w:wAfter w:w="36" w:type="dxa"/>
        </w:trPr>
        <w:tc>
          <w:tcPr>
            <w:tcW w:w="10060" w:type="dxa"/>
            <w:gridSpan w:val="4"/>
          </w:tcPr>
          <w:p w14:paraId="5F259CE4" w14:textId="77777777" w:rsidR="00854DB6" w:rsidRDefault="008E325C">
            <w:pPr>
              <w:pStyle w:val="Default"/>
              <w:ind w:left="32"/>
              <w:rPr>
                <w:rFonts w:asciiTheme="minorHAnsi" w:hAnsiTheme="minorHAnsi" w:cstheme="minorHAnsi"/>
                <w:b/>
                <w:bCs/>
                <w:color w:val="auto"/>
              </w:rPr>
            </w:pPr>
            <w:r>
              <w:rPr>
                <w:b/>
              </w:rPr>
              <w:t>Opportunity to celebrate activities, awards, events and partnerships</w:t>
            </w:r>
          </w:p>
          <w:p w14:paraId="4100B0AB"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 Balclutha Buddies and Bairns intergenerational programme.</w:t>
            </w:r>
          </w:p>
          <w:p w14:paraId="528661CB"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Collaborative working with Belville Community Gardens and The Food Network to develop outdoor learning.</w:t>
            </w:r>
          </w:p>
          <w:p w14:paraId="08628224"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Weekly community Bookbug sessions and Tuesday-evening Bookbug sessions for families of children under three.</w:t>
            </w:r>
          </w:p>
          <w:p w14:paraId="462746F1"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Themed Stay and Play sessions, increased to twice weekly in response to family demand.</w:t>
            </w:r>
          </w:p>
          <w:p w14:paraId="6BD9574D"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The THRIVE course supported six parents with confidence, employability, CV writing and first-aid learning.</w:t>
            </w:r>
          </w:p>
          <w:p w14:paraId="0BF71751"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Circle of Security supported five families, with all reporting improved confidence, reduced stress and stronger relationships with their children.</w:t>
            </w:r>
          </w:p>
          <w:p w14:paraId="21463919" w14:textId="77777777" w:rsidR="00854DB6" w:rsidRPr="00077993"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Cooking classes supported families with budgeting, one-pot meals and healthier approaches to making food go further.</w:t>
            </w:r>
          </w:p>
          <w:p w14:paraId="1E09302D" w14:textId="77777777" w:rsidR="00854DB6" w:rsidRDefault="008E325C" w:rsidP="004D1644">
            <w:pPr>
              <w:pStyle w:val="ListParagraph"/>
              <w:numPr>
                <w:ilvl w:val="0"/>
                <w:numId w:val="1"/>
              </w:numPr>
              <w:spacing w:before="100" w:beforeAutospacing="1" w:after="100" w:afterAutospacing="1"/>
              <w:rPr>
                <w:rFonts w:eastAsia="Times New Roman" w:cstheme="minorHAnsi"/>
                <w:sz w:val="24"/>
                <w:szCs w:val="24"/>
                <w:lang w:eastAsia="en-GB"/>
              </w:rPr>
            </w:pPr>
            <w:r w:rsidRPr="00077993">
              <w:rPr>
                <w:sz w:val="24"/>
                <w:szCs w:val="24"/>
              </w:rPr>
              <w:t>Positive changes to playroom learning environments, enhanced transitions and celebrations of children's learning and cultural festivals.</w:t>
            </w:r>
          </w:p>
        </w:tc>
      </w:tr>
    </w:tbl>
    <w:p w14:paraId="058BC095" w14:textId="77777777" w:rsidR="002E09AE" w:rsidRPr="0082145D" w:rsidRDefault="002E09AE" w:rsidP="00F22FA5">
      <w:pPr>
        <w:rPr>
          <w:rFonts w:cstheme="minorHAnsi"/>
          <w:sz w:val="24"/>
          <w:szCs w:val="24"/>
        </w:rPr>
      </w:pPr>
    </w:p>
    <w:sectPr w:rsidR="002E09AE" w:rsidRPr="0082145D" w:rsidSect="003622B4">
      <w:headerReference w:type="even" r:id="rId9"/>
      <w:headerReference w:type="default" r:id="rId10"/>
      <w:headerReference w:type="firs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7179C" w14:textId="77777777" w:rsidR="004D1644" w:rsidRDefault="004D1644" w:rsidP="0082145D">
      <w:pPr>
        <w:spacing w:after="0" w:line="240" w:lineRule="auto"/>
      </w:pPr>
      <w:r>
        <w:separator/>
      </w:r>
    </w:p>
  </w:endnote>
  <w:endnote w:type="continuationSeparator" w:id="0">
    <w:p w14:paraId="61D9A6F0" w14:textId="77777777" w:rsidR="004D1644" w:rsidRDefault="004D1644"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D1A55" w14:textId="77777777" w:rsidR="004D1644" w:rsidRDefault="004D1644" w:rsidP="0082145D">
      <w:pPr>
        <w:spacing w:after="0" w:line="240" w:lineRule="auto"/>
      </w:pPr>
      <w:r>
        <w:separator/>
      </w:r>
    </w:p>
  </w:footnote>
  <w:footnote w:type="continuationSeparator" w:id="0">
    <w:p w14:paraId="63757404" w14:textId="77777777" w:rsidR="004D1644" w:rsidRDefault="004D1644"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89B40" w14:textId="77777777"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12102BD2" wp14:editId="116DDC9A">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32D032"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102BD2"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532D032"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CF050" w14:textId="77777777"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3EB4B419" wp14:editId="356DE6BE">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170F2F"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B4B419"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38170F2F"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30CA" w14:textId="77777777"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5439E1B0" wp14:editId="4B93EE89">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E2CF87"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39E1B0"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24E2CF87" w14:textId="77777777"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16E0"/>
    <w:multiLevelType w:val="hybridMultilevel"/>
    <w:tmpl w:val="0DD2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1308A"/>
    <w:multiLevelType w:val="hybridMultilevel"/>
    <w:tmpl w:val="A1B64B9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757F94"/>
    <w:multiLevelType w:val="hybridMultilevel"/>
    <w:tmpl w:val="F856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25063D"/>
    <w:multiLevelType w:val="hybridMultilevel"/>
    <w:tmpl w:val="692C5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4845EB"/>
    <w:multiLevelType w:val="hybridMultilevel"/>
    <w:tmpl w:val="F1027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4036103">
    <w:abstractNumId w:val="0"/>
  </w:num>
  <w:num w:numId="2" w16cid:durableId="946543713">
    <w:abstractNumId w:val="5"/>
  </w:num>
  <w:num w:numId="3" w16cid:durableId="13388316">
    <w:abstractNumId w:val="1"/>
  </w:num>
  <w:num w:numId="4" w16cid:durableId="461732277">
    <w:abstractNumId w:val="2"/>
  </w:num>
  <w:num w:numId="5" w16cid:durableId="21325295">
    <w:abstractNumId w:val="4"/>
  </w:num>
  <w:num w:numId="6" w16cid:durableId="211066426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6B6E"/>
    <w:rsid w:val="000116C3"/>
    <w:rsid w:val="00013058"/>
    <w:rsid w:val="0001388A"/>
    <w:rsid w:val="000234EF"/>
    <w:rsid w:val="00040350"/>
    <w:rsid w:val="00042892"/>
    <w:rsid w:val="0007102D"/>
    <w:rsid w:val="0007371F"/>
    <w:rsid w:val="00075193"/>
    <w:rsid w:val="000752B8"/>
    <w:rsid w:val="00076583"/>
    <w:rsid w:val="00077993"/>
    <w:rsid w:val="00083047"/>
    <w:rsid w:val="000A28F0"/>
    <w:rsid w:val="000A3D86"/>
    <w:rsid w:val="000A6313"/>
    <w:rsid w:val="000A765A"/>
    <w:rsid w:val="000B74A5"/>
    <w:rsid w:val="000C2EB4"/>
    <w:rsid w:val="000C5B51"/>
    <w:rsid w:val="000C6EB7"/>
    <w:rsid w:val="0010242D"/>
    <w:rsid w:val="00107E32"/>
    <w:rsid w:val="00116E3A"/>
    <w:rsid w:val="00136B7E"/>
    <w:rsid w:val="0014616B"/>
    <w:rsid w:val="001632EA"/>
    <w:rsid w:val="001701D8"/>
    <w:rsid w:val="00190048"/>
    <w:rsid w:val="00195321"/>
    <w:rsid w:val="0019552D"/>
    <w:rsid w:val="001B7772"/>
    <w:rsid w:val="001C37BD"/>
    <w:rsid w:val="001E28F9"/>
    <w:rsid w:val="001E3302"/>
    <w:rsid w:val="001F20F1"/>
    <w:rsid w:val="001F7BC6"/>
    <w:rsid w:val="00200DCC"/>
    <w:rsid w:val="00201524"/>
    <w:rsid w:val="00217BE5"/>
    <w:rsid w:val="00241D19"/>
    <w:rsid w:val="00241DBD"/>
    <w:rsid w:val="002473F5"/>
    <w:rsid w:val="00252C15"/>
    <w:rsid w:val="00260C31"/>
    <w:rsid w:val="00264057"/>
    <w:rsid w:val="00274E51"/>
    <w:rsid w:val="00276B22"/>
    <w:rsid w:val="002A43C7"/>
    <w:rsid w:val="002B51C9"/>
    <w:rsid w:val="002B71CC"/>
    <w:rsid w:val="002D3482"/>
    <w:rsid w:val="002D5DCA"/>
    <w:rsid w:val="002D743D"/>
    <w:rsid w:val="002E09AE"/>
    <w:rsid w:val="002E30AB"/>
    <w:rsid w:val="002E6446"/>
    <w:rsid w:val="002F6734"/>
    <w:rsid w:val="003166F3"/>
    <w:rsid w:val="0032075F"/>
    <w:rsid w:val="00320DC1"/>
    <w:rsid w:val="00324B06"/>
    <w:rsid w:val="00327454"/>
    <w:rsid w:val="00331587"/>
    <w:rsid w:val="0033184D"/>
    <w:rsid w:val="0033280E"/>
    <w:rsid w:val="003379BA"/>
    <w:rsid w:val="00350305"/>
    <w:rsid w:val="00360119"/>
    <w:rsid w:val="003612A2"/>
    <w:rsid w:val="003622B4"/>
    <w:rsid w:val="00367E8D"/>
    <w:rsid w:val="00367F05"/>
    <w:rsid w:val="00386D51"/>
    <w:rsid w:val="00392CEC"/>
    <w:rsid w:val="003A5FDD"/>
    <w:rsid w:val="003B6429"/>
    <w:rsid w:val="003C3322"/>
    <w:rsid w:val="003D7497"/>
    <w:rsid w:val="003E07E3"/>
    <w:rsid w:val="003F4148"/>
    <w:rsid w:val="004004B9"/>
    <w:rsid w:val="00410D3F"/>
    <w:rsid w:val="004124A0"/>
    <w:rsid w:val="00436989"/>
    <w:rsid w:val="00440321"/>
    <w:rsid w:val="00440D0D"/>
    <w:rsid w:val="00443211"/>
    <w:rsid w:val="00444D44"/>
    <w:rsid w:val="00446EE2"/>
    <w:rsid w:val="00450BFB"/>
    <w:rsid w:val="00461399"/>
    <w:rsid w:val="0047631A"/>
    <w:rsid w:val="00481A41"/>
    <w:rsid w:val="0048349B"/>
    <w:rsid w:val="00487655"/>
    <w:rsid w:val="004927E3"/>
    <w:rsid w:val="004B7A80"/>
    <w:rsid w:val="004C3871"/>
    <w:rsid w:val="004C5236"/>
    <w:rsid w:val="004D1644"/>
    <w:rsid w:val="004D28BC"/>
    <w:rsid w:val="004E3E7C"/>
    <w:rsid w:val="004E7CBD"/>
    <w:rsid w:val="004F5CD5"/>
    <w:rsid w:val="0050269E"/>
    <w:rsid w:val="00503E22"/>
    <w:rsid w:val="00507E47"/>
    <w:rsid w:val="005210F8"/>
    <w:rsid w:val="00521FE9"/>
    <w:rsid w:val="00533EBF"/>
    <w:rsid w:val="00534987"/>
    <w:rsid w:val="00540155"/>
    <w:rsid w:val="005438E8"/>
    <w:rsid w:val="0054567C"/>
    <w:rsid w:val="00546FEF"/>
    <w:rsid w:val="00551A7B"/>
    <w:rsid w:val="00552B8B"/>
    <w:rsid w:val="00554538"/>
    <w:rsid w:val="00566411"/>
    <w:rsid w:val="00571EED"/>
    <w:rsid w:val="00577AE0"/>
    <w:rsid w:val="0058793F"/>
    <w:rsid w:val="0059067E"/>
    <w:rsid w:val="005A3050"/>
    <w:rsid w:val="005A4BF5"/>
    <w:rsid w:val="005B137E"/>
    <w:rsid w:val="005B67E8"/>
    <w:rsid w:val="005C1C12"/>
    <w:rsid w:val="005C2E67"/>
    <w:rsid w:val="005D447B"/>
    <w:rsid w:val="005E503A"/>
    <w:rsid w:val="005F4A39"/>
    <w:rsid w:val="005F5510"/>
    <w:rsid w:val="005F753B"/>
    <w:rsid w:val="00600C53"/>
    <w:rsid w:val="00602379"/>
    <w:rsid w:val="006042A1"/>
    <w:rsid w:val="006059D3"/>
    <w:rsid w:val="006064F5"/>
    <w:rsid w:val="00614B6B"/>
    <w:rsid w:val="006239A4"/>
    <w:rsid w:val="00635478"/>
    <w:rsid w:val="00644548"/>
    <w:rsid w:val="0064586C"/>
    <w:rsid w:val="00651809"/>
    <w:rsid w:val="00655D18"/>
    <w:rsid w:val="006569CB"/>
    <w:rsid w:val="00664847"/>
    <w:rsid w:val="0069246D"/>
    <w:rsid w:val="0069529C"/>
    <w:rsid w:val="00697CC4"/>
    <w:rsid w:val="006B2477"/>
    <w:rsid w:val="006B2EEA"/>
    <w:rsid w:val="006B69C0"/>
    <w:rsid w:val="006C1853"/>
    <w:rsid w:val="006C52DD"/>
    <w:rsid w:val="006C59EB"/>
    <w:rsid w:val="006E4D75"/>
    <w:rsid w:val="006E54C6"/>
    <w:rsid w:val="0070389F"/>
    <w:rsid w:val="007057E0"/>
    <w:rsid w:val="0071433D"/>
    <w:rsid w:val="00723B1C"/>
    <w:rsid w:val="007259B0"/>
    <w:rsid w:val="00737F96"/>
    <w:rsid w:val="007433F1"/>
    <w:rsid w:val="007446E1"/>
    <w:rsid w:val="0074614F"/>
    <w:rsid w:val="00753FF5"/>
    <w:rsid w:val="00754760"/>
    <w:rsid w:val="0077139A"/>
    <w:rsid w:val="007750F7"/>
    <w:rsid w:val="00797521"/>
    <w:rsid w:val="007B41F1"/>
    <w:rsid w:val="007B435E"/>
    <w:rsid w:val="007B6EE1"/>
    <w:rsid w:val="007C1A2D"/>
    <w:rsid w:val="007C2289"/>
    <w:rsid w:val="007C65F9"/>
    <w:rsid w:val="007D1833"/>
    <w:rsid w:val="007E4956"/>
    <w:rsid w:val="007F42CB"/>
    <w:rsid w:val="00802C37"/>
    <w:rsid w:val="00821391"/>
    <w:rsid w:val="0082145D"/>
    <w:rsid w:val="00823818"/>
    <w:rsid w:val="0084046E"/>
    <w:rsid w:val="008546A2"/>
    <w:rsid w:val="00854DB6"/>
    <w:rsid w:val="008614DC"/>
    <w:rsid w:val="00871531"/>
    <w:rsid w:val="0088064C"/>
    <w:rsid w:val="00882AED"/>
    <w:rsid w:val="008848FB"/>
    <w:rsid w:val="008B7040"/>
    <w:rsid w:val="008C057E"/>
    <w:rsid w:val="008C0FF0"/>
    <w:rsid w:val="008C63BB"/>
    <w:rsid w:val="008C7FCB"/>
    <w:rsid w:val="008E325C"/>
    <w:rsid w:val="008E3BCE"/>
    <w:rsid w:val="0090220A"/>
    <w:rsid w:val="00910615"/>
    <w:rsid w:val="00913563"/>
    <w:rsid w:val="00931C01"/>
    <w:rsid w:val="00932E94"/>
    <w:rsid w:val="0093770B"/>
    <w:rsid w:val="00937746"/>
    <w:rsid w:val="00944003"/>
    <w:rsid w:val="00944D70"/>
    <w:rsid w:val="0095161D"/>
    <w:rsid w:val="00952A7C"/>
    <w:rsid w:val="00952CC1"/>
    <w:rsid w:val="009549FE"/>
    <w:rsid w:val="00960E9E"/>
    <w:rsid w:val="00981A00"/>
    <w:rsid w:val="00987021"/>
    <w:rsid w:val="0099318E"/>
    <w:rsid w:val="0099410E"/>
    <w:rsid w:val="009B1BBE"/>
    <w:rsid w:val="009B46F0"/>
    <w:rsid w:val="009C18AD"/>
    <w:rsid w:val="009D2259"/>
    <w:rsid w:val="009D2C66"/>
    <w:rsid w:val="009D5AEF"/>
    <w:rsid w:val="009D6DAA"/>
    <w:rsid w:val="009E1569"/>
    <w:rsid w:val="009E2E6E"/>
    <w:rsid w:val="009E2E72"/>
    <w:rsid w:val="009E4947"/>
    <w:rsid w:val="009F7A48"/>
    <w:rsid w:val="00A03B1F"/>
    <w:rsid w:val="00A158AD"/>
    <w:rsid w:val="00A25AC3"/>
    <w:rsid w:val="00A34044"/>
    <w:rsid w:val="00A34110"/>
    <w:rsid w:val="00A3460D"/>
    <w:rsid w:val="00A3723F"/>
    <w:rsid w:val="00A41B0C"/>
    <w:rsid w:val="00A43317"/>
    <w:rsid w:val="00A440D0"/>
    <w:rsid w:val="00A45773"/>
    <w:rsid w:val="00A60924"/>
    <w:rsid w:val="00A67507"/>
    <w:rsid w:val="00A7593E"/>
    <w:rsid w:val="00A76FDF"/>
    <w:rsid w:val="00A80F7E"/>
    <w:rsid w:val="00A96F26"/>
    <w:rsid w:val="00AA23E8"/>
    <w:rsid w:val="00AA3B79"/>
    <w:rsid w:val="00AA472B"/>
    <w:rsid w:val="00AA51D5"/>
    <w:rsid w:val="00AA59B7"/>
    <w:rsid w:val="00AD23B9"/>
    <w:rsid w:val="00AD7337"/>
    <w:rsid w:val="00AF2D24"/>
    <w:rsid w:val="00B03467"/>
    <w:rsid w:val="00B1210C"/>
    <w:rsid w:val="00B23B56"/>
    <w:rsid w:val="00B26B09"/>
    <w:rsid w:val="00B34F2A"/>
    <w:rsid w:val="00B4304E"/>
    <w:rsid w:val="00B53E59"/>
    <w:rsid w:val="00B65A14"/>
    <w:rsid w:val="00B75681"/>
    <w:rsid w:val="00B82BA7"/>
    <w:rsid w:val="00BA1DF0"/>
    <w:rsid w:val="00BA4D08"/>
    <w:rsid w:val="00BB76A2"/>
    <w:rsid w:val="00BC41DA"/>
    <w:rsid w:val="00BC451C"/>
    <w:rsid w:val="00BD7B9F"/>
    <w:rsid w:val="00BE4FC9"/>
    <w:rsid w:val="00BE7462"/>
    <w:rsid w:val="00C01A25"/>
    <w:rsid w:val="00C16EDD"/>
    <w:rsid w:val="00C20292"/>
    <w:rsid w:val="00C22612"/>
    <w:rsid w:val="00C36F4A"/>
    <w:rsid w:val="00C5090B"/>
    <w:rsid w:val="00C55BAD"/>
    <w:rsid w:val="00C55E9E"/>
    <w:rsid w:val="00C601BE"/>
    <w:rsid w:val="00C62C28"/>
    <w:rsid w:val="00C67416"/>
    <w:rsid w:val="00C67C4E"/>
    <w:rsid w:val="00C770C2"/>
    <w:rsid w:val="00C86589"/>
    <w:rsid w:val="00C874CC"/>
    <w:rsid w:val="00C87EEB"/>
    <w:rsid w:val="00C953F0"/>
    <w:rsid w:val="00CA39C0"/>
    <w:rsid w:val="00CB48A4"/>
    <w:rsid w:val="00CB4DBE"/>
    <w:rsid w:val="00CC0D31"/>
    <w:rsid w:val="00CC128F"/>
    <w:rsid w:val="00CC7384"/>
    <w:rsid w:val="00CD0586"/>
    <w:rsid w:val="00CD2E54"/>
    <w:rsid w:val="00CF4896"/>
    <w:rsid w:val="00D05A28"/>
    <w:rsid w:val="00D13D68"/>
    <w:rsid w:val="00D150B5"/>
    <w:rsid w:val="00D166B5"/>
    <w:rsid w:val="00D417B6"/>
    <w:rsid w:val="00D55708"/>
    <w:rsid w:val="00D56262"/>
    <w:rsid w:val="00D722A8"/>
    <w:rsid w:val="00D819C7"/>
    <w:rsid w:val="00D83C1A"/>
    <w:rsid w:val="00D842E1"/>
    <w:rsid w:val="00DA1C2D"/>
    <w:rsid w:val="00DA2F6A"/>
    <w:rsid w:val="00DA3B34"/>
    <w:rsid w:val="00DB25AA"/>
    <w:rsid w:val="00DB6B03"/>
    <w:rsid w:val="00DC20F8"/>
    <w:rsid w:val="00DC5971"/>
    <w:rsid w:val="00DC6681"/>
    <w:rsid w:val="00DF07C3"/>
    <w:rsid w:val="00DF14F1"/>
    <w:rsid w:val="00E004B0"/>
    <w:rsid w:val="00E05B17"/>
    <w:rsid w:val="00E14D38"/>
    <w:rsid w:val="00E2030B"/>
    <w:rsid w:val="00E263DC"/>
    <w:rsid w:val="00E276F2"/>
    <w:rsid w:val="00E35130"/>
    <w:rsid w:val="00E369C0"/>
    <w:rsid w:val="00E4670B"/>
    <w:rsid w:val="00E60157"/>
    <w:rsid w:val="00E609E8"/>
    <w:rsid w:val="00E63252"/>
    <w:rsid w:val="00E66504"/>
    <w:rsid w:val="00E66833"/>
    <w:rsid w:val="00E71589"/>
    <w:rsid w:val="00E8206D"/>
    <w:rsid w:val="00E96B29"/>
    <w:rsid w:val="00E96E35"/>
    <w:rsid w:val="00E972D4"/>
    <w:rsid w:val="00EA0FE2"/>
    <w:rsid w:val="00EA6FB9"/>
    <w:rsid w:val="00EB21EF"/>
    <w:rsid w:val="00ED50A3"/>
    <w:rsid w:val="00EE25B4"/>
    <w:rsid w:val="00EE50DC"/>
    <w:rsid w:val="00EF18D3"/>
    <w:rsid w:val="00F10040"/>
    <w:rsid w:val="00F14298"/>
    <w:rsid w:val="00F2143F"/>
    <w:rsid w:val="00F227A3"/>
    <w:rsid w:val="00F22FA5"/>
    <w:rsid w:val="00F262F4"/>
    <w:rsid w:val="00F27CEF"/>
    <w:rsid w:val="00F370AB"/>
    <w:rsid w:val="00F43B4A"/>
    <w:rsid w:val="00F61B85"/>
    <w:rsid w:val="00F64D09"/>
    <w:rsid w:val="00F72B3E"/>
    <w:rsid w:val="00F80325"/>
    <w:rsid w:val="00F80E6D"/>
    <w:rsid w:val="00F83291"/>
    <w:rsid w:val="00F87F0C"/>
    <w:rsid w:val="00F93230"/>
    <w:rsid w:val="00FA3C87"/>
    <w:rsid w:val="00FB182D"/>
    <w:rsid w:val="00FB5366"/>
    <w:rsid w:val="00FC03EE"/>
    <w:rsid w:val="00FC2755"/>
    <w:rsid w:val="00FC2CAD"/>
    <w:rsid w:val="00FC617F"/>
    <w:rsid w:val="00FD1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F1F8D"/>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E28F9"/>
    <w:rPr>
      <w:i/>
      <w:iCs/>
    </w:rPr>
  </w:style>
  <w:style w:type="character" w:styleId="Strong">
    <w:name w:val="Strong"/>
    <w:basedOn w:val="DefaultParagraphFont"/>
    <w:uiPriority w:val="22"/>
    <w:qFormat/>
    <w:rsid w:val="001E2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9422">
      <w:bodyDiv w:val="1"/>
      <w:marLeft w:val="0"/>
      <w:marRight w:val="0"/>
      <w:marTop w:val="0"/>
      <w:marBottom w:val="0"/>
      <w:divBdr>
        <w:top w:val="none" w:sz="0" w:space="0" w:color="auto"/>
        <w:left w:val="none" w:sz="0" w:space="0" w:color="auto"/>
        <w:bottom w:val="none" w:sz="0" w:space="0" w:color="auto"/>
        <w:right w:val="none" w:sz="0" w:space="0" w:color="auto"/>
      </w:divBdr>
      <w:divsChild>
        <w:div w:id="539165920">
          <w:marLeft w:val="0"/>
          <w:marRight w:val="0"/>
          <w:marTop w:val="0"/>
          <w:marBottom w:val="0"/>
          <w:divBdr>
            <w:top w:val="none" w:sz="0" w:space="0" w:color="auto"/>
            <w:left w:val="none" w:sz="0" w:space="0" w:color="auto"/>
            <w:bottom w:val="none" w:sz="0" w:space="0" w:color="auto"/>
            <w:right w:val="none" w:sz="0" w:space="0" w:color="auto"/>
          </w:divBdr>
        </w:div>
      </w:divsChild>
    </w:div>
    <w:div w:id="49496460">
      <w:bodyDiv w:val="1"/>
      <w:marLeft w:val="0"/>
      <w:marRight w:val="0"/>
      <w:marTop w:val="0"/>
      <w:marBottom w:val="0"/>
      <w:divBdr>
        <w:top w:val="none" w:sz="0" w:space="0" w:color="auto"/>
        <w:left w:val="none" w:sz="0" w:space="0" w:color="auto"/>
        <w:bottom w:val="none" w:sz="0" w:space="0" w:color="auto"/>
        <w:right w:val="none" w:sz="0" w:space="0" w:color="auto"/>
      </w:divBdr>
      <w:divsChild>
        <w:div w:id="178279026">
          <w:marLeft w:val="0"/>
          <w:marRight w:val="0"/>
          <w:marTop w:val="0"/>
          <w:marBottom w:val="0"/>
          <w:divBdr>
            <w:top w:val="none" w:sz="0" w:space="0" w:color="auto"/>
            <w:left w:val="none" w:sz="0" w:space="0" w:color="auto"/>
            <w:bottom w:val="none" w:sz="0" w:space="0" w:color="auto"/>
            <w:right w:val="none" w:sz="0" w:space="0" w:color="auto"/>
          </w:divBdr>
        </w:div>
      </w:divsChild>
    </w:div>
    <w:div w:id="57632573">
      <w:bodyDiv w:val="1"/>
      <w:marLeft w:val="0"/>
      <w:marRight w:val="0"/>
      <w:marTop w:val="0"/>
      <w:marBottom w:val="0"/>
      <w:divBdr>
        <w:top w:val="none" w:sz="0" w:space="0" w:color="auto"/>
        <w:left w:val="none" w:sz="0" w:space="0" w:color="auto"/>
        <w:bottom w:val="none" w:sz="0" w:space="0" w:color="auto"/>
        <w:right w:val="none" w:sz="0" w:space="0" w:color="auto"/>
      </w:divBdr>
      <w:divsChild>
        <w:div w:id="1605722209">
          <w:marLeft w:val="0"/>
          <w:marRight w:val="0"/>
          <w:marTop w:val="0"/>
          <w:marBottom w:val="0"/>
          <w:divBdr>
            <w:top w:val="none" w:sz="0" w:space="0" w:color="auto"/>
            <w:left w:val="none" w:sz="0" w:space="0" w:color="auto"/>
            <w:bottom w:val="none" w:sz="0" w:space="0" w:color="auto"/>
            <w:right w:val="none" w:sz="0" w:space="0" w:color="auto"/>
          </w:divBdr>
        </w:div>
      </w:divsChild>
    </w:div>
    <w:div w:id="101457055">
      <w:bodyDiv w:val="1"/>
      <w:marLeft w:val="0"/>
      <w:marRight w:val="0"/>
      <w:marTop w:val="0"/>
      <w:marBottom w:val="0"/>
      <w:divBdr>
        <w:top w:val="none" w:sz="0" w:space="0" w:color="auto"/>
        <w:left w:val="none" w:sz="0" w:space="0" w:color="auto"/>
        <w:bottom w:val="none" w:sz="0" w:space="0" w:color="auto"/>
        <w:right w:val="none" w:sz="0" w:space="0" w:color="auto"/>
      </w:divBdr>
      <w:divsChild>
        <w:div w:id="1511263506">
          <w:marLeft w:val="0"/>
          <w:marRight w:val="0"/>
          <w:marTop w:val="0"/>
          <w:marBottom w:val="0"/>
          <w:divBdr>
            <w:top w:val="none" w:sz="0" w:space="0" w:color="auto"/>
            <w:left w:val="none" w:sz="0" w:space="0" w:color="auto"/>
            <w:bottom w:val="none" w:sz="0" w:space="0" w:color="auto"/>
            <w:right w:val="none" w:sz="0" w:space="0" w:color="auto"/>
          </w:divBdr>
        </w:div>
      </w:divsChild>
    </w:div>
    <w:div w:id="101808269">
      <w:bodyDiv w:val="1"/>
      <w:marLeft w:val="0"/>
      <w:marRight w:val="0"/>
      <w:marTop w:val="0"/>
      <w:marBottom w:val="0"/>
      <w:divBdr>
        <w:top w:val="none" w:sz="0" w:space="0" w:color="auto"/>
        <w:left w:val="none" w:sz="0" w:space="0" w:color="auto"/>
        <w:bottom w:val="none" w:sz="0" w:space="0" w:color="auto"/>
        <w:right w:val="none" w:sz="0" w:space="0" w:color="auto"/>
      </w:divBdr>
      <w:divsChild>
        <w:div w:id="703015862">
          <w:marLeft w:val="0"/>
          <w:marRight w:val="0"/>
          <w:marTop w:val="0"/>
          <w:marBottom w:val="0"/>
          <w:divBdr>
            <w:top w:val="none" w:sz="0" w:space="0" w:color="auto"/>
            <w:left w:val="none" w:sz="0" w:space="0" w:color="auto"/>
            <w:bottom w:val="none" w:sz="0" w:space="0" w:color="auto"/>
            <w:right w:val="none" w:sz="0" w:space="0" w:color="auto"/>
          </w:divBdr>
        </w:div>
      </w:divsChild>
    </w:div>
    <w:div w:id="104614513">
      <w:bodyDiv w:val="1"/>
      <w:marLeft w:val="0"/>
      <w:marRight w:val="0"/>
      <w:marTop w:val="0"/>
      <w:marBottom w:val="0"/>
      <w:divBdr>
        <w:top w:val="none" w:sz="0" w:space="0" w:color="auto"/>
        <w:left w:val="none" w:sz="0" w:space="0" w:color="auto"/>
        <w:bottom w:val="none" w:sz="0" w:space="0" w:color="auto"/>
        <w:right w:val="none" w:sz="0" w:space="0" w:color="auto"/>
      </w:divBdr>
      <w:divsChild>
        <w:div w:id="945113577">
          <w:marLeft w:val="0"/>
          <w:marRight w:val="0"/>
          <w:marTop w:val="0"/>
          <w:marBottom w:val="0"/>
          <w:divBdr>
            <w:top w:val="none" w:sz="0" w:space="0" w:color="auto"/>
            <w:left w:val="none" w:sz="0" w:space="0" w:color="auto"/>
            <w:bottom w:val="none" w:sz="0" w:space="0" w:color="auto"/>
            <w:right w:val="none" w:sz="0" w:space="0" w:color="auto"/>
          </w:divBdr>
        </w:div>
      </w:divsChild>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173614953">
      <w:bodyDiv w:val="1"/>
      <w:marLeft w:val="0"/>
      <w:marRight w:val="0"/>
      <w:marTop w:val="0"/>
      <w:marBottom w:val="0"/>
      <w:divBdr>
        <w:top w:val="none" w:sz="0" w:space="0" w:color="auto"/>
        <w:left w:val="none" w:sz="0" w:space="0" w:color="auto"/>
        <w:bottom w:val="none" w:sz="0" w:space="0" w:color="auto"/>
        <w:right w:val="none" w:sz="0" w:space="0" w:color="auto"/>
      </w:divBdr>
      <w:divsChild>
        <w:div w:id="84960990">
          <w:marLeft w:val="0"/>
          <w:marRight w:val="0"/>
          <w:marTop w:val="0"/>
          <w:marBottom w:val="0"/>
          <w:divBdr>
            <w:top w:val="none" w:sz="0" w:space="0" w:color="auto"/>
            <w:left w:val="none" w:sz="0" w:space="0" w:color="auto"/>
            <w:bottom w:val="none" w:sz="0" w:space="0" w:color="auto"/>
            <w:right w:val="none" w:sz="0" w:space="0" w:color="auto"/>
          </w:divBdr>
        </w:div>
      </w:divsChild>
    </w:div>
    <w:div w:id="201942827">
      <w:bodyDiv w:val="1"/>
      <w:marLeft w:val="0"/>
      <w:marRight w:val="0"/>
      <w:marTop w:val="0"/>
      <w:marBottom w:val="0"/>
      <w:divBdr>
        <w:top w:val="none" w:sz="0" w:space="0" w:color="auto"/>
        <w:left w:val="none" w:sz="0" w:space="0" w:color="auto"/>
        <w:bottom w:val="none" w:sz="0" w:space="0" w:color="auto"/>
        <w:right w:val="none" w:sz="0" w:space="0" w:color="auto"/>
      </w:divBdr>
      <w:divsChild>
        <w:div w:id="217666659">
          <w:marLeft w:val="0"/>
          <w:marRight w:val="0"/>
          <w:marTop w:val="0"/>
          <w:marBottom w:val="0"/>
          <w:divBdr>
            <w:top w:val="none" w:sz="0" w:space="0" w:color="auto"/>
            <w:left w:val="none" w:sz="0" w:space="0" w:color="auto"/>
            <w:bottom w:val="none" w:sz="0" w:space="0" w:color="auto"/>
            <w:right w:val="none" w:sz="0" w:space="0" w:color="auto"/>
          </w:divBdr>
        </w:div>
      </w:divsChild>
    </w:div>
    <w:div w:id="320037146">
      <w:bodyDiv w:val="1"/>
      <w:marLeft w:val="0"/>
      <w:marRight w:val="0"/>
      <w:marTop w:val="0"/>
      <w:marBottom w:val="0"/>
      <w:divBdr>
        <w:top w:val="none" w:sz="0" w:space="0" w:color="auto"/>
        <w:left w:val="none" w:sz="0" w:space="0" w:color="auto"/>
        <w:bottom w:val="none" w:sz="0" w:space="0" w:color="auto"/>
        <w:right w:val="none" w:sz="0" w:space="0" w:color="auto"/>
      </w:divBdr>
    </w:div>
    <w:div w:id="375392212">
      <w:bodyDiv w:val="1"/>
      <w:marLeft w:val="0"/>
      <w:marRight w:val="0"/>
      <w:marTop w:val="0"/>
      <w:marBottom w:val="0"/>
      <w:divBdr>
        <w:top w:val="none" w:sz="0" w:space="0" w:color="auto"/>
        <w:left w:val="none" w:sz="0" w:space="0" w:color="auto"/>
        <w:bottom w:val="none" w:sz="0" w:space="0" w:color="auto"/>
        <w:right w:val="none" w:sz="0" w:space="0" w:color="auto"/>
      </w:divBdr>
      <w:divsChild>
        <w:div w:id="279579359">
          <w:marLeft w:val="0"/>
          <w:marRight w:val="0"/>
          <w:marTop w:val="0"/>
          <w:marBottom w:val="0"/>
          <w:divBdr>
            <w:top w:val="none" w:sz="0" w:space="0" w:color="auto"/>
            <w:left w:val="none" w:sz="0" w:space="0" w:color="auto"/>
            <w:bottom w:val="none" w:sz="0" w:space="0" w:color="auto"/>
            <w:right w:val="none" w:sz="0" w:space="0" w:color="auto"/>
          </w:divBdr>
        </w:div>
      </w:divsChild>
    </w:div>
    <w:div w:id="376247600">
      <w:bodyDiv w:val="1"/>
      <w:marLeft w:val="0"/>
      <w:marRight w:val="0"/>
      <w:marTop w:val="0"/>
      <w:marBottom w:val="0"/>
      <w:divBdr>
        <w:top w:val="none" w:sz="0" w:space="0" w:color="auto"/>
        <w:left w:val="none" w:sz="0" w:space="0" w:color="auto"/>
        <w:bottom w:val="none" w:sz="0" w:space="0" w:color="auto"/>
        <w:right w:val="none" w:sz="0" w:space="0" w:color="auto"/>
      </w:divBdr>
      <w:divsChild>
        <w:div w:id="2032028454">
          <w:marLeft w:val="0"/>
          <w:marRight w:val="0"/>
          <w:marTop w:val="0"/>
          <w:marBottom w:val="0"/>
          <w:divBdr>
            <w:top w:val="none" w:sz="0" w:space="0" w:color="auto"/>
            <w:left w:val="none" w:sz="0" w:space="0" w:color="auto"/>
            <w:bottom w:val="none" w:sz="0" w:space="0" w:color="auto"/>
            <w:right w:val="none" w:sz="0" w:space="0" w:color="auto"/>
          </w:divBdr>
        </w:div>
      </w:divsChild>
    </w:div>
    <w:div w:id="455949378">
      <w:bodyDiv w:val="1"/>
      <w:marLeft w:val="0"/>
      <w:marRight w:val="0"/>
      <w:marTop w:val="0"/>
      <w:marBottom w:val="0"/>
      <w:divBdr>
        <w:top w:val="none" w:sz="0" w:space="0" w:color="auto"/>
        <w:left w:val="none" w:sz="0" w:space="0" w:color="auto"/>
        <w:bottom w:val="none" w:sz="0" w:space="0" w:color="auto"/>
        <w:right w:val="none" w:sz="0" w:space="0" w:color="auto"/>
      </w:divBdr>
      <w:divsChild>
        <w:div w:id="1677459753">
          <w:marLeft w:val="0"/>
          <w:marRight w:val="0"/>
          <w:marTop w:val="0"/>
          <w:marBottom w:val="0"/>
          <w:divBdr>
            <w:top w:val="none" w:sz="0" w:space="0" w:color="auto"/>
            <w:left w:val="none" w:sz="0" w:space="0" w:color="auto"/>
            <w:bottom w:val="none" w:sz="0" w:space="0" w:color="auto"/>
            <w:right w:val="none" w:sz="0" w:space="0" w:color="auto"/>
          </w:divBdr>
        </w:div>
      </w:divsChild>
    </w:div>
    <w:div w:id="472872189">
      <w:bodyDiv w:val="1"/>
      <w:marLeft w:val="0"/>
      <w:marRight w:val="0"/>
      <w:marTop w:val="0"/>
      <w:marBottom w:val="0"/>
      <w:divBdr>
        <w:top w:val="none" w:sz="0" w:space="0" w:color="auto"/>
        <w:left w:val="none" w:sz="0" w:space="0" w:color="auto"/>
        <w:bottom w:val="none" w:sz="0" w:space="0" w:color="auto"/>
        <w:right w:val="none" w:sz="0" w:space="0" w:color="auto"/>
      </w:divBdr>
      <w:divsChild>
        <w:div w:id="274600201">
          <w:marLeft w:val="0"/>
          <w:marRight w:val="0"/>
          <w:marTop w:val="0"/>
          <w:marBottom w:val="0"/>
          <w:divBdr>
            <w:top w:val="none" w:sz="0" w:space="0" w:color="auto"/>
            <w:left w:val="none" w:sz="0" w:space="0" w:color="auto"/>
            <w:bottom w:val="none" w:sz="0" w:space="0" w:color="auto"/>
            <w:right w:val="none" w:sz="0" w:space="0" w:color="auto"/>
          </w:divBdr>
        </w:div>
      </w:divsChild>
    </w:div>
    <w:div w:id="561675818">
      <w:bodyDiv w:val="1"/>
      <w:marLeft w:val="0"/>
      <w:marRight w:val="0"/>
      <w:marTop w:val="0"/>
      <w:marBottom w:val="0"/>
      <w:divBdr>
        <w:top w:val="none" w:sz="0" w:space="0" w:color="auto"/>
        <w:left w:val="none" w:sz="0" w:space="0" w:color="auto"/>
        <w:bottom w:val="none" w:sz="0" w:space="0" w:color="auto"/>
        <w:right w:val="none" w:sz="0" w:space="0" w:color="auto"/>
      </w:divBdr>
      <w:divsChild>
        <w:div w:id="247814978">
          <w:marLeft w:val="0"/>
          <w:marRight w:val="0"/>
          <w:marTop w:val="0"/>
          <w:marBottom w:val="0"/>
          <w:divBdr>
            <w:top w:val="none" w:sz="0" w:space="0" w:color="auto"/>
            <w:left w:val="none" w:sz="0" w:space="0" w:color="auto"/>
            <w:bottom w:val="none" w:sz="0" w:space="0" w:color="auto"/>
            <w:right w:val="none" w:sz="0" w:space="0" w:color="auto"/>
          </w:divBdr>
        </w:div>
      </w:divsChild>
    </w:div>
    <w:div w:id="597714836">
      <w:bodyDiv w:val="1"/>
      <w:marLeft w:val="0"/>
      <w:marRight w:val="0"/>
      <w:marTop w:val="0"/>
      <w:marBottom w:val="0"/>
      <w:divBdr>
        <w:top w:val="none" w:sz="0" w:space="0" w:color="auto"/>
        <w:left w:val="none" w:sz="0" w:space="0" w:color="auto"/>
        <w:bottom w:val="none" w:sz="0" w:space="0" w:color="auto"/>
        <w:right w:val="none" w:sz="0" w:space="0" w:color="auto"/>
      </w:divBdr>
      <w:divsChild>
        <w:div w:id="1785727111">
          <w:marLeft w:val="0"/>
          <w:marRight w:val="0"/>
          <w:marTop w:val="0"/>
          <w:marBottom w:val="0"/>
          <w:divBdr>
            <w:top w:val="none" w:sz="0" w:space="0" w:color="auto"/>
            <w:left w:val="none" w:sz="0" w:space="0" w:color="auto"/>
            <w:bottom w:val="none" w:sz="0" w:space="0" w:color="auto"/>
            <w:right w:val="none" w:sz="0" w:space="0" w:color="auto"/>
          </w:divBdr>
        </w:div>
      </w:divsChild>
    </w:div>
    <w:div w:id="628437900">
      <w:bodyDiv w:val="1"/>
      <w:marLeft w:val="0"/>
      <w:marRight w:val="0"/>
      <w:marTop w:val="0"/>
      <w:marBottom w:val="0"/>
      <w:divBdr>
        <w:top w:val="none" w:sz="0" w:space="0" w:color="auto"/>
        <w:left w:val="none" w:sz="0" w:space="0" w:color="auto"/>
        <w:bottom w:val="none" w:sz="0" w:space="0" w:color="auto"/>
        <w:right w:val="none" w:sz="0" w:space="0" w:color="auto"/>
      </w:divBdr>
    </w:div>
    <w:div w:id="631178620">
      <w:bodyDiv w:val="1"/>
      <w:marLeft w:val="0"/>
      <w:marRight w:val="0"/>
      <w:marTop w:val="0"/>
      <w:marBottom w:val="0"/>
      <w:divBdr>
        <w:top w:val="none" w:sz="0" w:space="0" w:color="auto"/>
        <w:left w:val="none" w:sz="0" w:space="0" w:color="auto"/>
        <w:bottom w:val="none" w:sz="0" w:space="0" w:color="auto"/>
        <w:right w:val="none" w:sz="0" w:space="0" w:color="auto"/>
      </w:divBdr>
      <w:divsChild>
        <w:div w:id="1756898070">
          <w:marLeft w:val="0"/>
          <w:marRight w:val="0"/>
          <w:marTop w:val="0"/>
          <w:marBottom w:val="0"/>
          <w:divBdr>
            <w:top w:val="none" w:sz="0" w:space="0" w:color="auto"/>
            <w:left w:val="none" w:sz="0" w:space="0" w:color="auto"/>
            <w:bottom w:val="none" w:sz="0" w:space="0" w:color="auto"/>
            <w:right w:val="none" w:sz="0" w:space="0" w:color="auto"/>
          </w:divBdr>
        </w:div>
      </w:divsChild>
    </w:div>
    <w:div w:id="662707218">
      <w:bodyDiv w:val="1"/>
      <w:marLeft w:val="0"/>
      <w:marRight w:val="0"/>
      <w:marTop w:val="0"/>
      <w:marBottom w:val="0"/>
      <w:divBdr>
        <w:top w:val="none" w:sz="0" w:space="0" w:color="auto"/>
        <w:left w:val="none" w:sz="0" w:space="0" w:color="auto"/>
        <w:bottom w:val="none" w:sz="0" w:space="0" w:color="auto"/>
        <w:right w:val="none" w:sz="0" w:space="0" w:color="auto"/>
      </w:divBdr>
      <w:divsChild>
        <w:div w:id="125659444">
          <w:marLeft w:val="0"/>
          <w:marRight w:val="0"/>
          <w:marTop w:val="0"/>
          <w:marBottom w:val="0"/>
          <w:divBdr>
            <w:top w:val="none" w:sz="0" w:space="0" w:color="auto"/>
            <w:left w:val="none" w:sz="0" w:space="0" w:color="auto"/>
            <w:bottom w:val="none" w:sz="0" w:space="0" w:color="auto"/>
            <w:right w:val="none" w:sz="0" w:space="0" w:color="auto"/>
          </w:divBdr>
        </w:div>
      </w:divsChild>
    </w:div>
    <w:div w:id="721754949">
      <w:bodyDiv w:val="1"/>
      <w:marLeft w:val="0"/>
      <w:marRight w:val="0"/>
      <w:marTop w:val="0"/>
      <w:marBottom w:val="0"/>
      <w:divBdr>
        <w:top w:val="none" w:sz="0" w:space="0" w:color="auto"/>
        <w:left w:val="none" w:sz="0" w:space="0" w:color="auto"/>
        <w:bottom w:val="none" w:sz="0" w:space="0" w:color="auto"/>
        <w:right w:val="none" w:sz="0" w:space="0" w:color="auto"/>
      </w:divBdr>
      <w:divsChild>
        <w:div w:id="982007893">
          <w:marLeft w:val="0"/>
          <w:marRight w:val="0"/>
          <w:marTop w:val="0"/>
          <w:marBottom w:val="0"/>
          <w:divBdr>
            <w:top w:val="none" w:sz="0" w:space="0" w:color="auto"/>
            <w:left w:val="none" w:sz="0" w:space="0" w:color="auto"/>
            <w:bottom w:val="none" w:sz="0" w:space="0" w:color="auto"/>
            <w:right w:val="none" w:sz="0" w:space="0" w:color="auto"/>
          </w:divBdr>
        </w:div>
      </w:divsChild>
    </w:div>
    <w:div w:id="750666097">
      <w:bodyDiv w:val="1"/>
      <w:marLeft w:val="0"/>
      <w:marRight w:val="0"/>
      <w:marTop w:val="0"/>
      <w:marBottom w:val="0"/>
      <w:divBdr>
        <w:top w:val="none" w:sz="0" w:space="0" w:color="auto"/>
        <w:left w:val="none" w:sz="0" w:space="0" w:color="auto"/>
        <w:bottom w:val="none" w:sz="0" w:space="0" w:color="auto"/>
        <w:right w:val="none" w:sz="0" w:space="0" w:color="auto"/>
      </w:divBdr>
      <w:divsChild>
        <w:div w:id="1579175452">
          <w:marLeft w:val="0"/>
          <w:marRight w:val="0"/>
          <w:marTop w:val="0"/>
          <w:marBottom w:val="0"/>
          <w:divBdr>
            <w:top w:val="none" w:sz="0" w:space="0" w:color="auto"/>
            <w:left w:val="none" w:sz="0" w:space="0" w:color="auto"/>
            <w:bottom w:val="none" w:sz="0" w:space="0" w:color="auto"/>
            <w:right w:val="none" w:sz="0" w:space="0" w:color="auto"/>
          </w:divBdr>
        </w:div>
      </w:divsChild>
    </w:div>
    <w:div w:id="883710749">
      <w:bodyDiv w:val="1"/>
      <w:marLeft w:val="0"/>
      <w:marRight w:val="0"/>
      <w:marTop w:val="0"/>
      <w:marBottom w:val="0"/>
      <w:divBdr>
        <w:top w:val="none" w:sz="0" w:space="0" w:color="auto"/>
        <w:left w:val="none" w:sz="0" w:space="0" w:color="auto"/>
        <w:bottom w:val="none" w:sz="0" w:space="0" w:color="auto"/>
        <w:right w:val="none" w:sz="0" w:space="0" w:color="auto"/>
      </w:divBdr>
      <w:divsChild>
        <w:div w:id="1364791212">
          <w:marLeft w:val="0"/>
          <w:marRight w:val="0"/>
          <w:marTop w:val="0"/>
          <w:marBottom w:val="0"/>
          <w:divBdr>
            <w:top w:val="none" w:sz="0" w:space="0" w:color="auto"/>
            <w:left w:val="none" w:sz="0" w:space="0" w:color="auto"/>
            <w:bottom w:val="none" w:sz="0" w:space="0" w:color="auto"/>
            <w:right w:val="none" w:sz="0" w:space="0" w:color="auto"/>
          </w:divBdr>
        </w:div>
      </w:divsChild>
    </w:div>
    <w:div w:id="890187825">
      <w:bodyDiv w:val="1"/>
      <w:marLeft w:val="0"/>
      <w:marRight w:val="0"/>
      <w:marTop w:val="0"/>
      <w:marBottom w:val="0"/>
      <w:divBdr>
        <w:top w:val="none" w:sz="0" w:space="0" w:color="auto"/>
        <w:left w:val="none" w:sz="0" w:space="0" w:color="auto"/>
        <w:bottom w:val="none" w:sz="0" w:space="0" w:color="auto"/>
        <w:right w:val="none" w:sz="0" w:space="0" w:color="auto"/>
      </w:divBdr>
      <w:divsChild>
        <w:div w:id="1670450018">
          <w:marLeft w:val="0"/>
          <w:marRight w:val="0"/>
          <w:marTop w:val="0"/>
          <w:marBottom w:val="0"/>
          <w:divBdr>
            <w:top w:val="none" w:sz="0" w:space="0" w:color="auto"/>
            <w:left w:val="none" w:sz="0" w:space="0" w:color="auto"/>
            <w:bottom w:val="none" w:sz="0" w:space="0" w:color="auto"/>
            <w:right w:val="none" w:sz="0" w:space="0" w:color="auto"/>
          </w:divBdr>
        </w:div>
      </w:divsChild>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985087755">
      <w:bodyDiv w:val="1"/>
      <w:marLeft w:val="0"/>
      <w:marRight w:val="0"/>
      <w:marTop w:val="0"/>
      <w:marBottom w:val="0"/>
      <w:divBdr>
        <w:top w:val="none" w:sz="0" w:space="0" w:color="auto"/>
        <w:left w:val="none" w:sz="0" w:space="0" w:color="auto"/>
        <w:bottom w:val="none" w:sz="0" w:space="0" w:color="auto"/>
        <w:right w:val="none" w:sz="0" w:space="0" w:color="auto"/>
      </w:divBdr>
      <w:divsChild>
        <w:div w:id="139080709">
          <w:marLeft w:val="0"/>
          <w:marRight w:val="0"/>
          <w:marTop w:val="0"/>
          <w:marBottom w:val="0"/>
          <w:divBdr>
            <w:top w:val="none" w:sz="0" w:space="0" w:color="auto"/>
            <w:left w:val="none" w:sz="0" w:space="0" w:color="auto"/>
            <w:bottom w:val="none" w:sz="0" w:space="0" w:color="auto"/>
            <w:right w:val="none" w:sz="0" w:space="0" w:color="auto"/>
          </w:divBdr>
        </w:div>
      </w:divsChild>
    </w:div>
    <w:div w:id="1000542423">
      <w:bodyDiv w:val="1"/>
      <w:marLeft w:val="0"/>
      <w:marRight w:val="0"/>
      <w:marTop w:val="0"/>
      <w:marBottom w:val="0"/>
      <w:divBdr>
        <w:top w:val="none" w:sz="0" w:space="0" w:color="auto"/>
        <w:left w:val="none" w:sz="0" w:space="0" w:color="auto"/>
        <w:bottom w:val="none" w:sz="0" w:space="0" w:color="auto"/>
        <w:right w:val="none" w:sz="0" w:space="0" w:color="auto"/>
      </w:divBdr>
    </w:div>
    <w:div w:id="1057322413">
      <w:bodyDiv w:val="1"/>
      <w:marLeft w:val="0"/>
      <w:marRight w:val="0"/>
      <w:marTop w:val="0"/>
      <w:marBottom w:val="0"/>
      <w:divBdr>
        <w:top w:val="none" w:sz="0" w:space="0" w:color="auto"/>
        <w:left w:val="none" w:sz="0" w:space="0" w:color="auto"/>
        <w:bottom w:val="none" w:sz="0" w:space="0" w:color="auto"/>
        <w:right w:val="none" w:sz="0" w:space="0" w:color="auto"/>
      </w:divBdr>
      <w:divsChild>
        <w:div w:id="1086265524">
          <w:marLeft w:val="0"/>
          <w:marRight w:val="0"/>
          <w:marTop w:val="0"/>
          <w:marBottom w:val="0"/>
          <w:divBdr>
            <w:top w:val="none" w:sz="0" w:space="0" w:color="auto"/>
            <w:left w:val="none" w:sz="0" w:space="0" w:color="auto"/>
            <w:bottom w:val="none" w:sz="0" w:space="0" w:color="auto"/>
            <w:right w:val="none" w:sz="0" w:space="0" w:color="auto"/>
          </w:divBdr>
        </w:div>
      </w:divsChild>
    </w:div>
    <w:div w:id="1068308764">
      <w:bodyDiv w:val="1"/>
      <w:marLeft w:val="0"/>
      <w:marRight w:val="0"/>
      <w:marTop w:val="0"/>
      <w:marBottom w:val="0"/>
      <w:divBdr>
        <w:top w:val="none" w:sz="0" w:space="0" w:color="auto"/>
        <w:left w:val="none" w:sz="0" w:space="0" w:color="auto"/>
        <w:bottom w:val="none" w:sz="0" w:space="0" w:color="auto"/>
        <w:right w:val="none" w:sz="0" w:space="0" w:color="auto"/>
      </w:divBdr>
      <w:divsChild>
        <w:div w:id="1546411530">
          <w:marLeft w:val="0"/>
          <w:marRight w:val="0"/>
          <w:marTop w:val="0"/>
          <w:marBottom w:val="0"/>
          <w:divBdr>
            <w:top w:val="none" w:sz="0" w:space="0" w:color="auto"/>
            <w:left w:val="none" w:sz="0" w:space="0" w:color="auto"/>
            <w:bottom w:val="none" w:sz="0" w:space="0" w:color="auto"/>
            <w:right w:val="none" w:sz="0" w:space="0" w:color="auto"/>
          </w:divBdr>
        </w:div>
      </w:divsChild>
    </w:div>
    <w:div w:id="1107694361">
      <w:bodyDiv w:val="1"/>
      <w:marLeft w:val="0"/>
      <w:marRight w:val="0"/>
      <w:marTop w:val="0"/>
      <w:marBottom w:val="0"/>
      <w:divBdr>
        <w:top w:val="none" w:sz="0" w:space="0" w:color="auto"/>
        <w:left w:val="none" w:sz="0" w:space="0" w:color="auto"/>
        <w:bottom w:val="none" w:sz="0" w:space="0" w:color="auto"/>
        <w:right w:val="none" w:sz="0" w:space="0" w:color="auto"/>
      </w:divBdr>
      <w:divsChild>
        <w:div w:id="414088282">
          <w:marLeft w:val="0"/>
          <w:marRight w:val="0"/>
          <w:marTop w:val="0"/>
          <w:marBottom w:val="0"/>
          <w:divBdr>
            <w:top w:val="none" w:sz="0" w:space="0" w:color="auto"/>
            <w:left w:val="none" w:sz="0" w:space="0" w:color="auto"/>
            <w:bottom w:val="none" w:sz="0" w:space="0" w:color="auto"/>
            <w:right w:val="none" w:sz="0" w:space="0" w:color="auto"/>
          </w:divBdr>
        </w:div>
      </w:divsChild>
    </w:div>
    <w:div w:id="1108768781">
      <w:bodyDiv w:val="1"/>
      <w:marLeft w:val="0"/>
      <w:marRight w:val="0"/>
      <w:marTop w:val="0"/>
      <w:marBottom w:val="0"/>
      <w:divBdr>
        <w:top w:val="none" w:sz="0" w:space="0" w:color="auto"/>
        <w:left w:val="none" w:sz="0" w:space="0" w:color="auto"/>
        <w:bottom w:val="none" w:sz="0" w:space="0" w:color="auto"/>
        <w:right w:val="none" w:sz="0" w:space="0" w:color="auto"/>
      </w:divBdr>
      <w:divsChild>
        <w:div w:id="483279408">
          <w:marLeft w:val="0"/>
          <w:marRight w:val="0"/>
          <w:marTop w:val="0"/>
          <w:marBottom w:val="0"/>
          <w:divBdr>
            <w:top w:val="none" w:sz="0" w:space="0" w:color="auto"/>
            <w:left w:val="none" w:sz="0" w:space="0" w:color="auto"/>
            <w:bottom w:val="none" w:sz="0" w:space="0" w:color="auto"/>
            <w:right w:val="none" w:sz="0" w:space="0" w:color="auto"/>
          </w:divBdr>
        </w:div>
      </w:divsChild>
    </w:div>
    <w:div w:id="1166434012">
      <w:bodyDiv w:val="1"/>
      <w:marLeft w:val="0"/>
      <w:marRight w:val="0"/>
      <w:marTop w:val="0"/>
      <w:marBottom w:val="0"/>
      <w:divBdr>
        <w:top w:val="none" w:sz="0" w:space="0" w:color="auto"/>
        <w:left w:val="none" w:sz="0" w:space="0" w:color="auto"/>
        <w:bottom w:val="none" w:sz="0" w:space="0" w:color="auto"/>
        <w:right w:val="none" w:sz="0" w:space="0" w:color="auto"/>
      </w:divBdr>
      <w:divsChild>
        <w:div w:id="1438795643">
          <w:marLeft w:val="0"/>
          <w:marRight w:val="0"/>
          <w:marTop w:val="0"/>
          <w:marBottom w:val="0"/>
          <w:divBdr>
            <w:top w:val="none" w:sz="0" w:space="0" w:color="auto"/>
            <w:left w:val="none" w:sz="0" w:space="0" w:color="auto"/>
            <w:bottom w:val="none" w:sz="0" w:space="0" w:color="auto"/>
            <w:right w:val="none" w:sz="0" w:space="0" w:color="auto"/>
          </w:divBdr>
        </w:div>
      </w:divsChild>
    </w:div>
    <w:div w:id="1239903377">
      <w:bodyDiv w:val="1"/>
      <w:marLeft w:val="0"/>
      <w:marRight w:val="0"/>
      <w:marTop w:val="0"/>
      <w:marBottom w:val="0"/>
      <w:divBdr>
        <w:top w:val="none" w:sz="0" w:space="0" w:color="auto"/>
        <w:left w:val="none" w:sz="0" w:space="0" w:color="auto"/>
        <w:bottom w:val="none" w:sz="0" w:space="0" w:color="auto"/>
        <w:right w:val="none" w:sz="0" w:space="0" w:color="auto"/>
      </w:divBdr>
      <w:divsChild>
        <w:div w:id="382289960">
          <w:marLeft w:val="0"/>
          <w:marRight w:val="0"/>
          <w:marTop w:val="0"/>
          <w:marBottom w:val="0"/>
          <w:divBdr>
            <w:top w:val="none" w:sz="0" w:space="0" w:color="auto"/>
            <w:left w:val="none" w:sz="0" w:space="0" w:color="auto"/>
            <w:bottom w:val="none" w:sz="0" w:space="0" w:color="auto"/>
            <w:right w:val="none" w:sz="0" w:space="0" w:color="auto"/>
          </w:divBdr>
        </w:div>
      </w:divsChild>
    </w:div>
    <w:div w:id="1253589625">
      <w:bodyDiv w:val="1"/>
      <w:marLeft w:val="0"/>
      <w:marRight w:val="0"/>
      <w:marTop w:val="0"/>
      <w:marBottom w:val="0"/>
      <w:divBdr>
        <w:top w:val="none" w:sz="0" w:space="0" w:color="auto"/>
        <w:left w:val="none" w:sz="0" w:space="0" w:color="auto"/>
        <w:bottom w:val="none" w:sz="0" w:space="0" w:color="auto"/>
        <w:right w:val="none" w:sz="0" w:space="0" w:color="auto"/>
      </w:divBdr>
      <w:divsChild>
        <w:div w:id="717513794">
          <w:marLeft w:val="0"/>
          <w:marRight w:val="0"/>
          <w:marTop w:val="0"/>
          <w:marBottom w:val="0"/>
          <w:divBdr>
            <w:top w:val="none" w:sz="0" w:space="0" w:color="auto"/>
            <w:left w:val="none" w:sz="0" w:space="0" w:color="auto"/>
            <w:bottom w:val="none" w:sz="0" w:space="0" w:color="auto"/>
            <w:right w:val="none" w:sz="0" w:space="0" w:color="auto"/>
          </w:divBdr>
        </w:div>
      </w:divsChild>
    </w:div>
    <w:div w:id="1261136250">
      <w:bodyDiv w:val="1"/>
      <w:marLeft w:val="0"/>
      <w:marRight w:val="0"/>
      <w:marTop w:val="0"/>
      <w:marBottom w:val="0"/>
      <w:divBdr>
        <w:top w:val="none" w:sz="0" w:space="0" w:color="auto"/>
        <w:left w:val="none" w:sz="0" w:space="0" w:color="auto"/>
        <w:bottom w:val="none" w:sz="0" w:space="0" w:color="auto"/>
        <w:right w:val="none" w:sz="0" w:space="0" w:color="auto"/>
      </w:divBdr>
      <w:divsChild>
        <w:div w:id="612901999">
          <w:marLeft w:val="0"/>
          <w:marRight w:val="0"/>
          <w:marTop w:val="0"/>
          <w:marBottom w:val="0"/>
          <w:divBdr>
            <w:top w:val="none" w:sz="0" w:space="0" w:color="auto"/>
            <w:left w:val="none" w:sz="0" w:space="0" w:color="auto"/>
            <w:bottom w:val="none" w:sz="0" w:space="0" w:color="auto"/>
            <w:right w:val="none" w:sz="0" w:space="0" w:color="auto"/>
          </w:divBdr>
        </w:div>
      </w:divsChild>
    </w:div>
    <w:div w:id="1320887785">
      <w:bodyDiv w:val="1"/>
      <w:marLeft w:val="0"/>
      <w:marRight w:val="0"/>
      <w:marTop w:val="0"/>
      <w:marBottom w:val="0"/>
      <w:divBdr>
        <w:top w:val="none" w:sz="0" w:space="0" w:color="auto"/>
        <w:left w:val="none" w:sz="0" w:space="0" w:color="auto"/>
        <w:bottom w:val="none" w:sz="0" w:space="0" w:color="auto"/>
        <w:right w:val="none" w:sz="0" w:space="0" w:color="auto"/>
      </w:divBdr>
      <w:divsChild>
        <w:div w:id="324482277">
          <w:marLeft w:val="0"/>
          <w:marRight w:val="0"/>
          <w:marTop w:val="0"/>
          <w:marBottom w:val="0"/>
          <w:divBdr>
            <w:top w:val="none" w:sz="0" w:space="0" w:color="auto"/>
            <w:left w:val="none" w:sz="0" w:space="0" w:color="auto"/>
            <w:bottom w:val="none" w:sz="0" w:space="0" w:color="auto"/>
            <w:right w:val="none" w:sz="0" w:space="0" w:color="auto"/>
          </w:divBdr>
        </w:div>
      </w:divsChild>
    </w:div>
    <w:div w:id="1335255147">
      <w:bodyDiv w:val="1"/>
      <w:marLeft w:val="0"/>
      <w:marRight w:val="0"/>
      <w:marTop w:val="0"/>
      <w:marBottom w:val="0"/>
      <w:divBdr>
        <w:top w:val="none" w:sz="0" w:space="0" w:color="auto"/>
        <w:left w:val="none" w:sz="0" w:space="0" w:color="auto"/>
        <w:bottom w:val="none" w:sz="0" w:space="0" w:color="auto"/>
        <w:right w:val="none" w:sz="0" w:space="0" w:color="auto"/>
      </w:divBdr>
      <w:divsChild>
        <w:div w:id="993530229">
          <w:marLeft w:val="0"/>
          <w:marRight w:val="0"/>
          <w:marTop w:val="0"/>
          <w:marBottom w:val="0"/>
          <w:divBdr>
            <w:top w:val="none" w:sz="0" w:space="0" w:color="auto"/>
            <w:left w:val="none" w:sz="0" w:space="0" w:color="auto"/>
            <w:bottom w:val="none" w:sz="0" w:space="0" w:color="auto"/>
            <w:right w:val="none" w:sz="0" w:space="0" w:color="auto"/>
          </w:divBdr>
        </w:div>
      </w:divsChild>
    </w:div>
    <w:div w:id="1425034297">
      <w:bodyDiv w:val="1"/>
      <w:marLeft w:val="0"/>
      <w:marRight w:val="0"/>
      <w:marTop w:val="0"/>
      <w:marBottom w:val="0"/>
      <w:divBdr>
        <w:top w:val="none" w:sz="0" w:space="0" w:color="auto"/>
        <w:left w:val="none" w:sz="0" w:space="0" w:color="auto"/>
        <w:bottom w:val="none" w:sz="0" w:space="0" w:color="auto"/>
        <w:right w:val="none" w:sz="0" w:space="0" w:color="auto"/>
      </w:divBdr>
      <w:divsChild>
        <w:div w:id="557011719">
          <w:marLeft w:val="0"/>
          <w:marRight w:val="0"/>
          <w:marTop w:val="0"/>
          <w:marBottom w:val="0"/>
          <w:divBdr>
            <w:top w:val="none" w:sz="0" w:space="0" w:color="auto"/>
            <w:left w:val="none" w:sz="0" w:space="0" w:color="auto"/>
            <w:bottom w:val="none" w:sz="0" w:space="0" w:color="auto"/>
            <w:right w:val="none" w:sz="0" w:space="0" w:color="auto"/>
          </w:divBdr>
        </w:div>
      </w:divsChild>
    </w:div>
    <w:div w:id="1456824374">
      <w:bodyDiv w:val="1"/>
      <w:marLeft w:val="0"/>
      <w:marRight w:val="0"/>
      <w:marTop w:val="0"/>
      <w:marBottom w:val="0"/>
      <w:divBdr>
        <w:top w:val="none" w:sz="0" w:space="0" w:color="auto"/>
        <w:left w:val="none" w:sz="0" w:space="0" w:color="auto"/>
        <w:bottom w:val="none" w:sz="0" w:space="0" w:color="auto"/>
        <w:right w:val="none" w:sz="0" w:space="0" w:color="auto"/>
      </w:divBdr>
    </w:div>
    <w:div w:id="1506162420">
      <w:bodyDiv w:val="1"/>
      <w:marLeft w:val="0"/>
      <w:marRight w:val="0"/>
      <w:marTop w:val="0"/>
      <w:marBottom w:val="0"/>
      <w:divBdr>
        <w:top w:val="none" w:sz="0" w:space="0" w:color="auto"/>
        <w:left w:val="none" w:sz="0" w:space="0" w:color="auto"/>
        <w:bottom w:val="none" w:sz="0" w:space="0" w:color="auto"/>
        <w:right w:val="none" w:sz="0" w:space="0" w:color="auto"/>
      </w:divBdr>
      <w:divsChild>
        <w:div w:id="431703818">
          <w:marLeft w:val="0"/>
          <w:marRight w:val="0"/>
          <w:marTop w:val="0"/>
          <w:marBottom w:val="0"/>
          <w:divBdr>
            <w:top w:val="none" w:sz="0" w:space="0" w:color="auto"/>
            <w:left w:val="none" w:sz="0" w:space="0" w:color="auto"/>
            <w:bottom w:val="none" w:sz="0" w:space="0" w:color="auto"/>
            <w:right w:val="none" w:sz="0" w:space="0" w:color="auto"/>
          </w:divBdr>
        </w:div>
      </w:divsChild>
    </w:div>
    <w:div w:id="1519155515">
      <w:bodyDiv w:val="1"/>
      <w:marLeft w:val="0"/>
      <w:marRight w:val="0"/>
      <w:marTop w:val="0"/>
      <w:marBottom w:val="0"/>
      <w:divBdr>
        <w:top w:val="none" w:sz="0" w:space="0" w:color="auto"/>
        <w:left w:val="none" w:sz="0" w:space="0" w:color="auto"/>
        <w:bottom w:val="none" w:sz="0" w:space="0" w:color="auto"/>
        <w:right w:val="none" w:sz="0" w:space="0" w:color="auto"/>
      </w:divBdr>
      <w:divsChild>
        <w:div w:id="356975852">
          <w:marLeft w:val="0"/>
          <w:marRight w:val="0"/>
          <w:marTop w:val="0"/>
          <w:marBottom w:val="0"/>
          <w:divBdr>
            <w:top w:val="none" w:sz="0" w:space="0" w:color="auto"/>
            <w:left w:val="none" w:sz="0" w:space="0" w:color="auto"/>
            <w:bottom w:val="none" w:sz="0" w:space="0" w:color="auto"/>
            <w:right w:val="none" w:sz="0" w:space="0" w:color="auto"/>
          </w:divBdr>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673337871">
      <w:bodyDiv w:val="1"/>
      <w:marLeft w:val="0"/>
      <w:marRight w:val="0"/>
      <w:marTop w:val="0"/>
      <w:marBottom w:val="0"/>
      <w:divBdr>
        <w:top w:val="none" w:sz="0" w:space="0" w:color="auto"/>
        <w:left w:val="none" w:sz="0" w:space="0" w:color="auto"/>
        <w:bottom w:val="none" w:sz="0" w:space="0" w:color="auto"/>
        <w:right w:val="none" w:sz="0" w:space="0" w:color="auto"/>
      </w:divBdr>
      <w:divsChild>
        <w:div w:id="303701634">
          <w:marLeft w:val="0"/>
          <w:marRight w:val="0"/>
          <w:marTop w:val="0"/>
          <w:marBottom w:val="0"/>
          <w:divBdr>
            <w:top w:val="none" w:sz="0" w:space="0" w:color="auto"/>
            <w:left w:val="none" w:sz="0" w:space="0" w:color="auto"/>
            <w:bottom w:val="none" w:sz="0" w:space="0" w:color="auto"/>
            <w:right w:val="none" w:sz="0" w:space="0" w:color="auto"/>
          </w:divBdr>
        </w:div>
      </w:divsChild>
    </w:div>
    <w:div w:id="1758864851">
      <w:bodyDiv w:val="1"/>
      <w:marLeft w:val="0"/>
      <w:marRight w:val="0"/>
      <w:marTop w:val="0"/>
      <w:marBottom w:val="0"/>
      <w:divBdr>
        <w:top w:val="none" w:sz="0" w:space="0" w:color="auto"/>
        <w:left w:val="none" w:sz="0" w:space="0" w:color="auto"/>
        <w:bottom w:val="none" w:sz="0" w:space="0" w:color="auto"/>
        <w:right w:val="none" w:sz="0" w:space="0" w:color="auto"/>
      </w:divBdr>
      <w:divsChild>
        <w:div w:id="616066202">
          <w:marLeft w:val="0"/>
          <w:marRight w:val="0"/>
          <w:marTop w:val="0"/>
          <w:marBottom w:val="0"/>
          <w:divBdr>
            <w:top w:val="none" w:sz="0" w:space="0" w:color="auto"/>
            <w:left w:val="none" w:sz="0" w:space="0" w:color="auto"/>
            <w:bottom w:val="none" w:sz="0" w:space="0" w:color="auto"/>
            <w:right w:val="none" w:sz="0" w:space="0" w:color="auto"/>
          </w:divBdr>
        </w:div>
      </w:divsChild>
    </w:div>
    <w:div w:id="1884365169">
      <w:bodyDiv w:val="1"/>
      <w:marLeft w:val="0"/>
      <w:marRight w:val="0"/>
      <w:marTop w:val="0"/>
      <w:marBottom w:val="0"/>
      <w:divBdr>
        <w:top w:val="none" w:sz="0" w:space="0" w:color="auto"/>
        <w:left w:val="none" w:sz="0" w:space="0" w:color="auto"/>
        <w:bottom w:val="none" w:sz="0" w:space="0" w:color="auto"/>
        <w:right w:val="none" w:sz="0" w:space="0" w:color="auto"/>
      </w:divBdr>
      <w:divsChild>
        <w:div w:id="234434506">
          <w:marLeft w:val="0"/>
          <w:marRight w:val="0"/>
          <w:marTop w:val="0"/>
          <w:marBottom w:val="0"/>
          <w:divBdr>
            <w:top w:val="none" w:sz="0" w:space="0" w:color="auto"/>
            <w:left w:val="none" w:sz="0" w:space="0" w:color="auto"/>
            <w:bottom w:val="none" w:sz="0" w:space="0" w:color="auto"/>
            <w:right w:val="none" w:sz="0" w:space="0" w:color="auto"/>
          </w:divBdr>
        </w:div>
      </w:divsChild>
    </w:div>
    <w:div w:id="1893272689">
      <w:bodyDiv w:val="1"/>
      <w:marLeft w:val="0"/>
      <w:marRight w:val="0"/>
      <w:marTop w:val="0"/>
      <w:marBottom w:val="0"/>
      <w:divBdr>
        <w:top w:val="none" w:sz="0" w:space="0" w:color="auto"/>
        <w:left w:val="none" w:sz="0" w:space="0" w:color="auto"/>
        <w:bottom w:val="none" w:sz="0" w:space="0" w:color="auto"/>
        <w:right w:val="none" w:sz="0" w:space="0" w:color="auto"/>
      </w:divBdr>
      <w:divsChild>
        <w:div w:id="1148086599">
          <w:marLeft w:val="0"/>
          <w:marRight w:val="0"/>
          <w:marTop w:val="0"/>
          <w:marBottom w:val="0"/>
          <w:divBdr>
            <w:top w:val="none" w:sz="0" w:space="0" w:color="auto"/>
            <w:left w:val="none" w:sz="0" w:space="0" w:color="auto"/>
            <w:bottom w:val="none" w:sz="0" w:space="0" w:color="auto"/>
            <w:right w:val="none" w:sz="0" w:space="0" w:color="auto"/>
          </w:divBdr>
        </w:div>
      </w:divsChild>
    </w:div>
    <w:div w:id="1902911222">
      <w:bodyDiv w:val="1"/>
      <w:marLeft w:val="0"/>
      <w:marRight w:val="0"/>
      <w:marTop w:val="0"/>
      <w:marBottom w:val="0"/>
      <w:divBdr>
        <w:top w:val="none" w:sz="0" w:space="0" w:color="auto"/>
        <w:left w:val="none" w:sz="0" w:space="0" w:color="auto"/>
        <w:bottom w:val="none" w:sz="0" w:space="0" w:color="auto"/>
        <w:right w:val="none" w:sz="0" w:space="0" w:color="auto"/>
      </w:divBdr>
      <w:divsChild>
        <w:div w:id="355161921">
          <w:marLeft w:val="0"/>
          <w:marRight w:val="0"/>
          <w:marTop w:val="0"/>
          <w:marBottom w:val="0"/>
          <w:divBdr>
            <w:top w:val="none" w:sz="0" w:space="0" w:color="auto"/>
            <w:left w:val="none" w:sz="0" w:space="0" w:color="auto"/>
            <w:bottom w:val="none" w:sz="0" w:space="0" w:color="auto"/>
            <w:right w:val="none" w:sz="0" w:space="0" w:color="auto"/>
          </w:divBdr>
        </w:div>
      </w:divsChild>
    </w:div>
    <w:div w:id="1912032787">
      <w:bodyDiv w:val="1"/>
      <w:marLeft w:val="0"/>
      <w:marRight w:val="0"/>
      <w:marTop w:val="0"/>
      <w:marBottom w:val="0"/>
      <w:divBdr>
        <w:top w:val="none" w:sz="0" w:space="0" w:color="auto"/>
        <w:left w:val="none" w:sz="0" w:space="0" w:color="auto"/>
        <w:bottom w:val="none" w:sz="0" w:space="0" w:color="auto"/>
        <w:right w:val="none" w:sz="0" w:space="0" w:color="auto"/>
      </w:divBdr>
      <w:divsChild>
        <w:div w:id="1510557821">
          <w:marLeft w:val="0"/>
          <w:marRight w:val="0"/>
          <w:marTop w:val="0"/>
          <w:marBottom w:val="0"/>
          <w:divBdr>
            <w:top w:val="none" w:sz="0" w:space="0" w:color="auto"/>
            <w:left w:val="none" w:sz="0" w:space="0" w:color="auto"/>
            <w:bottom w:val="none" w:sz="0" w:space="0" w:color="auto"/>
            <w:right w:val="none" w:sz="0" w:space="0" w:color="auto"/>
          </w:divBdr>
        </w:div>
      </w:divsChild>
    </w:div>
    <w:div w:id="1919712044">
      <w:bodyDiv w:val="1"/>
      <w:marLeft w:val="0"/>
      <w:marRight w:val="0"/>
      <w:marTop w:val="0"/>
      <w:marBottom w:val="0"/>
      <w:divBdr>
        <w:top w:val="none" w:sz="0" w:space="0" w:color="auto"/>
        <w:left w:val="none" w:sz="0" w:space="0" w:color="auto"/>
        <w:bottom w:val="none" w:sz="0" w:space="0" w:color="auto"/>
        <w:right w:val="none" w:sz="0" w:space="0" w:color="auto"/>
      </w:divBdr>
    </w:div>
    <w:div w:id="1923448307">
      <w:bodyDiv w:val="1"/>
      <w:marLeft w:val="0"/>
      <w:marRight w:val="0"/>
      <w:marTop w:val="0"/>
      <w:marBottom w:val="0"/>
      <w:divBdr>
        <w:top w:val="none" w:sz="0" w:space="0" w:color="auto"/>
        <w:left w:val="none" w:sz="0" w:space="0" w:color="auto"/>
        <w:bottom w:val="none" w:sz="0" w:space="0" w:color="auto"/>
        <w:right w:val="none" w:sz="0" w:space="0" w:color="auto"/>
      </w:divBdr>
      <w:divsChild>
        <w:div w:id="180750036">
          <w:marLeft w:val="0"/>
          <w:marRight w:val="0"/>
          <w:marTop w:val="0"/>
          <w:marBottom w:val="0"/>
          <w:divBdr>
            <w:top w:val="none" w:sz="0" w:space="0" w:color="auto"/>
            <w:left w:val="none" w:sz="0" w:space="0" w:color="auto"/>
            <w:bottom w:val="none" w:sz="0" w:space="0" w:color="auto"/>
            <w:right w:val="none" w:sz="0" w:space="0" w:color="auto"/>
          </w:divBdr>
        </w:div>
      </w:divsChild>
    </w:div>
    <w:div w:id="1939026043">
      <w:bodyDiv w:val="1"/>
      <w:marLeft w:val="0"/>
      <w:marRight w:val="0"/>
      <w:marTop w:val="0"/>
      <w:marBottom w:val="0"/>
      <w:divBdr>
        <w:top w:val="none" w:sz="0" w:space="0" w:color="auto"/>
        <w:left w:val="none" w:sz="0" w:space="0" w:color="auto"/>
        <w:bottom w:val="none" w:sz="0" w:space="0" w:color="auto"/>
        <w:right w:val="none" w:sz="0" w:space="0" w:color="auto"/>
      </w:divBdr>
      <w:divsChild>
        <w:div w:id="421226693">
          <w:marLeft w:val="0"/>
          <w:marRight w:val="0"/>
          <w:marTop w:val="0"/>
          <w:marBottom w:val="0"/>
          <w:divBdr>
            <w:top w:val="none" w:sz="0" w:space="0" w:color="auto"/>
            <w:left w:val="none" w:sz="0" w:space="0" w:color="auto"/>
            <w:bottom w:val="none" w:sz="0" w:space="0" w:color="auto"/>
            <w:right w:val="none" w:sz="0" w:space="0" w:color="auto"/>
          </w:divBdr>
        </w:div>
      </w:divsChild>
    </w:div>
    <w:div w:id="1989163071">
      <w:bodyDiv w:val="1"/>
      <w:marLeft w:val="0"/>
      <w:marRight w:val="0"/>
      <w:marTop w:val="0"/>
      <w:marBottom w:val="0"/>
      <w:divBdr>
        <w:top w:val="none" w:sz="0" w:space="0" w:color="auto"/>
        <w:left w:val="none" w:sz="0" w:space="0" w:color="auto"/>
        <w:bottom w:val="none" w:sz="0" w:space="0" w:color="auto"/>
        <w:right w:val="none" w:sz="0" w:space="0" w:color="auto"/>
      </w:divBdr>
      <w:divsChild>
        <w:div w:id="1582909088">
          <w:marLeft w:val="0"/>
          <w:marRight w:val="0"/>
          <w:marTop w:val="0"/>
          <w:marBottom w:val="0"/>
          <w:divBdr>
            <w:top w:val="none" w:sz="0" w:space="0" w:color="auto"/>
            <w:left w:val="none" w:sz="0" w:space="0" w:color="auto"/>
            <w:bottom w:val="none" w:sz="0" w:space="0" w:color="auto"/>
            <w:right w:val="none" w:sz="0" w:space="0" w:color="auto"/>
          </w:divBdr>
        </w:div>
      </w:divsChild>
    </w:div>
    <w:div w:id="2015691047">
      <w:bodyDiv w:val="1"/>
      <w:marLeft w:val="0"/>
      <w:marRight w:val="0"/>
      <w:marTop w:val="0"/>
      <w:marBottom w:val="0"/>
      <w:divBdr>
        <w:top w:val="none" w:sz="0" w:space="0" w:color="auto"/>
        <w:left w:val="none" w:sz="0" w:space="0" w:color="auto"/>
        <w:bottom w:val="none" w:sz="0" w:space="0" w:color="auto"/>
        <w:right w:val="none" w:sz="0" w:space="0" w:color="auto"/>
      </w:divBdr>
      <w:divsChild>
        <w:div w:id="2077972696">
          <w:marLeft w:val="0"/>
          <w:marRight w:val="0"/>
          <w:marTop w:val="0"/>
          <w:marBottom w:val="0"/>
          <w:divBdr>
            <w:top w:val="none" w:sz="0" w:space="0" w:color="auto"/>
            <w:left w:val="none" w:sz="0" w:space="0" w:color="auto"/>
            <w:bottom w:val="none" w:sz="0" w:space="0" w:color="auto"/>
            <w:right w:val="none" w:sz="0" w:space="0" w:color="auto"/>
          </w:divBdr>
        </w:div>
      </w:divsChild>
    </w:div>
    <w:div w:id="2056007576">
      <w:bodyDiv w:val="1"/>
      <w:marLeft w:val="0"/>
      <w:marRight w:val="0"/>
      <w:marTop w:val="0"/>
      <w:marBottom w:val="0"/>
      <w:divBdr>
        <w:top w:val="none" w:sz="0" w:space="0" w:color="auto"/>
        <w:left w:val="none" w:sz="0" w:space="0" w:color="auto"/>
        <w:bottom w:val="none" w:sz="0" w:space="0" w:color="auto"/>
        <w:right w:val="none" w:sz="0" w:space="0" w:color="auto"/>
      </w:divBdr>
      <w:divsChild>
        <w:div w:id="433208768">
          <w:marLeft w:val="0"/>
          <w:marRight w:val="0"/>
          <w:marTop w:val="0"/>
          <w:marBottom w:val="0"/>
          <w:divBdr>
            <w:top w:val="none" w:sz="0" w:space="0" w:color="auto"/>
            <w:left w:val="none" w:sz="0" w:space="0" w:color="auto"/>
            <w:bottom w:val="none" w:sz="0" w:space="0" w:color="auto"/>
            <w:right w:val="none" w:sz="0" w:space="0" w:color="auto"/>
          </w:divBdr>
        </w:div>
      </w:divsChild>
    </w:div>
    <w:div w:id="2088838183">
      <w:bodyDiv w:val="1"/>
      <w:marLeft w:val="0"/>
      <w:marRight w:val="0"/>
      <w:marTop w:val="0"/>
      <w:marBottom w:val="0"/>
      <w:divBdr>
        <w:top w:val="none" w:sz="0" w:space="0" w:color="auto"/>
        <w:left w:val="none" w:sz="0" w:space="0" w:color="auto"/>
        <w:bottom w:val="none" w:sz="0" w:space="0" w:color="auto"/>
        <w:right w:val="none" w:sz="0" w:space="0" w:color="auto"/>
      </w:divBdr>
      <w:divsChild>
        <w:div w:id="1642999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06464-24F1-4ADF-94AE-82EADB97E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5159</Words>
  <Characters>29411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Nicola Clark</cp:lastModifiedBy>
  <cp:revision>2</cp:revision>
  <cp:lastPrinted>2026-08-17T11:44:00Z</cp:lastPrinted>
  <dcterms:created xsi:type="dcterms:W3CDTF">2026-10-14T13:15:00Z</dcterms:created>
  <dcterms:modified xsi:type="dcterms:W3CDTF">2026-10-14T13:15:00Z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ies>
</file>