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B" w:rsidRPr="00687A43" w:rsidRDefault="003B658A" w:rsidP="00687A43">
      <w:pPr>
        <w:pStyle w:val="Title"/>
        <w:jc w:val="center"/>
        <w:rPr>
          <w:b/>
          <w:color w:val="FFC000"/>
        </w:rPr>
      </w:pPr>
      <w:r>
        <w:rPr>
          <w:b/>
          <w:color w:val="FFC000"/>
        </w:rPr>
        <w:t>2.6 Transitions</w:t>
      </w:r>
    </w:p>
    <w:p w:rsidR="00EB530B" w:rsidRPr="00687A43" w:rsidRDefault="00EB530B" w:rsidP="00EB530B">
      <w:pPr>
        <w:pStyle w:val="NormalWeb"/>
        <w:shd w:val="clear" w:color="auto" w:fill="FFFFFF"/>
        <w:rPr>
          <w:b/>
          <w:color w:val="FFC000"/>
        </w:rPr>
      </w:pPr>
      <w:r w:rsidRPr="00687A43">
        <w:rPr>
          <w:rFonts w:ascii="Arial" w:hAnsi="Arial" w:cs="Arial"/>
          <w:b/>
          <w:color w:val="FFC000"/>
          <w:sz w:val="32"/>
          <w:szCs w:val="32"/>
        </w:rPr>
        <w:t xml:space="preserve">Themes: </w:t>
      </w:r>
    </w:p>
    <w:p w:rsidR="005525B3" w:rsidRPr="005525B3" w:rsidRDefault="005525B3" w:rsidP="005525B3">
      <w:pPr>
        <w:autoSpaceDE w:val="0"/>
        <w:autoSpaceDN w:val="0"/>
        <w:adjustRightInd w:val="0"/>
        <w:rPr>
          <w:rFonts w:ascii="Times New Roman" w:eastAsiaTheme="minorHAnsi" w:hAnsi="Times New Roman" w:cs="Times New Roman"/>
          <w:lang w:val="en-GB"/>
        </w:rPr>
      </w:pPr>
    </w:p>
    <w:p w:rsidR="00E40C1E" w:rsidRPr="005525B3" w:rsidRDefault="005525B3" w:rsidP="005525B3">
      <w:pPr>
        <w:pStyle w:val="ListParagraph"/>
        <w:numPr>
          <w:ilvl w:val="0"/>
          <w:numId w:val="1"/>
        </w:numPr>
        <w:autoSpaceDE w:val="0"/>
        <w:autoSpaceDN w:val="0"/>
        <w:adjustRightInd w:val="0"/>
        <w:rPr>
          <w:rFonts w:ascii="Georgia" w:eastAsiaTheme="minorHAnsi" w:hAnsi="Georgia" w:cs="Times New Roman"/>
          <w:color w:val="595959" w:themeColor="text1" w:themeTint="A6"/>
          <w:sz w:val="28"/>
          <w:szCs w:val="28"/>
          <w:lang w:val="en-GB"/>
        </w:rPr>
      </w:pPr>
      <w:r w:rsidRPr="005525B3">
        <w:rPr>
          <w:rFonts w:ascii="Georgia" w:eastAsiaTheme="minorHAnsi" w:hAnsi="Georgia" w:cs="Times New Roman"/>
          <w:color w:val="595959" w:themeColor="text1" w:themeTint="A6"/>
          <w:sz w:val="28"/>
          <w:szCs w:val="28"/>
          <w:lang w:val="en-GB"/>
        </w:rPr>
        <w:t xml:space="preserve">Quality of support </w:t>
      </w:r>
      <w:r>
        <w:rPr>
          <w:rFonts w:ascii="Georgia" w:eastAsiaTheme="minorHAnsi" w:hAnsi="Georgia" w:cs="Times New Roman"/>
          <w:color w:val="595959" w:themeColor="text1" w:themeTint="A6"/>
          <w:sz w:val="28"/>
          <w:szCs w:val="28"/>
          <w:lang w:val="en-GB"/>
        </w:rPr>
        <w:t xml:space="preserve">for children and their families / </w:t>
      </w:r>
      <w:r w:rsidR="003B658A" w:rsidRPr="005525B3">
        <w:rPr>
          <w:rFonts w:ascii="Georgia" w:hAnsi="Georgia" w:cs="Arial"/>
          <w:color w:val="565654"/>
          <w:sz w:val="28"/>
          <w:szCs w:val="28"/>
        </w:rPr>
        <w:t>Arrangements to support learners and their families</w:t>
      </w:r>
      <w:r w:rsidRPr="005525B3">
        <w:rPr>
          <w:rFonts w:ascii="Georgia" w:hAnsi="Georgia" w:cs="Arial"/>
          <w:color w:val="565654"/>
          <w:sz w:val="28"/>
          <w:szCs w:val="28"/>
        </w:rPr>
        <w:t xml:space="preserve"> </w:t>
      </w:r>
    </w:p>
    <w:p w:rsidR="003B658A" w:rsidRPr="003B658A" w:rsidRDefault="003B658A" w:rsidP="003B658A">
      <w:pPr>
        <w:pStyle w:val="NormalWeb"/>
        <w:numPr>
          <w:ilvl w:val="0"/>
          <w:numId w:val="1"/>
        </w:numPr>
        <w:shd w:val="clear" w:color="auto" w:fill="FFFFFF"/>
        <w:rPr>
          <w:rFonts w:ascii="Georgia" w:hAnsi="Georgia"/>
          <w:sz w:val="28"/>
          <w:szCs w:val="28"/>
        </w:rPr>
      </w:pPr>
      <w:r>
        <w:rPr>
          <w:rFonts w:ascii="Georgia" w:hAnsi="Georgia" w:cs="Arial"/>
          <w:color w:val="565654"/>
          <w:sz w:val="28"/>
          <w:szCs w:val="28"/>
        </w:rPr>
        <w:t>Collaborative planning and delivery</w:t>
      </w:r>
    </w:p>
    <w:p w:rsidR="003B658A" w:rsidRPr="003B658A" w:rsidRDefault="003B658A" w:rsidP="003B658A">
      <w:pPr>
        <w:pStyle w:val="NormalWeb"/>
        <w:numPr>
          <w:ilvl w:val="0"/>
          <w:numId w:val="1"/>
        </w:numPr>
        <w:shd w:val="clear" w:color="auto" w:fill="FFFFFF"/>
        <w:rPr>
          <w:rFonts w:ascii="Georgia" w:hAnsi="Georgia"/>
          <w:sz w:val="28"/>
          <w:szCs w:val="28"/>
        </w:rPr>
      </w:pPr>
      <w:r>
        <w:rPr>
          <w:rFonts w:ascii="Georgia" w:hAnsi="Georgia" w:cs="Arial"/>
          <w:color w:val="565654"/>
          <w:sz w:val="28"/>
          <w:szCs w:val="28"/>
        </w:rPr>
        <w:t>Continuity and progression in learning</w:t>
      </w:r>
    </w:p>
    <w:p w:rsidR="00EB530B" w:rsidRDefault="000863E0" w:rsidP="00EB530B">
      <w:pPr>
        <w:pStyle w:val="NormalWeb"/>
        <w:shd w:val="clear" w:color="auto" w:fill="FFFFFF"/>
        <w:rPr>
          <w:rFonts w:ascii="Arial" w:hAnsi="Arial" w:cs="Arial"/>
          <w:b/>
          <w:color w:val="FFC000"/>
          <w:sz w:val="24"/>
          <w:szCs w:val="24"/>
        </w:rPr>
      </w:pPr>
      <w:r w:rsidRPr="004063E4">
        <w:rPr>
          <w:rFonts w:ascii="Arial" w:hAnsi="Arial" w:cs="Arial"/>
          <w:b/>
          <w:color w:val="FFC000"/>
          <w:sz w:val="24"/>
          <w:szCs w:val="24"/>
        </w:rPr>
        <w:t xml:space="preserve">Level 5 </w:t>
      </w:r>
      <w:r w:rsidR="00EB530B" w:rsidRPr="004063E4">
        <w:rPr>
          <w:rFonts w:ascii="Arial" w:hAnsi="Arial" w:cs="Arial"/>
          <w:b/>
          <w:color w:val="FFC000"/>
          <w:sz w:val="24"/>
          <w:szCs w:val="24"/>
        </w:rPr>
        <w:t xml:space="preserve">Summary: </w:t>
      </w:r>
    </w:p>
    <w:p w:rsidR="005525B3" w:rsidRPr="005525B3" w:rsidRDefault="005525B3" w:rsidP="005525B3">
      <w:pPr>
        <w:pStyle w:val="ListParagraph"/>
        <w:numPr>
          <w:ilvl w:val="0"/>
          <w:numId w:val="25"/>
        </w:numPr>
        <w:autoSpaceDE w:val="0"/>
        <w:autoSpaceDN w:val="0"/>
        <w:adjustRightInd w:val="0"/>
        <w:rPr>
          <w:rFonts w:ascii="Georgia" w:eastAsiaTheme="minorHAnsi" w:hAnsi="Georgia" w:cs="Arial"/>
          <w:color w:val="595959" w:themeColor="text1" w:themeTint="A6"/>
          <w:sz w:val="28"/>
          <w:szCs w:val="28"/>
          <w:lang w:val="en-GB"/>
        </w:rPr>
      </w:pPr>
      <w:r w:rsidRPr="005525B3">
        <w:rPr>
          <w:rFonts w:ascii="Georgia" w:eastAsiaTheme="minorHAnsi" w:hAnsi="Georgia" w:cs="Arial"/>
          <w:color w:val="595959" w:themeColor="text1" w:themeTint="A6"/>
          <w:sz w:val="28"/>
          <w:szCs w:val="28"/>
          <w:lang w:val="en-GB"/>
        </w:rPr>
        <w:t xml:space="preserve">The need for babies, toddlers and young children to be well supported at times of transition. This includes moving into and out of the early learning and childcare setting but also includes transitions as children move through different rooms or stages of learning. (HGIOELC)   </w:t>
      </w:r>
    </w:p>
    <w:p w:rsidR="003B658A" w:rsidRPr="005525B3" w:rsidRDefault="003B658A" w:rsidP="003B658A">
      <w:pPr>
        <w:pStyle w:val="ListParagraph"/>
        <w:numPr>
          <w:ilvl w:val="0"/>
          <w:numId w:val="25"/>
        </w:numPr>
        <w:autoSpaceDE w:val="0"/>
        <w:autoSpaceDN w:val="0"/>
        <w:adjustRightInd w:val="0"/>
        <w:rPr>
          <w:rFonts w:ascii="Georgia" w:eastAsiaTheme="minorHAnsi" w:hAnsi="Georgia" w:cs="ArialMT"/>
          <w:color w:val="595959" w:themeColor="text1" w:themeTint="A6"/>
          <w:sz w:val="28"/>
          <w:szCs w:val="28"/>
          <w:lang w:val="en-GB"/>
        </w:rPr>
      </w:pPr>
      <w:r w:rsidRPr="005525B3">
        <w:rPr>
          <w:rFonts w:ascii="Georgia" w:eastAsiaTheme="minorHAnsi" w:hAnsi="Georgia" w:cs="ArialMT"/>
          <w:color w:val="595959" w:themeColor="text1" w:themeTint="A6"/>
          <w:sz w:val="28"/>
          <w:szCs w:val="28"/>
          <w:lang w:val="en-GB"/>
        </w:rPr>
        <w:t>The need for children and young people to be well supported as they move into school, through school and beyond</w:t>
      </w:r>
    </w:p>
    <w:p w:rsidR="005525B3" w:rsidRPr="005525B3" w:rsidRDefault="003B658A" w:rsidP="005525B3">
      <w:pPr>
        <w:autoSpaceDE w:val="0"/>
        <w:autoSpaceDN w:val="0"/>
        <w:adjustRightInd w:val="0"/>
        <w:ind w:firstLine="851"/>
        <w:rPr>
          <w:rFonts w:ascii="Georgia" w:eastAsiaTheme="minorHAnsi" w:hAnsi="Georgia" w:cs="ArialMT"/>
          <w:color w:val="595959" w:themeColor="text1" w:themeTint="A6"/>
          <w:sz w:val="28"/>
          <w:szCs w:val="28"/>
          <w:lang w:val="en-GB"/>
        </w:rPr>
      </w:pPr>
      <w:proofErr w:type="gramStart"/>
      <w:r w:rsidRPr="005525B3">
        <w:rPr>
          <w:rFonts w:ascii="Georgia" w:eastAsiaTheme="minorHAnsi" w:hAnsi="Georgia" w:cs="ArialMT"/>
          <w:color w:val="595959" w:themeColor="text1" w:themeTint="A6"/>
          <w:sz w:val="28"/>
          <w:szCs w:val="28"/>
          <w:lang w:val="en-GB"/>
        </w:rPr>
        <w:t>school</w:t>
      </w:r>
      <w:proofErr w:type="gramEnd"/>
      <w:r w:rsidRPr="005525B3">
        <w:rPr>
          <w:rFonts w:ascii="Georgia" w:eastAsiaTheme="minorHAnsi" w:hAnsi="Georgia" w:cs="ArialMT"/>
          <w:color w:val="595959" w:themeColor="text1" w:themeTint="A6"/>
          <w:sz w:val="28"/>
          <w:szCs w:val="28"/>
          <w:lang w:val="en-GB"/>
        </w:rPr>
        <w:t xml:space="preserve">. </w:t>
      </w:r>
      <w:r w:rsidR="005525B3" w:rsidRPr="005525B3">
        <w:rPr>
          <w:rFonts w:ascii="Georgia" w:eastAsiaTheme="minorHAnsi" w:hAnsi="Georgia" w:cs="Arial"/>
          <w:color w:val="595959" w:themeColor="text1" w:themeTint="A6"/>
          <w:sz w:val="28"/>
          <w:szCs w:val="28"/>
          <w:lang w:val="en-GB"/>
        </w:rPr>
        <w:t>(</w:t>
      </w:r>
      <w:r w:rsidR="005525B3" w:rsidRPr="005525B3">
        <w:rPr>
          <w:rFonts w:ascii="Georgia" w:eastAsiaTheme="minorHAnsi" w:hAnsi="Georgia" w:cs="ArialMT"/>
          <w:color w:val="595959" w:themeColor="text1" w:themeTint="A6"/>
          <w:sz w:val="28"/>
          <w:szCs w:val="28"/>
          <w:lang w:val="en-GB"/>
        </w:rPr>
        <w:t>HGIOS4</w:t>
      </w:r>
      <w:r w:rsidR="005525B3" w:rsidRPr="005525B3">
        <w:rPr>
          <w:rFonts w:ascii="Georgia" w:eastAsiaTheme="minorHAnsi" w:hAnsi="Georgia" w:cs="Arial"/>
          <w:color w:val="595959" w:themeColor="text1" w:themeTint="A6"/>
          <w:sz w:val="28"/>
          <w:szCs w:val="28"/>
          <w:lang w:val="en-GB"/>
        </w:rPr>
        <w:t>)</w:t>
      </w:r>
    </w:p>
    <w:p w:rsidR="005525B3" w:rsidRPr="005525B3" w:rsidRDefault="005525B3" w:rsidP="005525B3">
      <w:pPr>
        <w:pStyle w:val="ListParagraph"/>
        <w:numPr>
          <w:ilvl w:val="0"/>
          <w:numId w:val="25"/>
        </w:numPr>
        <w:autoSpaceDE w:val="0"/>
        <w:autoSpaceDN w:val="0"/>
        <w:adjustRightInd w:val="0"/>
        <w:rPr>
          <w:rFonts w:ascii="Georgia" w:eastAsiaTheme="minorHAnsi" w:hAnsi="Georgia" w:cs="Arial"/>
          <w:color w:val="595959" w:themeColor="text1" w:themeTint="A6"/>
          <w:sz w:val="28"/>
          <w:szCs w:val="28"/>
          <w:lang w:val="en-GB"/>
        </w:rPr>
      </w:pPr>
      <w:r w:rsidRPr="005525B3">
        <w:rPr>
          <w:rFonts w:ascii="Georgia" w:eastAsiaTheme="minorHAnsi" w:hAnsi="Georgia" w:cs="Arial"/>
          <w:color w:val="595959" w:themeColor="text1" w:themeTint="A6"/>
          <w:sz w:val="28"/>
          <w:szCs w:val="28"/>
          <w:lang w:val="en-GB"/>
        </w:rPr>
        <w:t xml:space="preserve">Effective communication and partnership working supports successful transition arrangements. (HGIOELC)   </w:t>
      </w:r>
    </w:p>
    <w:p w:rsidR="005525B3" w:rsidRPr="005525B3" w:rsidRDefault="003B658A" w:rsidP="005525B3">
      <w:pPr>
        <w:pStyle w:val="ListParagraph"/>
        <w:numPr>
          <w:ilvl w:val="0"/>
          <w:numId w:val="25"/>
        </w:numPr>
        <w:autoSpaceDE w:val="0"/>
        <w:autoSpaceDN w:val="0"/>
        <w:adjustRightInd w:val="0"/>
        <w:rPr>
          <w:rFonts w:ascii="Georgia" w:eastAsiaTheme="minorHAnsi" w:hAnsi="Georgia" w:cs="ArialMT"/>
          <w:color w:val="595959" w:themeColor="text1" w:themeTint="A6"/>
          <w:sz w:val="28"/>
          <w:szCs w:val="28"/>
          <w:lang w:val="en-GB"/>
        </w:rPr>
      </w:pPr>
      <w:r w:rsidRPr="005525B3">
        <w:rPr>
          <w:rFonts w:ascii="Georgia" w:eastAsiaTheme="minorHAnsi" w:hAnsi="Georgia" w:cs="ArialMT"/>
          <w:color w:val="595959" w:themeColor="text1" w:themeTint="A6"/>
          <w:sz w:val="28"/>
          <w:szCs w:val="28"/>
          <w:lang w:val="en-GB"/>
        </w:rPr>
        <w:t xml:space="preserve">Effective partnership working, tracking of progress and robust record keeping are essential to support continuity in learning at points of transition. </w:t>
      </w:r>
      <w:r w:rsidR="005525B3" w:rsidRPr="005525B3">
        <w:rPr>
          <w:rFonts w:ascii="Georgia" w:eastAsiaTheme="minorHAnsi" w:hAnsi="Georgia" w:cs="Arial"/>
          <w:color w:val="595959" w:themeColor="text1" w:themeTint="A6"/>
          <w:sz w:val="28"/>
          <w:szCs w:val="28"/>
          <w:lang w:val="en-GB"/>
        </w:rPr>
        <w:t>(</w:t>
      </w:r>
      <w:r w:rsidR="005525B3" w:rsidRPr="005525B3">
        <w:rPr>
          <w:rFonts w:ascii="Georgia" w:eastAsiaTheme="minorHAnsi" w:hAnsi="Georgia" w:cs="ArialMT"/>
          <w:color w:val="595959" w:themeColor="text1" w:themeTint="A6"/>
          <w:sz w:val="28"/>
          <w:szCs w:val="28"/>
          <w:lang w:val="en-GB"/>
        </w:rPr>
        <w:t>HGIOS4</w:t>
      </w:r>
      <w:r w:rsidR="005525B3" w:rsidRPr="005525B3">
        <w:rPr>
          <w:rFonts w:ascii="Georgia" w:eastAsiaTheme="minorHAnsi" w:hAnsi="Georgia" w:cs="Arial"/>
          <w:color w:val="595959" w:themeColor="text1" w:themeTint="A6"/>
          <w:sz w:val="28"/>
          <w:szCs w:val="28"/>
          <w:lang w:val="en-GB"/>
        </w:rPr>
        <w:t>)</w:t>
      </w:r>
    </w:p>
    <w:p w:rsidR="005525B3" w:rsidRPr="005525B3" w:rsidRDefault="005525B3" w:rsidP="005525B3">
      <w:pPr>
        <w:pStyle w:val="ListParagraph"/>
        <w:numPr>
          <w:ilvl w:val="0"/>
          <w:numId w:val="25"/>
        </w:numPr>
        <w:autoSpaceDE w:val="0"/>
        <w:autoSpaceDN w:val="0"/>
        <w:adjustRightInd w:val="0"/>
        <w:rPr>
          <w:rFonts w:ascii="Georgia" w:eastAsiaTheme="minorHAnsi" w:hAnsi="Georgia" w:cs="Arial"/>
          <w:color w:val="595959" w:themeColor="text1" w:themeTint="A6"/>
          <w:sz w:val="28"/>
          <w:szCs w:val="28"/>
          <w:lang w:val="en-GB"/>
        </w:rPr>
      </w:pPr>
      <w:r w:rsidRPr="005525B3">
        <w:rPr>
          <w:rFonts w:ascii="Georgia" w:eastAsiaTheme="minorHAnsi" w:hAnsi="Georgia" w:cs="Arial"/>
          <w:color w:val="595959" w:themeColor="text1" w:themeTint="A6"/>
          <w:sz w:val="28"/>
          <w:szCs w:val="28"/>
          <w:lang w:val="en-GB"/>
        </w:rPr>
        <w:t xml:space="preserve">Very good processes for tracking and recording progress and effective arrangements for sharing these are essential for curriculum continuity and progression in learning. (HGIOELC)   </w:t>
      </w:r>
    </w:p>
    <w:p w:rsidR="005525B3" w:rsidRPr="005525B3" w:rsidRDefault="003B658A" w:rsidP="005525B3">
      <w:pPr>
        <w:pStyle w:val="ListParagraph"/>
        <w:numPr>
          <w:ilvl w:val="0"/>
          <w:numId w:val="25"/>
        </w:numPr>
        <w:autoSpaceDE w:val="0"/>
        <w:autoSpaceDN w:val="0"/>
        <w:adjustRightInd w:val="0"/>
        <w:rPr>
          <w:rFonts w:ascii="Georgia" w:eastAsiaTheme="minorHAnsi" w:hAnsi="Georgia" w:cs="ArialMT"/>
          <w:color w:val="595959" w:themeColor="text1" w:themeTint="A6"/>
          <w:sz w:val="28"/>
          <w:szCs w:val="28"/>
          <w:lang w:val="en-GB"/>
        </w:rPr>
      </w:pPr>
      <w:r w:rsidRPr="005525B3">
        <w:rPr>
          <w:rFonts w:ascii="Georgia" w:eastAsiaTheme="minorHAnsi" w:hAnsi="Georgia" w:cs="ArialMT"/>
          <w:color w:val="595959" w:themeColor="text1" w:themeTint="A6"/>
          <w:sz w:val="28"/>
          <w:szCs w:val="28"/>
          <w:lang w:val="en-GB"/>
        </w:rPr>
        <w:t>That continuity is crucial to maximising children and young people’s successes and ensuring the most appropriate post-school destination.</w:t>
      </w:r>
      <w:r w:rsidR="005525B3" w:rsidRPr="005525B3">
        <w:rPr>
          <w:rFonts w:ascii="Georgia" w:eastAsiaTheme="minorHAnsi" w:hAnsi="Georgia" w:cs="Arial"/>
          <w:color w:val="595959" w:themeColor="text1" w:themeTint="A6"/>
          <w:sz w:val="28"/>
          <w:szCs w:val="28"/>
          <w:lang w:val="en-GB"/>
        </w:rPr>
        <w:t xml:space="preserve"> (</w:t>
      </w:r>
      <w:r w:rsidR="005525B3" w:rsidRPr="005525B3">
        <w:rPr>
          <w:rFonts w:ascii="Georgia" w:eastAsiaTheme="minorHAnsi" w:hAnsi="Georgia" w:cs="ArialMT"/>
          <w:color w:val="595959" w:themeColor="text1" w:themeTint="A6"/>
          <w:sz w:val="28"/>
          <w:szCs w:val="28"/>
          <w:lang w:val="en-GB"/>
        </w:rPr>
        <w:t>HGIOS4</w:t>
      </w:r>
      <w:r w:rsidR="005525B3" w:rsidRPr="005525B3">
        <w:rPr>
          <w:rFonts w:ascii="Georgia" w:eastAsiaTheme="minorHAnsi" w:hAnsi="Georgia" w:cs="Arial"/>
          <w:color w:val="595959" w:themeColor="text1" w:themeTint="A6"/>
          <w:sz w:val="28"/>
          <w:szCs w:val="28"/>
          <w:lang w:val="en-GB"/>
        </w:rPr>
        <w:t>)</w:t>
      </w:r>
    </w:p>
    <w:p w:rsidR="00CD612A" w:rsidRPr="005525B3" w:rsidRDefault="00CD612A" w:rsidP="005525B3">
      <w:pPr>
        <w:pStyle w:val="ListParagraph"/>
        <w:autoSpaceDE w:val="0"/>
        <w:autoSpaceDN w:val="0"/>
        <w:adjustRightInd w:val="0"/>
        <w:ind w:left="795"/>
        <w:rPr>
          <w:rFonts w:ascii="Georgia" w:eastAsiaTheme="minorHAnsi" w:hAnsi="Georgia" w:cs="ArialMT"/>
          <w:color w:val="585757"/>
          <w:sz w:val="28"/>
          <w:szCs w:val="28"/>
          <w:lang w:val="en-GB"/>
        </w:rPr>
      </w:pPr>
    </w:p>
    <w:p w:rsidR="009109DA" w:rsidRDefault="009109DA" w:rsidP="009109DA">
      <w:pPr>
        <w:rPr>
          <w:lang w:val="en-GB"/>
        </w:rPr>
      </w:pPr>
    </w:p>
    <w:tbl>
      <w:tblPr>
        <w:tblStyle w:val="TableGrid"/>
        <w:tblpPr w:leftFromText="180" w:rightFromText="180" w:vertAnchor="text" w:horzAnchor="margin" w:tblpY="196"/>
        <w:tblW w:w="0" w:type="auto"/>
        <w:tblLayout w:type="fixed"/>
        <w:tblLook w:val="04A0" w:firstRow="1" w:lastRow="0" w:firstColumn="1" w:lastColumn="0" w:noHBand="0" w:noVBand="1"/>
      </w:tblPr>
      <w:tblGrid>
        <w:gridCol w:w="3085"/>
        <w:gridCol w:w="425"/>
        <w:gridCol w:w="426"/>
        <w:gridCol w:w="425"/>
        <w:gridCol w:w="5670"/>
        <w:gridCol w:w="5585"/>
      </w:tblGrid>
      <w:tr w:rsidR="00125666" w:rsidTr="00687A43">
        <w:trPr>
          <w:cantSplit/>
          <w:trHeight w:val="1134"/>
        </w:trPr>
        <w:tc>
          <w:tcPr>
            <w:tcW w:w="3085" w:type="dxa"/>
            <w:shd w:val="clear" w:color="auto" w:fill="FABF8F" w:themeFill="accent6" w:themeFillTint="99"/>
          </w:tcPr>
          <w:p w:rsidR="00125666" w:rsidRPr="009A7C8E" w:rsidRDefault="00125666" w:rsidP="00DB1911">
            <w:pPr>
              <w:jc w:val="center"/>
              <w:rPr>
                <w:b/>
                <w:sz w:val="32"/>
                <w:szCs w:val="32"/>
              </w:rPr>
            </w:pPr>
          </w:p>
          <w:p w:rsidR="00125666" w:rsidRPr="009A7C8E" w:rsidRDefault="00125666" w:rsidP="009A7C8E">
            <w:pPr>
              <w:jc w:val="center"/>
              <w:rPr>
                <w:b/>
                <w:sz w:val="32"/>
                <w:szCs w:val="32"/>
              </w:rPr>
            </w:pPr>
            <w:r w:rsidRPr="009A7C8E">
              <w:rPr>
                <w:b/>
                <w:sz w:val="32"/>
                <w:szCs w:val="32"/>
              </w:rPr>
              <w:t>Highly effective practice</w:t>
            </w:r>
          </w:p>
          <w:p w:rsidR="00125666" w:rsidRPr="009A7C8E" w:rsidRDefault="00125666" w:rsidP="00DB1911">
            <w:pPr>
              <w:jc w:val="center"/>
              <w:rPr>
                <w:rFonts w:ascii="Georgia" w:hAnsi="Georgia" w:cs="Arial"/>
                <w:sz w:val="32"/>
                <w:szCs w:val="32"/>
              </w:rPr>
            </w:pPr>
          </w:p>
        </w:tc>
        <w:tc>
          <w:tcPr>
            <w:tcW w:w="425" w:type="dxa"/>
            <w:shd w:val="clear" w:color="auto" w:fill="FABF8F" w:themeFill="accent6" w:themeFillTint="99"/>
            <w:textDirection w:val="btLr"/>
            <w:vAlign w:val="center"/>
          </w:tcPr>
          <w:p w:rsidR="00125666" w:rsidRPr="00125666" w:rsidRDefault="00125666" w:rsidP="00125666">
            <w:pPr>
              <w:ind w:left="113" w:right="113"/>
              <w:jc w:val="center"/>
              <w:rPr>
                <w:b/>
              </w:rPr>
            </w:pPr>
            <w:r w:rsidRPr="00125666">
              <w:rPr>
                <w:b/>
              </w:rPr>
              <w:t>Data</w:t>
            </w:r>
          </w:p>
        </w:tc>
        <w:tc>
          <w:tcPr>
            <w:tcW w:w="426" w:type="dxa"/>
            <w:shd w:val="clear" w:color="auto" w:fill="FABF8F" w:themeFill="accent6" w:themeFillTint="99"/>
            <w:textDirection w:val="btLr"/>
            <w:vAlign w:val="center"/>
          </w:tcPr>
          <w:p w:rsidR="00125666" w:rsidRPr="00125666" w:rsidRDefault="00125666" w:rsidP="00125666">
            <w:pPr>
              <w:ind w:left="113" w:right="113"/>
              <w:jc w:val="center"/>
              <w:rPr>
                <w:b/>
              </w:rPr>
            </w:pPr>
            <w:r w:rsidRPr="00125666">
              <w:rPr>
                <w:b/>
              </w:rPr>
              <w:t>Obs</w:t>
            </w:r>
            <w:r>
              <w:rPr>
                <w:b/>
              </w:rPr>
              <w:t>ervation</w:t>
            </w:r>
          </w:p>
        </w:tc>
        <w:tc>
          <w:tcPr>
            <w:tcW w:w="425" w:type="dxa"/>
            <w:shd w:val="clear" w:color="auto" w:fill="FABF8F" w:themeFill="accent6" w:themeFillTint="99"/>
            <w:textDirection w:val="btLr"/>
            <w:vAlign w:val="center"/>
          </w:tcPr>
          <w:p w:rsidR="00125666" w:rsidRPr="00125666" w:rsidRDefault="00125666" w:rsidP="00125666">
            <w:pPr>
              <w:ind w:left="113" w:right="113"/>
              <w:jc w:val="center"/>
              <w:rPr>
                <w:b/>
              </w:rPr>
            </w:pPr>
            <w:r w:rsidRPr="00125666">
              <w:rPr>
                <w:b/>
              </w:rPr>
              <w:t>Views</w:t>
            </w:r>
          </w:p>
        </w:tc>
        <w:tc>
          <w:tcPr>
            <w:tcW w:w="5670" w:type="dxa"/>
            <w:shd w:val="clear" w:color="auto" w:fill="FABF8F" w:themeFill="accent6" w:themeFillTint="99"/>
            <w:vAlign w:val="center"/>
          </w:tcPr>
          <w:p w:rsidR="00125666" w:rsidRPr="009A7C8E" w:rsidRDefault="00125666" w:rsidP="00DB1911">
            <w:pPr>
              <w:jc w:val="center"/>
              <w:rPr>
                <w:b/>
                <w:sz w:val="32"/>
                <w:szCs w:val="32"/>
              </w:rPr>
            </w:pPr>
          </w:p>
          <w:p w:rsidR="00125666" w:rsidRPr="009A7C8E" w:rsidRDefault="00125666" w:rsidP="00DB1911">
            <w:pPr>
              <w:jc w:val="center"/>
              <w:rPr>
                <w:b/>
                <w:sz w:val="32"/>
                <w:szCs w:val="32"/>
              </w:rPr>
            </w:pPr>
            <w:r w:rsidRPr="009A7C8E">
              <w:rPr>
                <w:b/>
                <w:sz w:val="32"/>
                <w:szCs w:val="32"/>
              </w:rPr>
              <w:t>What’s working well?</w:t>
            </w:r>
          </w:p>
          <w:p w:rsidR="00125666" w:rsidRPr="009A7C8E" w:rsidRDefault="00485C2A" w:rsidP="00485C2A">
            <w:pPr>
              <w:jc w:val="center"/>
              <w:rPr>
                <w:rFonts w:ascii="Georgia" w:hAnsi="Georgia" w:cs="Arial"/>
                <w:sz w:val="32"/>
                <w:szCs w:val="32"/>
              </w:rPr>
            </w:pPr>
            <w:r w:rsidRPr="00485C2A">
              <w:rPr>
                <w:b/>
              </w:rPr>
              <w:t>What evidence do you have of positive impact on learners?</w:t>
            </w:r>
          </w:p>
        </w:tc>
        <w:tc>
          <w:tcPr>
            <w:tcW w:w="5585" w:type="dxa"/>
            <w:shd w:val="clear" w:color="auto" w:fill="FABF8F" w:themeFill="accent6" w:themeFillTint="99"/>
            <w:vAlign w:val="center"/>
          </w:tcPr>
          <w:p w:rsidR="00125666" w:rsidRPr="009A7C8E" w:rsidRDefault="00125666" w:rsidP="00DB1911">
            <w:pPr>
              <w:jc w:val="center"/>
              <w:rPr>
                <w:b/>
                <w:sz w:val="32"/>
                <w:szCs w:val="32"/>
              </w:rPr>
            </w:pPr>
          </w:p>
          <w:p w:rsidR="00125666" w:rsidRDefault="00125666" w:rsidP="009A7C8E">
            <w:pPr>
              <w:jc w:val="center"/>
              <w:rPr>
                <w:b/>
                <w:sz w:val="32"/>
                <w:szCs w:val="32"/>
              </w:rPr>
            </w:pPr>
            <w:r w:rsidRPr="009A7C8E">
              <w:rPr>
                <w:b/>
                <w:sz w:val="32"/>
                <w:szCs w:val="32"/>
              </w:rPr>
              <w:t>How do you know?</w:t>
            </w:r>
          </w:p>
          <w:p w:rsidR="00485C2A" w:rsidRPr="009A7C8E" w:rsidRDefault="00485C2A" w:rsidP="009A7C8E">
            <w:pPr>
              <w:jc w:val="center"/>
              <w:rPr>
                <w:b/>
                <w:sz w:val="32"/>
                <w:szCs w:val="32"/>
              </w:rPr>
            </w:pPr>
            <w:r w:rsidRPr="00485C2A">
              <w:rPr>
                <w:b/>
              </w:rPr>
              <w:t>What are your improvement priorities in this area?</w:t>
            </w:r>
          </w:p>
        </w:tc>
      </w:tr>
      <w:tr w:rsidR="00125666" w:rsidTr="00125666">
        <w:trPr>
          <w:trHeight w:val="1266"/>
        </w:trPr>
        <w:tc>
          <w:tcPr>
            <w:tcW w:w="3085" w:type="dxa"/>
          </w:tcPr>
          <w:p w:rsidR="001977C2" w:rsidRPr="001977C2" w:rsidRDefault="00696660" w:rsidP="009A7C8E">
            <w:pPr>
              <w:pStyle w:val="Default"/>
              <w:rPr>
                <w:rFonts w:ascii="Georgia" w:hAnsi="Georgia"/>
                <w:b/>
                <w:color w:val="auto"/>
              </w:rPr>
            </w:pPr>
            <w:r w:rsidRPr="001977C2">
              <w:rPr>
                <w:rFonts w:ascii="Georgia" w:hAnsi="Georgia"/>
                <w:b/>
                <w:color w:val="auto"/>
              </w:rPr>
              <w:lastRenderedPageBreak/>
              <w:t xml:space="preserve"> </w:t>
            </w:r>
          </w:p>
          <w:p w:rsidR="001977C2" w:rsidRPr="001977C2" w:rsidRDefault="001977C2" w:rsidP="001977C2">
            <w:pPr>
              <w:pStyle w:val="Default"/>
              <w:rPr>
                <w:rFonts w:ascii="Georgia" w:hAnsi="Georgia"/>
              </w:rPr>
            </w:pPr>
            <w:r w:rsidRPr="001977C2">
              <w:rPr>
                <w:rFonts w:ascii="Georgia" w:hAnsi="Georgia"/>
              </w:rPr>
              <w:t xml:space="preserve">Clear, shared processes are in place for the exchange of relevant information about children’s care and support needs, skills, learning and achievements across the curriculum. </w:t>
            </w:r>
          </w:p>
          <w:p w:rsidR="00D06A57" w:rsidRPr="00391348" w:rsidRDefault="001977C2" w:rsidP="001977C2">
            <w:pPr>
              <w:pStyle w:val="Default"/>
              <w:rPr>
                <w:rFonts w:ascii="Georgia" w:hAnsi="Georgia"/>
                <w:color w:val="auto"/>
              </w:rPr>
            </w:pPr>
            <w:r w:rsidRPr="00391348">
              <w:rPr>
                <w:rFonts w:ascii="Georgia" w:hAnsi="Georgia"/>
                <w:color w:val="auto"/>
              </w:rPr>
              <w:t xml:space="preserve"> </w:t>
            </w:r>
            <w:r w:rsidR="00D06A57" w:rsidRPr="00391348">
              <w:rPr>
                <w:rFonts w:ascii="Georgia" w:hAnsi="Georgia"/>
                <w:color w:val="auto"/>
              </w:rPr>
              <w:t>(HGI</w:t>
            </w:r>
            <w:r w:rsidRPr="00391348">
              <w:rPr>
                <w:rFonts w:ascii="Georgia" w:hAnsi="Georgia"/>
                <w:color w:val="auto"/>
              </w:rPr>
              <w:t>O</w:t>
            </w:r>
            <w:r w:rsidR="00D06A57" w:rsidRPr="00391348">
              <w:rPr>
                <w:rFonts w:ascii="Georgia" w:hAnsi="Georgia"/>
                <w:color w:val="auto"/>
              </w:rPr>
              <w:t>ELC)</w:t>
            </w:r>
          </w:p>
          <w:p w:rsidR="00125666" w:rsidRPr="001977C2" w:rsidRDefault="00125666" w:rsidP="009A7C8E">
            <w:pPr>
              <w:pStyle w:val="Default"/>
              <w:rPr>
                <w:rFonts w:ascii="Georgia" w:hAnsi="Georgia"/>
                <w:color w:val="auto"/>
              </w:rPr>
            </w:pPr>
          </w:p>
          <w:p w:rsidR="00125666" w:rsidRPr="001977C2" w:rsidRDefault="00125666" w:rsidP="009A7C8E">
            <w:pPr>
              <w:pStyle w:val="Default"/>
              <w:rPr>
                <w:rFonts w:ascii="Georgia" w:hAnsi="Georgia"/>
                <w:color w:val="auto"/>
              </w:rPr>
            </w:pPr>
            <w:r w:rsidRPr="001977C2">
              <w:rPr>
                <w:rFonts w:ascii="Georgia" w:hAnsi="Georgia"/>
                <w:color w:val="auto"/>
              </w:rPr>
              <w:t xml:space="preserve"> </w:t>
            </w:r>
          </w:p>
        </w:tc>
        <w:tc>
          <w:tcPr>
            <w:tcW w:w="425" w:type="dxa"/>
          </w:tcPr>
          <w:p w:rsidR="00125666" w:rsidRDefault="00125666" w:rsidP="00DB1911"/>
        </w:tc>
        <w:tc>
          <w:tcPr>
            <w:tcW w:w="426" w:type="dxa"/>
          </w:tcPr>
          <w:p w:rsidR="00125666" w:rsidRDefault="00125666" w:rsidP="00DB1911"/>
        </w:tc>
        <w:tc>
          <w:tcPr>
            <w:tcW w:w="425" w:type="dxa"/>
          </w:tcPr>
          <w:p w:rsidR="00125666" w:rsidRDefault="00125666" w:rsidP="00DB1911"/>
        </w:tc>
        <w:tc>
          <w:tcPr>
            <w:tcW w:w="5670" w:type="dxa"/>
          </w:tcPr>
          <w:p w:rsidR="00125666" w:rsidRDefault="00125666" w:rsidP="00DB1911"/>
        </w:tc>
        <w:tc>
          <w:tcPr>
            <w:tcW w:w="5585" w:type="dxa"/>
          </w:tcPr>
          <w:p w:rsidR="00125666" w:rsidRDefault="00125666" w:rsidP="00DB1911"/>
        </w:tc>
      </w:tr>
      <w:tr w:rsidR="00125666" w:rsidTr="00687A43">
        <w:trPr>
          <w:trHeight w:val="2281"/>
        </w:trPr>
        <w:tc>
          <w:tcPr>
            <w:tcW w:w="3085" w:type="dxa"/>
            <w:shd w:val="clear" w:color="auto" w:fill="FBD4B4" w:themeFill="accent6" w:themeFillTint="66"/>
          </w:tcPr>
          <w:p w:rsidR="003B658A" w:rsidRPr="001977C2" w:rsidRDefault="003B658A" w:rsidP="003B658A">
            <w:pPr>
              <w:autoSpaceDE w:val="0"/>
              <w:autoSpaceDN w:val="0"/>
              <w:adjustRightInd w:val="0"/>
              <w:rPr>
                <w:rFonts w:ascii="Georgia" w:eastAsiaTheme="minorHAnsi" w:hAnsi="Georgia" w:cs="ArialMT"/>
                <w:lang w:val="en-GB"/>
              </w:rPr>
            </w:pPr>
            <w:r w:rsidRPr="001977C2">
              <w:rPr>
                <w:rFonts w:ascii="Georgia" w:eastAsiaTheme="minorHAnsi" w:hAnsi="Georgia" w:cs="ArialMT"/>
                <w:lang w:val="en-GB"/>
              </w:rPr>
              <w:t>There are clear, shared processes in place for the</w:t>
            </w:r>
          </w:p>
          <w:p w:rsidR="00125666" w:rsidRPr="001977C2" w:rsidRDefault="003B658A" w:rsidP="003B658A">
            <w:pPr>
              <w:autoSpaceDE w:val="0"/>
              <w:autoSpaceDN w:val="0"/>
              <w:adjustRightInd w:val="0"/>
              <w:rPr>
                <w:rFonts w:ascii="Georgia" w:eastAsiaTheme="minorHAnsi" w:hAnsi="Georgia" w:cs="ArialMT"/>
                <w:lang w:val="en-GB"/>
              </w:rPr>
            </w:pPr>
            <w:proofErr w:type="gramStart"/>
            <w:r w:rsidRPr="001977C2">
              <w:rPr>
                <w:rFonts w:ascii="Georgia" w:eastAsiaTheme="minorHAnsi" w:hAnsi="Georgia" w:cs="ArialMT"/>
                <w:lang w:val="en-GB"/>
              </w:rPr>
              <w:t>transfer</w:t>
            </w:r>
            <w:proofErr w:type="gramEnd"/>
            <w:r w:rsidRPr="001977C2">
              <w:rPr>
                <w:rFonts w:ascii="Georgia" w:eastAsiaTheme="minorHAnsi" w:hAnsi="Georgia" w:cs="ArialMT"/>
                <w:lang w:val="en-GB"/>
              </w:rPr>
              <w:t xml:space="preserve"> of information about all children and young people’s learning and achievements across the curriculum</w:t>
            </w:r>
            <w:r w:rsidRPr="001977C2">
              <w:rPr>
                <w:rFonts w:ascii="Georgia" w:eastAsiaTheme="minorHAnsi" w:hAnsi="Georgia" w:cs="ArialMT"/>
                <w:color w:val="585757"/>
                <w:lang w:val="en-GB"/>
              </w:rPr>
              <w:t>.</w:t>
            </w:r>
          </w:p>
        </w:tc>
        <w:tc>
          <w:tcPr>
            <w:tcW w:w="425" w:type="dxa"/>
            <w:shd w:val="clear" w:color="auto" w:fill="FBD4B4" w:themeFill="accent6" w:themeFillTint="66"/>
          </w:tcPr>
          <w:p w:rsidR="00125666" w:rsidRDefault="00125666" w:rsidP="00DB1911"/>
        </w:tc>
        <w:tc>
          <w:tcPr>
            <w:tcW w:w="426" w:type="dxa"/>
            <w:shd w:val="clear" w:color="auto" w:fill="FBD4B4" w:themeFill="accent6" w:themeFillTint="66"/>
          </w:tcPr>
          <w:p w:rsidR="00125666" w:rsidRDefault="00125666" w:rsidP="00DB1911"/>
        </w:tc>
        <w:tc>
          <w:tcPr>
            <w:tcW w:w="425" w:type="dxa"/>
            <w:shd w:val="clear" w:color="auto" w:fill="FBD4B4" w:themeFill="accent6" w:themeFillTint="66"/>
          </w:tcPr>
          <w:p w:rsidR="00125666" w:rsidRDefault="00125666" w:rsidP="00DB1911"/>
        </w:tc>
        <w:tc>
          <w:tcPr>
            <w:tcW w:w="5670" w:type="dxa"/>
            <w:shd w:val="clear" w:color="auto" w:fill="FBD4B4" w:themeFill="accent6" w:themeFillTint="66"/>
          </w:tcPr>
          <w:p w:rsidR="00125666" w:rsidRDefault="00125666" w:rsidP="00DB1911"/>
        </w:tc>
        <w:tc>
          <w:tcPr>
            <w:tcW w:w="5585" w:type="dxa"/>
            <w:shd w:val="clear" w:color="auto" w:fill="FBD4B4" w:themeFill="accent6" w:themeFillTint="66"/>
          </w:tcPr>
          <w:p w:rsidR="00125666" w:rsidRDefault="00125666" w:rsidP="00DB1911"/>
        </w:tc>
      </w:tr>
      <w:tr w:rsidR="00125666" w:rsidTr="00125666">
        <w:trPr>
          <w:trHeight w:val="2282"/>
        </w:trPr>
        <w:tc>
          <w:tcPr>
            <w:tcW w:w="3085" w:type="dxa"/>
          </w:tcPr>
          <w:p w:rsidR="001977C2" w:rsidRPr="001977C2" w:rsidRDefault="001977C2" w:rsidP="001977C2">
            <w:pPr>
              <w:pStyle w:val="Default"/>
              <w:rPr>
                <w:rFonts w:ascii="Georgia" w:hAnsi="Georgia"/>
              </w:rPr>
            </w:pPr>
            <w:r w:rsidRPr="001977C2">
              <w:rPr>
                <w:rFonts w:ascii="Georgia" w:hAnsi="Georgia"/>
              </w:rPr>
              <w:t xml:space="preserve">Objective evaluations that seek and respond to the views of parents/carers, children and partners are used to develop and improve transition arrangements and programmes </w:t>
            </w:r>
          </w:p>
          <w:p w:rsidR="00CB65BD" w:rsidRPr="00391348" w:rsidRDefault="001977C2" w:rsidP="00CB65BD">
            <w:pPr>
              <w:pStyle w:val="Default"/>
              <w:rPr>
                <w:rFonts w:ascii="Georgia" w:hAnsi="Georgia"/>
                <w:color w:val="auto"/>
              </w:rPr>
            </w:pPr>
            <w:r w:rsidRPr="00391348">
              <w:rPr>
                <w:rFonts w:ascii="Georgia" w:hAnsi="Georgia"/>
                <w:color w:val="auto"/>
              </w:rPr>
              <w:t xml:space="preserve"> </w:t>
            </w:r>
            <w:r w:rsidR="00CB65BD" w:rsidRPr="00391348">
              <w:rPr>
                <w:rFonts w:ascii="Georgia" w:hAnsi="Georgia"/>
                <w:color w:val="auto"/>
              </w:rPr>
              <w:t>(HGI</w:t>
            </w:r>
            <w:r w:rsidRPr="00391348">
              <w:rPr>
                <w:rFonts w:ascii="Georgia" w:hAnsi="Georgia"/>
                <w:color w:val="auto"/>
              </w:rPr>
              <w:t>O</w:t>
            </w:r>
            <w:r w:rsidR="00CB65BD" w:rsidRPr="00391348">
              <w:rPr>
                <w:rFonts w:ascii="Georgia" w:hAnsi="Georgia"/>
                <w:color w:val="auto"/>
              </w:rPr>
              <w:t>ELC)</w:t>
            </w:r>
          </w:p>
          <w:p w:rsidR="00125666" w:rsidRPr="001977C2" w:rsidRDefault="00125666" w:rsidP="0068742F">
            <w:pPr>
              <w:pStyle w:val="Default"/>
              <w:jc w:val="both"/>
              <w:rPr>
                <w:rFonts w:ascii="Georgia" w:hAnsi="Georgia"/>
                <w:color w:val="auto"/>
              </w:rPr>
            </w:pPr>
          </w:p>
          <w:p w:rsidR="00125666" w:rsidRPr="001977C2" w:rsidRDefault="00125666" w:rsidP="00881100">
            <w:pPr>
              <w:jc w:val="both"/>
              <w:rPr>
                <w:rFonts w:ascii="Georgia" w:hAnsi="Georgia"/>
              </w:rPr>
            </w:pPr>
          </w:p>
        </w:tc>
        <w:tc>
          <w:tcPr>
            <w:tcW w:w="425" w:type="dxa"/>
          </w:tcPr>
          <w:p w:rsidR="00125666" w:rsidRDefault="00125666" w:rsidP="00DB1911"/>
        </w:tc>
        <w:tc>
          <w:tcPr>
            <w:tcW w:w="426" w:type="dxa"/>
          </w:tcPr>
          <w:p w:rsidR="00125666" w:rsidRDefault="00125666" w:rsidP="00DB1911"/>
        </w:tc>
        <w:tc>
          <w:tcPr>
            <w:tcW w:w="425" w:type="dxa"/>
          </w:tcPr>
          <w:p w:rsidR="00125666" w:rsidRDefault="00125666" w:rsidP="00DB1911"/>
        </w:tc>
        <w:tc>
          <w:tcPr>
            <w:tcW w:w="5670" w:type="dxa"/>
          </w:tcPr>
          <w:p w:rsidR="00125666" w:rsidRDefault="00125666" w:rsidP="00DB1911"/>
        </w:tc>
        <w:tc>
          <w:tcPr>
            <w:tcW w:w="5585" w:type="dxa"/>
          </w:tcPr>
          <w:p w:rsidR="00125666" w:rsidRDefault="00125666" w:rsidP="00DB1911"/>
        </w:tc>
      </w:tr>
      <w:tr w:rsidR="00125666" w:rsidTr="00CD612A">
        <w:trPr>
          <w:trHeight w:val="1659"/>
        </w:trPr>
        <w:tc>
          <w:tcPr>
            <w:tcW w:w="3085" w:type="dxa"/>
            <w:shd w:val="clear" w:color="auto" w:fill="FBD4B4" w:themeFill="accent6" w:themeFillTint="66"/>
          </w:tcPr>
          <w:p w:rsidR="00125666" w:rsidRPr="001977C2" w:rsidRDefault="003B658A" w:rsidP="003B658A">
            <w:pPr>
              <w:autoSpaceDE w:val="0"/>
              <w:autoSpaceDN w:val="0"/>
              <w:adjustRightInd w:val="0"/>
              <w:rPr>
                <w:rFonts w:ascii="Georgia" w:eastAsiaTheme="minorHAnsi" w:hAnsi="Georgia" w:cs="ArialMT"/>
                <w:lang w:val="en-GB"/>
              </w:rPr>
            </w:pPr>
            <w:r w:rsidRPr="001977C2">
              <w:rPr>
                <w:rFonts w:ascii="Georgia" w:eastAsiaTheme="minorHAnsi" w:hAnsi="Georgia" w:cs="ArialMT"/>
                <w:lang w:val="en-GB"/>
              </w:rPr>
              <w:t>Children, young people and their parents and carers are actively involved in planning transitions</w:t>
            </w:r>
            <w:proofErr w:type="gramStart"/>
            <w:r w:rsidRPr="001977C2">
              <w:rPr>
                <w:rFonts w:ascii="Georgia" w:eastAsiaTheme="minorHAnsi" w:hAnsi="Georgia" w:cs="ArialMT"/>
                <w:lang w:val="en-GB"/>
              </w:rPr>
              <w:t>.</w:t>
            </w:r>
            <w:r w:rsidR="00CD612A" w:rsidRPr="001977C2">
              <w:rPr>
                <w:rFonts w:ascii="Georgia" w:eastAsiaTheme="minorHAnsi" w:hAnsi="Georgia" w:cs="ArialMT"/>
                <w:lang w:val="en-GB"/>
              </w:rPr>
              <w:t>.</w:t>
            </w:r>
            <w:proofErr w:type="gramEnd"/>
          </w:p>
        </w:tc>
        <w:tc>
          <w:tcPr>
            <w:tcW w:w="425" w:type="dxa"/>
            <w:shd w:val="clear" w:color="auto" w:fill="FBD4B4" w:themeFill="accent6" w:themeFillTint="66"/>
          </w:tcPr>
          <w:p w:rsidR="00125666" w:rsidRDefault="00125666" w:rsidP="00DB1911"/>
        </w:tc>
        <w:tc>
          <w:tcPr>
            <w:tcW w:w="426" w:type="dxa"/>
            <w:shd w:val="clear" w:color="auto" w:fill="FBD4B4" w:themeFill="accent6" w:themeFillTint="66"/>
          </w:tcPr>
          <w:p w:rsidR="00125666" w:rsidRDefault="00125666" w:rsidP="00DB1911"/>
        </w:tc>
        <w:tc>
          <w:tcPr>
            <w:tcW w:w="425" w:type="dxa"/>
            <w:shd w:val="clear" w:color="auto" w:fill="FBD4B4" w:themeFill="accent6" w:themeFillTint="66"/>
          </w:tcPr>
          <w:p w:rsidR="00125666" w:rsidRDefault="00125666" w:rsidP="00DB1911"/>
        </w:tc>
        <w:tc>
          <w:tcPr>
            <w:tcW w:w="5670" w:type="dxa"/>
            <w:shd w:val="clear" w:color="auto" w:fill="FBD4B4" w:themeFill="accent6" w:themeFillTint="66"/>
          </w:tcPr>
          <w:p w:rsidR="00125666" w:rsidRDefault="00125666" w:rsidP="00DB1911"/>
        </w:tc>
        <w:tc>
          <w:tcPr>
            <w:tcW w:w="5585" w:type="dxa"/>
            <w:shd w:val="clear" w:color="auto" w:fill="FBD4B4" w:themeFill="accent6" w:themeFillTint="66"/>
          </w:tcPr>
          <w:p w:rsidR="00125666" w:rsidRDefault="00125666" w:rsidP="00DB1911"/>
        </w:tc>
      </w:tr>
      <w:tr w:rsidR="00125666" w:rsidTr="00CD612A">
        <w:trPr>
          <w:trHeight w:val="2123"/>
        </w:trPr>
        <w:tc>
          <w:tcPr>
            <w:tcW w:w="3085" w:type="dxa"/>
          </w:tcPr>
          <w:p w:rsidR="001977C2" w:rsidRPr="001977C2" w:rsidRDefault="00481063" w:rsidP="001977C2">
            <w:pPr>
              <w:pStyle w:val="Default"/>
              <w:rPr>
                <w:rFonts w:ascii="Georgia" w:hAnsi="Georgia"/>
                <w:b/>
                <w:color w:val="auto"/>
              </w:rPr>
            </w:pPr>
            <w:r w:rsidRPr="001977C2">
              <w:rPr>
                <w:rFonts w:ascii="Georgia" w:hAnsi="Georgia"/>
                <w:b/>
                <w:color w:val="auto"/>
              </w:rPr>
              <w:lastRenderedPageBreak/>
              <w:t xml:space="preserve"> </w:t>
            </w:r>
            <w:r w:rsidR="001977C2" w:rsidRPr="001977C2">
              <w:rPr>
                <w:rFonts w:ascii="Georgia" w:hAnsi="Georgia"/>
              </w:rPr>
              <w:t xml:space="preserve">Information about children’s learning, and achievements, particularly in key areas of early literacy, numeracy and health and wellbeing, is used effectively to ensure continuity in learning across the curriculum for all children. </w:t>
            </w:r>
          </w:p>
          <w:p w:rsidR="00125666" w:rsidRPr="00391348" w:rsidRDefault="001977C2" w:rsidP="001977C2">
            <w:pPr>
              <w:pStyle w:val="Default"/>
              <w:rPr>
                <w:rFonts w:ascii="Georgia" w:hAnsi="Georgia"/>
                <w:color w:val="auto"/>
              </w:rPr>
            </w:pPr>
            <w:r w:rsidRPr="001977C2">
              <w:rPr>
                <w:rFonts w:ascii="Georgia" w:hAnsi="Georgia"/>
                <w:b/>
                <w:color w:val="auto"/>
              </w:rPr>
              <w:t xml:space="preserve"> </w:t>
            </w:r>
            <w:r w:rsidR="00CB65BD" w:rsidRPr="00391348">
              <w:rPr>
                <w:rFonts w:ascii="Georgia" w:hAnsi="Georgia"/>
                <w:color w:val="auto"/>
              </w:rPr>
              <w:t>(HGI</w:t>
            </w:r>
            <w:r w:rsidRPr="00391348">
              <w:rPr>
                <w:rFonts w:ascii="Georgia" w:hAnsi="Georgia"/>
                <w:color w:val="auto"/>
              </w:rPr>
              <w:t>O</w:t>
            </w:r>
            <w:r w:rsidR="00CB65BD" w:rsidRPr="00391348">
              <w:rPr>
                <w:rFonts w:ascii="Georgia" w:hAnsi="Georgia"/>
                <w:color w:val="auto"/>
              </w:rPr>
              <w:t>ELC)</w:t>
            </w:r>
          </w:p>
        </w:tc>
        <w:tc>
          <w:tcPr>
            <w:tcW w:w="425" w:type="dxa"/>
          </w:tcPr>
          <w:p w:rsidR="00125666" w:rsidRDefault="00125666" w:rsidP="00DB1911"/>
        </w:tc>
        <w:tc>
          <w:tcPr>
            <w:tcW w:w="426" w:type="dxa"/>
          </w:tcPr>
          <w:p w:rsidR="00125666" w:rsidRDefault="00125666" w:rsidP="00DB1911"/>
        </w:tc>
        <w:tc>
          <w:tcPr>
            <w:tcW w:w="425" w:type="dxa"/>
          </w:tcPr>
          <w:p w:rsidR="00125666" w:rsidRDefault="00125666" w:rsidP="00DB1911"/>
        </w:tc>
        <w:tc>
          <w:tcPr>
            <w:tcW w:w="5670" w:type="dxa"/>
          </w:tcPr>
          <w:p w:rsidR="00125666" w:rsidRDefault="00125666" w:rsidP="00DB1911"/>
        </w:tc>
        <w:tc>
          <w:tcPr>
            <w:tcW w:w="5585" w:type="dxa"/>
          </w:tcPr>
          <w:p w:rsidR="00125666" w:rsidRDefault="00125666" w:rsidP="00DB1911"/>
        </w:tc>
      </w:tr>
      <w:tr w:rsidR="00125666" w:rsidTr="00687A43">
        <w:trPr>
          <w:trHeight w:val="2571"/>
        </w:trPr>
        <w:tc>
          <w:tcPr>
            <w:tcW w:w="3085" w:type="dxa"/>
            <w:shd w:val="clear" w:color="auto" w:fill="FBD4B4" w:themeFill="accent6" w:themeFillTint="66"/>
          </w:tcPr>
          <w:p w:rsidR="003B658A" w:rsidRPr="001977C2" w:rsidRDefault="003B658A" w:rsidP="003B658A">
            <w:pPr>
              <w:autoSpaceDE w:val="0"/>
              <w:autoSpaceDN w:val="0"/>
              <w:adjustRightInd w:val="0"/>
              <w:rPr>
                <w:rFonts w:ascii="Georgia" w:eastAsiaTheme="minorHAnsi" w:hAnsi="Georgia" w:cs="ArialMT"/>
                <w:lang w:val="en-GB"/>
              </w:rPr>
            </w:pPr>
            <w:r w:rsidRPr="001977C2">
              <w:rPr>
                <w:rFonts w:ascii="Georgia" w:eastAsiaTheme="minorHAnsi" w:hAnsi="Georgia" w:cs="ArialMT"/>
                <w:lang w:val="en-GB"/>
              </w:rPr>
              <w:t>Information about children and young people’s learning and achievements is used effectively to ensure continuity in learning across the curriculum</w:t>
            </w:r>
          </w:p>
          <w:p w:rsidR="00125666" w:rsidRPr="001977C2" w:rsidRDefault="003B658A" w:rsidP="003B658A">
            <w:pPr>
              <w:autoSpaceDE w:val="0"/>
              <w:autoSpaceDN w:val="0"/>
              <w:adjustRightInd w:val="0"/>
              <w:rPr>
                <w:rFonts w:ascii="Georgia" w:eastAsiaTheme="minorHAnsi" w:hAnsi="Georgia" w:cs="ArialMT"/>
                <w:lang w:val="en-GB"/>
              </w:rPr>
            </w:pPr>
            <w:proofErr w:type="gramStart"/>
            <w:r w:rsidRPr="001977C2">
              <w:rPr>
                <w:rFonts w:ascii="Georgia" w:eastAsiaTheme="minorHAnsi" w:hAnsi="Georgia" w:cs="ArialMT"/>
                <w:lang w:val="en-GB"/>
              </w:rPr>
              <w:t>for</w:t>
            </w:r>
            <w:proofErr w:type="gramEnd"/>
            <w:r w:rsidRPr="001977C2">
              <w:rPr>
                <w:rFonts w:ascii="Georgia" w:eastAsiaTheme="minorHAnsi" w:hAnsi="Georgia" w:cs="ArialMT"/>
                <w:lang w:val="en-GB"/>
              </w:rPr>
              <w:t xml:space="preserve"> all children and young people.</w:t>
            </w:r>
          </w:p>
        </w:tc>
        <w:tc>
          <w:tcPr>
            <w:tcW w:w="425" w:type="dxa"/>
            <w:shd w:val="clear" w:color="auto" w:fill="FBD4B4" w:themeFill="accent6" w:themeFillTint="66"/>
          </w:tcPr>
          <w:p w:rsidR="00125666" w:rsidRDefault="00125666" w:rsidP="00DB1911"/>
        </w:tc>
        <w:tc>
          <w:tcPr>
            <w:tcW w:w="426" w:type="dxa"/>
            <w:shd w:val="clear" w:color="auto" w:fill="FBD4B4" w:themeFill="accent6" w:themeFillTint="66"/>
          </w:tcPr>
          <w:p w:rsidR="00125666" w:rsidRDefault="00125666" w:rsidP="00DB1911"/>
        </w:tc>
        <w:tc>
          <w:tcPr>
            <w:tcW w:w="425" w:type="dxa"/>
            <w:shd w:val="clear" w:color="auto" w:fill="FBD4B4" w:themeFill="accent6" w:themeFillTint="66"/>
          </w:tcPr>
          <w:p w:rsidR="00125666" w:rsidRDefault="00125666" w:rsidP="00DB1911"/>
        </w:tc>
        <w:tc>
          <w:tcPr>
            <w:tcW w:w="5670" w:type="dxa"/>
            <w:shd w:val="clear" w:color="auto" w:fill="FBD4B4" w:themeFill="accent6" w:themeFillTint="66"/>
          </w:tcPr>
          <w:p w:rsidR="00125666" w:rsidRDefault="00125666" w:rsidP="00DB1911"/>
        </w:tc>
        <w:tc>
          <w:tcPr>
            <w:tcW w:w="5585" w:type="dxa"/>
            <w:shd w:val="clear" w:color="auto" w:fill="FBD4B4" w:themeFill="accent6" w:themeFillTint="66"/>
          </w:tcPr>
          <w:p w:rsidR="00125666" w:rsidRDefault="00125666" w:rsidP="00DB1911"/>
        </w:tc>
      </w:tr>
      <w:tr w:rsidR="00345C28" w:rsidTr="00CD612A">
        <w:trPr>
          <w:trHeight w:val="963"/>
        </w:trPr>
        <w:tc>
          <w:tcPr>
            <w:tcW w:w="10031" w:type="dxa"/>
            <w:gridSpan w:val="5"/>
          </w:tcPr>
          <w:p w:rsidR="00345C28" w:rsidRDefault="00345C28" w:rsidP="00DB1911">
            <w:pPr>
              <w:rPr>
                <w:rFonts w:ascii="Georgia" w:hAnsi="Georgia"/>
                <w:b/>
              </w:rPr>
            </w:pPr>
            <w:r w:rsidRPr="00881100">
              <w:rPr>
                <w:rFonts w:ascii="Georgia" w:hAnsi="Georgia"/>
                <w:b/>
              </w:rPr>
              <w:t>How would you e</w:t>
            </w:r>
            <w:r w:rsidR="00391348">
              <w:rPr>
                <w:rFonts w:ascii="Georgia" w:hAnsi="Georgia"/>
                <w:b/>
              </w:rPr>
              <w:t>valuate this QI using the HGIOS</w:t>
            </w:r>
            <w:r w:rsidRPr="00881100">
              <w:rPr>
                <w:rFonts w:ascii="Georgia" w:hAnsi="Georgia"/>
                <w:b/>
              </w:rPr>
              <w:t>4?</w:t>
            </w:r>
          </w:p>
          <w:p w:rsidR="00345C28" w:rsidRPr="00881100" w:rsidRDefault="00345C28" w:rsidP="00DB1911">
            <w:pPr>
              <w:rPr>
                <w:rFonts w:ascii="Georgia" w:hAnsi="Georgia"/>
              </w:rPr>
            </w:pPr>
            <w:r>
              <w:rPr>
                <w:rFonts w:ascii="Georgia" w:hAnsi="Georgia"/>
                <w:b/>
              </w:rPr>
              <w:t>How would you evaluate this QI using HGI</w:t>
            </w:r>
            <w:r w:rsidR="00391348">
              <w:rPr>
                <w:rFonts w:ascii="Georgia" w:hAnsi="Georgia"/>
                <w:b/>
              </w:rPr>
              <w:t>O</w:t>
            </w:r>
            <w:bookmarkStart w:id="0" w:name="_GoBack"/>
            <w:bookmarkEnd w:id="0"/>
            <w:r>
              <w:rPr>
                <w:rFonts w:ascii="Georgia" w:hAnsi="Georgia"/>
                <w:b/>
              </w:rPr>
              <w:t>ELC ?</w:t>
            </w:r>
          </w:p>
        </w:tc>
        <w:tc>
          <w:tcPr>
            <w:tcW w:w="5585" w:type="dxa"/>
          </w:tcPr>
          <w:p w:rsidR="00345C28" w:rsidRDefault="00345C28" w:rsidP="00DB1911"/>
        </w:tc>
      </w:tr>
    </w:tbl>
    <w:p w:rsidR="009109DA" w:rsidRPr="009109DA" w:rsidRDefault="009109DA" w:rsidP="009109DA">
      <w:pPr>
        <w:rPr>
          <w:lang w:val="en-GB"/>
        </w:rPr>
        <w:sectPr w:rsidR="009109DA" w:rsidRPr="009109DA" w:rsidSect="00B51787">
          <w:pgSz w:w="16840" w:h="11900" w:orient="landscape"/>
          <w:pgMar w:top="720" w:right="720" w:bottom="720" w:left="720" w:header="709" w:footer="709" w:gutter="0"/>
          <w:cols w:space="708"/>
          <w:docGrid w:linePitch="360"/>
        </w:sectPr>
      </w:pPr>
    </w:p>
    <w:p w:rsidR="00444DE0" w:rsidRDefault="00444DE0" w:rsidP="00881100">
      <w:pPr>
        <w:pStyle w:val="NormalWeb"/>
        <w:shd w:val="clear" w:color="auto" w:fill="FFFFFF"/>
      </w:pPr>
    </w:p>
    <w:sectPr w:rsidR="00444DE0" w:rsidSect="00DB191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BC3"/>
    <w:multiLevelType w:val="hybridMultilevel"/>
    <w:tmpl w:val="163088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5EC43D1"/>
    <w:multiLevelType w:val="hybridMultilevel"/>
    <w:tmpl w:val="D93C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50F33"/>
    <w:multiLevelType w:val="hybridMultilevel"/>
    <w:tmpl w:val="7B80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F19B7"/>
    <w:multiLevelType w:val="hybridMultilevel"/>
    <w:tmpl w:val="90E6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16B7B"/>
    <w:multiLevelType w:val="hybridMultilevel"/>
    <w:tmpl w:val="57F8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16CE1"/>
    <w:multiLevelType w:val="hybridMultilevel"/>
    <w:tmpl w:val="98A80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304929FD"/>
    <w:multiLevelType w:val="hybridMultilevel"/>
    <w:tmpl w:val="DDA6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A2B96"/>
    <w:multiLevelType w:val="hybridMultilevel"/>
    <w:tmpl w:val="859E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51B70"/>
    <w:multiLevelType w:val="hybridMultilevel"/>
    <w:tmpl w:val="8616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2424BF"/>
    <w:multiLevelType w:val="hybridMultilevel"/>
    <w:tmpl w:val="FA08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6139F"/>
    <w:multiLevelType w:val="hybridMultilevel"/>
    <w:tmpl w:val="FA0C4B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A12026C"/>
    <w:multiLevelType w:val="hybridMultilevel"/>
    <w:tmpl w:val="A5C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078F8"/>
    <w:multiLevelType w:val="hybridMultilevel"/>
    <w:tmpl w:val="1334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4B069D"/>
    <w:multiLevelType w:val="hybridMultilevel"/>
    <w:tmpl w:val="F4F625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488E28A3"/>
    <w:multiLevelType w:val="hybridMultilevel"/>
    <w:tmpl w:val="E14C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956B8"/>
    <w:multiLevelType w:val="hybridMultilevel"/>
    <w:tmpl w:val="6C7C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8F68DA"/>
    <w:multiLevelType w:val="hybridMultilevel"/>
    <w:tmpl w:val="960A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2F314B"/>
    <w:multiLevelType w:val="hybridMultilevel"/>
    <w:tmpl w:val="99AE15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4710DC1"/>
    <w:multiLevelType w:val="hybridMultilevel"/>
    <w:tmpl w:val="99BE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612155"/>
    <w:multiLevelType w:val="hybridMultilevel"/>
    <w:tmpl w:val="377A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6F4EE1"/>
    <w:multiLevelType w:val="hybridMultilevel"/>
    <w:tmpl w:val="8B8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D236DB"/>
    <w:multiLevelType w:val="hybridMultilevel"/>
    <w:tmpl w:val="219A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0762FB"/>
    <w:multiLevelType w:val="hybridMultilevel"/>
    <w:tmpl w:val="0EC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A0229E"/>
    <w:multiLevelType w:val="hybridMultilevel"/>
    <w:tmpl w:val="875EA5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B7A58ED"/>
    <w:multiLevelType w:val="hybridMultilevel"/>
    <w:tmpl w:val="8CC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
  </w:num>
  <w:num w:numId="4">
    <w:abstractNumId w:val="21"/>
  </w:num>
  <w:num w:numId="5">
    <w:abstractNumId w:val="6"/>
  </w:num>
  <w:num w:numId="6">
    <w:abstractNumId w:val="16"/>
  </w:num>
  <w:num w:numId="7">
    <w:abstractNumId w:val="19"/>
  </w:num>
  <w:num w:numId="8">
    <w:abstractNumId w:val="9"/>
  </w:num>
  <w:num w:numId="9">
    <w:abstractNumId w:val="12"/>
  </w:num>
  <w:num w:numId="10">
    <w:abstractNumId w:val="20"/>
  </w:num>
  <w:num w:numId="11">
    <w:abstractNumId w:val="7"/>
  </w:num>
  <w:num w:numId="12">
    <w:abstractNumId w:val="0"/>
  </w:num>
  <w:num w:numId="13">
    <w:abstractNumId w:val="23"/>
  </w:num>
  <w:num w:numId="14">
    <w:abstractNumId w:val="3"/>
  </w:num>
  <w:num w:numId="15">
    <w:abstractNumId w:val="14"/>
  </w:num>
  <w:num w:numId="16">
    <w:abstractNumId w:val="15"/>
  </w:num>
  <w:num w:numId="17">
    <w:abstractNumId w:val="5"/>
  </w:num>
  <w:num w:numId="18">
    <w:abstractNumId w:val="11"/>
  </w:num>
  <w:num w:numId="19">
    <w:abstractNumId w:val="8"/>
  </w:num>
  <w:num w:numId="20">
    <w:abstractNumId w:val="17"/>
  </w:num>
  <w:num w:numId="21">
    <w:abstractNumId w:val="18"/>
  </w:num>
  <w:num w:numId="22">
    <w:abstractNumId w:val="1"/>
  </w:num>
  <w:num w:numId="23">
    <w:abstractNumId w:val="4"/>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0B"/>
    <w:rsid w:val="00003B95"/>
    <w:rsid w:val="000863E0"/>
    <w:rsid w:val="00125666"/>
    <w:rsid w:val="001977C2"/>
    <w:rsid w:val="00345C28"/>
    <w:rsid w:val="00391348"/>
    <w:rsid w:val="003B1813"/>
    <w:rsid w:val="003B658A"/>
    <w:rsid w:val="004063E4"/>
    <w:rsid w:val="00436636"/>
    <w:rsid w:val="00444DE0"/>
    <w:rsid w:val="00481063"/>
    <w:rsid w:val="00485C2A"/>
    <w:rsid w:val="005525B3"/>
    <w:rsid w:val="006823BF"/>
    <w:rsid w:val="0068742F"/>
    <w:rsid w:val="00687A43"/>
    <w:rsid w:val="00696660"/>
    <w:rsid w:val="00881100"/>
    <w:rsid w:val="009109DA"/>
    <w:rsid w:val="009A7C8E"/>
    <w:rsid w:val="00B51787"/>
    <w:rsid w:val="00C32764"/>
    <w:rsid w:val="00CB65BD"/>
    <w:rsid w:val="00CD612A"/>
    <w:rsid w:val="00D06A57"/>
    <w:rsid w:val="00DB1911"/>
    <w:rsid w:val="00DC2E0B"/>
    <w:rsid w:val="00E40C1E"/>
    <w:rsid w:val="00EB530B"/>
    <w:rsid w:val="00FC1136"/>
    <w:rsid w:val="00F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30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B53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30B"/>
    <w:pPr>
      <w:ind w:left="720"/>
      <w:contextualSpacing/>
    </w:pPr>
  </w:style>
  <w:style w:type="paragraph" w:styleId="Title">
    <w:name w:val="Title"/>
    <w:basedOn w:val="Normal"/>
    <w:next w:val="Normal"/>
    <w:link w:val="TitleChar"/>
    <w:uiPriority w:val="10"/>
    <w:qFormat/>
    <w:rsid w:val="0091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DA"/>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68742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30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EB530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30B"/>
    <w:pPr>
      <w:ind w:left="720"/>
      <w:contextualSpacing/>
    </w:pPr>
  </w:style>
  <w:style w:type="paragraph" w:styleId="Title">
    <w:name w:val="Title"/>
    <w:basedOn w:val="Normal"/>
    <w:next w:val="Normal"/>
    <w:link w:val="TitleChar"/>
    <w:uiPriority w:val="10"/>
    <w:qFormat/>
    <w:rsid w:val="0091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DA"/>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6874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Catherine</dc:creator>
  <cp:lastModifiedBy>Frew, Grace</cp:lastModifiedBy>
  <cp:revision>4</cp:revision>
  <dcterms:created xsi:type="dcterms:W3CDTF">2019-01-14T16:51:00Z</dcterms:created>
  <dcterms:modified xsi:type="dcterms:W3CDTF">2019-01-16T08:35:00Z</dcterms:modified>
</cp:coreProperties>
</file>