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0B" w:rsidRPr="00397666" w:rsidRDefault="00EB530B" w:rsidP="00EB530B">
      <w:pPr>
        <w:pStyle w:val="NormalWeb"/>
        <w:shd w:val="clear" w:color="auto" w:fill="FFFFFF"/>
        <w:jc w:val="center"/>
        <w:rPr>
          <w:sz w:val="48"/>
          <w:szCs w:val="48"/>
        </w:rPr>
      </w:pPr>
      <w:r>
        <w:rPr>
          <w:rFonts w:ascii="Arial" w:hAnsi="Arial" w:cs="Arial"/>
          <w:color w:val="51A3D6"/>
          <w:sz w:val="48"/>
          <w:szCs w:val="48"/>
        </w:rPr>
        <w:t>1</w:t>
      </w:r>
      <w:r w:rsidR="0053719E">
        <w:rPr>
          <w:rFonts w:ascii="Arial" w:hAnsi="Arial" w:cs="Arial"/>
          <w:color w:val="51A3D6"/>
          <w:sz w:val="48"/>
          <w:szCs w:val="48"/>
        </w:rPr>
        <w:t>.5 Management of Resources to Promote Equality</w:t>
      </w:r>
    </w:p>
    <w:p w:rsidR="00EB530B" w:rsidRPr="00A0095D" w:rsidRDefault="00EB530B" w:rsidP="00EB530B">
      <w:pPr>
        <w:pStyle w:val="NormalWeb"/>
        <w:shd w:val="clear" w:color="auto" w:fill="FFFFFF"/>
        <w:rPr>
          <w:rFonts w:ascii="Georgia" w:hAnsi="Georgia"/>
          <w:b/>
          <w:sz w:val="28"/>
          <w:szCs w:val="28"/>
        </w:rPr>
      </w:pPr>
      <w:r w:rsidRPr="00A0095D">
        <w:rPr>
          <w:rFonts w:ascii="Georgia" w:hAnsi="Georgia" w:cs="Arial"/>
          <w:b/>
          <w:color w:val="51A3D6"/>
          <w:sz w:val="28"/>
          <w:szCs w:val="28"/>
        </w:rPr>
        <w:t xml:space="preserve">Themes: </w:t>
      </w:r>
    </w:p>
    <w:p w:rsidR="005004DB" w:rsidRPr="0025178C" w:rsidRDefault="0053719E" w:rsidP="0053719E">
      <w:pPr>
        <w:pStyle w:val="NormalWeb"/>
        <w:numPr>
          <w:ilvl w:val="0"/>
          <w:numId w:val="1"/>
        </w:numPr>
        <w:shd w:val="clear" w:color="auto" w:fill="FFFFFF"/>
        <w:rPr>
          <w:rFonts w:ascii="Georgia" w:hAnsi="Georgia"/>
          <w:b/>
          <w:sz w:val="28"/>
          <w:szCs w:val="28"/>
        </w:rPr>
      </w:pPr>
      <w:r w:rsidRPr="0025178C">
        <w:rPr>
          <w:rFonts w:ascii="Georgia" w:hAnsi="Georgia" w:cs="Arial"/>
          <w:b/>
          <w:color w:val="565654"/>
          <w:sz w:val="28"/>
          <w:szCs w:val="28"/>
        </w:rPr>
        <w:t>Management of finance for learning</w:t>
      </w:r>
    </w:p>
    <w:p w:rsidR="0053719E" w:rsidRPr="0025178C" w:rsidRDefault="0053719E" w:rsidP="0053719E">
      <w:pPr>
        <w:pStyle w:val="NormalWeb"/>
        <w:numPr>
          <w:ilvl w:val="0"/>
          <w:numId w:val="1"/>
        </w:numPr>
        <w:shd w:val="clear" w:color="auto" w:fill="FFFFFF"/>
        <w:rPr>
          <w:rFonts w:ascii="Georgia" w:hAnsi="Georgia"/>
          <w:b/>
          <w:sz w:val="28"/>
          <w:szCs w:val="28"/>
        </w:rPr>
      </w:pPr>
      <w:r w:rsidRPr="0025178C">
        <w:rPr>
          <w:rFonts w:ascii="Georgia" w:hAnsi="Georgia" w:cs="Arial"/>
          <w:b/>
          <w:color w:val="565654"/>
          <w:sz w:val="28"/>
          <w:szCs w:val="28"/>
        </w:rPr>
        <w:t>Management of resources and environment for learning</w:t>
      </w:r>
    </w:p>
    <w:p w:rsidR="00EB530B" w:rsidRPr="00A0095D" w:rsidRDefault="000863E0" w:rsidP="00EB530B">
      <w:pPr>
        <w:pStyle w:val="NormalWeb"/>
        <w:shd w:val="clear" w:color="auto" w:fill="FFFFFF"/>
        <w:rPr>
          <w:rFonts w:ascii="Georgia" w:hAnsi="Georgia"/>
          <w:b/>
          <w:sz w:val="28"/>
          <w:szCs w:val="28"/>
        </w:rPr>
      </w:pPr>
      <w:r w:rsidRPr="00A0095D">
        <w:rPr>
          <w:rFonts w:ascii="Georgia" w:hAnsi="Georgia" w:cs="Arial"/>
          <w:b/>
          <w:color w:val="51A3D6"/>
          <w:sz w:val="28"/>
          <w:szCs w:val="28"/>
        </w:rPr>
        <w:t xml:space="preserve">Level 5 </w:t>
      </w:r>
      <w:r w:rsidR="00EB530B" w:rsidRPr="00A0095D">
        <w:rPr>
          <w:rFonts w:ascii="Georgia" w:hAnsi="Georgia" w:cs="Arial"/>
          <w:b/>
          <w:color w:val="51A3D6"/>
          <w:sz w:val="28"/>
          <w:szCs w:val="28"/>
        </w:rPr>
        <w:t xml:space="preserve">Summary: </w:t>
      </w:r>
    </w:p>
    <w:p w:rsidR="005E2F94" w:rsidRDefault="005E2F94" w:rsidP="005E2F94">
      <w:pPr>
        <w:pStyle w:val="ListParagraph"/>
        <w:numPr>
          <w:ilvl w:val="0"/>
          <w:numId w:val="20"/>
        </w:numPr>
        <w:autoSpaceDE w:val="0"/>
        <w:autoSpaceDN w:val="0"/>
        <w:adjustRightInd w:val="0"/>
        <w:rPr>
          <w:rFonts w:ascii="Georgia" w:eastAsiaTheme="minorHAnsi" w:hAnsi="Georgia" w:cs="ArialMT"/>
          <w:b/>
          <w:color w:val="595959" w:themeColor="text1" w:themeTint="A6"/>
          <w:sz w:val="28"/>
          <w:szCs w:val="28"/>
          <w:lang w:val="en-GB"/>
        </w:rPr>
      </w:pPr>
      <w:r w:rsidRPr="0025178C">
        <w:rPr>
          <w:rFonts w:ascii="Georgia" w:eastAsiaTheme="minorHAnsi" w:hAnsi="Georgia" w:cs="Arial"/>
          <w:b/>
          <w:color w:val="595959" w:themeColor="text1" w:themeTint="A6"/>
          <w:sz w:val="28"/>
          <w:szCs w:val="28"/>
          <w:lang w:val="en-GB"/>
        </w:rPr>
        <w:t xml:space="preserve">The impact of the provision and management of the setting’s finances and resources for learning. </w:t>
      </w:r>
      <w:r w:rsidRPr="0025178C">
        <w:rPr>
          <w:rFonts w:ascii="Georgia" w:eastAsiaTheme="minorHAnsi" w:hAnsi="Georgia" w:cs="ArialMT"/>
          <w:b/>
          <w:color w:val="595959" w:themeColor="text1" w:themeTint="A6"/>
          <w:sz w:val="28"/>
          <w:szCs w:val="28"/>
          <w:lang w:val="en-GB"/>
        </w:rPr>
        <w:t>(HGIOELC)</w:t>
      </w:r>
    </w:p>
    <w:p w:rsidR="0025178C" w:rsidRPr="0025178C" w:rsidRDefault="0025178C" w:rsidP="0025178C">
      <w:pPr>
        <w:pStyle w:val="ListParagraph"/>
        <w:autoSpaceDE w:val="0"/>
        <w:autoSpaceDN w:val="0"/>
        <w:adjustRightInd w:val="0"/>
        <w:rPr>
          <w:rFonts w:ascii="Georgia" w:eastAsiaTheme="minorHAnsi" w:hAnsi="Georgia" w:cs="ArialMT"/>
          <w:b/>
          <w:color w:val="595959" w:themeColor="text1" w:themeTint="A6"/>
          <w:sz w:val="28"/>
          <w:szCs w:val="28"/>
          <w:lang w:val="en-GB"/>
        </w:rPr>
      </w:pPr>
    </w:p>
    <w:p w:rsidR="005E2F94" w:rsidRDefault="005E2F94" w:rsidP="005E2F94">
      <w:pPr>
        <w:pStyle w:val="ListParagraph"/>
        <w:numPr>
          <w:ilvl w:val="0"/>
          <w:numId w:val="20"/>
        </w:numPr>
        <w:autoSpaceDE w:val="0"/>
        <w:autoSpaceDN w:val="0"/>
        <w:adjustRightInd w:val="0"/>
        <w:rPr>
          <w:rFonts w:ascii="Georgia" w:eastAsiaTheme="minorHAnsi" w:hAnsi="Georgia" w:cs="ArialMT"/>
          <w:b/>
          <w:color w:val="595959" w:themeColor="text1" w:themeTint="A6"/>
          <w:sz w:val="28"/>
          <w:szCs w:val="28"/>
          <w:lang w:val="en-GB"/>
        </w:rPr>
      </w:pPr>
      <w:r w:rsidRPr="0025178C">
        <w:rPr>
          <w:rFonts w:ascii="Georgia" w:eastAsiaTheme="minorHAnsi" w:hAnsi="Georgia" w:cs="Arial"/>
          <w:b/>
          <w:color w:val="595959" w:themeColor="text1" w:themeTint="A6"/>
          <w:sz w:val="28"/>
          <w:szCs w:val="28"/>
          <w:lang w:val="en-GB"/>
        </w:rPr>
        <w:t xml:space="preserve">The importance of sound management of the setting’s finances and the extent to which the use of resources leads to improved outcomes for children. </w:t>
      </w:r>
      <w:r w:rsidRPr="0025178C">
        <w:rPr>
          <w:rFonts w:ascii="Georgia" w:eastAsiaTheme="minorHAnsi" w:hAnsi="Georgia" w:cs="ArialMT"/>
          <w:b/>
          <w:color w:val="595959" w:themeColor="text1" w:themeTint="A6"/>
          <w:sz w:val="28"/>
          <w:szCs w:val="28"/>
          <w:lang w:val="en-GB"/>
        </w:rPr>
        <w:t>(HGIOELC)</w:t>
      </w:r>
    </w:p>
    <w:p w:rsidR="0025178C" w:rsidRPr="0025178C" w:rsidRDefault="0025178C" w:rsidP="0025178C">
      <w:pPr>
        <w:autoSpaceDE w:val="0"/>
        <w:autoSpaceDN w:val="0"/>
        <w:adjustRightInd w:val="0"/>
        <w:rPr>
          <w:rFonts w:ascii="Georgia" w:eastAsiaTheme="minorHAnsi" w:hAnsi="Georgia" w:cs="ArialMT"/>
          <w:b/>
          <w:color w:val="595959" w:themeColor="text1" w:themeTint="A6"/>
          <w:sz w:val="28"/>
          <w:szCs w:val="28"/>
          <w:lang w:val="en-GB"/>
        </w:rPr>
      </w:pPr>
    </w:p>
    <w:p w:rsidR="00181F7A" w:rsidRDefault="00523AC2" w:rsidP="00181F7A">
      <w:pPr>
        <w:pStyle w:val="ListParagraph"/>
        <w:numPr>
          <w:ilvl w:val="0"/>
          <w:numId w:val="20"/>
        </w:numPr>
        <w:autoSpaceDE w:val="0"/>
        <w:autoSpaceDN w:val="0"/>
        <w:adjustRightInd w:val="0"/>
        <w:rPr>
          <w:rFonts w:ascii="Georgia" w:eastAsiaTheme="minorHAnsi" w:hAnsi="Georgia" w:cs="ArialMT"/>
          <w:b/>
          <w:color w:val="595959" w:themeColor="text1" w:themeTint="A6"/>
          <w:sz w:val="28"/>
          <w:szCs w:val="28"/>
          <w:lang w:val="en-GB"/>
        </w:rPr>
      </w:pPr>
      <w:r w:rsidRPr="0025178C">
        <w:rPr>
          <w:rFonts w:ascii="Georgia" w:eastAsiaTheme="minorHAnsi" w:hAnsi="Georgia" w:cs="ArialMT"/>
          <w:b/>
          <w:color w:val="595959" w:themeColor="text1" w:themeTint="A6"/>
          <w:sz w:val="28"/>
          <w:szCs w:val="28"/>
          <w:lang w:val="en-GB"/>
        </w:rPr>
        <w:t>T</w:t>
      </w:r>
      <w:r w:rsidR="00181F7A" w:rsidRPr="0025178C">
        <w:rPr>
          <w:rFonts w:ascii="Georgia" w:eastAsiaTheme="minorHAnsi" w:hAnsi="Georgia" w:cs="ArialMT"/>
          <w:b/>
          <w:color w:val="595959" w:themeColor="text1" w:themeTint="A6"/>
          <w:sz w:val="28"/>
          <w:szCs w:val="28"/>
          <w:lang w:val="en-GB"/>
        </w:rPr>
        <w:t xml:space="preserve">he importance of sound risk assessment which puts the needs of learners at the centre of decisions about financial and other resource management. </w:t>
      </w:r>
      <w:r w:rsidR="005E2F94" w:rsidRPr="0025178C">
        <w:rPr>
          <w:rFonts w:ascii="Georgia" w:eastAsiaTheme="minorHAnsi" w:hAnsi="Georgia" w:cs="ArialMT"/>
          <w:b/>
          <w:color w:val="595959" w:themeColor="text1" w:themeTint="A6"/>
          <w:sz w:val="28"/>
          <w:szCs w:val="28"/>
          <w:lang w:val="en-GB"/>
        </w:rPr>
        <w:t>(HGIOS4)</w:t>
      </w:r>
    </w:p>
    <w:p w:rsidR="0025178C" w:rsidRPr="0025178C" w:rsidRDefault="0025178C" w:rsidP="0025178C">
      <w:pPr>
        <w:pStyle w:val="ListParagraph"/>
        <w:rPr>
          <w:rFonts w:ascii="Georgia" w:eastAsiaTheme="minorHAnsi" w:hAnsi="Georgia" w:cs="ArialMT"/>
          <w:b/>
          <w:color w:val="595959" w:themeColor="text1" w:themeTint="A6"/>
          <w:sz w:val="28"/>
          <w:szCs w:val="28"/>
          <w:lang w:val="en-GB"/>
        </w:rPr>
      </w:pPr>
    </w:p>
    <w:p w:rsidR="0025178C" w:rsidRPr="0025178C" w:rsidRDefault="0025178C" w:rsidP="0025178C">
      <w:pPr>
        <w:pStyle w:val="ListParagraph"/>
        <w:autoSpaceDE w:val="0"/>
        <w:autoSpaceDN w:val="0"/>
        <w:adjustRightInd w:val="0"/>
        <w:rPr>
          <w:rFonts w:ascii="Georgia" w:eastAsiaTheme="minorHAnsi" w:hAnsi="Georgia" w:cs="ArialMT"/>
          <w:b/>
          <w:color w:val="595959" w:themeColor="text1" w:themeTint="A6"/>
          <w:sz w:val="28"/>
          <w:szCs w:val="28"/>
          <w:lang w:val="en-GB"/>
        </w:rPr>
      </w:pPr>
    </w:p>
    <w:p w:rsidR="00181F7A" w:rsidRDefault="00181F7A" w:rsidP="00181F7A">
      <w:pPr>
        <w:pStyle w:val="ListParagraph"/>
        <w:numPr>
          <w:ilvl w:val="0"/>
          <w:numId w:val="20"/>
        </w:numPr>
        <w:autoSpaceDE w:val="0"/>
        <w:autoSpaceDN w:val="0"/>
        <w:adjustRightInd w:val="0"/>
        <w:rPr>
          <w:rFonts w:ascii="Georgia" w:eastAsiaTheme="minorHAnsi" w:hAnsi="Georgia" w:cs="ArialMT"/>
          <w:b/>
          <w:color w:val="585757"/>
          <w:sz w:val="28"/>
          <w:szCs w:val="28"/>
          <w:lang w:val="en-GB"/>
        </w:rPr>
      </w:pPr>
      <w:r w:rsidRPr="0025178C">
        <w:rPr>
          <w:rFonts w:ascii="Georgia" w:eastAsiaTheme="minorHAnsi" w:hAnsi="Georgia" w:cs="ArialMT"/>
          <w:b/>
          <w:color w:val="585757"/>
          <w:sz w:val="28"/>
          <w:szCs w:val="28"/>
          <w:lang w:val="en-GB"/>
        </w:rPr>
        <w:t xml:space="preserve">The promotion of equity is a shared responsibility held by all staff, partners and stakeholders. </w:t>
      </w:r>
      <w:r w:rsidR="005E2F94" w:rsidRPr="0025178C">
        <w:rPr>
          <w:rFonts w:ascii="Georgia" w:eastAsiaTheme="minorHAnsi" w:hAnsi="Georgia" w:cs="ArialMT"/>
          <w:b/>
          <w:color w:val="585757"/>
          <w:sz w:val="28"/>
          <w:szCs w:val="28"/>
          <w:lang w:val="en-GB"/>
        </w:rPr>
        <w:t>(HGIOS4)</w:t>
      </w:r>
    </w:p>
    <w:p w:rsidR="0025178C" w:rsidRDefault="0025178C" w:rsidP="0025178C">
      <w:pPr>
        <w:autoSpaceDE w:val="0"/>
        <w:autoSpaceDN w:val="0"/>
        <w:adjustRightInd w:val="0"/>
        <w:rPr>
          <w:rFonts w:ascii="Georgia" w:eastAsiaTheme="minorHAnsi" w:hAnsi="Georgia" w:cs="ArialMT"/>
          <w:b/>
          <w:color w:val="585757"/>
          <w:sz w:val="28"/>
          <w:szCs w:val="28"/>
          <w:lang w:val="en-GB"/>
        </w:rPr>
      </w:pPr>
    </w:p>
    <w:p w:rsidR="0025178C" w:rsidRPr="0025178C" w:rsidRDefault="0025178C" w:rsidP="0025178C">
      <w:pPr>
        <w:autoSpaceDE w:val="0"/>
        <w:autoSpaceDN w:val="0"/>
        <w:adjustRightInd w:val="0"/>
        <w:rPr>
          <w:rFonts w:ascii="Georgia" w:eastAsiaTheme="minorHAnsi" w:hAnsi="Georgia" w:cs="ArialMT"/>
          <w:b/>
          <w:color w:val="585757"/>
          <w:sz w:val="28"/>
          <w:szCs w:val="28"/>
          <w:lang w:val="en-GB"/>
        </w:rPr>
      </w:pPr>
    </w:p>
    <w:p w:rsidR="005004DB" w:rsidRDefault="005E2F94" w:rsidP="00181F7A">
      <w:pPr>
        <w:pStyle w:val="ListParagraph"/>
        <w:numPr>
          <w:ilvl w:val="0"/>
          <w:numId w:val="20"/>
        </w:numPr>
        <w:autoSpaceDE w:val="0"/>
        <w:autoSpaceDN w:val="0"/>
        <w:adjustRightInd w:val="0"/>
        <w:rPr>
          <w:rFonts w:ascii="Georgia" w:eastAsiaTheme="minorHAnsi" w:hAnsi="Georgia" w:cs="ArialMT"/>
          <w:b/>
          <w:color w:val="585757"/>
          <w:sz w:val="28"/>
          <w:szCs w:val="28"/>
          <w:lang w:val="en-GB"/>
        </w:rPr>
      </w:pPr>
      <w:r w:rsidRPr="0025178C">
        <w:rPr>
          <w:rFonts w:ascii="Georgia" w:eastAsiaTheme="minorHAnsi" w:hAnsi="Georgia" w:cs="ArialMT"/>
          <w:b/>
          <w:color w:val="585757"/>
          <w:sz w:val="28"/>
          <w:szCs w:val="28"/>
          <w:lang w:val="en-GB"/>
        </w:rPr>
        <w:t>The</w:t>
      </w:r>
      <w:r w:rsidR="00181F7A" w:rsidRPr="0025178C">
        <w:rPr>
          <w:rFonts w:ascii="Georgia" w:eastAsiaTheme="minorHAnsi" w:hAnsi="Georgia" w:cs="ArialMT"/>
          <w:b/>
          <w:color w:val="585757"/>
          <w:sz w:val="28"/>
          <w:szCs w:val="28"/>
          <w:lang w:val="en-GB"/>
        </w:rPr>
        <w:t xml:space="preserve"> management of resources should result in building a more sustainable and equitable future for all.</w:t>
      </w:r>
      <w:r w:rsidRPr="0025178C">
        <w:rPr>
          <w:rFonts w:ascii="Georgia" w:eastAsiaTheme="minorHAnsi" w:hAnsi="Georgia" w:cs="ArialMT"/>
          <w:b/>
          <w:color w:val="585757"/>
          <w:sz w:val="28"/>
          <w:szCs w:val="28"/>
          <w:lang w:val="en-GB"/>
        </w:rPr>
        <w:t xml:space="preserve"> (HGIOELC/HGIOS4)</w:t>
      </w:r>
    </w:p>
    <w:p w:rsidR="0025178C" w:rsidRDefault="0025178C" w:rsidP="0025178C">
      <w:pPr>
        <w:autoSpaceDE w:val="0"/>
        <w:autoSpaceDN w:val="0"/>
        <w:adjustRightInd w:val="0"/>
        <w:ind w:left="360"/>
        <w:rPr>
          <w:rFonts w:ascii="Georgia" w:eastAsiaTheme="minorHAnsi" w:hAnsi="Georgia" w:cs="ArialMT"/>
          <w:b/>
          <w:color w:val="585757"/>
          <w:sz w:val="28"/>
          <w:szCs w:val="28"/>
          <w:lang w:val="en-GB"/>
        </w:rPr>
      </w:pPr>
    </w:p>
    <w:p w:rsidR="0025178C" w:rsidRDefault="0025178C" w:rsidP="0025178C">
      <w:pPr>
        <w:autoSpaceDE w:val="0"/>
        <w:autoSpaceDN w:val="0"/>
        <w:adjustRightInd w:val="0"/>
        <w:ind w:left="360"/>
        <w:rPr>
          <w:rFonts w:ascii="Georgia" w:eastAsiaTheme="minorHAnsi" w:hAnsi="Georgia" w:cs="ArialMT"/>
          <w:b/>
          <w:color w:val="585757"/>
          <w:sz w:val="28"/>
          <w:szCs w:val="28"/>
          <w:lang w:val="en-GB"/>
        </w:rPr>
      </w:pPr>
    </w:p>
    <w:p w:rsidR="0025178C" w:rsidRPr="0025178C" w:rsidRDefault="0025178C" w:rsidP="0025178C">
      <w:pPr>
        <w:autoSpaceDE w:val="0"/>
        <w:autoSpaceDN w:val="0"/>
        <w:adjustRightInd w:val="0"/>
        <w:ind w:left="360"/>
        <w:rPr>
          <w:rFonts w:ascii="Georgia" w:eastAsiaTheme="minorHAnsi" w:hAnsi="Georgia" w:cs="ArialMT"/>
          <w:i/>
          <w:color w:val="585757"/>
          <w:sz w:val="28"/>
          <w:szCs w:val="28"/>
          <w:lang w:val="en-GB"/>
        </w:rPr>
      </w:pPr>
      <w:r>
        <w:rPr>
          <w:rFonts w:ascii="Georgia" w:eastAsiaTheme="minorHAnsi" w:hAnsi="Georgia" w:cs="ArialMT"/>
          <w:i/>
          <w:color w:val="585757"/>
          <w:sz w:val="28"/>
          <w:szCs w:val="28"/>
          <w:lang w:val="en-GB"/>
        </w:rPr>
        <w:t xml:space="preserve">White boxes in the document </w:t>
      </w:r>
      <w:proofErr w:type="gramStart"/>
      <w:r>
        <w:rPr>
          <w:rFonts w:ascii="Georgia" w:eastAsiaTheme="minorHAnsi" w:hAnsi="Georgia" w:cs="ArialMT"/>
          <w:i/>
          <w:color w:val="585757"/>
          <w:sz w:val="28"/>
          <w:szCs w:val="28"/>
          <w:lang w:val="en-GB"/>
        </w:rPr>
        <w:t>below  are</w:t>
      </w:r>
      <w:proofErr w:type="gramEnd"/>
      <w:r>
        <w:rPr>
          <w:rFonts w:ascii="Georgia" w:eastAsiaTheme="minorHAnsi" w:hAnsi="Georgia" w:cs="ArialMT"/>
          <w:i/>
          <w:color w:val="585757"/>
          <w:sz w:val="28"/>
          <w:szCs w:val="28"/>
          <w:lang w:val="en-GB"/>
        </w:rPr>
        <w:t xml:space="preserve"> for HGIELC, blue for HGIOS 4</w:t>
      </w:r>
    </w:p>
    <w:p w:rsidR="0025178C" w:rsidRPr="0025178C" w:rsidRDefault="0025178C" w:rsidP="0025178C">
      <w:pPr>
        <w:autoSpaceDE w:val="0"/>
        <w:autoSpaceDN w:val="0"/>
        <w:adjustRightInd w:val="0"/>
        <w:rPr>
          <w:rFonts w:ascii="Georgia" w:eastAsiaTheme="minorHAnsi" w:hAnsi="Georgia" w:cs="ArialMT"/>
          <w:b/>
          <w:color w:val="585757"/>
          <w:sz w:val="28"/>
          <w:szCs w:val="28"/>
          <w:lang w:val="en-GB"/>
        </w:rPr>
      </w:pPr>
    </w:p>
    <w:p w:rsidR="0025178C" w:rsidRPr="0025178C" w:rsidRDefault="0025178C" w:rsidP="0025178C">
      <w:pPr>
        <w:autoSpaceDE w:val="0"/>
        <w:autoSpaceDN w:val="0"/>
        <w:adjustRightInd w:val="0"/>
        <w:rPr>
          <w:rFonts w:ascii="Georgia" w:eastAsiaTheme="minorHAnsi" w:hAnsi="Georgia" w:cs="ArialMT"/>
          <w:b/>
          <w:color w:val="585757"/>
          <w:sz w:val="28"/>
          <w:szCs w:val="28"/>
          <w:lang w:val="en-GB"/>
        </w:rPr>
      </w:pPr>
    </w:p>
    <w:p w:rsidR="0025178C" w:rsidRPr="0025178C" w:rsidRDefault="0025178C" w:rsidP="0025178C">
      <w:pPr>
        <w:autoSpaceDE w:val="0"/>
        <w:autoSpaceDN w:val="0"/>
        <w:adjustRightInd w:val="0"/>
        <w:rPr>
          <w:rFonts w:ascii="Georgia" w:eastAsiaTheme="minorHAnsi" w:hAnsi="Georgia" w:cs="ArialMT"/>
          <w:b/>
          <w:color w:val="585757"/>
          <w:sz w:val="28"/>
          <w:szCs w:val="28"/>
          <w:lang w:val="en-GB"/>
        </w:rPr>
      </w:pPr>
    </w:p>
    <w:p w:rsidR="0025178C" w:rsidRPr="0025178C" w:rsidRDefault="0025178C" w:rsidP="0025178C">
      <w:pPr>
        <w:autoSpaceDE w:val="0"/>
        <w:autoSpaceDN w:val="0"/>
        <w:adjustRightInd w:val="0"/>
        <w:rPr>
          <w:rFonts w:ascii="Georgia" w:eastAsiaTheme="minorHAnsi" w:hAnsi="Georgia" w:cs="ArialMT"/>
          <w:b/>
          <w:color w:val="585757"/>
          <w:sz w:val="28"/>
          <w:szCs w:val="28"/>
          <w:lang w:val="en-GB"/>
        </w:rPr>
      </w:pPr>
    </w:p>
    <w:p w:rsidR="00A0095D" w:rsidRDefault="00A0095D" w:rsidP="009109DA">
      <w:pPr>
        <w:rPr>
          <w:lang w:val="en-GB"/>
        </w:rPr>
      </w:pPr>
    </w:p>
    <w:tbl>
      <w:tblPr>
        <w:tblStyle w:val="TableGrid"/>
        <w:tblpPr w:leftFromText="180" w:rightFromText="180" w:vertAnchor="text" w:horzAnchor="margin" w:tblpY="196"/>
        <w:tblW w:w="0" w:type="auto"/>
        <w:tblLook w:val="04A0" w:firstRow="1" w:lastRow="0" w:firstColumn="1" w:lastColumn="0" w:noHBand="0" w:noVBand="1"/>
      </w:tblPr>
      <w:tblGrid>
        <w:gridCol w:w="4077"/>
        <w:gridCol w:w="5812"/>
        <w:gridCol w:w="5727"/>
      </w:tblGrid>
      <w:tr w:rsidR="00DB1911" w:rsidTr="00881100">
        <w:tc>
          <w:tcPr>
            <w:tcW w:w="4077" w:type="dxa"/>
            <w:shd w:val="clear" w:color="auto" w:fill="C6D9F1" w:themeFill="text2" w:themeFillTint="33"/>
          </w:tcPr>
          <w:p w:rsidR="00DB1911" w:rsidRPr="003D6516" w:rsidRDefault="00DB1911" w:rsidP="00DB1911">
            <w:pPr>
              <w:jc w:val="center"/>
              <w:rPr>
                <w:b/>
                <w:sz w:val="28"/>
                <w:szCs w:val="28"/>
              </w:rPr>
            </w:pPr>
          </w:p>
          <w:p w:rsidR="00DB1911" w:rsidRPr="003D6516" w:rsidRDefault="00881100" w:rsidP="00DB1911">
            <w:pPr>
              <w:jc w:val="center"/>
              <w:rPr>
                <w:b/>
                <w:sz w:val="28"/>
                <w:szCs w:val="28"/>
              </w:rPr>
            </w:pPr>
            <w:r>
              <w:rPr>
                <w:b/>
                <w:sz w:val="28"/>
                <w:szCs w:val="28"/>
              </w:rPr>
              <w:t>Highly effective practice</w:t>
            </w:r>
          </w:p>
          <w:p w:rsidR="00DB1911" w:rsidRPr="003D6516" w:rsidRDefault="00DB1911" w:rsidP="00DB1911">
            <w:pPr>
              <w:jc w:val="center"/>
              <w:rPr>
                <w:rFonts w:ascii="Georgia" w:hAnsi="Georgia" w:cs="Arial"/>
                <w:sz w:val="20"/>
                <w:szCs w:val="20"/>
              </w:rPr>
            </w:pPr>
          </w:p>
          <w:p w:rsidR="00DB1911" w:rsidRPr="003D6516" w:rsidRDefault="00DB1911" w:rsidP="00DB1911">
            <w:pPr>
              <w:jc w:val="center"/>
              <w:rPr>
                <w:rFonts w:ascii="Georgia" w:hAnsi="Georgia" w:cs="Arial"/>
                <w:sz w:val="20"/>
                <w:szCs w:val="20"/>
              </w:rPr>
            </w:pPr>
          </w:p>
        </w:tc>
        <w:tc>
          <w:tcPr>
            <w:tcW w:w="5812" w:type="dxa"/>
            <w:shd w:val="clear" w:color="auto" w:fill="C6D9F1" w:themeFill="text2" w:themeFillTint="33"/>
            <w:vAlign w:val="center"/>
          </w:tcPr>
          <w:p w:rsidR="00DB1911" w:rsidRPr="003D6516" w:rsidRDefault="00DB1911" w:rsidP="00DB1911">
            <w:pPr>
              <w:jc w:val="center"/>
              <w:rPr>
                <w:b/>
                <w:sz w:val="28"/>
                <w:szCs w:val="28"/>
              </w:rPr>
            </w:pPr>
          </w:p>
          <w:p w:rsidR="00DB1911" w:rsidRPr="003D6516" w:rsidRDefault="00DB1911" w:rsidP="00DB1911">
            <w:pPr>
              <w:jc w:val="center"/>
              <w:rPr>
                <w:b/>
                <w:sz w:val="28"/>
                <w:szCs w:val="28"/>
              </w:rPr>
            </w:pPr>
            <w:r>
              <w:rPr>
                <w:b/>
                <w:sz w:val="28"/>
                <w:szCs w:val="28"/>
              </w:rPr>
              <w:t>What’s working well?</w:t>
            </w:r>
          </w:p>
          <w:p w:rsidR="00DB1911" w:rsidRPr="003D6516" w:rsidRDefault="0025178C" w:rsidP="0025178C">
            <w:pPr>
              <w:jc w:val="center"/>
              <w:rPr>
                <w:rFonts w:ascii="Georgia" w:hAnsi="Georgia" w:cs="Arial"/>
                <w:sz w:val="20"/>
                <w:szCs w:val="20"/>
              </w:rPr>
            </w:pPr>
            <w:r w:rsidRPr="000F56B2">
              <w:rPr>
                <w:b/>
                <w:color w:val="595959"/>
              </w:rPr>
              <w:t>What’s working well for your learners?</w:t>
            </w:r>
            <w:bookmarkStart w:id="0" w:name="_GoBack"/>
            <w:bookmarkEnd w:id="0"/>
          </w:p>
        </w:tc>
        <w:tc>
          <w:tcPr>
            <w:tcW w:w="5727" w:type="dxa"/>
            <w:shd w:val="clear" w:color="auto" w:fill="C6D9F1" w:themeFill="text2" w:themeFillTint="33"/>
            <w:vAlign w:val="center"/>
          </w:tcPr>
          <w:p w:rsidR="00DB1911" w:rsidRDefault="00DB1911" w:rsidP="00DB1911">
            <w:pPr>
              <w:jc w:val="center"/>
              <w:rPr>
                <w:b/>
                <w:sz w:val="28"/>
                <w:szCs w:val="28"/>
              </w:rPr>
            </w:pPr>
          </w:p>
          <w:p w:rsidR="00DB1911" w:rsidRPr="003D6516" w:rsidRDefault="00DB1911" w:rsidP="00DB1911">
            <w:pPr>
              <w:jc w:val="center"/>
              <w:rPr>
                <w:b/>
                <w:sz w:val="28"/>
                <w:szCs w:val="28"/>
              </w:rPr>
            </w:pPr>
            <w:r>
              <w:rPr>
                <w:b/>
                <w:sz w:val="28"/>
                <w:szCs w:val="28"/>
              </w:rPr>
              <w:t>How do you know?</w:t>
            </w:r>
          </w:p>
          <w:p w:rsidR="00DB1911" w:rsidRDefault="0025178C" w:rsidP="00DB1911">
            <w:pPr>
              <w:jc w:val="center"/>
              <w:rPr>
                <w:b/>
                <w:sz w:val="28"/>
                <w:szCs w:val="28"/>
              </w:rPr>
            </w:pPr>
            <w:r w:rsidRPr="000F56B2">
              <w:rPr>
                <w:b/>
                <w:color w:val="595959"/>
              </w:rPr>
              <w:t>What evidence do you have of positive impact on learners?</w:t>
            </w:r>
          </w:p>
        </w:tc>
      </w:tr>
      <w:tr w:rsidR="00C129AE" w:rsidTr="00881100">
        <w:tc>
          <w:tcPr>
            <w:tcW w:w="4077" w:type="dxa"/>
          </w:tcPr>
          <w:p w:rsidR="00571C23" w:rsidRDefault="00C129AE" w:rsidP="00C129AE">
            <w:pPr>
              <w:pStyle w:val="Default"/>
              <w:rPr>
                <w:rFonts w:ascii="Georgia" w:hAnsi="Georgia"/>
              </w:rPr>
            </w:pPr>
            <w:r w:rsidRPr="00C129AE">
              <w:rPr>
                <w:rFonts w:ascii="Georgia" w:hAnsi="Georgia"/>
              </w:rPr>
              <w:t>Our use of financial resources is transparent and ensures equity for all.</w:t>
            </w:r>
            <w:r>
              <w:rPr>
                <w:rFonts w:ascii="Georgia" w:hAnsi="Georgia"/>
              </w:rPr>
              <w:t xml:space="preserve"> </w:t>
            </w:r>
          </w:p>
          <w:p w:rsidR="00C129AE" w:rsidRPr="00C129AE" w:rsidRDefault="00C129AE" w:rsidP="00C129AE">
            <w:pPr>
              <w:pStyle w:val="Default"/>
              <w:rPr>
                <w:rFonts w:ascii="Georgia" w:hAnsi="Georgia"/>
              </w:rPr>
            </w:pPr>
            <w:r>
              <w:rPr>
                <w:rFonts w:ascii="Georgia" w:hAnsi="Georgia"/>
              </w:rPr>
              <w:t>(HGIOELC)</w:t>
            </w:r>
          </w:p>
          <w:p w:rsidR="00C129AE" w:rsidRDefault="00C129AE" w:rsidP="00DB1911">
            <w:pPr>
              <w:rPr>
                <w:rFonts w:ascii="Georgia" w:hAnsi="Georgia" w:cs="Arial"/>
              </w:rPr>
            </w:pPr>
          </w:p>
          <w:p w:rsidR="00571C23" w:rsidRPr="00C129AE" w:rsidRDefault="00571C23" w:rsidP="00DB1911">
            <w:pPr>
              <w:rPr>
                <w:rFonts w:ascii="Georgia" w:hAnsi="Georgia" w:cs="Arial"/>
              </w:rPr>
            </w:pPr>
          </w:p>
        </w:tc>
        <w:tc>
          <w:tcPr>
            <w:tcW w:w="5812" w:type="dxa"/>
          </w:tcPr>
          <w:p w:rsidR="00C129AE" w:rsidRDefault="00C129AE" w:rsidP="00DB1911"/>
        </w:tc>
        <w:tc>
          <w:tcPr>
            <w:tcW w:w="5727" w:type="dxa"/>
          </w:tcPr>
          <w:p w:rsidR="00C129AE" w:rsidRDefault="00C129AE" w:rsidP="00DB1911"/>
        </w:tc>
      </w:tr>
      <w:tr w:rsidR="00DB1911" w:rsidTr="0025178C">
        <w:tc>
          <w:tcPr>
            <w:tcW w:w="4077" w:type="dxa"/>
            <w:shd w:val="clear" w:color="auto" w:fill="F2F2F2" w:themeFill="background1" w:themeFillShade="F2"/>
          </w:tcPr>
          <w:p w:rsidR="00DB1911" w:rsidRPr="00C129AE" w:rsidRDefault="002321E1" w:rsidP="00DB1911">
            <w:pPr>
              <w:rPr>
                <w:rFonts w:ascii="Georgia" w:hAnsi="Georgia" w:cs="Arial"/>
              </w:rPr>
            </w:pPr>
            <w:r w:rsidRPr="00C129AE">
              <w:rPr>
                <w:rFonts w:ascii="Georgia" w:hAnsi="Georgia" w:cs="Arial"/>
              </w:rPr>
              <w:t>Staff have a shared understanding of what impacts on child poverty and make effective use of current available data on levels of child poverty and  apply this to ensure equality</w:t>
            </w:r>
          </w:p>
          <w:p w:rsidR="002321E1" w:rsidRPr="00C129AE" w:rsidRDefault="002321E1" w:rsidP="00DB1911">
            <w:pPr>
              <w:rPr>
                <w:rFonts w:ascii="Georgia" w:hAnsi="Georgia" w:cs="Arial"/>
              </w:rPr>
            </w:pPr>
          </w:p>
          <w:p w:rsidR="002321E1" w:rsidRPr="00C129AE" w:rsidRDefault="002321E1" w:rsidP="00DB1911">
            <w:pPr>
              <w:rPr>
                <w:rFonts w:ascii="Georgia" w:hAnsi="Georgia"/>
              </w:rPr>
            </w:pPr>
          </w:p>
        </w:tc>
        <w:tc>
          <w:tcPr>
            <w:tcW w:w="5812" w:type="dxa"/>
            <w:shd w:val="clear" w:color="auto" w:fill="F2F2F2" w:themeFill="background1" w:themeFillShade="F2"/>
          </w:tcPr>
          <w:p w:rsidR="00DB1911" w:rsidRDefault="00DB1911" w:rsidP="00DB1911"/>
        </w:tc>
        <w:tc>
          <w:tcPr>
            <w:tcW w:w="5727" w:type="dxa"/>
            <w:shd w:val="clear" w:color="auto" w:fill="F2F2F2" w:themeFill="background1" w:themeFillShade="F2"/>
          </w:tcPr>
          <w:p w:rsidR="00DB1911" w:rsidRDefault="00DB1911" w:rsidP="00DB1911"/>
        </w:tc>
      </w:tr>
      <w:tr w:rsidR="00C129AE" w:rsidTr="00881100">
        <w:trPr>
          <w:trHeight w:val="963"/>
        </w:trPr>
        <w:tc>
          <w:tcPr>
            <w:tcW w:w="4077" w:type="dxa"/>
          </w:tcPr>
          <w:p w:rsidR="00571C23" w:rsidRDefault="00C129AE" w:rsidP="00881100">
            <w:pPr>
              <w:jc w:val="both"/>
              <w:rPr>
                <w:rFonts w:ascii="Georgia" w:hAnsi="Georgia"/>
              </w:rPr>
            </w:pPr>
            <w:r w:rsidRPr="00C129AE">
              <w:rPr>
                <w:rFonts w:ascii="Georgia" w:hAnsi="Georgia"/>
              </w:rPr>
              <w:t>Financial decisions are made in line with the setting’s vision and aims to achieve planned priorities. There is clear and measurable impact of financial expenditure on improving outcomes for learners</w:t>
            </w:r>
            <w:r>
              <w:rPr>
                <w:rFonts w:ascii="Georgia" w:hAnsi="Georgia"/>
              </w:rPr>
              <w:t xml:space="preserve">. </w:t>
            </w:r>
          </w:p>
          <w:p w:rsidR="00C129AE" w:rsidRDefault="00C129AE" w:rsidP="00881100">
            <w:pPr>
              <w:jc w:val="both"/>
              <w:rPr>
                <w:rFonts w:ascii="Georgia" w:hAnsi="Georgia"/>
              </w:rPr>
            </w:pPr>
            <w:r>
              <w:rPr>
                <w:rFonts w:ascii="Georgia" w:hAnsi="Georgia"/>
              </w:rPr>
              <w:t>(HGIOELC)</w:t>
            </w:r>
          </w:p>
          <w:p w:rsidR="0025178C" w:rsidRPr="00C129AE" w:rsidRDefault="0025178C" w:rsidP="00881100">
            <w:pPr>
              <w:jc w:val="both"/>
              <w:rPr>
                <w:rFonts w:ascii="Georgia" w:hAnsi="Georgia"/>
              </w:rPr>
            </w:pPr>
          </w:p>
        </w:tc>
        <w:tc>
          <w:tcPr>
            <w:tcW w:w="5812" w:type="dxa"/>
          </w:tcPr>
          <w:p w:rsidR="00C129AE" w:rsidRDefault="00C129AE" w:rsidP="00DB1911"/>
        </w:tc>
        <w:tc>
          <w:tcPr>
            <w:tcW w:w="5727" w:type="dxa"/>
          </w:tcPr>
          <w:p w:rsidR="00C129AE" w:rsidRDefault="00C129AE" w:rsidP="00DB1911"/>
        </w:tc>
      </w:tr>
      <w:tr w:rsidR="00DB1911" w:rsidTr="0025178C">
        <w:trPr>
          <w:trHeight w:val="963"/>
        </w:trPr>
        <w:tc>
          <w:tcPr>
            <w:tcW w:w="4077" w:type="dxa"/>
            <w:shd w:val="clear" w:color="auto" w:fill="F2F2F2" w:themeFill="background1" w:themeFillShade="F2"/>
          </w:tcPr>
          <w:p w:rsidR="00DB1911" w:rsidRPr="00C129AE" w:rsidRDefault="002321E1" w:rsidP="00881100">
            <w:pPr>
              <w:jc w:val="both"/>
              <w:rPr>
                <w:rFonts w:ascii="Georgia" w:hAnsi="Georgia"/>
              </w:rPr>
            </w:pPr>
            <w:r w:rsidRPr="00C129AE">
              <w:rPr>
                <w:rFonts w:ascii="Georgia" w:hAnsi="Georgia"/>
              </w:rPr>
              <w:t>The school can evidence that decisions about expenditure have resulted in increased attainment and achievement</w:t>
            </w:r>
          </w:p>
          <w:p w:rsidR="00DB1911" w:rsidRPr="00C129AE" w:rsidRDefault="00DB1911" w:rsidP="00881100">
            <w:pPr>
              <w:jc w:val="both"/>
              <w:rPr>
                <w:rFonts w:ascii="Georgia" w:hAnsi="Georgia"/>
              </w:rPr>
            </w:pPr>
          </w:p>
          <w:p w:rsidR="00DB1911" w:rsidRPr="00C129AE" w:rsidRDefault="00DB1911" w:rsidP="00881100">
            <w:pPr>
              <w:jc w:val="both"/>
              <w:rPr>
                <w:rFonts w:ascii="Georgia" w:hAnsi="Georgia"/>
              </w:rPr>
            </w:pPr>
          </w:p>
          <w:p w:rsidR="00DB1911" w:rsidRPr="00C129AE" w:rsidRDefault="00DB1911" w:rsidP="00881100">
            <w:pPr>
              <w:jc w:val="both"/>
              <w:rPr>
                <w:rFonts w:ascii="Georgia" w:hAnsi="Georgia"/>
              </w:rPr>
            </w:pPr>
          </w:p>
        </w:tc>
        <w:tc>
          <w:tcPr>
            <w:tcW w:w="5812" w:type="dxa"/>
            <w:shd w:val="clear" w:color="auto" w:fill="F2F2F2" w:themeFill="background1" w:themeFillShade="F2"/>
          </w:tcPr>
          <w:p w:rsidR="00DB1911" w:rsidRDefault="00DB1911" w:rsidP="00DB1911"/>
        </w:tc>
        <w:tc>
          <w:tcPr>
            <w:tcW w:w="5727" w:type="dxa"/>
            <w:shd w:val="clear" w:color="auto" w:fill="F2F2F2" w:themeFill="background1" w:themeFillShade="F2"/>
          </w:tcPr>
          <w:p w:rsidR="00DB1911" w:rsidRDefault="00DB1911" w:rsidP="00DB1911"/>
        </w:tc>
      </w:tr>
      <w:tr w:rsidR="00C129AE" w:rsidTr="00881100">
        <w:trPr>
          <w:trHeight w:val="963"/>
        </w:trPr>
        <w:tc>
          <w:tcPr>
            <w:tcW w:w="4077" w:type="dxa"/>
          </w:tcPr>
          <w:p w:rsidR="00571C23" w:rsidRDefault="00C129AE" w:rsidP="00C129AE">
            <w:pPr>
              <w:pStyle w:val="Default"/>
              <w:jc w:val="both"/>
              <w:rPr>
                <w:rFonts w:ascii="Georgia" w:hAnsi="Georgia"/>
              </w:rPr>
            </w:pPr>
            <w:r w:rsidRPr="00C129AE">
              <w:rPr>
                <w:rFonts w:ascii="Georgia" w:hAnsi="Georgia"/>
              </w:rPr>
              <w:lastRenderedPageBreak/>
              <w:t>Practitioners are clear of their shared responsibility for keeping everyone safe. They are proactive in ensuring the accommodation is secure and any health and safety issues are identified and addressed pro</w:t>
            </w:r>
            <w:r>
              <w:rPr>
                <w:rFonts w:ascii="Georgia" w:hAnsi="Georgia"/>
              </w:rPr>
              <w:t xml:space="preserve">mptly. </w:t>
            </w:r>
          </w:p>
          <w:p w:rsidR="00C129AE" w:rsidRPr="00C129AE" w:rsidRDefault="00C129AE" w:rsidP="00C129AE">
            <w:pPr>
              <w:pStyle w:val="Default"/>
              <w:jc w:val="both"/>
              <w:rPr>
                <w:rFonts w:ascii="Georgia" w:hAnsi="Georgia"/>
              </w:rPr>
            </w:pPr>
            <w:r>
              <w:rPr>
                <w:rFonts w:ascii="Georgia" w:hAnsi="Georgia"/>
              </w:rPr>
              <w:t>(HGIOELC)</w:t>
            </w:r>
          </w:p>
          <w:p w:rsidR="00C129AE" w:rsidRPr="00C129AE" w:rsidRDefault="00C129AE" w:rsidP="006166C7">
            <w:pPr>
              <w:pStyle w:val="NormalWeb"/>
              <w:shd w:val="clear" w:color="auto" w:fill="FFFFFF"/>
              <w:jc w:val="both"/>
              <w:rPr>
                <w:rFonts w:ascii="Georgia" w:hAnsi="Georgia" w:cs="Arial"/>
                <w:sz w:val="24"/>
                <w:szCs w:val="24"/>
              </w:rPr>
            </w:pPr>
          </w:p>
        </w:tc>
        <w:tc>
          <w:tcPr>
            <w:tcW w:w="5812" w:type="dxa"/>
          </w:tcPr>
          <w:p w:rsidR="00C129AE" w:rsidRDefault="00C129AE" w:rsidP="00A0095D">
            <w:pPr>
              <w:pStyle w:val="NormalWeb"/>
              <w:shd w:val="clear" w:color="auto" w:fill="FFFFFF"/>
              <w:jc w:val="both"/>
            </w:pPr>
          </w:p>
        </w:tc>
        <w:tc>
          <w:tcPr>
            <w:tcW w:w="5727" w:type="dxa"/>
          </w:tcPr>
          <w:p w:rsidR="00C129AE" w:rsidRDefault="00C129AE" w:rsidP="00DB1911"/>
        </w:tc>
      </w:tr>
      <w:tr w:rsidR="00A0095D" w:rsidTr="0025178C">
        <w:trPr>
          <w:trHeight w:val="963"/>
        </w:trPr>
        <w:tc>
          <w:tcPr>
            <w:tcW w:w="4077" w:type="dxa"/>
            <w:shd w:val="clear" w:color="auto" w:fill="F2F2F2" w:themeFill="background1" w:themeFillShade="F2"/>
          </w:tcPr>
          <w:p w:rsidR="00A0095D" w:rsidRDefault="00A0095D" w:rsidP="00DB1911">
            <w:pPr>
              <w:rPr>
                <w:rFonts w:ascii="Georgia" w:hAnsi="Georgia"/>
              </w:rPr>
            </w:pPr>
            <w:r>
              <w:rPr>
                <w:rFonts w:ascii="Georgia" w:hAnsi="Georgia"/>
              </w:rPr>
              <w:t>School facilities are safe and secure for all</w:t>
            </w:r>
          </w:p>
          <w:p w:rsidR="0025178C" w:rsidRDefault="0025178C" w:rsidP="00DB1911">
            <w:pPr>
              <w:rPr>
                <w:rFonts w:ascii="Georgia" w:hAnsi="Georgia"/>
              </w:rPr>
            </w:pPr>
          </w:p>
          <w:p w:rsidR="0025178C" w:rsidRDefault="0025178C" w:rsidP="00DB1911">
            <w:pPr>
              <w:rPr>
                <w:rFonts w:ascii="Georgia" w:hAnsi="Georgia"/>
              </w:rPr>
            </w:pPr>
          </w:p>
          <w:p w:rsidR="0025178C" w:rsidRPr="00A0095D" w:rsidRDefault="0025178C" w:rsidP="00DB1911">
            <w:pPr>
              <w:rPr>
                <w:rFonts w:ascii="Georgia" w:hAnsi="Georgia"/>
              </w:rPr>
            </w:pPr>
          </w:p>
        </w:tc>
        <w:tc>
          <w:tcPr>
            <w:tcW w:w="5812" w:type="dxa"/>
            <w:shd w:val="clear" w:color="auto" w:fill="F2F2F2" w:themeFill="background1" w:themeFillShade="F2"/>
          </w:tcPr>
          <w:p w:rsidR="00A0095D" w:rsidRPr="00881100" w:rsidRDefault="00A0095D" w:rsidP="00DB1911">
            <w:pPr>
              <w:rPr>
                <w:rFonts w:ascii="Georgia" w:hAnsi="Georgia"/>
                <w:b/>
              </w:rPr>
            </w:pPr>
          </w:p>
        </w:tc>
        <w:tc>
          <w:tcPr>
            <w:tcW w:w="5727" w:type="dxa"/>
            <w:shd w:val="clear" w:color="auto" w:fill="F2F2F2" w:themeFill="background1" w:themeFillShade="F2"/>
          </w:tcPr>
          <w:p w:rsidR="00A0095D" w:rsidRDefault="00A0095D" w:rsidP="00DB1911"/>
        </w:tc>
      </w:tr>
      <w:tr w:rsidR="00881100" w:rsidTr="001176F1">
        <w:trPr>
          <w:trHeight w:val="963"/>
        </w:trPr>
        <w:tc>
          <w:tcPr>
            <w:tcW w:w="9889" w:type="dxa"/>
            <w:gridSpan w:val="2"/>
          </w:tcPr>
          <w:p w:rsidR="00881100" w:rsidRDefault="00881100" w:rsidP="00DB1911">
            <w:pPr>
              <w:rPr>
                <w:rFonts w:ascii="Georgia" w:hAnsi="Georgia"/>
                <w:b/>
              </w:rPr>
            </w:pPr>
            <w:r w:rsidRPr="00881100">
              <w:rPr>
                <w:rFonts w:ascii="Georgia" w:hAnsi="Georgia"/>
                <w:b/>
              </w:rPr>
              <w:t>How would you e</w:t>
            </w:r>
            <w:r w:rsidR="00571C23">
              <w:rPr>
                <w:rFonts w:ascii="Georgia" w:hAnsi="Georgia"/>
                <w:b/>
              </w:rPr>
              <w:t>valuate this QI using the HGIOS4</w:t>
            </w:r>
            <w:r w:rsidRPr="00881100">
              <w:rPr>
                <w:rFonts w:ascii="Georgia" w:hAnsi="Georgia"/>
                <w:b/>
              </w:rPr>
              <w:t xml:space="preserve"> six</w:t>
            </w:r>
            <w:r w:rsidRPr="00881100">
              <w:rPr>
                <w:rFonts w:ascii="Georgia" w:hAnsi="Georgia"/>
                <w:b/>
              </w:rPr>
              <w:noBreakHyphen/>
              <w:t>point scale?</w:t>
            </w:r>
          </w:p>
          <w:p w:rsidR="00A0095D" w:rsidRPr="00881100" w:rsidRDefault="00A0095D" w:rsidP="00DB1911">
            <w:pPr>
              <w:rPr>
                <w:rFonts w:ascii="Georgia" w:hAnsi="Georgia"/>
              </w:rPr>
            </w:pPr>
            <w:r w:rsidRPr="00881100">
              <w:rPr>
                <w:rFonts w:ascii="Georgia" w:hAnsi="Georgia"/>
                <w:b/>
              </w:rPr>
              <w:t>How would you eva</w:t>
            </w:r>
            <w:r>
              <w:rPr>
                <w:rFonts w:ascii="Georgia" w:hAnsi="Georgia"/>
                <w:b/>
              </w:rPr>
              <w:t>luate this QI using the HGI</w:t>
            </w:r>
            <w:r w:rsidR="00571C23">
              <w:rPr>
                <w:rFonts w:ascii="Georgia" w:hAnsi="Georgia"/>
                <w:b/>
              </w:rPr>
              <w:t>O</w:t>
            </w:r>
            <w:r>
              <w:rPr>
                <w:rFonts w:ascii="Georgia" w:hAnsi="Georgia"/>
                <w:b/>
              </w:rPr>
              <w:t>ELC</w:t>
            </w:r>
            <w:r w:rsidRPr="00881100">
              <w:rPr>
                <w:rFonts w:ascii="Georgia" w:hAnsi="Georgia"/>
                <w:b/>
              </w:rPr>
              <w:t xml:space="preserve"> six</w:t>
            </w:r>
            <w:r w:rsidRPr="00881100">
              <w:rPr>
                <w:rFonts w:ascii="Georgia" w:hAnsi="Georgia"/>
                <w:b/>
              </w:rPr>
              <w:noBreakHyphen/>
              <w:t>point scale?</w:t>
            </w:r>
          </w:p>
        </w:tc>
        <w:tc>
          <w:tcPr>
            <w:tcW w:w="5727" w:type="dxa"/>
          </w:tcPr>
          <w:p w:rsidR="00881100" w:rsidRDefault="00881100" w:rsidP="00DB1911"/>
        </w:tc>
      </w:tr>
    </w:tbl>
    <w:p w:rsidR="009109DA" w:rsidRPr="009109DA" w:rsidRDefault="009109DA" w:rsidP="009109DA">
      <w:pPr>
        <w:rPr>
          <w:lang w:val="en-GB"/>
        </w:rPr>
        <w:sectPr w:rsidR="009109DA" w:rsidRPr="009109DA" w:rsidSect="009109DA">
          <w:pgSz w:w="16840" w:h="11900" w:orient="landscape"/>
          <w:pgMar w:top="720" w:right="720" w:bottom="720" w:left="720" w:header="709" w:footer="709" w:gutter="0"/>
          <w:cols w:space="708"/>
          <w:docGrid w:linePitch="360"/>
        </w:sectPr>
      </w:pPr>
    </w:p>
    <w:p w:rsidR="00444DE0" w:rsidRDefault="00444DE0" w:rsidP="00881100">
      <w:pPr>
        <w:pStyle w:val="NormalWeb"/>
        <w:shd w:val="clear" w:color="auto" w:fill="FFFFFF"/>
      </w:pPr>
    </w:p>
    <w:sectPr w:rsidR="00444DE0" w:rsidSect="00DB191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59C"/>
    <w:multiLevelType w:val="hybridMultilevel"/>
    <w:tmpl w:val="09AE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B09A1"/>
    <w:multiLevelType w:val="hybridMultilevel"/>
    <w:tmpl w:val="2896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C52F9"/>
    <w:multiLevelType w:val="hybridMultilevel"/>
    <w:tmpl w:val="DA4A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C1172"/>
    <w:multiLevelType w:val="hybridMultilevel"/>
    <w:tmpl w:val="E0B04D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9450F33"/>
    <w:multiLevelType w:val="hybridMultilevel"/>
    <w:tmpl w:val="7B80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82E14"/>
    <w:multiLevelType w:val="hybridMultilevel"/>
    <w:tmpl w:val="11F2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B6AD4"/>
    <w:multiLevelType w:val="hybridMultilevel"/>
    <w:tmpl w:val="A3EE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46368A"/>
    <w:multiLevelType w:val="hybridMultilevel"/>
    <w:tmpl w:val="2960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4040C"/>
    <w:multiLevelType w:val="hybridMultilevel"/>
    <w:tmpl w:val="F07E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F18A6"/>
    <w:multiLevelType w:val="hybridMultilevel"/>
    <w:tmpl w:val="BA54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4929FD"/>
    <w:multiLevelType w:val="hybridMultilevel"/>
    <w:tmpl w:val="DDA6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63383C"/>
    <w:multiLevelType w:val="hybridMultilevel"/>
    <w:tmpl w:val="3816F4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365C2D86"/>
    <w:multiLevelType w:val="hybridMultilevel"/>
    <w:tmpl w:val="313C5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72424BF"/>
    <w:multiLevelType w:val="hybridMultilevel"/>
    <w:tmpl w:val="FA08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A7EE6"/>
    <w:multiLevelType w:val="hybridMultilevel"/>
    <w:tmpl w:val="3B0C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C078F8"/>
    <w:multiLevelType w:val="hybridMultilevel"/>
    <w:tmpl w:val="1334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8F68DA"/>
    <w:multiLevelType w:val="hybridMultilevel"/>
    <w:tmpl w:val="960A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612155"/>
    <w:multiLevelType w:val="hybridMultilevel"/>
    <w:tmpl w:val="377A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6F4EE1"/>
    <w:multiLevelType w:val="hybridMultilevel"/>
    <w:tmpl w:val="8B80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D236DB"/>
    <w:multiLevelType w:val="hybridMultilevel"/>
    <w:tmpl w:val="219A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6E4DE2"/>
    <w:multiLevelType w:val="hybridMultilevel"/>
    <w:tmpl w:val="CD02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0762FB"/>
    <w:multiLevelType w:val="hybridMultilevel"/>
    <w:tmpl w:val="47B6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5C2049"/>
    <w:multiLevelType w:val="hybridMultilevel"/>
    <w:tmpl w:val="7714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7A58ED"/>
    <w:multiLevelType w:val="hybridMultilevel"/>
    <w:tmpl w:val="8CC2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4"/>
  </w:num>
  <w:num w:numId="4">
    <w:abstractNumId w:val="19"/>
  </w:num>
  <w:num w:numId="5">
    <w:abstractNumId w:val="10"/>
  </w:num>
  <w:num w:numId="6">
    <w:abstractNumId w:val="16"/>
  </w:num>
  <w:num w:numId="7">
    <w:abstractNumId w:val="17"/>
  </w:num>
  <w:num w:numId="8">
    <w:abstractNumId w:val="13"/>
  </w:num>
  <w:num w:numId="9">
    <w:abstractNumId w:val="15"/>
  </w:num>
  <w:num w:numId="10">
    <w:abstractNumId w:val="18"/>
  </w:num>
  <w:num w:numId="11">
    <w:abstractNumId w:val="12"/>
  </w:num>
  <w:num w:numId="12">
    <w:abstractNumId w:val="0"/>
  </w:num>
  <w:num w:numId="13">
    <w:abstractNumId w:val="2"/>
  </w:num>
  <w:num w:numId="14">
    <w:abstractNumId w:val="1"/>
  </w:num>
  <w:num w:numId="15">
    <w:abstractNumId w:val="7"/>
  </w:num>
  <w:num w:numId="16">
    <w:abstractNumId w:val="5"/>
  </w:num>
  <w:num w:numId="17">
    <w:abstractNumId w:val="22"/>
  </w:num>
  <w:num w:numId="18">
    <w:abstractNumId w:val="14"/>
  </w:num>
  <w:num w:numId="19">
    <w:abstractNumId w:val="8"/>
  </w:num>
  <w:num w:numId="20">
    <w:abstractNumId w:val="9"/>
  </w:num>
  <w:num w:numId="21">
    <w:abstractNumId w:val="20"/>
  </w:num>
  <w:num w:numId="22">
    <w:abstractNumId w:val="6"/>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0B"/>
    <w:rsid w:val="00076F64"/>
    <w:rsid w:val="000863E0"/>
    <w:rsid w:val="00181F7A"/>
    <w:rsid w:val="002321E1"/>
    <w:rsid w:val="0025178C"/>
    <w:rsid w:val="003B13E8"/>
    <w:rsid w:val="00444DE0"/>
    <w:rsid w:val="004F6BEB"/>
    <w:rsid w:val="005004DB"/>
    <w:rsid w:val="00512133"/>
    <w:rsid w:val="00523AC2"/>
    <w:rsid w:val="0053719E"/>
    <w:rsid w:val="00571C23"/>
    <w:rsid w:val="005E2F94"/>
    <w:rsid w:val="006166C7"/>
    <w:rsid w:val="00881100"/>
    <w:rsid w:val="008F0F63"/>
    <w:rsid w:val="00902E4C"/>
    <w:rsid w:val="009109DA"/>
    <w:rsid w:val="00980D84"/>
    <w:rsid w:val="00A0095D"/>
    <w:rsid w:val="00AF3137"/>
    <w:rsid w:val="00C129AE"/>
    <w:rsid w:val="00C32764"/>
    <w:rsid w:val="00DB1911"/>
    <w:rsid w:val="00EB530B"/>
    <w:rsid w:val="00EB6CD5"/>
    <w:rsid w:val="00F128AB"/>
    <w:rsid w:val="00F45D86"/>
    <w:rsid w:val="00FE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0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30B"/>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EB53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30B"/>
    <w:pPr>
      <w:ind w:left="720"/>
      <w:contextualSpacing/>
    </w:pPr>
  </w:style>
  <w:style w:type="paragraph" w:styleId="Title">
    <w:name w:val="Title"/>
    <w:basedOn w:val="Normal"/>
    <w:next w:val="Normal"/>
    <w:link w:val="TitleChar"/>
    <w:uiPriority w:val="10"/>
    <w:qFormat/>
    <w:rsid w:val="0091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DA"/>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C129A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0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30B"/>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EB53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30B"/>
    <w:pPr>
      <w:ind w:left="720"/>
      <w:contextualSpacing/>
    </w:pPr>
  </w:style>
  <w:style w:type="paragraph" w:styleId="Title">
    <w:name w:val="Title"/>
    <w:basedOn w:val="Normal"/>
    <w:next w:val="Normal"/>
    <w:link w:val="TitleChar"/>
    <w:uiPriority w:val="10"/>
    <w:qFormat/>
    <w:rsid w:val="0091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DA"/>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C129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Catherine</dc:creator>
  <cp:lastModifiedBy>Thomson, Catherine</cp:lastModifiedBy>
  <cp:revision>8</cp:revision>
  <dcterms:created xsi:type="dcterms:W3CDTF">2019-01-14T15:27:00Z</dcterms:created>
  <dcterms:modified xsi:type="dcterms:W3CDTF">2019-01-25T09:10:00Z</dcterms:modified>
</cp:coreProperties>
</file>