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B" w:rsidRPr="00397666" w:rsidRDefault="00EB530B" w:rsidP="0069642B">
      <w:pPr>
        <w:pStyle w:val="Title"/>
        <w:jc w:val="center"/>
      </w:pPr>
      <w:r>
        <w:t>1</w:t>
      </w:r>
      <w:r w:rsidR="00512133">
        <w:t>.2 Leadership of Learning</w:t>
      </w:r>
    </w:p>
    <w:p w:rsidR="00EB530B" w:rsidRDefault="00EB530B" w:rsidP="00EB530B">
      <w:pPr>
        <w:pStyle w:val="NormalWeb"/>
        <w:shd w:val="clear" w:color="auto" w:fill="FFFFFF"/>
      </w:pPr>
      <w:r>
        <w:rPr>
          <w:rFonts w:ascii="Arial" w:hAnsi="Arial" w:cs="Arial"/>
          <w:color w:val="51A3D6"/>
          <w:sz w:val="32"/>
          <w:szCs w:val="32"/>
        </w:rPr>
        <w:t xml:space="preserve">Themes: </w:t>
      </w:r>
    </w:p>
    <w:p w:rsidR="00EB530B" w:rsidRPr="0069642B" w:rsidRDefault="00076F64" w:rsidP="00EB530B">
      <w:pPr>
        <w:pStyle w:val="NormalWeb"/>
        <w:numPr>
          <w:ilvl w:val="0"/>
          <w:numId w:val="1"/>
        </w:numPr>
        <w:shd w:val="clear" w:color="auto" w:fill="FFFFFF"/>
        <w:rPr>
          <w:rFonts w:ascii="Georgia" w:hAnsi="Georgia"/>
          <w:sz w:val="28"/>
          <w:szCs w:val="28"/>
        </w:rPr>
      </w:pPr>
      <w:r w:rsidRPr="0069642B">
        <w:rPr>
          <w:rFonts w:ascii="Georgia" w:hAnsi="Georgia" w:cs="Arial"/>
          <w:color w:val="565654"/>
          <w:sz w:val="28"/>
          <w:szCs w:val="28"/>
        </w:rPr>
        <w:t>Professional engagement and collegiate working</w:t>
      </w:r>
    </w:p>
    <w:p w:rsidR="00EB530B" w:rsidRPr="0069642B" w:rsidRDefault="00076F64" w:rsidP="00EB530B">
      <w:pPr>
        <w:pStyle w:val="NormalWeb"/>
        <w:numPr>
          <w:ilvl w:val="0"/>
          <w:numId w:val="1"/>
        </w:numPr>
        <w:shd w:val="clear" w:color="auto" w:fill="FFFFFF"/>
        <w:rPr>
          <w:rFonts w:ascii="Georgia" w:hAnsi="Georgia"/>
          <w:sz w:val="28"/>
          <w:szCs w:val="28"/>
        </w:rPr>
      </w:pPr>
      <w:r w:rsidRPr="0069642B">
        <w:rPr>
          <w:rFonts w:ascii="Georgia" w:hAnsi="Georgia" w:cs="Arial"/>
          <w:color w:val="565654"/>
          <w:sz w:val="28"/>
          <w:szCs w:val="28"/>
        </w:rPr>
        <w:t>Impact of career-long professional learning</w:t>
      </w:r>
      <w:r w:rsidR="00642F51" w:rsidRPr="0069642B">
        <w:rPr>
          <w:rFonts w:ascii="Georgia" w:hAnsi="Georgia" w:cs="Arial"/>
          <w:color w:val="565654"/>
          <w:sz w:val="28"/>
          <w:szCs w:val="28"/>
        </w:rPr>
        <w:t xml:space="preserve"> (CLPL)</w:t>
      </w:r>
    </w:p>
    <w:p w:rsidR="00EB530B" w:rsidRPr="0069642B" w:rsidRDefault="00076F64" w:rsidP="00EB530B">
      <w:pPr>
        <w:pStyle w:val="NormalWeb"/>
        <w:numPr>
          <w:ilvl w:val="0"/>
          <w:numId w:val="1"/>
        </w:numPr>
        <w:shd w:val="clear" w:color="auto" w:fill="FFFFFF"/>
        <w:rPr>
          <w:rFonts w:ascii="Georgia" w:hAnsi="Georgia"/>
          <w:sz w:val="28"/>
          <w:szCs w:val="28"/>
        </w:rPr>
      </w:pPr>
      <w:r w:rsidRPr="0069642B">
        <w:rPr>
          <w:rFonts w:ascii="Georgia" w:hAnsi="Georgia" w:cs="Arial"/>
          <w:color w:val="565654"/>
          <w:sz w:val="28"/>
          <w:szCs w:val="28"/>
        </w:rPr>
        <w:t>Children</w:t>
      </w:r>
      <w:r w:rsidR="00642F51" w:rsidRPr="0069642B">
        <w:rPr>
          <w:rFonts w:ascii="Georgia" w:hAnsi="Georgia" w:cs="Arial"/>
          <w:color w:val="565654"/>
          <w:sz w:val="28"/>
          <w:szCs w:val="28"/>
        </w:rPr>
        <w:t xml:space="preserve"> leading learning / Children</w:t>
      </w:r>
      <w:r w:rsidRPr="0069642B">
        <w:rPr>
          <w:rFonts w:ascii="Georgia" w:hAnsi="Georgia" w:cs="Arial"/>
          <w:color w:val="565654"/>
          <w:sz w:val="28"/>
          <w:szCs w:val="28"/>
        </w:rPr>
        <w:t xml:space="preserve"> and young people leading learning</w:t>
      </w:r>
    </w:p>
    <w:p w:rsidR="00EB530B" w:rsidRPr="0069642B" w:rsidRDefault="000863E0" w:rsidP="00EB530B">
      <w:pPr>
        <w:pStyle w:val="NormalWeb"/>
        <w:shd w:val="clear" w:color="auto" w:fill="FFFFFF"/>
        <w:rPr>
          <w:sz w:val="28"/>
          <w:szCs w:val="28"/>
        </w:rPr>
      </w:pPr>
      <w:r w:rsidRPr="0069642B">
        <w:rPr>
          <w:rFonts w:ascii="Arial" w:hAnsi="Arial" w:cs="Arial"/>
          <w:color w:val="51A3D6"/>
          <w:sz w:val="28"/>
          <w:szCs w:val="28"/>
        </w:rPr>
        <w:t xml:space="preserve">Level 5 </w:t>
      </w:r>
      <w:r w:rsidR="00EB530B" w:rsidRPr="0069642B">
        <w:rPr>
          <w:rFonts w:ascii="Arial" w:hAnsi="Arial" w:cs="Arial"/>
          <w:color w:val="51A3D6"/>
          <w:sz w:val="28"/>
          <w:szCs w:val="28"/>
        </w:rPr>
        <w:t xml:space="preserve">Summary: </w:t>
      </w:r>
    </w:p>
    <w:p w:rsidR="00076F64" w:rsidRPr="0069642B" w:rsidRDefault="00076F64" w:rsidP="00076F64">
      <w:pPr>
        <w:pStyle w:val="ListParagraph"/>
        <w:numPr>
          <w:ilvl w:val="0"/>
          <w:numId w:val="11"/>
        </w:numPr>
        <w:autoSpaceDE w:val="0"/>
        <w:autoSpaceDN w:val="0"/>
        <w:adjustRightInd w:val="0"/>
        <w:rPr>
          <w:rFonts w:ascii="Georgia" w:eastAsiaTheme="minorHAnsi" w:hAnsi="Georgia" w:cs="ArialMT"/>
          <w:color w:val="585757"/>
          <w:sz w:val="28"/>
          <w:szCs w:val="28"/>
          <w:lang w:val="en-GB"/>
        </w:rPr>
      </w:pPr>
      <w:r w:rsidRPr="0069642B">
        <w:rPr>
          <w:rFonts w:ascii="Georgia" w:eastAsiaTheme="minorHAnsi" w:hAnsi="Georgia" w:cs="ArialMT"/>
          <w:color w:val="585757"/>
          <w:sz w:val="28"/>
          <w:szCs w:val="28"/>
          <w:lang w:val="en-GB"/>
        </w:rPr>
        <w:t>Leadership of improvements in learning and teaching.</w:t>
      </w:r>
    </w:p>
    <w:p w:rsidR="00076F64" w:rsidRPr="0069642B" w:rsidRDefault="00076F64" w:rsidP="00076F64">
      <w:pPr>
        <w:pStyle w:val="ListParagraph"/>
        <w:numPr>
          <w:ilvl w:val="0"/>
          <w:numId w:val="11"/>
        </w:numPr>
        <w:autoSpaceDE w:val="0"/>
        <w:autoSpaceDN w:val="0"/>
        <w:adjustRightInd w:val="0"/>
        <w:rPr>
          <w:rFonts w:ascii="Georgia" w:eastAsiaTheme="minorHAnsi" w:hAnsi="Georgia" w:cs="ArialMT"/>
          <w:color w:val="585757"/>
          <w:sz w:val="28"/>
          <w:szCs w:val="28"/>
          <w:lang w:val="en-GB"/>
        </w:rPr>
      </w:pPr>
      <w:r w:rsidRPr="0069642B">
        <w:rPr>
          <w:rFonts w:ascii="Georgia" w:eastAsiaTheme="minorHAnsi" w:hAnsi="Georgia" w:cs="ArialMT"/>
          <w:color w:val="585757"/>
          <w:sz w:val="28"/>
          <w:szCs w:val="28"/>
          <w:lang w:val="en-GB"/>
        </w:rPr>
        <w:t xml:space="preserve">The importance of professional commitment to improving pedagogy through a range of approaches to career-long professional learning including collegiate working. </w:t>
      </w:r>
    </w:p>
    <w:p w:rsidR="00EB530B" w:rsidRPr="00B4799D" w:rsidRDefault="00076F64" w:rsidP="00B4799D">
      <w:pPr>
        <w:pStyle w:val="ListParagraph"/>
        <w:numPr>
          <w:ilvl w:val="0"/>
          <w:numId w:val="11"/>
        </w:numPr>
        <w:autoSpaceDE w:val="0"/>
        <w:autoSpaceDN w:val="0"/>
        <w:adjustRightInd w:val="0"/>
        <w:rPr>
          <w:rFonts w:ascii="Georgia" w:eastAsiaTheme="minorHAnsi" w:hAnsi="Georgia" w:cs="ArialMT"/>
          <w:color w:val="585757"/>
          <w:sz w:val="28"/>
          <w:szCs w:val="28"/>
          <w:lang w:val="en-GB"/>
        </w:rPr>
      </w:pPr>
      <w:r w:rsidRPr="0069642B">
        <w:rPr>
          <w:rFonts w:ascii="Georgia" w:eastAsiaTheme="minorHAnsi" w:hAnsi="Georgia" w:cs="ArialMT"/>
          <w:color w:val="585757"/>
          <w:sz w:val="28"/>
          <w:szCs w:val="28"/>
          <w:lang w:val="en-GB"/>
        </w:rPr>
        <w:t>It focuses on leadership which improves outcomes for</w:t>
      </w:r>
      <w:r w:rsidR="00B4799D">
        <w:rPr>
          <w:rFonts w:ascii="Georgia" w:eastAsiaTheme="minorHAnsi" w:hAnsi="Georgia" w:cs="ArialMT"/>
          <w:color w:val="585757"/>
          <w:sz w:val="28"/>
          <w:szCs w:val="28"/>
          <w:lang w:val="en-GB"/>
        </w:rPr>
        <w:t xml:space="preserve"> </w:t>
      </w:r>
      <w:r w:rsidR="00B4799D" w:rsidRPr="00B4799D">
        <w:rPr>
          <w:rFonts w:ascii="Georgia" w:eastAsiaTheme="minorHAnsi" w:hAnsi="Georgia" w:cs="ArialMT"/>
          <w:color w:val="585757"/>
          <w:sz w:val="28"/>
          <w:szCs w:val="28"/>
          <w:lang w:val="en-GB"/>
        </w:rPr>
        <w:t>children and families</w:t>
      </w:r>
      <w:r w:rsidR="00B4799D">
        <w:rPr>
          <w:rFonts w:ascii="Georgia" w:eastAsiaTheme="minorHAnsi" w:hAnsi="Georgia" w:cs="ArialMT"/>
          <w:color w:val="585757"/>
          <w:sz w:val="28"/>
          <w:szCs w:val="28"/>
          <w:lang w:val="en-GB"/>
        </w:rPr>
        <w:t xml:space="preserve"> / </w:t>
      </w:r>
      <w:r w:rsidRPr="00B4799D">
        <w:rPr>
          <w:rFonts w:ascii="Georgia" w:eastAsiaTheme="minorHAnsi" w:hAnsi="Georgia" w:cs="ArialMT"/>
          <w:color w:val="585757"/>
          <w:sz w:val="28"/>
          <w:szCs w:val="28"/>
          <w:lang w:val="en-GB"/>
        </w:rPr>
        <w:t>learners through enabling them to lead their</w:t>
      </w:r>
      <w:r w:rsidR="00642F51" w:rsidRPr="00B4799D">
        <w:rPr>
          <w:rFonts w:ascii="Georgia" w:eastAsiaTheme="minorHAnsi" w:hAnsi="Georgia" w:cs="ArialMT"/>
          <w:color w:val="585757"/>
          <w:sz w:val="28"/>
          <w:szCs w:val="28"/>
          <w:lang w:val="en-GB"/>
        </w:rPr>
        <w:t xml:space="preserve"> </w:t>
      </w:r>
      <w:r w:rsidRPr="00B4799D">
        <w:rPr>
          <w:rFonts w:ascii="Georgia" w:eastAsiaTheme="minorHAnsi" w:hAnsi="Georgia" w:cs="ArialMT"/>
          <w:color w:val="585757"/>
          <w:sz w:val="28"/>
          <w:szCs w:val="28"/>
          <w:lang w:val="en-GB"/>
        </w:rPr>
        <w:t>own learning</w:t>
      </w:r>
    </w:p>
    <w:p w:rsidR="009109DA" w:rsidRDefault="009109DA" w:rsidP="009109DA">
      <w:pPr>
        <w:rPr>
          <w:lang w:val="en-GB"/>
        </w:rPr>
      </w:pPr>
    </w:p>
    <w:tbl>
      <w:tblPr>
        <w:tblStyle w:val="TableGrid"/>
        <w:tblpPr w:leftFromText="180" w:rightFromText="180" w:vertAnchor="text" w:horzAnchor="margin" w:tblpY="196"/>
        <w:tblW w:w="0" w:type="auto"/>
        <w:tblLook w:val="04A0" w:firstRow="1" w:lastRow="0" w:firstColumn="1" w:lastColumn="0" w:noHBand="0" w:noVBand="1"/>
      </w:tblPr>
      <w:tblGrid>
        <w:gridCol w:w="3799"/>
        <w:gridCol w:w="5235"/>
        <w:gridCol w:w="5140"/>
      </w:tblGrid>
      <w:tr w:rsidR="00DB1911" w:rsidTr="00881100">
        <w:tc>
          <w:tcPr>
            <w:tcW w:w="4077" w:type="dxa"/>
            <w:shd w:val="clear" w:color="auto" w:fill="C6D9F1" w:themeFill="text2" w:themeFillTint="33"/>
          </w:tcPr>
          <w:p w:rsidR="00DB1911" w:rsidRPr="003D6516" w:rsidRDefault="00DB1911" w:rsidP="00DB1911">
            <w:pPr>
              <w:jc w:val="center"/>
              <w:rPr>
                <w:b/>
                <w:sz w:val="28"/>
                <w:szCs w:val="28"/>
              </w:rPr>
            </w:pPr>
          </w:p>
          <w:p w:rsidR="00DB1911" w:rsidRPr="003D6516" w:rsidRDefault="00881100" w:rsidP="00DB1911">
            <w:pPr>
              <w:jc w:val="center"/>
              <w:rPr>
                <w:b/>
                <w:sz w:val="28"/>
                <w:szCs w:val="28"/>
              </w:rPr>
            </w:pPr>
            <w:r>
              <w:rPr>
                <w:b/>
                <w:sz w:val="28"/>
                <w:szCs w:val="28"/>
              </w:rPr>
              <w:t>Highly effective practice</w:t>
            </w:r>
          </w:p>
          <w:p w:rsidR="00DB1911" w:rsidRPr="003D6516" w:rsidRDefault="00DB1911" w:rsidP="00DB1911">
            <w:pPr>
              <w:jc w:val="center"/>
              <w:rPr>
                <w:rFonts w:ascii="Georgia" w:hAnsi="Georgia" w:cs="Arial"/>
                <w:sz w:val="20"/>
                <w:szCs w:val="20"/>
              </w:rPr>
            </w:pPr>
          </w:p>
          <w:p w:rsidR="00DB1911" w:rsidRPr="003D6516" w:rsidRDefault="00DB1911" w:rsidP="00DB1911">
            <w:pPr>
              <w:jc w:val="center"/>
              <w:rPr>
                <w:rFonts w:ascii="Georgia" w:hAnsi="Georgia" w:cs="Arial"/>
                <w:sz w:val="20"/>
                <w:szCs w:val="20"/>
              </w:rPr>
            </w:pPr>
          </w:p>
        </w:tc>
        <w:tc>
          <w:tcPr>
            <w:tcW w:w="5812" w:type="dxa"/>
            <w:shd w:val="clear" w:color="auto" w:fill="C6D9F1" w:themeFill="text2" w:themeFillTint="33"/>
            <w:vAlign w:val="center"/>
          </w:tcPr>
          <w:p w:rsidR="00DB1911" w:rsidRPr="003D6516" w:rsidRDefault="00DB1911" w:rsidP="00DB1911">
            <w:pPr>
              <w:jc w:val="center"/>
              <w:rPr>
                <w:b/>
                <w:sz w:val="28"/>
                <w:szCs w:val="28"/>
              </w:rPr>
            </w:pPr>
          </w:p>
          <w:p w:rsidR="00DB1911" w:rsidRPr="003D6516" w:rsidRDefault="00DB1911" w:rsidP="00DB1911">
            <w:pPr>
              <w:jc w:val="center"/>
              <w:rPr>
                <w:b/>
                <w:sz w:val="28"/>
                <w:szCs w:val="28"/>
              </w:rPr>
            </w:pPr>
            <w:r>
              <w:rPr>
                <w:b/>
                <w:sz w:val="28"/>
                <w:szCs w:val="28"/>
              </w:rPr>
              <w:t>What’s working well?</w:t>
            </w:r>
          </w:p>
          <w:p w:rsidR="00DB1911" w:rsidRPr="003D6516" w:rsidRDefault="00DB1911" w:rsidP="00DB1911">
            <w:pPr>
              <w:jc w:val="center"/>
              <w:rPr>
                <w:rFonts w:ascii="Georgia" w:hAnsi="Georgia" w:cs="Arial"/>
                <w:sz w:val="20"/>
                <w:szCs w:val="20"/>
              </w:rPr>
            </w:pPr>
          </w:p>
          <w:p w:rsidR="00DB1911" w:rsidRPr="003D6516" w:rsidRDefault="00DB1911" w:rsidP="00DB1911">
            <w:pPr>
              <w:jc w:val="center"/>
              <w:rPr>
                <w:rFonts w:ascii="Georgia" w:hAnsi="Georgia" w:cs="Arial"/>
                <w:sz w:val="20"/>
                <w:szCs w:val="20"/>
              </w:rPr>
            </w:pPr>
          </w:p>
        </w:tc>
        <w:tc>
          <w:tcPr>
            <w:tcW w:w="5727" w:type="dxa"/>
            <w:shd w:val="clear" w:color="auto" w:fill="C6D9F1" w:themeFill="text2" w:themeFillTint="33"/>
            <w:vAlign w:val="center"/>
          </w:tcPr>
          <w:p w:rsidR="00DB1911" w:rsidRDefault="00DB1911" w:rsidP="00DB1911">
            <w:pPr>
              <w:jc w:val="center"/>
              <w:rPr>
                <w:b/>
                <w:sz w:val="28"/>
                <w:szCs w:val="28"/>
              </w:rPr>
            </w:pPr>
          </w:p>
          <w:p w:rsidR="00DB1911" w:rsidRPr="003D6516" w:rsidRDefault="00DB1911" w:rsidP="00DB1911">
            <w:pPr>
              <w:jc w:val="center"/>
              <w:rPr>
                <w:b/>
                <w:sz w:val="28"/>
                <w:szCs w:val="28"/>
              </w:rPr>
            </w:pPr>
            <w:r>
              <w:rPr>
                <w:b/>
                <w:sz w:val="28"/>
                <w:szCs w:val="28"/>
              </w:rPr>
              <w:t>How do you know?</w:t>
            </w:r>
          </w:p>
          <w:p w:rsidR="00DB1911" w:rsidRDefault="00DB1911" w:rsidP="00DB1911">
            <w:pPr>
              <w:jc w:val="center"/>
              <w:rPr>
                <w:b/>
                <w:sz w:val="28"/>
                <w:szCs w:val="28"/>
              </w:rPr>
            </w:pPr>
          </w:p>
        </w:tc>
      </w:tr>
      <w:tr w:rsidR="00613852" w:rsidTr="00881100">
        <w:tc>
          <w:tcPr>
            <w:tcW w:w="4077" w:type="dxa"/>
          </w:tcPr>
          <w:p w:rsidR="00613852" w:rsidRPr="00613852" w:rsidRDefault="00354B8C" w:rsidP="00613852">
            <w:pPr>
              <w:pStyle w:val="Default"/>
              <w:rPr>
                <w:rFonts w:ascii="Georgia" w:hAnsi="Georgia"/>
              </w:rPr>
            </w:pPr>
            <w:r>
              <w:rPr>
                <w:rFonts w:ascii="Georgia" w:hAnsi="Georgia"/>
              </w:rPr>
              <w:t>P</w:t>
            </w:r>
            <w:r w:rsidR="00613852" w:rsidRPr="00613852">
              <w:rPr>
                <w:rFonts w:ascii="Georgia" w:hAnsi="Georgia"/>
              </w:rPr>
              <w:t xml:space="preserve">ractitioners participate in high quality individual and collective professional learning which improves outcomes for children and families. For example, shared understanding of early </w:t>
            </w:r>
            <w:proofErr w:type="gramStart"/>
            <w:r w:rsidR="00613852" w:rsidRPr="00613852">
              <w:rPr>
                <w:rFonts w:ascii="Georgia" w:hAnsi="Georgia"/>
              </w:rPr>
              <w:t>years</w:t>
            </w:r>
            <w:proofErr w:type="gramEnd"/>
            <w:r w:rsidR="00613852" w:rsidRPr="00613852">
              <w:rPr>
                <w:rFonts w:ascii="Georgia" w:hAnsi="Georgia"/>
              </w:rPr>
              <w:t xml:space="preserve"> pedagogy and assessment. </w:t>
            </w:r>
          </w:p>
          <w:p w:rsidR="00613852" w:rsidRPr="00613852" w:rsidRDefault="00613852" w:rsidP="00F128AB">
            <w:pPr>
              <w:rPr>
                <w:rFonts w:ascii="Georgia" w:hAnsi="Georgia"/>
              </w:rPr>
            </w:pPr>
            <w:r>
              <w:rPr>
                <w:rFonts w:ascii="Georgia" w:hAnsi="Georgia"/>
              </w:rPr>
              <w:lastRenderedPageBreak/>
              <w:t>(HGIOELC)</w:t>
            </w:r>
          </w:p>
        </w:tc>
        <w:tc>
          <w:tcPr>
            <w:tcW w:w="5812" w:type="dxa"/>
          </w:tcPr>
          <w:p w:rsidR="00613852" w:rsidRDefault="00613852" w:rsidP="00DB1911"/>
        </w:tc>
        <w:tc>
          <w:tcPr>
            <w:tcW w:w="5727" w:type="dxa"/>
          </w:tcPr>
          <w:p w:rsidR="00613852" w:rsidRDefault="00613852" w:rsidP="00DB1911"/>
        </w:tc>
      </w:tr>
      <w:tr w:rsidR="00DB1911" w:rsidTr="0069642B">
        <w:tc>
          <w:tcPr>
            <w:tcW w:w="4077" w:type="dxa"/>
            <w:shd w:val="clear" w:color="auto" w:fill="C6D9F1" w:themeFill="text2" w:themeFillTint="33"/>
          </w:tcPr>
          <w:p w:rsidR="00881100" w:rsidRPr="00613852" w:rsidRDefault="00F128AB" w:rsidP="00F128AB">
            <w:pPr>
              <w:rPr>
                <w:rFonts w:ascii="Georgia" w:hAnsi="Georgia"/>
              </w:rPr>
            </w:pPr>
            <w:proofErr w:type="gramStart"/>
            <w:r w:rsidRPr="00613852">
              <w:rPr>
                <w:rFonts w:ascii="Georgia" w:hAnsi="Georgia"/>
              </w:rPr>
              <w:lastRenderedPageBreak/>
              <w:t>Staff ,</w:t>
            </w:r>
            <w:proofErr w:type="gramEnd"/>
            <w:r w:rsidRPr="00613852">
              <w:rPr>
                <w:rFonts w:ascii="Georgia" w:hAnsi="Georgia"/>
              </w:rPr>
              <w:t xml:space="preserve"> individually and collectively, engage regularly in professional dialogue to develop collective understanding. </w:t>
            </w:r>
            <w:proofErr w:type="spellStart"/>
            <w:r w:rsidRPr="00613852">
              <w:rPr>
                <w:rFonts w:ascii="Georgia" w:hAnsi="Georgia"/>
              </w:rPr>
              <w:t>ie</w:t>
            </w:r>
            <w:proofErr w:type="spellEnd"/>
            <w:r w:rsidRPr="00613852">
              <w:rPr>
                <w:rFonts w:ascii="Georgia" w:hAnsi="Georgia"/>
              </w:rPr>
              <w:t xml:space="preserve"> pedagogy, assessment and strategies for raising attainment</w:t>
            </w:r>
          </w:p>
          <w:p w:rsidR="00DB1911" w:rsidRPr="00613852" w:rsidRDefault="00DB1911" w:rsidP="00DB1911">
            <w:pPr>
              <w:rPr>
                <w:rFonts w:ascii="Georgia" w:hAnsi="Georgia"/>
              </w:rPr>
            </w:pPr>
          </w:p>
        </w:tc>
        <w:tc>
          <w:tcPr>
            <w:tcW w:w="5812" w:type="dxa"/>
            <w:shd w:val="clear" w:color="auto" w:fill="C6D9F1" w:themeFill="text2" w:themeFillTint="33"/>
          </w:tcPr>
          <w:p w:rsidR="00DB1911" w:rsidRDefault="00DB1911" w:rsidP="00DB1911"/>
        </w:tc>
        <w:tc>
          <w:tcPr>
            <w:tcW w:w="5727" w:type="dxa"/>
            <w:shd w:val="clear" w:color="auto" w:fill="C6D9F1" w:themeFill="text2" w:themeFillTint="33"/>
          </w:tcPr>
          <w:p w:rsidR="00DB1911" w:rsidRDefault="00DB1911" w:rsidP="00DB1911"/>
        </w:tc>
      </w:tr>
      <w:tr w:rsidR="00613852" w:rsidTr="00881100">
        <w:trPr>
          <w:trHeight w:val="963"/>
        </w:trPr>
        <w:tc>
          <w:tcPr>
            <w:tcW w:w="4077" w:type="dxa"/>
          </w:tcPr>
          <w:p w:rsidR="00613852" w:rsidRPr="00613852" w:rsidRDefault="00613852" w:rsidP="00613852">
            <w:pPr>
              <w:pStyle w:val="Default"/>
              <w:jc w:val="both"/>
              <w:rPr>
                <w:rFonts w:ascii="Georgia" w:hAnsi="Georgia"/>
              </w:rPr>
            </w:pPr>
            <w:r w:rsidRPr="00613852">
              <w:rPr>
                <w:rFonts w:ascii="Georgia" w:hAnsi="Georgia"/>
              </w:rPr>
              <w:t xml:space="preserve">Professional learning opportunities are well planned and matched to identified needs and draw on local, national and international evidence and research. Practitioners are confident in discussing how they have improved their practice as a result of their own professional learning activities. </w:t>
            </w:r>
          </w:p>
          <w:p w:rsidR="00613852" w:rsidRPr="00613852" w:rsidRDefault="00613852" w:rsidP="00881100">
            <w:pPr>
              <w:jc w:val="both"/>
              <w:rPr>
                <w:rFonts w:ascii="Georgia" w:hAnsi="Georgia"/>
              </w:rPr>
            </w:pPr>
            <w:r>
              <w:rPr>
                <w:rFonts w:ascii="Georgia" w:hAnsi="Georgia"/>
              </w:rPr>
              <w:t>(HGIOELC)</w:t>
            </w:r>
          </w:p>
        </w:tc>
        <w:tc>
          <w:tcPr>
            <w:tcW w:w="5812" w:type="dxa"/>
          </w:tcPr>
          <w:p w:rsidR="00613852" w:rsidRDefault="00613852" w:rsidP="00DB1911"/>
        </w:tc>
        <w:tc>
          <w:tcPr>
            <w:tcW w:w="5727" w:type="dxa"/>
          </w:tcPr>
          <w:p w:rsidR="00613852" w:rsidRDefault="00613852" w:rsidP="00DB1911"/>
        </w:tc>
      </w:tr>
      <w:tr w:rsidR="00DB1911" w:rsidTr="0069642B">
        <w:trPr>
          <w:trHeight w:val="963"/>
        </w:trPr>
        <w:tc>
          <w:tcPr>
            <w:tcW w:w="4077" w:type="dxa"/>
            <w:shd w:val="clear" w:color="auto" w:fill="C6D9F1" w:themeFill="text2" w:themeFillTint="33"/>
          </w:tcPr>
          <w:p w:rsidR="00DB1911" w:rsidRPr="00613852" w:rsidRDefault="00F128AB" w:rsidP="00881100">
            <w:pPr>
              <w:jc w:val="both"/>
              <w:rPr>
                <w:rFonts w:ascii="Georgia" w:hAnsi="Georgia"/>
              </w:rPr>
            </w:pPr>
            <w:r w:rsidRPr="00613852">
              <w:rPr>
                <w:rFonts w:ascii="Georgia" w:hAnsi="Georgia"/>
              </w:rPr>
              <w:t xml:space="preserve">There is evidence of clear and measureable impact of professional learning  on outcomes for learners </w:t>
            </w:r>
          </w:p>
          <w:p w:rsidR="00DB1911" w:rsidRPr="00613852" w:rsidRDefault="00DB1911" w:rsidP="00881100">
            <w:pPr>
              <w:jc w:val="both"/>
              <w:rPr>
                <w:rFonts w:ascii="Georgia" w:hAnsi="Georgia"/>
              </w:rPr>
            </w:pPr>
          </w:p>
          <w:p w:rsidR="00DB1911" w:rsidRPr="00613852" w:rsidRDefault="00DB1911" w:rsidP="00881100">
            <w:pPr>
              <w:jc w:val="both"/>
              <w:rPr>
                <w:rFonts w:ascii="Georgia" w:hAnsi="Georgia"/>
              </w:rPr>
            </w:pPr>
          </w:p>
          <w:p w:rsidR="00DB1911" w:rsidRPr="00613852" w:rsidRDefault="00DB1911" w:rsidP="00881100">
            <w:pPr>
              <w:jc w:val="both"/>
              <w:rPr>
                <w:rFonts w:ascii="Georgia" w:hAnsi="Georgia"/>
              </w:rPr>
            </w:pPr>
          </w:p>
        </w:tc>
        <w:tc>
          <w:tcPr>
            <w:tcW w:w="5812" w:type="dxa"/>
            <w:shd w:val="clear" w:color="auto" w:fill="C6D9F1" w:themeFill="text2" w:themeFillTint="33"/>
          </w:tcPr>
          <w:p w:rsidR="00DB1911" w:rsidRDefault="00DB1911" w:rsidP="00DB1911"/>
        </w:tc>
        <w:tc>
          <w:tcPr>
            <w:tcW w:w="5727" w:type="dxa"/>
            <w:shd w:val="clear" w:color="auto" w:fill="C6D9F1" w:themeFill="text2" w:themeFillTint="33"/>
          </w:tcPr>
          <w:p w:rsidR="00DB1911" w:rsidRDefault="00DB1911" w:rsidP="00DB1911"/>
        </w:tc>
      </w:tr>
      <w:tr w:rsidR="00613852" w:rsidTr="00881100">
        <w:trPr>
          <w:trHeight w:val="963"/>
        </w:trPr>
        <w:tc>
          <w:tcPr>
            <w:tcW w:w="4077" w:type="dxa"/>
          </w:tcPr>
          <w:p w:rsidR="00613852" w:rsidRPr="00613852" w:rsidRDefault="00613852" w:rsidP="00613852">
            <w:pPr>
              <w:pStyle w:val="Default"/>
              <w:jc w:val="both"/>
              <w:rPr>
                <w:rFonts w:ascii="Georgia" w:hAnsi="Georgia"/>
              </w:rPr>
            </w:pPr>
            <w:r w:rsidRPr="00613852">
              <w:rPr>
                <w:rFonts w:ascii="Georgia" w:hAnsi="Georgia"/>
              </w:rPr>
              <w:t xml:space="preserve">There is clear evidence of a wide range of strategies in use to support children to take responsibility for their own learning and progress </w:t>
            </w:r>
          </w:p>
          <w:p w:rsidR="00613852" w:rsidRPr="00613852" w:rsidRDefault="00613852" w:rsidP="00613852">
            <w:pPr>
              <w:pStyle w:val="NormalWeb"/>
              <w:shd w:val="clear" w:color="auto" w:fill="FFFFFF"/>
              <w:spacing w:before="0" w:beforeAutospacing="0"/>
              <w:jc w:val="both"/>
              <w:rPr>
                <w:rFonts w:ascii="Georgia" w:hAnsi="Georgia" w:cs="Arial"/>
                <w:sz w:val="24"/>
                <w:szCs w:val="24"/>
              </w:rPr>
            </w:pPr>
            <w:r>
              <w:rPr>
                <w:rFonts w:ascii="Georgia" w:hAnsi="Georgia"/>
              </w:rPr>
              <w:t>(HGIOELC)</w:t>
            </w:r>
          </w:p>
        </w:tc>
        <w:tc>
          <w:tcPr>
            <w:tcW w:w="5812" w:type="dxa"/>
          </w:tcPr>
          <w:p w:rsidR="00613852" w:rsidRDefault="00613852" w:rsidP="0069642B">
            <w:pPr>
              <w:pStyle w:val="NormalWeb"/>
              <w:shd w:val="clear" w:color="auto" w:fill="FFFFFF"/>
              <w:jc w:val="both"/>
            </w:pPr>
          </w:p>
        </w:tc>
        <w:tc>
          <w:tcPr>
            <w:tcW w:w="5727" w:type="dxa"/>
          </w:tcPr>
          <w:p w:rsidR="00613852" w:rsidRDefault="00613852" w:rsidP="00DB1911"/>
        </w:tc>
      </w:tr>
      <w:tr w:rsidR="0069642B" w:rsidTr="0069642B">
        <w:trPr>
          <w:trHeight w:val="963"/>
        </w:trPr>
        <w:tc>
          <w:tcPr>
            <w:tcW w:w="4077" w:type="dxa"/>
            <w:shd w:val="clear" w:color="auto" w:fill="C6D9F1" w:themeFill="text2" w:themeFillTint="33"/>
          </w:tcPr>
          <w:p w:rsidR="0069642B" w:rsidRPr="00613852" w:rsidRDefault="0069642B" w:rsidP="00613852">
            <w:pPr>
              <w:pStyle w:val="Default"/>
              <w:jc w:val="both"/>
              <w:rPr>
                <w:rFonts w:ascii="Georgia" w:hAnsi="Georgia"/>
              </w:rPr>
            </w:pPr>
            <w:r>
              <w:rPr>
                <w:rFonts w:ascii="Georgia" w:hAnsi="Georgia"/>
              </w:rPr>
              <w:lastRenderedPageBreak/>
              <w:t>There is a range of strategies to support children and young people to take responsibility for their own learning and progress. They are able to have greater confidence and skills in learning theirs and others learning</w:t>
            </w:r>
          </w:p>
        </w:tc>
        <w:tc>
          <w:tcPr>
            <w:tcW w:w="5812" w:type="dxa"/>
            <w:shd w:val="clear" w:color="auto" w:fill="C6D9F1" w:themeFill="text2" w:themeFillTint="33"/>
          </w:tcPr>
          <w:p w:rsidR="0069642B" w:rsidRPr="00613852" w:rsidRDefault="0069642B" w:rsidP="0069642B">
            <w:pPr>
              <w:pStyle w:val="NormalWeb"/>
              <w:shd w:val="clear" w:color="auto" w:fill="FFFFFF"/>
              <w:jc w:val="both"/>
              <w:rPr>
                <w:rFonts w:ascii="Georgia" w:hAnsi="Georgia" w:cs="Arial"/>
                <w:sz w:val="24"/>
                <w:szCs w:val="24"/>
              </w:rPr>
            </w:pPr>
          </w:p>
        </w:tc>
        <w:tc>
          <w:tcPr>
            <w:tcW w:w="5727" w:type="dxa"/>
            <w:shd w:val="clear" w:color="auto" w:fill="C6D9F1" w:themeFill="text2" w:themeFillTint="33"/>
          </w:tcPr>
          <w:p w:rsidR="0069642B" w:rsidRDefault="0069642B" w:rsidP="00DB1911"/>
        </w:tc>
      </w:tr>
      <w:tr w:rsidR="00881100" w:rsidTr="001176F1">
        <w:trPr>
          <w:trHeight w:val="963"/>
        </w:trPr>
        <w:tc>
          <w:tcPr>
            <w:tcW w:w="9889" w:type="dxa"/>
            <w:gridSpan w:val="2"/>
          </w:tcPr>
          <w:p w:rsidR="00881100" w:rsidRDefault="00881100" w:rsidP="00DB1911">
            <w:pPr>
              <w:rPr>
                <w:rFonts w:ascii="Georgia" w:hAnsi="Georgia"/>
                <w:b/>
              </w:rPr>
            </w:pPr>
            <w:r w:rsidRPr="00881100">
              <w:rPr>
                <w:rFonts w:ascii="Georgia" w:hAnsi="Georgia"/>
                <w:b/>
              </w:rPr>
              <w:t>How would you e</w:t>
            </w:r>
            <w:r w:rsidR="00354B8C">
              <w:rPr>
                <w:rFonts w:ascii="Georgia" w:hAnsi="Georgia"/>
                <w:b/>
              </w:rPr>
              <w:t>valuate this QI using the HGIOS4</w:t>
            </w:r>
            <w:r w:rsidRPr="00881100">
              <w:rPr>
                <w:rFonts w:ascii="Georgia" w:hAnsi="Georgia"/>
                <w:b/>
              </w:rPr>
              <w:t xml:space="preserve"> six</w:t>
            </w:r>
            <w:r w:rsidRPr="00881100">
              <w:rPr>
                <w:rFonts w:ascii="Georgia" w:hAnsi="Georgia"/>
                <w:b/>
              </w:rPr>
              <w:noBreakHyphen/>
              <w:t>point scale?</w:t>
            </w:r>
          </w:p>
          <w:p w:rsidR="0069642B" w:rsidRPr="00881100" w:rsidRDefault="0069642B" w:rsidP="00DB1911">
            <w:pPr>
              <w:rPr>
                <w:rFonts w:ascii="Georgia" w:hAnsi="Georgia"/>
              </w:rPr>
            </w:pPr>
            <w:r w:rsidRPr="00881100">
              <w:rPr>
                <w:rFonts w:ascii="Georgia" w:hAnsi="Georgia"/>
                <w:b/>
              </w:rPr>
              <w:t xml:space="preserve">How would you evaluate this </w:t>
            </w:r>
            <w:r>
              <w:rPr>
                <w:rFonts w:ascii="Georgia" w:hAnsi="Georgia"/>
                <w:b/>
              </w:rPr>
              <w:t>QI using the HGI</w:t>
            </w:r>
            <w:r w:rsidR="00CC5286">
              <w:rPr>
                <w:rFonts w:ascii="Georgia" w:hAnsi="Georgia"/>
                <w:b/>
              </w:rPr>
              <w:t>O</w:t>
            </w:r>
            <w:bookmarkStart w:id="0" w:name="_GoBack"/>
            <w:bookmarkEnd w:id="0"/>
            <w:r>
              <w:rPr>
                <w:rFonts w:ascii="Georgia" w:hAnsi="Georgia"/>
                <w:b/>
              </w:rPr>
              <w:t>ELC</w:t>
            </w:r>
            <w:r w:rsidRPr="00881100">
              <w:rPr>
                <w:rFonts w:ascii="Georgia" w:hAnsi="Georgia"/>
                <w:b/>
              </w:rPr>
              <w:t xml:space="preserve"> six</w:t>
            </w:r>
            <w:r w:rsidRPr="00881100">
              <w:rPr>
                <w:rFonts w:ascii="Georgia" w:hAnsi="Georgia"/>
                <w:b/>
              </w:rPr>
              <w:noBreakHyphen/>
              <w:t>point scale?</w:t>
            </w:r>
          </w:p>
        </w:tc>
        <w:tc>
          <w:tcPr>
            <w:tcW w:w="5727" w:type="dxa"/>
          </w:tcPr>
          <w:p w:rsidR="00881100" w:rsidRDefault="00881100" w:rsidP="00DB1911"/>
        </w:tc>
      </w:tr>
    </w:tbl>
    <w:p w:rsidR="00444DE0" w:rsidRDefault="00444DE0" w:rsidP="00881100">
      <w:pPr>
        <w:pStyle w:val="NormalWeb"/>
        <w:shd w:val="clear" w:color="auto" w:fill="FFFFFF"/>
      </w:pPr>
    </w:p>
    <w:sectPr w:rsidR="00444DE0" w:rsidSect="00DB19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59C"/>
    <w:multiLevelType w:val="hybridMultilevel"/>
    <w:tmpl w:val="09AEB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09A1"/>
    <w:multiLevelType w:val="hybridMultilevel"/>
    <w:tmpl w:val="2896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C52F9"/>
    <w:multiLevelType w:val="hybridMultilevel"/>
    <w:tmpl w:val="DA4A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50F33"/>
    <w:multiLevelType w:val="hybridMultilevel"/>
    <w:tmpl w:val="7B80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929FD"/>
    <w:multiLevelType w:val="hybridMultilevel"/>
    <w:tmpl w:val="DDA6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C2D86"/>
    <w:multiLevelType w:val="hybridMultilevel"/>
    <w:tmpl w:val="313C53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72424BF"/>
    <w:multiLevelType w:val="hybridMultilevel"/>
    <w:tmpl w:val="FA08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078F8"/>
    <w:multiLevelType w:val="hybridMultilevel"/>
    <w:tmpl w:val="1334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F68DA"/>
    <w:multiLevelType w:val="hybridMultilevel"/>
    <w:tmpl w:val="960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612155"/>
    <w:multiLevelType w:val="hybridMultilevel"/>
    <w:tmpl w:val="377A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6F4EE1"/>
    <w:multiLevelType w:val="hybridMultilevel"/>
    <w:tmpl w:val="8B8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D236DB"/>
    <w:multiLevelType w:val="hybridMultilevel"/>
    <w:tmpl w:val="219A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0762FB"/>
    <w:multiLevelType w:val="hybridMultilevel"/>
    <w:tmpl w:val="47B6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7A58ED"/>
    <w:multiLevelType w:val="hybridMultilevel"/>
    <w:tmpl w:val="8CC2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11"/>
  </w:num>
  <w:num w:numId="5">
    <w:abstractNumId w:val="4"/>
  </w:num>
  <w:num w:numId="6">
    <w:abstractNumId w:val="8"/>
  </w:num>
  <w:num w:numId="7">
    <w:abstractNumId w:val="9"/>
  </w:num>
  <w:num w:numId="8">
    <w:abstractNumId w:val="6"/>
  </w:num>
  <w:num w:numId="9">
    <w:abstractNumId w:val="7"/>
  </w:num>
  <w:num w:numId="10">
    <w:abstractNumId w:val="10"/>
  </w:num>
  <w:num w:numId="11">
    <w:abstractNumId w:val="5"/>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0B"/>
    <w:rsid w:val="00076F64"/>
    <w:rsid w:val="000863E0"/>
    <w:rsid w:val="000F7DE7"/>
    <w:rsid w:val="00354B8C"/>
    <w:rsid w:val="00444DE0"/>
    <w:rsid w:val="00512133"/>
    <w:rsid w:val="00613852"/>
    <w:rsid w:val="00642F51"/>
    <w:rsid w:val="0069642B"/>
    <w:rsid w:val="00881100"/>
    <w:rsid w:val="008B2B83"/>
    <w:rsid w:val="00902E4C"/>
    <w:rsid w:val="009109DA"/>
    <w:rsid w:val="00B4799D"/>
    <w:rsid w:val="00C32764"/>
    <w:rsid w:val="00CC5286"/>
    <w:rsid w:val="00DB1911"/>
    <w:rsid w:val="00EB530B"/>
    <w:rsid w:val="00EB6CD5"/>
    <w:rsid w:val="00F128AB"/>
    <w:rsid w:val="00FE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30B"/>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B53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30B"/>
    <w:pPr>
      <w:ind w:left="720"/>
      <w:contextualSpacing/>
    </w:pPr>
  </w:style>
  <w:style w:type="paragraph" w:styleId="Title">
    <w:name w:val="Title"/>
    <w:basedOn w:val="Normal"/>
    <w:next w:val="Normal"/>
    <w:link w:val="TitleChar"/>
    <w:uiPriority w:val="10"/>
    <w:qFormat/>
    <w:rsid w:val="0091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DA"/>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61385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30B"/>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B53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30B"/>
    <w:pPr>
      <w:ind w:left="720"/>
      <w:contextualSpacing/>
    </w:pPr>
  </w:style>
  <w:style w:type="paragraph" w:styleId="Title">
    <w:name w:val="Title"/>
    <w:basedOn w:val="Normal"/>
    <w:next w:val="Normal"/>
    <w:link w:val="TitleChar"/>
    <w:uiPriority w:val="10"/>
    <w:qFormat/>
    <w:rsid w:val="0091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DA"/>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6138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Catherine</dc:creator>
  <cp:lastModifiedBy>Frew, Grace</cp:lastModifiedBy>
  <cp:revision>8</cp:revision>
  <dcterms:created xsi:type="dcterms:W3CDTF">2019-01-14T15:07:00Z</dcterms:created>
  <dcterms:modified xsi:type="dcterms:W3CDTF">2019-01-16T08:30:00Z</dcterms:modified>
</cp:coreProperties>
</file>