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00BB0" w14:textId="77777777" w:rsidR="00E53318" w:rsidRPr="00DB2C8C" w:rsidRDefault="00E53318">
      <w:pPr>
        <w:rPr>
          <w:b/>
          <w:sz w:val="32"/>
          <w:szCs w:val="32"/>
        </w:rPr>
      </w:pPr>
      <w:r w:rsidRPr="00DB2C8C">
        <w:rPr>
          <w:b/>
          <w:bCs/>
          <w:noProof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26FD7D47" wp14:editId="65BBD758">
            <wp:simplePos x="0" y="0"/>
            <wp:positionH relativeFrom="column">
              <wp:posOffset>4918075</wp:posOffset>
            </wp:positionH>
            <wp:positionV relativeFrom="paragraph">
              <wp:posOffset>-704850</wp:posOffset>
            </wp:positionV>
            <wp:extent cx="1458108" cy="1790700"/>
            <wp:effectExtent l="0" t="0" r="889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108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2C8C">
        <w:rPr>
          <w:b/>
          <w:sz w:val="32"/>
          <w:szCs w:val="32"/>
        </w:rPr>
        <w:t>Scottish Professional Learning Network</w:t>
      </w:r>
    </w:p>
    <w:p w14:paraId="667D58B2" w14:textId="77777777" w:rsidR="00E53318" w:rsidRPr="00DB2C8C" w:rsidRDefault="00E53318">
      <w:pPr>
        <w:rPr>
          <w:b/>
          <w:sz w:val="28"/>
          <w:szCs w:val="28"/>
        </w:rPr>
      </w:pPr>
      <w:r w:rsidRPr="00DB2C8C">
        <w:rPr>
          <w:b/>
          <w:sz w:val="28"/>
          <w:szCs w:val="28"/>
        </w:rPr>
        <w:t>7</w:t>
      </w:r>
      <w:r w:rsidRPr="00DB2C8C">
        <w:rPr>
          <w:b/>
          <w:sz w:val="28"/>
          <w:szCs w:val="28"/>
          <w:vertAlign w:val="superscript"/>
        </w:rPr>
        <w:t>th</w:t>
      </w:r>
      <w:r w:rsidRPr="00DB2C8C">
        <w:rPr>
          <w:b/>
          <w:sz w:val="28"/>
          <w:szCs w:val="28"/>
        </w:rPr>
        <w:t xml:space="preserve"> October 2020</w:t>
      </w:r>
    </w:p>
    <w:p w14:paraId="71C084F2" w14:textId="77777777" w:rsidR="00E53318" w:rsidRPr="00DB2C8C" w:rsidRDefault="00E53318">
      <w:pPr>
        <w:rPr>
          <w:b/>
          <w:sz w:val="28"/>
          <w:szCs w:val="28"/>
        </w:rPr>
      </w:pPr>
      <w:r w:rsidRPr="00DB2C8C">
        <w:rPr>
          <w:b/>
          <w:sz w:val="28"/>
          <w:szCs w:val="28"/>
        </w:rPr>
        <w:t>Feedback on D</w:t>
      </w:r>
      <w:r w:rsidR="00DB2C8C">
        <w:rPr>
          <w:b/>
          <w:sz w:val="28"/>
          <w:szCs w:val="28"/>
        </w:rPr>
        <w:t>RAF</w:t>
      </w:r>
      <w:r w:rsidRPr="00DB2C8C">
        <w:rPr>
          <w:b/>
          <w:sz w:val="28"/>
          <w:szCs w:val="28"/>
        </w:rPr>
        <w:t>T Refreshed Professional Standards 2020</w:t>
      </w:r>
    </w:p>
    <w:p w14:paraId="01B9216B" w14:textId="51EC90D9" w:rsidR="00E53318" w:rsidRPr="00EB72FA" w:rsidRDefault="00EB72FA">
      <w:pPr>
        <w:rPr>
          <w:b/>
          <w:sz w:val="28"/>
          <w:szCs w:val="28"/>
        </w:rPr>
      </w:pPr>
      <w:r w:rsidRPr="00EB72FA">
        <w:rPr>
          <w:b/>
          <w:sz w:val="28"/>
          <w:szCs w:val="28"/>
        </w:rPr>
        <w:t xml:space="preserve">Facilitators:  </w:t>
      </w:r>
      <w:r w:rsidR="001E27E5">
        <w:rPr>
          <w:b/>
          <w:sz w:val="28"/>
          <w:szCs w:val="28"/>
        </w:rPr>
        <w:t xml:space="preserve">Dianne Cantali &amp; Jean Laird </w:t>
      </w:r>
      <w:bookmarkStart w:id="0" w:name="_GoBack"/>
      <w:bookmarkEnd w:id="0"/>
    </w:p>
    <w:p w14:paraId="3643AFC2" w14:textId="77777777" w:rsidR="00E53318" w:rsidRPr="00DB2C8C" w:rsidRDefault="00E53318">
      <w:pPr>
        <w:rPr>
          <w:b/>
          <w:sz w:val="28"/>
          <w:szCs w:val="28"/>
        </w:rPr>
      </w:pPr>
      <w:r w:rsidRPr="00DB2C8C">
        <w:rPr>
          <w:b/>
          <w:sz w:val="28"/>
          <w:szCs w:val="28"/>
        </w:rPr>
        <w:t xml:space="preserve">Please provide feedback on the following </w:t>
      </w:r>
      <w:r w:rsidR="00DB2C8C">
        <w:rPr>
          <w:b/>
          <w:sz w:val="28"/>
          <w:szCs w:val="28"/>
        </w:rPr>
        <w:t xml:space="preserve">discussion </w:t>
      </w:r>
      <w:r w:rsidRPr="00DB2C8C">
        <w:rPr>
          <w:b/>
          <w:sz w:val="28"/>
          <w:szCs w:val="28"/>
        </w:rPr>
        <w:t>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3318" w14:paraId="4AD6BC8F" w14:textId="77777777" w:rsidTr="00E53318">
        <w:tc>
          <w:tcPr>
            <w:tcW w:w="9016" w:type="dxa"/>
          </w:tcPr>
          <w:p w14:paraId="5DBA6D8F" w14:textId="77777777" w:rsidR="00E53318" w:rsidRPr="00E53318" w:rsidRDefault="00E53318" w:rsidP="00E53318">
            <w:pPr>
              <w:pStyle w:val="NormalWeb"/>
              <w:shd w:val="clear" w:color="auto" w:fill="FFFFFF"/>
              <w:spacing w:before="0" w:after="0" w:afterAutospacing="0"/>
              <w:textAlignment w:val="baseline"/>
              <w:rPr>
                <w:rFonts w:ascii="Arial" w:hAnsi="Arial" w:cs="Arial"/>
                <w:b/>
                <w:color w:val="201F1E"/>
                <w:sz w:val="22"/>
                <w:szCs w:val="22"/>
                <w:bdr w:val="none" w:sz="0" w:space="0" w:color="auto" w:frame="1"/>
              </w:rPr>
            </w:pPr>
            <w:r w:rsidRPr="00E53318">
              <w:rPr>
                <w:rFonts w:ascii="Arial" w:hAnsi="Arial" w:cs="Arial"/>
                <w:b/>
                <w:color w:val="201F1E"/>
                <w:sz w:val="22"/>
                <w:szCs w:val="22"/>
                <w:bdr w:val="none" w:sz="0" w:space="0" w:color="auto" w:frame="1"/>
              </w:rPr>
              <w:t>Question 1</w:t>
            </w:r>
          </w:p>
          <w:p w14:paraId="5409EDC0" w14:textId="77777777" w:rsidR="00E53318" w:rsidRDefault="00E53318" w:rsidP="00E53318">
            <w:pPr>
              <w:pStyle w:val="NormalWeb"/>
              <w:shd w:val="clear" w:color="auto" w:fill="FFFFFF"/>
              <w:spacing w:before="0" w:after="0" w:afterAutospacing="0"/>
              <w:textAlignment w:val="baseline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Is the structure, language and content of the Professional Standards 2021 coherent, clear and usable?   </w:t>
            </w:r>
          </w:p>
          <w:p w14:paraId="1BF2C0AF" w14:textId="77777777" w:rsidR="00E53318" w:rsidRDefault="00E53318">
            <w:pPr>
              <w:rPr>
                <w:sz w:val="28"/>
                <w:szCs w:val="28"/>
              </w:rPr>
            </w:pPr>
          </w:p>
        </w:tc>
      </w:tr>
      <w:tr w:rsidR="00E53318" w14:paraId="1EC7A473" w14:textId="77777777" w:rsidTr="00E53318">
        <w:tc>
          <w:tcPr>
            <w:tcW w:w="9016" w:type="dxa"/>
          </w:tcPr>
          <w:p w14:paraId="7593386B" w14:textId="77777777" w:rsidR="00E53318" w:rsidRDefault="002165F5" w:rsidP="00E5331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Assessment key part – can focus too much on summative but all aspects of assessment crucial for teaching &amp; learning</w:t>
            </w:r>
          </w:p>
          <w:p w14:paraId="5AD4A053" w14:textId="77777777" w:rsidR="002165F5" w:rsidRDefault="002165F5" w:rsidP="00E5331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Teaching, learning and assessment should be integral part of the plan, not working towards an assessment</w:t>
            </w:r>
          </w:p>
          <w:p w14:paraId="459DBF5F" w14:textId="77777777" w:rsidR="002165F5" w:rsidRDefault="002165F5" w:rsidP="00E5331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Shared understanding of why assessment is placed where it is in the refreshed Standard</w:t>
            </w:r>
          </w:p>
          <w:p w14:paraId="72603E1E" w14:textId="77777777" w:rsidR="002165F5" w:rsidRDefault="002165F5" w:rsidP="00E5331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Succinct &amp; concise wording reduces ambiguity, especially in Standard for Headship</w:t>
            </w:r>
          </w:p>
          <w:p w14:paraId="3B57AA3E" w14:textId="77777777" w:rsidR="002165F5" w:rsidRDefault="002165F5" w:rsidP="00E5331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 themes clarify main aims</w:t>
            </w:r>
          </w:p>
          <w:p w14:paraId="73ABC930" w14:textId="6CB62B2E" w:rsidR="002165F5" w:rsidRDefault="002165F5" w:rsidP="00E5331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Possibly more challenging to see how progression happens e.g. from </w:t>
            </w:r>
            <w:proofErr w:type="spellStart"/>
            <w:r>
              <w:rPr>
                <w:sz w:val="28"/>
                <w:szCs w:val="28"/>
              </w:rPr>
              <w:t>SPR</w:t>
            </w:r>
            <w:proofErr w:type="spellEnd"/>
            <w:r>
              <w:rPr>
                <w:sz w:val="28"/>
                <w:szCs w:val="28"/>
              </w:rPr>
              <w:t xml:space="preserve"> to SFR and beyond.  Do the bullet points provide enough substance so that someone can dig into the SFR e.g. in 3</w:t>
            </w:r>
            <w:r w:rsidRPr="002165F5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year</w:t>
            </w:r>
            <w:r w:rsidR="00D5658F">
              <w:rPr>
                <w:sz w:val="28"/>
                <w:szCs w:val="28"/>
              </w:rPr>
              <w:t xml:space="preserve"> and see where they are progressing to</w:t>
            </w:r>
            <w:r>
              <w:rPr>
                <w:sz w:val="28"/>
                <w:szCs w:val="28"/>
              </w:rPr>
              <w:t>?</w:t>
            </w:r>
          </w:p>
          <w:p w14:paraId="2B0CA2A0" w14:textId="16FBF637" w:rsidR="00D5658F" w:rsidRPr="00E53318" w:rsidRDefault="00D5658F" w:rsidP="00E5331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Positive step forward to try to align SFR with CLPL – good to see consistency in language and terminology</w:t>
            </w:r>
          </w:p>
        </w:tc>
      </w:tr>
      <w:tr w:rsidR="00E53318" w14:paraId="66AD0955" w14:textId="77777777" w:rsidTr="00E53318">
        <w:tc>
          <w:tcPr>
            <w:tcW w:w="9016" w:type="dxa"/>
          </w:tcPr>
          <w:p w14:paraId="6BFC9ED3" w14:textId="77777777" w:rsidR="00E53318" w:rsidRPr="00E53318" w:rsidRDefault="00E53318" w:rsidP="00E53318">
            <w:pPr>
              <w:rPr>
                <w:rFonts w:ascii="Arial" w:hAnsi="Arial" w:cs="Arial"/>
                <w:b/>
                <w:color w:val="201F1E"/>
                <w:bdr w:val="none" w:sz="0" w:space="0" w:color="auto" w:frame="1"/>
              </w:rPr>
            </w:pPr>
            <w:r w:rsidRPr="00E53318">
              <w:rPr>
                <w:rFonts w:ascii="Arial" w:hAnsi="Arial" w:cs="Arial"/>
                <w:b/>
                <w:color w:val="201F1E"/>
                <w:bdr w:val="none" w:sz="0" w:space="0" w:color="auto" w:frame="1"/>
              </w:rPr>
              <w:t>Question 2</w:t>
            </w:r>
          </w:p>
          <w:p w14:paraId="5565F6B1" w14:textId="77777777" w:rsidR="00E53318" w:rsidRDefault="00E53318" w:rsidP="00E53318">
            <w:pPr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  <w:p w14:paraId="43B5CFD3" w14:textId="77777777" w:rsidR="00E53318" w:rsidRDefault="00E53318" w:rsidP="00E53318">
            <w:pPr>
              <w:rPr>
                <w:rFonts w:ascii="Arial" w:hAnsi="Arial" w:cs="Arial"/>
                <w:color w:val="201F1E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01F1E"/>
                <w:bdr w:val="none" w:sz="0" w:space="0" w:color="auto" w:frame="1"/>
              </w:rPr>
              <w:t>How well do the Professional Standards 2021 articulate what it means to be a teacher in Scotland?   </w:t>
            </w:r>
          </w:p>
          <w:p w14:paraId="30F29E3B" w14:textId="77777777" w:rsidR="00DB2C8C" w:rsidRDefault="00DB2C8C" w:rsidP="00E53318">
            <w:pPr>
              <w:rPr>
                <w:sz w:val="28"/>
                <w:szCs w:val="28"/>
              </w:rPr>
            </w:pPr>
          </w:p>
        </w:tc>
      </w:tr>
      <w:tr w:rsidR="00E53318" w14:paraId="59FB912C" w14:textId="77777777" w:rsidTr="00E53318">
        <w:tc>
          <w:tcPr>
            <w:tcW w:w="9016" w:type="dxa"/>
          </w:tcPr>
          <w:p w14:paraId="7723CB1C" w14:textId="77777777" w:rsidR="00E53318" w:rsidRDefault="00D5658F" w:rsidP="00E5331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Role of teacher &amp; language around equality and equity?  </w:t>
            </w:r>
          </w:p>
          <w:p w14:paraId="1AB7AFC9" w14:textId="77777777" w:rsidR="00D5658F" w:rsidRDefault="00D5658F" w:rsidP="00E5331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Opening section has pulled together broad role better than 2012 version</w:t>
            </w:r>
          </w:p>
          <w:p w14:paraId="5BCA22D8" w14:textId="77777777" w:rsidR="00D5658F" w:rsidRDefault="00D5658F" w:rsidP="00E5331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Something that describes how wonderful it is to be a teacher, and what an achievement it is to gain registration / qualification</w:t>
            </w:r>
          </w:p>
          <w:p w14:paraId="174C0229" w14:textId="0D34E004" w:rsidR="00D5658F" w:rsidRPr="00E53318" w:rsidRDefault="00D5658F" w:rsidP="00E5331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we need to flag up more about protected characteristics and institutional barriers and teacher responsibility for this?  Recognising our own bias and challenging these</w:t>
            </w:r>
          </w:p>
        </w:tc>
      </w:tr>
      <w:tr w:rsidR="00E53318" w14:paraId="47ED915A" w14:textId="77777777" w:rsidTr="00E53318">
        <w:tc>
          <w:tcPr>
            <w:tcW w:w="9016" w:type="dxa"/>
          </w:tcPr>
          <w:p w14:paraId="22FD1A41" w14:textId="77777777" w:rsidR="00E53318" w:rsidRPr="00E53318" w:rsidRDefault="00E53318" w:rsidP="00E53318">
            <w:pPr>
              <w:pStyle w:val="NormalWeb"/>
              <w:shd w:val="clear" w:color="auto" w:fill="FFFFFF"/>
              <w:spacing w:before="0" w:after="0" w:afterAutospacing="0"/>
              <w:textAlignment w:val="baseline"/>
              <w:rPr>
                <w:rFonts w:ascii="Arial" w:hAnsi="Arial" w:cs="Arial"/>
                <w:b/>
                <w:color w:val="201F1E"/>
                <w:sz w:val="22"/>
                <w:szCs w:val="22"/>
                <w:bdr w:val="none" w:sz="0" w:space="0" w:color="auto" w:frame="1"/>
              </w:rPr>
            </w:pPr>
            <w:r w:rsidRPr="00E53318">
              <w:rPr>
                <w:rFonts w:ascii="Arial" w:hAnsi="Arial" w:cs="Arial"/>
                <w:b/>
                <w:color w:val="201F1E"/>
                <w:sz w:val="22"/>
                <w:szCs w:val="22"/>
                <w:bdr w:val="none" w:sz="0" w:space="0" w:color="auto" w:frame="1"/>
              </w:rPr>
              <w:t>Question 3</w:t>
            </w:r>
          </w:p>
          <w:p w14:paraId="62E4FE36" w14:textId="77777777" w:rsidR="00E53318" w:rsidRDefault="00E53318" w:rsidP="00E53318">
            <w:pPr>
              <w:pStyle w:val="NormalWeb"/>
              <w:shd w:val="clear" w:color="auto" w:fill="FFFFFF"/>
              <w:spacing w:before="0" w:after="0" w:afterAutospacing="0"/>
              <w:textAlignment w:val="baseline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lastRenderedPageBreak/>
              <w:t>What help is needed to support the enactment of Professional Standards 2021 as central to teacher professional learning and development? </w:t>
            </w:r>
          </w:p>
          <w:p w14:paraId="05F94C37" w14:textId="77777777" w:rsidR="00E53318" w:rsidRDefault="00E53318">
            <w:pPr>
              <w:rPr>
                <w:sz w:val="28"/>
                <w:szCs w:val="28"/>
              </w:rPr>
            </w:pPr>
          </w:p>
        </w:tc>
      </w:tr>
      <w:tr w:rsidR="00E53318" w14:paraId="6A60810D" w14:textId="77777777" w:rsidTr="00E53318">
        <w:tc>
          <w:tcPr>
            <w:tcW w:w="9016" w:type="dxa"/>
          </w:tcPr>
          <w:p w14:paraId="70731528" w14:textId="77777777" w:rsidR="00E53318" w:rsidRDefault="00D5658F" w:rsidP="00E5331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Keep things concise so not too much for them to remember</w:t>
            </w:r>
          </w:p>
          <w:p w14:paraId="34976DE2" w14:textId="77777777" w:rsidR="00D5658F" w:rsidRDefault="00D5658F" w:rsidP="00E5331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Helping teachers to develop emotional intelligence and literacy, and to address / recognise their own barriers and biases which they can feel quite threatened by, especially newer &amp; student teachers.  </w:t>
            </w:r>
          </w:p>
          <w:p w14:paraId="7FEE0C72" w14:textId="7422118A" w:rsidR="00D5658F" w:rsidRPr="00E53318" w:rsidRDefault="00D5658F" w:rsidP="00E5331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Feeling confident to speak up &amp; be reflective.  </w:t>
            </w:r>
          </w:p>
        </w:tc>
      </w:tr>
    </w:tbl>
    <w:p w14:paraId="1343B182" w14:textId="77777777" w:rsidR="00E53318" w:rsidRPr="00E53318" w:rsidRDefault="00E53318">
      <w:pPr>
        <w:rPr>
          <w:sz w:val="28"/>
          <w:szCs w:val="28"/>
        </w:rPr>
      </w:pPr>
    </w:p>
    <w:sectPr w:rsidR="00E53318" w:rsidRPr="00E53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67CD9"/>
    <w:multiLevelType w:val="hybridMultilevel"/>
    <w:tmpl w:val="AA947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18"/>
    <w:rsid w:val="001E27E5"/>
    <w:rsid w:val="002165F5"/>
    <w:rsid w:val="00254062"/>
    <w:rsid w:val="007F251A"/>
    <w:rsid w:val="00BC1C5F"/>
    <w:rsid w:val="00D5658F"/>
    <w:rsid w:val="00DB2C8C"/>
    <w:rsid w:val="00E53318"/>
    <w:rsid w:val="00EB72FA"/>
    <w:rsid w:val="00EE05B7"/>
    <w:rsid w:val="00F5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3DA60"/>
  <w15:chartTrackingRefBased/>
  <w15:docId w15:val="{3E279FA4-70D4-48BE-BEFF-90308B12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5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53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Henderson-Edu</dc:creator>
  <cp:keywords/>
  <dc:description/>
  <cp:lastModifiedBy>Walker L (Lesley)</cp:lastModifiedBy>
  <cp:revision>3</cp:revision>
  <dcterms:created xsi:type="dcterms:W3CDTF">2020-10-08T10:30:00Z</dcterms:created>
  <dcterms:modified xsi:type="dcterms:W3CDTF">2020-10-12T12:45:00Z</dcterms:modified>
</cp:coreProperties>
</file>