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27" w:type="dxa"/>
        <w:tblLook w:val="04A0" w:firstRow="1" w:lastRow="0" w:firstColumn="1" w:lastColumn="0" w:noHBand="0" w:noVBand="1"/>
      </w:tblPr>
      <w:tblGrid>
        <w:gridCol w:w="2441"/>
        <w:gridCol w:w="1927"/>
        <w:gridCol w:w="1806"/>
        <w:gridCol w:w="9553"/>
      </w:tblGrid>
      <w:tr w:rsidR="008874DC" w:rsidTr="004C2F4F">
        <w:trPr>
          <w:trHeight w:val="691"/>
        </w:trPr>
        <w:tc>
          <w:tcPr>
            <w:tcW w:w="1721" w:type="dxa"/>
            <w:tcBorders>
              <w:top w:val="nil"/>
              <w:left w:val="nil"/>
              <w:bottom w:val="single" w:sz="4" w:space="0" w:color="auto"/>
              <w:right w:val="nil"/>
            </w:tcBorders>
            <w:vAlign w:val="center"/>
          </w:tcPr>
          <w:p w:rsidR="003C0181" w:rsidRPr="004C2F4F" w:rsidRDefault="003C0181" w:rsidP="004C2F4F">
            <w:pPr>
              <w:jc w:val="center"/>
              <w:rPr>
                <w:rFonts w:cstheme="minorHAnsi"/>
                <w:b/>
              </w:rPr>
            </w:pPr>
            <w:r w:rsidRPr="004C2F4F">
              <w:rPr>
                <w:rFonts w:cstheme="minorHAnsi"/>
                <w:b/>
              </w:rPr>
              <w:t>Dramatic Technique</w:t>
            </w:r>
          </w:p>
        </w:tc>
        <w:tc>
          <w:tcPr>
            <w:tcW w:w="1965" w:type="dxa"/>
            <w:tcBorders>
              <w:top w:val="nil"/>
              <w:left w:val="nil"/>
              <w:bottom w:val="single" w:sz="4" w:space="0" w:color="auto"/>
              <w:right w:val="nil"/>
            </w:tcBorders>
            <w:vAlign w:val="center"/>
          </w:tcPr>
          <w:p w:rsidR="003C0181" w:rsidRPr="000A48CE" w:rsidRDefault="003C0181" w:rsidP="000A48CE">
            <w:pPr>
              <w:jc w:val="center"/>
              <w:rPr>
                <w:b/>
              </w:rPr>
            </w:pPr>
            <w:r w:rsidRPr="000A48CE">
              <w:rPr>
                <w:b/>
              </w:rPr>
              <w:t>What is it?</w:t>
            </w:r>
          </w:p>
        </w:tc>
        <w:tc>
          <w:tcPr>
            <w:tcW w:w="1843" w:type="dxa"/>
            <w:tcBorders>
              <w:top w:val="nil"/>
              <w:left w:val="nil"/>
              <w:bottom w:val="single" w:sz="4" w:space="0" w:color="auto"/>
              <w:right w:val="nil"/>
            </w:tcBorders>
            <w:vAlign w:val="center"/>
          </w:tcPr>
          <w:p w:rsidR="003C0181" w:rsidRPr="000A48CE" w:rsidRDefault="003C0181" w:rsidP="000A48CE">
            <w:pPr>
              <w:jc w:val="center"/>
              <w:rPr>
                <w:b/>
              </w:rPr>
            </w:pPr>
            <w:r w:rsidRPr="000A48CE">
              <w:rPr>
                <w:b/>
              </w:rPr>
              <w:t>Why is it used?</w:t>
            </w:r>
          </w:p>
        </w:tc>
        <w:tc>
          <w:tcPr>
            <w:tcW w:w="10198" w:type="dxa"/>
            <w:tcBorders>
              <w:top w:val="nil"/>
              <w:left w:val="nil"/>
              <w:bottom w:val="single" w:sz="4" w:space="0" w:color="auto"/>
              <w:right w:val="nil"/>
            </w:tcBorders>
            <w:vAlign w:val="center"/>
          </w:tcPr>
          <w:p w:rsidR="003C0181" w:rsidRPr="000A48CE" w:rsidRDefault="003C0181" w:rsidP="000A48CE">
            <w:pPr>
              <w:jc w:val="center"/>
              <w:rPr>
                <w:rFonts w:ascii="Comic Sans MS" w:hAnsi="Comic Sans MS"/>
                <w:b/>
                <w:sz w:val="20"/>
              </w:rPr>
            </w:pPr>
            <w:r w:rsidRPr="000A48CE">
              <w:rPr>
                <w:rFonts w:ascii="Comic Sans MS" w:hAnsi="Comic Sans MS"/>
                <w:b/>
                <w:sz w:val="20"/>
              </w:rPr>
              <w:t>Example</w:t>
            </w:r>
            <w:r w:rsidR="004C2F4F">
              <w:rPr>
                <w:rFonts w:ascii="Comic Sans MS" w:hAnsi="Comic Sans MS"/>
                <w:b/>
                <w:sz w:val="20"/>
              </w:rPr>
              <w:t xml:space="preserve"> (</w:t>
            </w:r>
            <w:r w:rsidRPr="000A48CE">
              <w:rPr>
                <w:rFonts w:ascii="Comic Sans MS" w:hAnsi="Comic Sans MS"/>
                <w:b/>
                <w:sz w:val="20"/>
              </w:rPr>
              <w:t>s</w:t>
            </w:r>
            <w:r w:rsidR="004C2F4F">
              <w:rPr>
                <w:rFonts w:ascii="Comic Sans MS" w:hAnsi="Comic Sans MS"/>
                <w:b/>
                <w:sz w:val="20"/>
              </w:rPr>
              <w:t>)</w:t>
            </w:r>
            <w:r w:rsidRPr="000A48CE">
              <w:rPr>
                <w:rFonts w:ascii="Comic Sans MS" w:hAnsi="Comic Sans MS"/>
                <w:b/>
                <w:sz w:val="20"/>
              </w:rPr>
              <w:t xml:space="preserve"> of this technique from </w:t>
            </w:r>
            <w:r w:rsidR="004C2F4F">
              <w:rPr>
                <w:rFonts w:ascii="Comic Sans MS" w:hAnsi="Comic Sans MS"/>
                <w:b/>
                <w:sz w:val="20"/>
              </w:rPr>
              <w:t>‘</w:t>
            </w:r>
            <w:r w:rsidRPr="000A48CE">
              <w:rPr>
                <w:rFonts w:ascii="Comic Sans MS" w:hAnsi="Comic Sans MS"/>
                <w:b/>
                <w:sz w:val="20"/>
              </w:rPr>
              <w:t>Sailmaker</w:t>
            </w:r>
            <w:r w:rsidR="004C2F4F">
              <w:rPr>
                <w:rFonts w:ascii="Comic Sans MS" w:hAnsi="Comic Sans MS"/>
                <w:b/>
                <w:sz w:val="20"/>
              </w:rPr>
              <w:t>’ by Alan Spence</w:t>
            </w:r>
          </w:p>
          <w:p w:rsidR="000A48CE" w:rsidRPr="000A48CE" w:rsidRDefault="000A48CE" w:rsidP="000A48CE">
            <w:pPr>
              <w:jc w:val="center"/>
              <w:rPr>
                <w:rFonts w:ascii="Comic Sans MS" w:hAnsi="Comic Sans MS"/>
                <w:i/>
                <w:sz w:val="20"/>
              </w:rPr>
            </w:pPr>
            <w:r w:rsidRPr="000A48CE">
              <w:rPr>
                <w:rFonts w:ascii="Comic Sans MS" w:hAnsi="Comic Sans MS"/>
                <w:sz w:val="20"/>
              </w:rPr>
              <w:t xml:space="preserve">Explanations + </w:t>
            </w:r>
            <w:r w:rsidRPr="000A48CE">
              <w:rPr>
                <w:rFonts w:ascii="Comic Sans MS" w:hAnsi="Comic Sans MS"/>
                <w:i/>
                <w:sz w:val="20"/>
                <w:highlight w:val="yellow"/>
              </w:rPr>
              <w:t>Evidence</w:t>
            </w:r>
          </w:p>
        </w:tc>
      </w:tr>
      <w:tr w:rsidR="008874DC" w:rsidTr="00A8526F">
        <w:trPr>
          <w:trHeight w:val="1525"/>
        </w:trPr>
        <w:tc>
          <w:tcPr>
            <w:tcW w:w="1721" w:type="dxa"/>
            <w:tcBorders>
              <w:top w:val="single" w:sz="4" w:space="0" w:color="auto"/>
            </w:tcBorders>
            <w:vAlign w:val="center"/>
          </w:tcPr>
          <w:p w:rsidR="003C0181" w:rsidRPr="008874DC" w:rsidRDefault="003C0181" w:rsidP="008874DC">
            <w:pPr>
              <w:pStyle w:val="ListParagraph"/>
              <w:numPr>
                <w:ilvl w:val="0"/>
                <w:numId w:val="3"/>
              </w:numPr>
              <w:jc w:val="center"/>
              <w:rPr>
                <w:rFonts w:cstheme="minorHAnsi"/>
                <w:b/>
              </w:rPr>
            </w:pPr>
            <w:r w:rsidRPr="008874DC">
              <w:rPr>
                <w:rFonts w:cstheme="minorHAnsi"/>
                <w:b/>
              </w:rPr>
              <w:t>Flashback</w:t>
            </w:r>
          </w:p>
        </w:tc>
        <w:tc>
          <w:tcPr>
            <w:tcW w:w="1965" w:type="dxa"/>
            <w:tcBorders>
              <w:top w:val="single" w:sz="4" w:space="0" w:color="auto"/>
            </w:tcBorders>
            <w:vAlign w:val="center"/>
          </w:tcPr>
          <w:p w:rsidR="003C0181" w:rsidRDefault="003C0181" w:rsidP="00A8526F">
            <w:pPr>
              <w:jc w:val="center"/>
            </w:pPr>
            <w:r>
              <w:t>The actors show/tell something that has previously happened</w:t>
            </w:r>
          </w:p>
        </w:tc>
        <w:tc>
          <w:tcPr>
            <w:tcW w:w="1843" w:type="dxa"/>
            <w:tcBorders>
              <w:top w:val="single" w:sz="4" w:space="0" w:color="auto"/>
            </w:tcBorders>
          </w:tcPr>
          <w:p w:rsidR="003C0181" w:rsidRDefault="003C0181" w:rsidP="003C0181">
            <w:r>
              <w:t>Gives the audience more background information about…</w:t>
            </w:r>
          </w:p>
        </w:tc>
        <w:tc>
          <w:tcPr>
            <w:tcW w:w="10198" w:type="dxa"/>
            <w:tcBorders>
              <w:top w:val="single" w:sz="4" w:space="0" w:color="auto"/>
            </w:tcBorders>
          </w:tcPr>
          <w:p w:rsidR="003C0181" w:rsidRPr="000A48CE" w:rsidRDefault="003C0181" w:rsidP="003C0181">
            <w:pPr>
              <w:rPr>
                <w:rFonts w:ascii="Comic Sans MS" w:hAnsi="Comic Sans MS"/>
                <w:sz w:val="20"/>
              </w:rPr>
            </w:pPr>
          </w:p>
        </w:tc>
      </w:tr>
      <w:tr w:rsidR="008874DC" w:rsidTr="00A8526F">
        <w:trPr>
          <w:trHeight w:val="1789"/>
        </w:trPr>
        <w:tc>
          <w:tcPr>
            <w:tcW w:w="1721" w:type="dxa"/>
            <w:vAlign w:val="center"/>
          </w:tcPr>
          <w:p w:rsidR="003C0181" w:rsidRPr="008874DC" w:rsidRDefault="003C0181" w:rsidP="008874DC">
            <w:pPr>
              <w:pStyle w:val="ListParagraph"/>
              <w:numPr>
                <w:ilvl w:val="0"/>
                <w:numId w:val="3"/>
              </w:numPr>
              <w:jc w:val="center"/>
              <w:rPr>
                <w:rFonts w:cstheme="minorHAnsi"/>
                <w:b/>
              </w:rPr>
            </w:pPr>
            <w:r w:rsidRPr="008874DC">
              <w:rPr>
                <w:rFonts w:cstheme="minorHAnsi"/>
                <w:b/>
              </w:rPr>
              <w:t>Monologue</w:t>
            </w:r>
          </w:p>
        </w:tc>
        <w:tc>
          <w:tcPr>
            <w:tcW w:w="1965" w:type="dxa"/>
            <w:vAlign w:val="center"/>
          </w:tcPr>
          <w:p w:rsidR="003C0181" w:rsidRDefault="003C0181" w:rsidP="00A8526F">
            <w:pPr>
              <w:jc w:val="center"/>
            </w:pPr>
            <w:r>
              <w:t>One actor speaks for an extended amount of time</w:t>
            </w:r>
          </w:p>
        </w:tc>
        <w:tc>
          <w:tcPr>
            <w:tcW w:w="1843" w:type="dxa"/>
          </w:tcPr>
          <w:p w:rsidR="003C0181" w:rsidRDefault="003C0181" w:rsidP="003C0181">
            <w:r>
              <w:t>Lots of information can be revealed/ get to know the character better</w:t>
            </w:r>
          </w:p>
        </w:tc>
        <w:tc>
          <w:tcPr>
            <w:tcW w:w="10198" w:type="dxa"/>
          </w:tcPr>
          <w:p w:rsidR="003C0181" w:rsidRPr="000A48CE" w:rsidRDefault="003C0181" w:rsidP="003C0181">
            <w:pPr>
              <w:rPr>
                <w:rFonts w:ascii="Comic Sans MS" w:hAnsi="Comic Sans MS"/>
                <w:sz w:val="20"/>
              </w:rPr>
            </w:pPr>
          </w:p>
        </w:tc>
      </w:tr>
      <w:tr w:rsidR="008874DC" w:rsidTr="00A8526F">
        <w:trPr>
          <w:trHeight w:val="1789"/>
        </w:trPr>
        <w:tc>
          <w:tcPr>
            <w:tcW w:w="1721" w:type="dxa"/>
            <w:vAlign w:val="center"/>
          </w:tcPr>
          <w:p w:rsidR="003C0181" w:rsidRPr="008874DC" w:rsidRDefault="003C0181" w:rsidP="008874DC">
            <w:pPr>
              <w:pStyle w:val="ListParagraph"/>
              <w:numPr>
                <w:ilvl w:val="0"/>
                <w:numId w:val="3"/>
              </w:numPr>
              <w:jc w:val="center"/>
              <w:rPr>
                <w:rFonts w:cstheme="minorHAnsi"/>
                <w:b/>
              </w:rPr>
            </w:pPr>
            <w:r w:rsidRPr="008874DC">
              <w:rPr>
                <w:rFonts w:cstheme="minorHAnsi"/>
                <w:b/>
              </w:rPr>
              <w:t>Soliloquy</w:t>
            </w:r>
          </w:p>
        </w:tc>
        <w:tc>
          <w:tcPr>
            <w:tcW w:w="1965" w:type="dxa"/>
            <w:vAlign w:val="center"/>
          </w:tcPr>
          <w:p w:rsidR="004C2F4F" w:rsidRDefault="004C2F4F" w:rsidP="00A8526F">
            <w:pPr>
              <w:jc w:val="center"/>
            </w:pPr>
            <w:r>
              <w:t>a speech performed by an individual, usually showing them thinking out loud</w:t>
            </w:r>
          </w:p>
          <w:p w:rsidR="003C0181" w:rsidRDefault="003C0181" w:rsidP="00A8526F">
            <w:pPr>
              <w:jc w:val="center"/>
            </w:pPr>
          </w:p>
        </w:tc>
        <w:tc>
          <w:tcPr>
            <w:tcW w:w="1843" w:type="dxa"/>
          </w:tcPr>
          <w:p w:rsidR="004C2F4F" w:rsidRDefault="004C2F4F" w:rsidP="004C2F4F">
            <w:r>
              <w:t xml:space="preserve">Allows the </w:t>
            </w:r>
            <w:r>
              <w:t xml:space="preserve">character </w:t>
            </w:r>
            <w:r>
              <w:t xml:space="preserve">to take </w:t>
            </w:r>
            <w:r>
              <w:t>a step</w:t>
            </w:r>
            <w:r>
              <w:t xml:space="preserve"> away from the action and speak</w:t>
            </w:r>
            <w:r>
              <w:t xml:space="preserve"> directly to the audience</w:t>
            </w:r>
            <w:r>
              <w:t>.</w:t>
            </w:r>
          </w:p>
          <w:p w:rsidR="004C2F4F" w:rsidRDefault="004C2F4F" w:rsidP="004C2F4F"/>
          <w:p w:rsidR="003C0181" w:rsidRDefault="003C0181" w:rsidP="004C2F4F">
            <w:r>
              <w:t>Brings the audience into the action</w:t>
            </w:r>
            <w:r w:rsidR="004C2F4F">
              <w:t xml:space="preserve"> and</w:t>
            </w:r>
            <w:r>
              <w:t xml:space="preserve"> keeps them connected</w:t>
            </w:r>
          </w:p>
        </w:tc>
        <w:tc>
          <w:tcPr>
            <w:tcW w:w="10198" w:type="dxa"/>
          </w:tcPr>
          <w:p w:rsidR="003C0181" w:rsidRPr="000A48CE" w:rsidRDefault="003C0181" w:rsidP="003C0181">
            <w:pPr>
              <w:rPr>
                <w:rFonts w:ascii="Comic Sans MS" w:hAnsi="Comic Sans MS"/>
                <w:sz w:val="20"/>
              </w:rPr>
            </w:pPr>
          </w:p>
        </w:tc>
      </w:tr>
      <w:tr w:rsidR="008874DC" w:rsidTr="00A8526F">
        <w:trPr>
          <w:trHeight w:val="1789"/>
        </w:trPr>
        <w:tc>
          <w:tcPr>
            <w:tcW w:w="1721" w:type="dxa"/>
            <w:vAlign w:val="center"/>
          </w:tcPr>
          <w:p w:rsidR="003C0181" w:rsidRPr="008874DC" w:rsidRDefault="00A42A8D" w:rsidP="008874DC">
            <w:pPr>
              <w:pStyle w:val="ListParagraph"/>
              <w:numPr>
                <w:ilvl w:val="0"/>
                <w:numId w:val="3"/>
              </w:numPr>
              <w:jc w:val="center"/>
              <w:rPr>
                <w:rFonts w:cstheme="minorHAnsi"/>
                <w:b/>
              </w:rPr>
            </w:pPr>
            <w:r w:rsidRPr="008874DC">
              <w:rPr>
                <w:rFonts w:cstheme="minorHAnsi"/>
                <w:b/>
              </w:rPr>
              <w:t>Register</w:t>
            </w:r>
          </w:p>
        </w:tc>
        <w:tc>
          <w:tcPr>
            <w:tcW w:w="1965" w:type="dxa"/>
            <w:vAlign w:val="center"/>
          </w:tcPr>
          <w:p w:rsidR="003C0181" w:rsidRDefault="00A42A8D" w:rsidP="00A8526F">
            <w:pPr>
              <w:jc w:val="center"/>
            </w:pPr>
            <w:r>
              <w:t>How you speak depending on the situation – formal or informal</w:t>
            </w:r>
            <w:r w:rsidR="00EE568C">
              <w:t>/ with a colloquial accent</w:t>
            </w:r>
          </w:p>
        </w:tc>
        <w:tc>
          <w:tcPr>
            <w:tcW w:w="1843" w:type="dxa"/>
          </w:tcPr>
          <w:p w:rsidR="003C0181" w:rsidRDefault="008874DC" w:rsidP="003C0181">
            <w:r>
              <w:t>Can convey information about characters’ class/level of education or can be humorous</w:t>
            </w:r>
          </w:p>
        </w:tc>
        <w:tc>
          <w:tcPr>
            <w:tcW w:w="10198" w:type="dxa"/>
          </w:tcPr>
          <w:p w:rsidR="003C0181" w:rsidRPr="000A48CE" w:rsidRDefault="003C0181" w:rsidP="003C0181">
            <w:pPr>
              <w:rPr>
                <w:rFonts w:ascii="Comic Sans MS" w:hAnsi="Comic Sans MS"/>
                <w:sz w:val="20"/>
              </w:rPr>
            </w:pPr>
          </w:p>
        </w:tc>
      </w:tr>
      <w:tr w:rsidR="008874DC" w:rsidTr="00A8526F">
        <w:trPr>
          <w:trHeight w:val="1269"/>
        </w:trPr>
        <w:tc>
          <w:tcPr>
            <w:tcW w:w="1721" w:type="dxa"/>
            <w:vAlign w:val="center"/>
          </w:tcPr>
          <w:p w:rsidR="003C0181" w:rsidRPr="008874DC" w:rsidRDefault="00A42A8D" w:rsidP="008874DC">
            <w:pPr>
              <w:pStyle w:val="ListParagraph"/>
              <w:numPr>
                <w:ilvl w:val="0"/>
                <w:numId w:val="3"/>
              </w:numPr>
              <w:jc w:val="center"/>
              <w:rPr>
                <w:rFonts w:cstheme="minorHAnsi"/>
                <w:b/>
              </w:rPr>
            </w:pPr>
            <w:r w:rsidRPr="008874DC">
              <w:rPr>
                <w:rFonts w:cstheme="minorHAnsi"/>
                <w:b/>
              </w:rPr>
              <w:t>Fluency</w:t>
            </w:r>
          </w:p>
        </w:tc>
        <w:tc>
          <w:tcPr>
            <w:tcW w:w="1965" w:type="dxa"/>
            <w:vAlign w:val="center"/>
          </w:tcPr>
          <w:p w:rsidR="003C0181" w:rsidRDefault="003C0181" w:rsidP="00A8526F">
            <w:pPr>
              <w:jc w:val="center"/>
            </w:pPr>
          </w:p>
        </w:tc>
        <w:tc>
          <w:tcPr>
            <w:tcW w:w="1843" w:type="dxa"/>
          </w:tcPr>
          <w:p w:rsidR="003C0181" w:rsidRDefault="003C0181" w:rsidP="003C0181"/>
        </w:tc>
        <w:tc>
          <w:tcPr>
            <w:tcW w:w="10198" w:type="dxa"/>
          </w:tcPr>
          <w:p w:rsidR="003C0181" w:rsidRPr="000A48CE" w:rsidRDefault="003C0181" w:rsidP="003C0181">
            <w:pPr>
              <w:rPr>
                <w:rFonts w:ascii="Comic Sans MS" w:hAnsi="Comic Sans MS"/>
                <w:sz w:val="20"/>
              </w:rPr>
            </w:pPr>
          </w:p>
        </w:tc>
      </w:tr>
      <w:tr w:rsidR="008874DC" w:rsidTr="00A8526F">
        <w:trPr>
          <w:trHeight w:val="1789"/>
        </w:trPr>
        <w:tc>
          <w:tcPr>
            <w:tcW w:w="1721" w:type="dxa"/>
            <w:vAlign w:val="center"/>
          </w:tcPr>
          <w:p w:rsidR="000A48CE" w:rsidRPr="008874DC" w:rsidRDefault="000A48CE" w:rsidP="008874DC">
            <w:pPr>
              <w:pStyle w:val="ListParagraph"/>
              <w:numPr>
                <w:ilvl w:val="0"/>
                <w:numId w:val="3"/>
              </w:numPr>
              <w:jc w:val="center"/>
              <w:rPr>
                <w:rFonts w:cstheme="minorHAnsi"/>
                <w:b/>
              </w:rPr>
            </w:pPr>
            <w:r w:rsidRPr="008874DC">
              <w:rPr>
                <w:rFonts w:cstheme="minorHAnsi"/>
                <w:b/>
              </w:rPr>
              <w:lastRenderedPageBreak/>
              <w:t>Symbolism</w:t>
            </w:r>
          </w:p>
        </w:tc>
        <w:tc>
          <w:tcPr>
            <w:tcW w:w="1965" w:type="dxa"/>
            <w:vAlign w:val="center"/>
          </w:tcPr>
          <w:p w:rsidR="000A48CE" w:rsidRDefault="000A48CE" w:rsidP="00A8526F">
            <w:pPr>
              <w:jc w:val="center"/>
            </w:pPr>
          </w:p>
        </w:tc>
        <w:tc>
          <w:tcPr>
            <w:tcW w:w="1843" w:type="dxa"/>
          </w:tcPr>
          <w:p w:rsidR="000A48CE" w:rsidRDefault="000A48CE" w:rsidP="003C0181"/>
        </w:tc>
        <w:tc>
          <w:tcPr>
            <w:tcW w:w="10198" w:type="dxa"/>
          </w:tcPr>
          <w:p w:rsidR="005F7B6A" w:rsidRDefault="000A48CE" w:rsidP="000A48CE">
            <w:pPr>
              <w:rPr>
                <w:rFonts w:ascii="Comic Sans MS" w:hAnsi="Comic Sans MS"/>
                <w:sz w:val="20"/>
              </w:rPr>
            </w:pPr>
            <w:r w:rsidRPr="000A48CE">
              <w:rPr>
                <w:rFonts w:ascii="Comic Sans MS" w:hAnsi="Comic Sans MS"/>
                <w:sz w:val="20"/>
              </w:rPr>
              <w:t xml:space="preserve">The symbol of the model yacht is introduced near the beginning of the play, and Davie’s pun </w:t>
            </w:r>
            <w:r w:rsidRPr="000A48CE">
              <w:rPr>
                <w:rFonts w:ascii="Comic Sans MS" w:hAnsi="Comic Sans MS"/>
                <w:i/>
                <w:sz w:val="20"/>
                <w:highlight w:val="yellow"/>
              </w:rPr>
              <w:t xml:space="preserve">‘Ah had a yacht.  </w:t>
            </w:r>
            <w:proofErr w:type="spellStart"/>
            <w:r w:rsidRPr="000A48CE">
              <w:rPr>
                <w:rFonts w:ascii="Comic Sans MS" w:hAnsi="Comic Sans MS"/>
                <w:i/>
                <w:sz w:val="20"/>
                <w:highlight w:val="yellow"/>
              </w:rPr>
              <w:t>Y’ought</w:t>
            </w:r>
            <w:proofErr w:type="spellEnd"/>
            <w:r w:rsidRPr="000A48CE">
              <w:rPr>
                <w:rFonts w:ascii="Comic Sans MS" w:hAnsi="Comic Sans MS"/>
                <w:i/>
                <w:sz w:val="20"/>
                <w:highlight w:val="yellow"/>
              </w:rPr>
              <w:t xml:space="preserve"> to see it.’</w:t>
            </w:r>
            <w:r w:rsidRPr="000A48CE">
              <w:rPr>
                <w:rFonts w:ascii="Comic Sans MS" w:hAnsi="Comic Sans MS"/>
                <w:sz w:val="20"/>
              </w:rPr>
              <w:t xml:space="preserve"> is introduced.  There is irony in Davie associating the homophones yacht (the model ship) and </w:t>
            </w:r>
            <w:proofErr w:type="spellStart"/>
            <w:r w:rsidRPr="000A48CE">
              <w:rPr>
                <w:rFonts w:ascii="Comic Sans MS" w:hAnsi="Comic Sans MS"/>
                <w:sz w:val="20"/>
              </w:rPr>
              <w:t>y’ought</w:t>
            </w:r>
            <w:proofErr w:type="spellEnd"/>
            <w:r w:rsidRPr="000A48CE">
              <w:rPr>
                <w:rFonts w:ascii="Comic Sans MS" w:hAnsi="Comic Sans MS"/>
                <w:sz w:val="20"/>
              </w:rPr>
              <w:t xml:space="preserve"> (moral responsibility) given that he does not keep his word to mend the model (an object which may later be interpreted as a symbol for Alec’s grief / loss).   Ian’s words </w:t>
            </w:r>
            <w:r w:rsidRPr="000A48CE">
              <w:rPr>
                <w:rFonts w:ascii="Comic Sans MS" w:hAnsi="Comic Sans MS"/>
                <w:i/>
                <w:sz w:val="20"/>
                <w:highlight w:val="yellow"/>
              </w:rPr>
              <w:t>‘Put it in the canal.  Ye can all see it.’</w:t>
            </w:r>
            <w:r w:rsidRPr="000A48CE">
              <w:rPr>
                <w:rFonts w:ascii="Comic Sans MS" w:hAnsi="Comic Sans MS"/>
                <w:sz w:val="20"/>
              </w:rPr>
              <w:t xml:space="preserve"> are repeated by Davie at the end of the play and their significance is emphasised.  </w:t>
            </w:r>
          </w:p>
          <w:tbl>
            <w:tblPr>
              <w:tblStyle w:val="TableGrid"/>
              <w:tblW w:w="0" w:type="auto"/>
              <w:tblInd w:w="54" w:type="dxa"/>
              <w:tblLook w:val="04A0" w:firstRow="1" w:lastRow="0" w:firstColumn="1" w:lastColumn="0" w:noHBand="0" w:noVBand="1"/>
            </w:tblPr>
            <w:tblGrid>
              <w:gridCol w:w="4197"/>
              <w:gridCol w:w="4106"/>
            </w:tblGrid>
            <w:tr w:rsidR="000A48CE" w:rsidTr="004C2F4F">
              <w:trPr>
                <w:trHeight w:val="2739"/>
              </w:trPr>
              <w:tc>
                <w:tcPr>
                  <w:tcW w:w="4197" w:type="dxa"/>
                </w:tcPr>
                <w:p w:rsidR="005F7B6A" w:rsidRDefault="005F7B6A" w:rsidP="000A48CE">
                  <w:pPr>
                    <w:rPr>
                      <w:rFonts w:ascii="Comic Sans MS" w:hAnsi="Comic Sans MS"/>
                      <w:sz w:val="20"/>
                    </w:rPr>
                  </w:pPr>
                  <w:r>
                    <w:rPr>
                      <w:rFonts w:ascii="Comic Sans MS" w:hAnsi="Comic Sans MS"/>
                      <w:sz w:val="20"/>
                    </w:rPr>
                    <w:t>Other symbols in the play are</w:t>
                  </w:r>
                </w:p>
                <w:p w:rsidR="000A48CE" w:rsidRDefault="000A48CE" w:rsidP="000A48CE">
                  <w:pPr>
                    <w:rPr>
                      <w:rFonts w:ascii="Comic Sans MS" w:hAnsi="Comic Sans MS"/>
                      <w:sz w:val="20"/>
                    </w:rPr>
                  </w:pPr>
                  <w:r w:rsidRPr="000A48CE">
                    <w:rPr>
                      <w:rFonts w:ascii="Comic Sans MS" w:hAnsi="Comic Sans MS"/>
                      <w:sz w:val="20"/>
                    </w:rPr>
                    <w:t xml:space="preserve">The ‘holy medal’ – </w:t>
                  </w:r>
                </w:p>
                <w:p w:rsidR="000A48CE" w:rsidRDefault="000A48CE" w:rsidP="000A48CE">
                  <w:pPr>
                    <w:rPr>
                      <w:rFonts w:ascii="Comic Sans MS" w:hAnsi="Comic Sans MS"/>
                      <w:sz w:val="20"/>
                    </w:rPr>
                  </w:pPr>
                  <w:r w:rsidRPr="000A48CE">
                    <w:rPr>
                      <w:rFonts w:ascii="Comic Sans MS" w:hAnsi="Comic Sans MS"/>
                      <w:sz w:val="20"/>
                    </w:rPr>
                    <w:t>The Star of the Sea</w:t>
                  </w:r>
                </w:p>
                <w:p w:rsidR="000A48CE" w:rsidRPr="000A48CE" w:rsidRDefault="000A48CE" w:rsidP="000A48CE">
                  <w:pPr>
                    <w:rPr>
                      <w:rFonts w:ascii="Comic Sans MS" w:hAnsi="Comic Sans MS"/>
                      <w:sz w:val="20"/>
                    </w:rPr>
                  </w:pPr>
                  <w:r w:rsidRPr="000A48CE">
                    <w:rPr>
                      <w:rFonts w:ascii="Comic Sans MS" w:hAnsi="Comic Sans MS"/>
                      <w:sz w:val="20"/>
                    </w:rPr>
                    <w:t>The shell</w:t>
                  </w:r>
                </w:p>
                <w:p w:rsidR="000A48CE" w:rsidRPr="000A48CE" w:rsidRDefault="000A48CE" w:rsidP="000A48CE">
                  <w:pPr>
                    <w:rPr>
                      <w:rFonts w:ascii="Comic Sans MS" w:hAnsi="Comic Sans MS"/>
                      <w:sz w:val="20"/>
                    </w:rPr>
                  </w:pPr>
                  <w:r w:rsidRPr="000A48CE">
                    <w:rPr>
                      <w:rFonts w:ascii="Comic Sans MS" w:hAnsi="Comic Sans MS"/>
                      <w:sz w:val="20"/>
                    </w:rPr>
                    <w:t>The sail-making tools</w:t>
                  </w:r>
                </w:p>
                <w:p w:rsidR="000A48CE" w:rsidRPr="000A48CE" w:rsidRDefault="000A48CE" w:rsidP="000A48CE">
                  <w:pPr>
                    <w:rPr>
                      <w:rFonts w:ascii="Comic Sans MS" w:hAnsi="Comic Sans MS"/>
                      <w:sz w:val="20"/>
                    </w:rPr>
                  </w:pPr>
                  <w:r w:rsidRPr="000A48CE">
                    <w:rPr>
                      <w:rFonts w:ascii="Comic Sans MS" w:hAnsi="Comic Sans MS"/>
                      <w:sz w:val="20"/>
                    </w:rPr>
                    <w:t>Davie’s furniture</w:t>
                  </w:r>
                </w:p>
                <w:p w:rsidR="000A48CE" w:rsidRPr="000A48CE" w:rsidRDefault="000A48CE" w:rsidP="000A48CE">
                  <w:pPr>
                    <w:rPr>
                      <w:rFonts w:ascii="Comic Sans MS" w:hAnsi="Comic Sans MS"/>
                      <w:sz w:val="20"/>
                    </w:rPr>
                  </w:pPr>
                  <w:r w:rsidRPr="000A48CE">
                    <w:rPr>
                      <w:rFonts w:ascii="Comic Sans MS" w:hAnsi="Comic Sans MS"/>
                      <w:sz w:val="20"/>
                    </w:rPr>
                    <w:t>Songs: ‘Last Train to San Fernando’, ‘Red Sails in the Sunset’ and ‘My Generation’</w:t>
                  </w:r>
                </w:p>
              </w:tc>
              <w:tc>
                <w:tcPr>
                  <w:tcW w:w="4106" w:type="dxa"/>
                </w:tcPr>
                <w:p w:rsidR="000A48CE" w:rsidRDefault="000A48CE" w:rsidP="000A48CE">
                  <w:pPr>
                    <w:rPr>
                      <w:rFonts w:ascii="Comic Sans MS" w:hAnsi="Comic Sans MS"/>
                      <w:sz w:val="20"/>
                    </w:rPr>
                  </w:pPr>
                </w:p>
              </w:tc>
            </w:tr>
          </w:tbl>
          <w:p w:rsidR="000A48CE" w:rsidRPr="000A48CE" w:rsidRDefault="000A48CE" w:rsidP="003C0181">
            <w:pPr>
              <w:rPr>
                <w:rFonts w:ascii="Comic Sans MS" w:hAnsi="Comic Sans MS"/>
                <w:sz w:val="20"/>
              </w:rPr>
            </w:pPr>
          </w:p>
        </w:tc>
      </w:tr>
      <w:tr w:rsidR="008874DC" w:rsidTr="00A8526F">
        <w:trPr>
          <w:trHeight w:val="1789"/>
        </w:trPr>
        <w:tc>
          <w:tcPr>
            <w:tcW w:w="1721" w:type="dxa"/>
            <w:vAlign w:val="center"/>
          </w:tcPr>
          <w:p w:rsidR="000A48CE" w:rsidRPr="008874DC" w:rsidRDefault="000A48CE" w:rsidP="008874DC">
            <w:pPr>
              <w:pStyle w:val="ListParagraph"/>
              <w:numPr>
                <w:ilvl w:val="0"/>
                <w:numId w:val="3"/>
              </w:numPr>
              <w:jc w:val="center"/>
              <w:rPr>
                <w:rFonts w:cstheme="minorHAnsi"/>
                <w:b/>
              </w:rPr>
            </w:pPr>
            <w:r w:rsidRPr="008874DC">
              <w:rPr>
                <w:rFonts w:cstheme="minorHAnsi"/>
                <w:b/>
              </w:rPr>
              <w:t>Sound and music</w:t>
            </w:r>
          </w:p>
          <w:p w:rsidR="000A48CE" w:rsidRPr="004C2F4F" w:rsidRDefault="000A48CE" w:rsidP="004C2F4F">
            <w:pPr>
              <w:jc w:val="center"/>
              <w:rPr>
                <w:rFonts w:cstheme="minorHAnsi"/>
                <w:b/>
              </w:rPr>
            </w:pPr>
          </w:p>
        </w:tc>
        <w:tc>
          <w:tcPr>
            <w:tcW w:w="1965" w:type="dxa"/>
            <w:vAlign w:val="center"/>
          </w:tcPr>
          <w:p w:rsidR="000A48CE" w:rsidRDefault="000A48CE" w:rsidP="00A8526F">
            <w:pPr>
              <w:jc w:val="center"/>
            </w:pPr>
          </w:p>
        </w:tc>
        <w:tc>
          <w:tcPr>
            <w:tcW w:w="1843" w:type="dxa"/>
          </w:tcPr>
          <w:p w:rsidR="000A48CE" w:rsidRDefault="000A48CE" w:rsidP="003C0181"/>
        </w:tc>
        <w:tc>
          <w:tcPr>
            <w:tcW w:w="10198" w:type="dxa"/>
          </w:tcPr>
          <w:p w:rsidR="000A48CE" w:rsidRPr="000A48CE" w:rsidRDefault="000A48CE" w:rsidP="000A48CE">
            <w:pPr>
              <w:rPr>
                <w:rFonts w:ascii="Comic Sans MS" w:hAnsi="Comic Sans MS"/>
                <w:sz w:val="20"/>
              </w:rPr>
            </w:pPr>
            <w:r w:rsidRPr="000A48CE">
              <w:rPr>
                <w:rFonts w:ascii="Comic Sans MS" w:hAnsi="Comic Sans MS"/>
                <w:sz w:val="20"/>
              </w:rPr>
              <w:t xml:space="preserve">Important in the play. The atmosphere of grief is accentuated at the beginning </w:t>
            </w:r>
            <w:r w:rsidRPr="000A48CE">
              <w:rPr>
                <w:rFonts w:ascii="Comic Sans MS" w:hAnsi="Comic Sans MS"/>
                <w:i/>
                <w:sz w:val="20"/>
                <w:highlight w:val="yellow"/>
              </w:rPr>
              <w:t>by the solitary boy who repeatedly plays two notes on the mouth organ.</w:t>
            </w:r>
            <w:r w:rsidRPr="000A48CE">
              <w:rPr>
                <w:rFonts w:ascii="Comic Sans MS" w:hAnsi="Comic Sans MS"/>
                <w:sz w:val="20"/>
              </w:rPr>
              <w:t xml:space="preserve">   This is reinforced by the author’s use of repetition and by the sense of ordinary decay and damage in the setting.  </w:t>
            </w:r>
          </w:p>
        </w:tc>
      </w:tr>
      <w:tr w:rsidR="008874DC" w:rsidTr="00A8526F">
        <w:trPr>
          <w:trHeight w:val="1789"/>
        </w:trPr>
        <w:tc>
          <w:tcPr>
            <w:tcW w:w="1721" w:type="dxa"/>
            <w:vAlign w:val="center"/>
          </w:tcPr>
          <w:p w:rsidR="000A48CE" w:rsidRPr="008874DC" w:rsidRDefault="000A48CE" w:rsidP="008874DC">
            <w:pPr>
              <w:pStyle w:val="ListParagraph"/>
              <w:numPr>
                <w:ilvl w:val="0"/>
                <w:numId w:val="3"/>
              </w:numPr>
              <w:jc w:val="center"/>
              <w:rPr>
                <w:rFonts w:cstheme="minorHAnsi"/>
                <w:b/>
              </w:rPr>
            </w:pPr>
            <w:r w:rsidRPr="008874DC">
              <w:rPr>
                <w:rFonts w:cstheme="minorHAnsi"/>
                <w:b/>
              </w:rPr>
              <w:t>Repeating</w:t>
            </w:r>
          </w:p>
          <w:p w:rsidR="000A48CE" w:rsidRPr="004C2F4F" w:rsidRDefault="000A48CE" w:rsidP="004C2F4F">
            <w:pPr>
              <w:jc w:val="center"/>
              <w:rPr>
                <w:rFonts w:cstheme="minorHAnsi"/>
              </w:rPr>
            </w:pPr>
          </w:p>
          <w:p w:rsidR="000A48CE" w:rsidRPr="008874DC" w:rsidRDefault="000A48CE" w:rsidP="00A8526F">
            <w:pPr>
              <w:pStyle w:val="ListParagraph"/>
              <w:rPr>
                <w:rFonts w:cstheme="minorHAnsi"/>
              </w:rPr>
            </w:pPr>
            <w:r w:rsidRPr="008874DC">
              <w:rPr>
                <w:rFonts w:cstheme="minorHAnsi"/>
              </w:rPr>
              <w:t xml:space="preserve">If of a word/phrase close together then this is called </w:t>
            </w:r>
            <w:r w:rsidRPr="008874DC">
              <w:rPr>
                <w:rFonts w:cstheme="minorHAnsi"/>
                <w:b/>
              </w:rPr>
              <w:t>repetition</w:t>
            </w:r>
          </w:p>
          <w:p w:rsidR="000A48CE" w:rsidRPr="004C2F4F" w:rsidRDefault="000A48CE" w:rsidP="004C2F4F">
            <w:pPr>
              <w:jc w:val="center"/>
              <w:rPr>
                <w:rFonts w:cstheme="minorHAnsi"/>
              </w:rPr>
            </w:pPr>
          </w:p>
          <w:p w:rsidR="000A48CE" w:rsidRPr="008874DC" w:rsidRDefault="000A48CE" w:rsidP="00A8526F">
            <w:pPr>
              <w:pStyle w:val="ListParagraph"/>
              <w:rPr>
                <w:rFonts w:cstheme="minorHAnsi"/>
              </w:rPr>
            </w:pPr>
            <w:bookmarkStart w:id="0" w:name="_GoBack"/>
            <w:bookmarkEnd w:id="0"/>
            <w:r w:rsidRPr="008874DC">
              <w:rPr>
                <w:rFonts w:cstheme="minorHAnsi"/>
              </w:rPr>
              <w:t xml:space="preserve">If it’s of an idea then the repetition becomes a </w:t>
            </w:r>
            <w:r w:rsidRPr="008874DC">
              <w:rPr>
                <w:rFonts w:cstheme="minorHAnsi"/>
                <w:b/>
              </w:rPr>
              <w:t>motif</w:t>
            </w:r>
          </w:p>
        </w:tc>
        <w:tc>
          <w:tcPr>
            <w:tcW w:w="1965" w:type="dxa"/>
            <w:vAlign w:val="center"/>
          </w:tcPr>
          <w:p w:rsidR="000A48CE" w:rsidRDefault="000A48CE" w:rsidP="00A8526F">
            <w:pPr>
              <w:jc w:val="center"/>
            </w:pPr>
          </w:p>
        </w:tc>
        <w:tc>
          <w:tcPr>
            <w:tcW w:w="1843" w:type="dxa"/>
          </w:tcPr>
          <w:p w:rsidR="000A48CE" w:rsidRDefault="000A48CE" w:rsidP="003C0181"/>
        </w:tc>
        <w:tc>
          <w:tcPr>
            <w:tcW w:w="10198" w:type="dxa"/>
          </w:tcPr>
          <w:p w:rsidR="000A48CE" w:rsidRPr="000A48CE" w:rsidRDefault="000A48CE" w:rsidP="000A48CE">
            <w:pPr>
              <w:rPr>
                <w:rFonts w:ascii="Comic Sans MS" w:hAnsi="Comic Sans MS"/>
                <w:sz w:val="20"/>
              </w:rPr>
            </w:pPr>
            <w:r w:rsidRPr="000A48CE">
              <w:rPr>
                <w:rFonts w:ascii="Comic Sans MS" w:hAnsi="Comic Sans MS"/>
                <w:sz w:val="20"/>
              </w:rPr>
              <w:t>Alec’s thrice recounted reaction to the news of his mother’s death, as if searching for some kind of unified understanding or memory of the traumatic event shows he has struggled to come to terms with it and has some inner conflict about how he has dealt with it.</w:t>
            </w:r>
          </w:p>
          <w:p w:rsidR="000A48CE" w:rsidRPr="000A48CE" w:rsidRDefault="000A48CE" w:rsidP="000A48CE">
            <w:pPr>
              <w:rPr>
                <w:rFonts w:ascii="Comic Sans MS" w:hAnsi="Comic Sans MS"/>
                <w:sz w:val="20"/>
              </w:rPr>
            </w:pPr>
          </w:p>
          <w:p w:rsidR="000A48CE" w:rsidRPr="000A48CE" w:rsidRDefault="000A48CE" w:rsidP="000A48CE">
            <w:pPr>
              <w:rPr>
                <w:rFonts w:ascii="Comic Sans MS" w:hAnsi="Comic Sans MS"/>
                <w:i/>
                <w:sz w:val="20"/>
              </w:rPr>
            </w:pPr>
            <w:r w:rsidRPr="000A48CE">
              <w:rPr>
                <w:rFonts w:ascii="Comic Sans MS" w:hAnsi="Comic Sans MS"/>
                <w:sz w:val="20"/>
              </w:rPr>
              <w:t xml:space="preserve">This sense of conflict and fragmentation (feeling broken inside like something is missing) is prevalent in the play and is recalled when Alec says of his dad’s mirror at the beginning of Act 2 </w:t>
            </w:r>
            <w:r w:rsidRPr="000A48CE">
              <w:rPr>
                <w:rFonts w:ascii="Comic Sans MS" w:hAnsi="Comic Sans MS"/>
                <w:i/>
                <w:sz w:val="20"/>
                <w:highlight w:val="yellow"/>
              </w:rPr>
              <w:t xml:space="preserve">‘Look at it!  There’s a big crack </w:t>
            </w:r>
            <w:proofErr w:type="spellStart"/>
            <w:r w:rsidRPr="000A48CE">
              <w:rPr>
                <w:rFonts w:ascii="Comic Sans MS" w:hAnsi="Comic Sans MS"/>
                <w:i/>
                <w:sz w:val="20"/>
                <w:highlight w:val="yellow"/>
              </w:rPr>
              <w:t>doon</w:t>
            </w:r>
            <w:proofErr w:type="spellEnd"/>
            <w:r w:rsidRPr="000A48CE">
              <w:rPr>
                <w:rFonts w:ascii="Comic Sans MS" w:hAnsi="Comic Sans MS"/>
                <w:i/>
                <w:sz w:val="20"/>
                <w:highlight w:val="yellow"/>
              </w:rPr>
              <w:t xml:space="preserve"> the middle… Canny get a good look at </w:t>
            </w:r>
            <w:proofErr w:type="spellStart"/>
            <w:r w:rsidRPr="000A48CE">
              <w:rPr>
                <w:rFonts w:ascii="Comic Sans MS" w:hAnsi="Comic Sans MS"/>
                <w:i/>
                <w:sz w:val="20"/>
                <w:highlight w:val="yellow"/>
              </w:rPr>
              <w:t>yerself</w:t>
            </w:r>
            <w:proofErr w:type="spellEnd"/>
            <w:r w:rsidRPr="000A48CE">
              <w:rPr>
                <w:rFonts w:ascii="Comic Sans MS" w:hAnsi="Comic Sans MS"/>
                <w:i/>
                <w:sz w:val="20"/>
                <w:highlight w:val="yellow"/>
              </w:rPr>
              <w:t>’.</w:t>
            </w:r>
            <w:r w:rsidRPr="000A48CE">
              <w:rPr>
                <w:rFonts w:ascii="Comic Sans MS" w:hAnsi="Comic Sans MS"/>
                <w:i/>
                <w:sz w:val="20"/>
              </w:rPr>
              <w:t xml:space="preserve"> </w:t>
            </w:r>
          </w:p>
          <w:p w:rsidR="000A48CE" w:rsidRPr="000A48CE" w:rsidRDefault="000A48CE" w:rsidP="000A48CE">
            <w:pPr>
              <w:rPr>
                <w:rFonts w:ascii="Comic Sans MS" w:hAnsi="Comic Sans MS"/>
                <w:sz w:val="20"/>
              </w:rPr>
            </w:pPr>
          </w:p>
        </w:tc>
      </w:tr>
      <w:tr w:rsidR="008874DC" w:rsidTr="00A8526F">
        <w:trPr>
          <w:trHeight w:val="1789"/>
        </w:trPr>
        <w:tc>
          <w:tcPr>
            <w:tcW w:w="1721" w:type="dxa"/>
            <w:vAlign w:val="center"/>
          </w:tcPr>
          <w:p w:rsidR="00CF607A" w:rsidRPr="008874DC" w:rsidRDefault="000A48CE" w:rsidP="008874DC">
            <w:pPr>
              <w:pStyle w:val="ListParagraph"/>
              <w:numPr>
                <w:ilvl w:val="0"/>
                <w:numId w:val="3"/>
              </w:numPr>
              <w:jc w:val="center"/>
              <w:rPr>
                <w:rFonts w:cstheme="minorHAnsi"/>
                <w:b/>
              </w:rPr>
            </w:pPr>
            <w:r w:rsidRPr="008874DC">
              <w:rPr>
                <w:rFonts w:cstheme="minorHAnsi"/>
                <w:b/>
              </w:rPr>
              <w:lastRenderedPageBreak/>
              <w:t>D</w:t>
            </w:r>
            <w:r w:rsidR="00EE568C" w:rsidRPr="008874DC">
              <w:rPr>
                <w:rFonts w:cstheme="minorHAnsi"/>
                <w:b/>
              </w:rPr>
              <w:t>ramatic structure</w:t>
            </w:r>
          </w:p>
          <w:p w:rsidR="000A48CE" w:rsidRPr="004C2F4F" w:rsidRDefault="000A48CE" w:rsidP="004C2F4F">
            <w:pPr>
              <w:jc w:val="center"/>
              <w:rPr>
                <w:rFonts w:cstheme="minorHAnsi"/>
                <w:b/>
              </w:rPr>
            </w:pPr>
          </w:p>
        </w:tc>
        <w:tc>
          <w:tcPr>
            <w:tcW w:w="1965" w:type="dxa"/>
            <w:vAlign w:val="center"/>
          </w:tcPr>
          <w:p w:rsidR="000A48CE" w:rsidRDefault="00A8526F" w:rsidP="00A8526F">
            <w:pPr>
              <w:jc w:val="center"/>
            </w:pPr>
            <w:r>
              <w:t>The plot/order in which the story is told.</w:t>
            </w:r>
          </w:p>
        </w:tc>
        <w:tc>
          <w:tcPr>
            <w:tcW w:w="1843" w:type="dxa"/>
          </w:tcPr>
          <w:p w:rsidR="000A48CE" w:rsidRDefault="000A48CE" w:rsidP="003C0181"/>
        </w:tc>
        <w:tc>
          <w:tcPr>
            <w:tcW w:w="10198" w:type="dxa"/>
          </w:tcPr>
          <w:p w:rsidR="000A48CE" w:rsidRPr="000A48CE" w:rsidRDefault="000A48CE" w:rsidP="000A48CE"/>
        </w:tc>
      </w:tr>
      <w:tr w:rsidR="008874DC" w:rsidTr="00A8526F">
        <w:trPr>
          <w:trHeight w:val="1789"/>
        </w:trPr>
        <w:tc>
          <w:tcPr>
            <w:tcW w:w="1721" w:type="dxa"/>
            <w:vAlign w:val="center"/>
          </w:tcPr>
          <w:p w:rsidR="004C2F4F" w:rsidRPr="008874DC" w:rsidRDefault="004C2F4F" w:rsidP="008874DC">
            <w:pPr>
              <w:pStyle w:val="ListParagraph"/>
              <w:numPr>
                <w:ilvl w:val="0"/>
                <w:numId w:val="3"/>
              </w:numPr>
              <w:jc w:val="center"/>
              <w:rPr>
                <w:rFonts w:cstheme="minorHAnsi"/>
                <w:b/>
              </w:rPr>
            </w:pPr>
            <w:r w:rsidRPr="008874DC">
              <w:rPr>
                <w:rFonts w:cstheme="minorHAnsi"/>
                <w:b/>
              </w:rPr>
              <w:t xml:space="preserve">Characterisation </w:t>
            </w:r>
          </w:p>
        </w:tc>
        <w:tc>
          <w:tcPr>
            <w:tcW w:w="1965" w:type="dxa"/>
            <w:vAlign w:val="center"/>
          </w:tcPr>
          <w:p w:rsidR="004C2F4F" w:rsidRDefault="004C2F4F" w:rsidP="00A8526F">
            <w:pPr>
              <w:jc w:val="center"/>
            </w:pPr>
            <w:r>
              <w:t>T</w:t>
            </w:r>
            <w:r>
              <w:t>he way in which writers portray their characters</w:t>
            </w:r>
            <w:r>
              <w:t xml:space="preserve"> through the way the act, the way they treat others, their dialogue </w:t>
            </w:r>
            <w:proofErr w:type="spellStart"/>
            <w:r>
              <w:t>etc</w:t>
            </w:r>
            <w:proofErr w:type="spellEnd"/>
          </w:p>
        </w:tc>
        <w:tc>
          <w:tcPr>
            <w:tcW w:w="1843" w:type="dxa"/>
          </w:tcPr>
          <w:p w:rsidR="004C2F4F" w:rsidRDefault="004C2F4F" w:rsidP="003C0181"/>
        </w:tc>
        <w:tc>
          <w:tcPr>
            <w:tcW w:w="10198" w:type="dxa"/>
          </w:tcPr>
          <w:p w:rsidR="004C2F4F" w:rsidRPr="000A48CE" w:rsidRDefault="004C2F4F" w:rsidP="000A48CE"/>
        </w:tc>
      </w:tr>
      <w:tr w:rsidR="004C2F4F" w:rsidTr="00A8526F">
        <w:trPr>
          <w:trHeight w:val="1789"/>
        </w:trPr>
        <w:tc>
          <w:tcPr>
            <w:tcW w:w="1721" w:type="dxa"/>
            <w:vAlign w:val="center"/>
          </w:tcPr>
          <w:p w:rsidR="004C2F4F" w:rsidRPr="008874DC" w:rsidRDefault="004C2F4F" w:rsidP="008874DC">
            <w:pPr>
              <w:pStyle w:val="ListParagraph"/>
              <w:numPr>
                <w:ilvl w:val="0"/>
                <w:numId w:val="3"/>
              </w:numPr>
              <w:jc w:val="center"/>
              <w:rPr>
                <w:rFonts w:cstheme="minorHAnsi"/>
                <w:b/>
              </w:rPr>
            </w:pPr>
            <w:r w:rsidRPr="008874DC">
              <w:rPr>
                <w:b/>
              </w:rPr>
              <w:t>L</w:t>
            </w:r>
            <w:r w:rsidRPr="008874DC">
              <w:rPr>
                <w:b/>
              </w:rPr>
              <w:t>ighting</w:t>
            </w:r>
            <w:r w:rsidRPr="008874DC">
              <w:rPr>
                <w:b/>
              </w:rPr>
              <w:t xml:space="preserve"> </w:t>
            </w:r>
          </w:p>
        </w:tc>
        <w:tc>
          <w:tcPr>
            <w:tcW w:w="1965" w:type="dxa"/>
            <w:vAlign w:val="center"/>
          </w:tcPr>
          <w:p w:rsidR="004C2F4F" w:rsidRDefault="004C2F4F" w:rsidP="00A8526F">
            <w:pPr>
              <w:jc w:val="center"/>
            </w:pPr>
            <w:r>
              <w:t>H</w:t>
            </w:r>
            <w:r>
              <w:t>ow bright or dark the stage is</w:t>
            </w:r>
            <w:r>
              <w:t>.</w:t>
            </w:r>
          </w:p>
        </w:tc>
        <w:tc>
          <w:tcPr>
            <w:tcW w:w="1843" w:type="dxa"/>
          </w:tcPr>
          <w:p w:rsidR="004C2F4F" w:rsidRDefault="004C2F4F" w:rsidP="003C0181"/>
        </w:tc>
        <w:tc>
          <w:tcPr>
            <w:tcW w:w="10198" w:type="dxa"/>
          </w:tcPr>
          <w:p w:rsidR="004C2F4F" w:rsidRPr="000A48CE" w:rsidRDefault="004C2F4F" w:rsidP="000A48CE"/>
        </w:tc>
      </w:tr>
      <w:tr w:rsidR="004C2F4F" w:rsidTr="00A8526F">
        <w:trPr>
          <w:trHeight w:val="1789"/>
        </w:trPr>
        <w:tc>
          <w:tcPr>
            <w:tcW w:w="1721" w:type="dxa"/>
            <w:vAlign w:val="center"/>
          </w:tcPr>
          <w:p w:rsidR="004C2F4F" w:rsidRPr="008874DC" w:rsidRDefault="004C2F4F" w:rsidP="008874DC">
            <w:pPr>
              <w:pStyle w:val="ListParagraph"/>
              <w:numPr>
                <w:ilvl w:val="0"/>
                <w:numId w:val="3"/>
              </w:numPr>
              <w:jc w:val="center"/>
              <w:rPr>
                <w:b/>
              </w:rPr>
            </w:pPr>
            <w:r>
              <w:t>Conflict</w:t>
            </w:r>
          </w:p>
        </w:tc>
        <w:tc>
          <w:tcPr>
            <w:tcW w:w="1965" w:type="dxa"/>
            <w:vAlign w:val="center"/>
          </w:tcPr>
          <w:p w:rsidR="004C2F4F" w:rsidRDefault="004C2F4F" w:rsidP="00A8526F">
            <w:pPr>
              <w:jc w:val="center"/>
            </w:pPr>
            <w:r>
              <w:t>D</w:t>
            </w:r>
            <w:r>
              <w:t>isagreement between characters</w:t>
            </w:r>
            <w:r>
              <w:t xml:space="preserve"> (outer conflict)</w:t>
            </w:r>
            <w:r>
              <w:t>, or within a character (internal conflict)</w:t>
            </w:r>
          </w:p>
        </w:tc>
        <w:tc>
          <w:tcPr>
            <w:tcW w:w="1843" w:type="dxa"/>
          </w:tcPr>
          <w:p w:rsidR="004C2F4F" w:rsidRDefault="004C2F4F" w:rsidP="003C0181"/>
        </w:tc>
        <w:tc>
          <w:tcPr>
            <w:tcW w:w="10198" w:type="dxa"/>
          </w:tcPr>
          <w:p w:rsidR="004C2F4F" w:rsidRPr="000A48CE" w:rsidRDefault="004C2F4F" w:rsidP="000A48CE"/>
        </w:tc>
      </w:tr>
      <w:tr w:rsidR="00A8526F" w:rsidTr="00A8526F">
        <w:trPr>
          <w:trHeight w:val="1789"/>
        </w:trPr>
        <w:tc>
          <w:tcPr>
            <w:tcW w:w="1721" w:type="dxa"/>
            <w:vAlign w:val="center"/>
          </w:tcPr>
          <w:p w:rsidR="004C2F4F" w:rsidRDefault="004C2F4F" w:rsidP="008874DC">
            <w:pPr>
              <w:pStyle w:val="ListParagraph"/>
              <w:numPr>
                <w:ilvl w:val="0"/>
                <w:numId w:val="3"/>
              </w:numPr>
              <w:jc w:val="center"/>
            </w:pPr>
            <w:r>
              <w:t xml:space="preserve">Sentence structure </w:t>
            </w:r>
            <w:r>
              <w:t>(of dialogue or stage directions)</w:t>
            </w:r>
          </w:p>
        </w:tc>
        <w:tc>
          <w:tcPr>
            <w:tcW w:w="1965" w:type="dxa"/>
            <w:vAlign w:val="center"/>
          </w:tcPr>
          <w:p w:rsidR="004C2F4F" w:rsidRDefault="004C2F4F" w:rsidP="00A8526F">
            <w:pPr>
              <w:jc w:val="center"/>
            </w:pPr>
            <w:r>
              <w:t>The length, use of punctuation or order of words in sentences.</w:t>
            </w:r>
          </w:p>
        </w:tc>
        <w:tc>
          <w:tcPr>
            <w:tcW w:w="1843" w:type="dxa"/>
          </w:tcPr>
          <w:p w:rsidR="004C2F4F" w:rsidRDefault="004C2F4F" w:rsidP="004C2F4F">
            <w:r>
              <w:t>O</w:t>
            </w:r>
            <w:r>
              <w:t>ften used to create effect: short sentences to create tension, increase pace; lists to emphasise how long something will take</w:t>
            </w:r>
          </w:p>
        </w:tc>
        <w:tc>
          <w:tcPr>
            <w:tcW w:w="10198" w:type="dxa"/>
          </w:tcPr>
          <w:p w:rsidR="004C2F4F" w:rsidRPr="000A48CE" w:rsidRDefault="004C2F4F" w:rsidP="004C2F4F"/>
        </w:tc>
      </w:tr>
      <w:tr w:rsidR="004C2F4F" w:rsidTr="00A8526F">
        <w:trPr>
          <w:trHeight w:val="1789"/>
        </w:trPr>
        <w:tc>
          <w:tcPr>
            <w:tcW w:w="1721" w:type="dxa"/>
            <w:vAlign w:val="center"/>
          </w:tcPr>
          <w:p w:rsidR="004C2F4F" w:rsidRDefault="004C2F4F" w:rsidP="008874DC">
            <w:pPr>
              <w:pStyle w:val="ListParagraph"/>
              <w:numPr>
                <w:ilvl w:val="0"/>
                <w:numId w:val="3"/>
              </w:numPr>
              <w:jc w:val="center"/>
            </w:pPr>
            <w:r>
              <w:lastRenderedPageBreak/>
              <w:t>Stage directions</w:t>
            </w:r>
          </w:p>
        </w:tc>
        <w:tc>
          <w:tcPr>
            <w:tcW w:w="1965" w:type="dxa"/>
            <w:vAlign w:val="center"/>
          </w:tcPr>
          <w:p w:rsidR="00A8526F" w:rsidRDefault="00A8526F" w:rsidP="00A8526F">
            <w:pPr>
              <w:jc w:val="center"/>
            </w:pPr>
          </w:p>
          <w:p w:rsidR="004C2F4F" w:rsidRDefault="00A8526F" w:rsidP="00A8526F">
            <w:pPr>
              <w:jc w:val="center"/>
            </w:pPr>
            <w:r>
              <w:t>I</w:t>
            </w:r>
            <w:r w:rsidR="004C2F4F">
              <w:t>nstructions telling the actors how to move and act; also includes props, stage layout, lighting and sound effects</w:t>
            </w:r>
          </w:p>
        </w:tc>
        <w:tc>
          <w:tcPr>
            <w:tcW w:w="1843" w:type="dxa"/>
          </w:tcPr>
          <w:p w:rsidR="004C2F4F" w:rsidRDefault="004C2F4F" w:rsidP="004C2F4F"/>
        </w:tc>
        <w:tc>
          <w:tcPr>
            <w:tcW w:w="10198" w:type="dxa"/>
          </w:tcPr>
          <w:p w:rsidR="004C2F4F" w:rsidRPr="000A48CE" w:rsidRDefault="004C2F4F" w:rsidP="004C2F4F"/>
        </w:tc>
      </w:tr>
      <w:tr w:rsidR="004C2F4F" w:rsidTr="00A8526F">
        <w:trPr>
          <w:trHeight w:val="1789"/>
        </w:trPr>
        <w:tc>
          <w:tcPr>
            <w:tcW w:w="1721" w:type="dxa"/>
            <w:vAlign w:val="center"/>
          </w:tcPr>
          <w:p w:rsidR="004C2F4F" w:rsidRDefault="004C2F4F" w:rsidP="008874DC">
            <w:pPr>
              <w:pStyle w:val="ListParagraph"/>
              <w:numPr>
                <w:ilvl w:val="0"/>
                <w:numId w:val="3"/>
              </w:numPr>
              <w:jc w:val="center"/>
            </w:pPr>
            <w:r>
              <w:t>Theme</w:t>
            </w:r>
          </w:p>
        </w:tc>
        <w:tc>
          <w:tcPr>
            <w:tcW w:w="1965" w:type="dxa"/>
            <w:vAlign w:val="center"/>
          </w:tcPr>
          <w:p w:rsidR="004C2F4F" w:rsidRDefault="00A8526F" w:rsidP="00A8526F">
            <w:pPr>
              <w:jc w:val="center"/>
            </w:pPr>
            <w:r>
              <w:t>T</w:t>
            </w:r>
            <w:r w:rsidR="004C2F4F">
              <w:t>he bigger idea that is explored in a text; the overall message created</w:t>
            </w:r>
          </w:p>
        </w:tc>
        <w:tc>
          <w:tcPr>
            <w:tcW w:w="1843" w:type="dxa"/>
          </w:tcPr>
          <w:p w:rsidR="004C2F4F" w:rsidRDefault="004C2F4F" w:rsidP="004C2F4F"/>
        </w:tc>
        <w:tc>
          <w:tcPr>
            <w:tcW w:w="10198" w:type="dxa"/>
          </w:tcPr>
          <w:p w:rsidR="004C2F4F" w:rsidRPr="000A48CE" w:rsidRDefault="004C2F4F" w:rsidP="004C2F4F"/>
        </w:tc>
      </w:tr>
      <w:tr w:rsidR="004C2F4F" w:rsidTr="00A8526F">
        <w:trPr>
          <w:trHeight w:val="1789"/>
        </w:trPr>
        <w:tc>
          <w:tcPr>
            <w:tcW w:w="1721" w:type="dxa"/>
            <w:vAlign w:val="center"/>
          </w:tcPr>
          <w:p w:rsidR="004C2F4F" w:rsidRDefault="004C2F4F" w:rsidP="008874DC">
            <w:pPr>
              <w:pStyle w:val="ListParagraph"/>
              <w:numPr>
                <w:ilvl w:val="0"/>
                <w:numId w:val="3"/>
              </w:numPr>
              <w:jc w:val="center"/>
            </w:pPr>
            <w:r>
              <w:t>Tone</w:t>
            </w:r>
          </w:p>
        </w:tc>
        <w:tc>
          <w:tcPr>
            <w:tcW w:w="1965" w:type="dxa"/>
            <w:vAlign w:val="center"/>
          </w:tcPr>
          <w:p w:rsidR="004C2F4F" w:rsidRDefault="00A8526F" w:rsidP="00A8526F">
            <w:pPr>
              <w:jc w:val="center"/>
            </w:pPr>
            <w:r>
              <w:t>R</w:t>
            </w:r>
            <w:r w:rsidR="004C2F4F">
              <w:t>elates to the way in which a line would sound if it was read aloud</w:t>
            </w:r>
          </w:p>
        </w:tc>
        <w:tc>
          <w:tcPr>
            <w:tcW w:w="1843" w:type="dxa"/>
          </w:tcPr>
          <w:p w:rsidR="004C2F4F" w:rsidRDefault="004C2F4F" w:rsidP="004C2F4F">
            <w:r>
              <w:t>, often revealing the attitude of the writer towards the subject matter; it is a way we can gauge a writer's thoughts and opinions</w:t>
            </w:r>
          </w:p>
        </w:tc>
        <w:tc>
          <w:tcPr>
            <w:tcW w:w="10198" w:type="dxa"/>
          </w:tcPr>
          <w:p w:rsidR="004C2F4F" w:rsidRPr="000A48CE" w:rsidRDefault="004C2F4F" w:rsidP="004C2F4F"/>
        </w:tc>
      </w:tr>
      <w:tr w:rsidR="004C2F4F" w:rsidTr="00A8526F">
        <w:trPr>
          <w:trHeight w:val="1789"/>
        </w:trPr>
        <w:tc>
          <w:tcPr>
            <w:tcW w:w="1721" w:type="dxa"/>
            <w:vAlign w:val="center"/>
          </w:tcPr>
          <w:p w:rsidR="004C2F4F" w:rsidRDefault="008874DC" w:rsidP="008874DC">
            <w:pPr>
              <w:pStyle w:val="ListParagraph"/>
              <w:numPr>
                <w:ilvl w:val="0"/>
                <w:numId w:val="3"/>
              </w:numPr>
              <w:jc w:val="center"/>
            </w:pPr>
            <w:r>
              <w:t>Mood and Atmosphere</w:t>
            </w:r>
          </w:p>
        </w:tc>
        <w:tc>
          <w:tcPr>
            <w:tcW w:w="1965" w:type="dxa"/>
            <w:vAlign w:val="center"/>
          </w:tcPr>
          <w:p w:rsidR="004C2F4F" w:rsidRDefault="008874DC" w:rsidP="00A8526F">
            <w:pPr>
              <w:jc w:val="center"/>
            </w:pPr>
            <w:r>
              <w:t>You may be asked to describe the mood and atmosphere of a scene and/ or how this was created.</w:t>
            </w:r>
          </w:p>
        </w:tc>
        <w:tc>
          <w:tcPr>
            <w:tcW w:w="1843" w:type="dxa"/>
          </w:tcPr>
          <w:p w:rsidR="004C2F4F" w:rsidRDefault="008874DC" w:rsidP="004C2F4F">
            <w:r>
              <w:t>All scenes have mood and atmosphere. It can be easiest to link it to the emotion the writer wants the audience to feel.</w:t>
            </w:r>
          </w:p>
        </w:tc>
        <w:tc>
          <w:tcPr>
            <w:tcW w:w="10198" w:type="dxa"/>
          </w:tcPr>
          <w:p w:rsidR="004C2F4F" w:rsidRPr="000A48CE" w:rsidRDefault="004C2F4F" w:rsidP="004C2F4F"/>
        </w:tc>
      </w:tr>
    </w:tbl>
    <w:p w:rsidR="00EF2249" w:rsidRPr="003C0181" w:rsidRDefault="00A8526F" w:rsidP="003C0181"/>
    <w:sectPr w:rsidR="00EF2249" w:rsidRPr="003C0181" w:rsidSect="004C2F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3FC7"/>
    <w:multiLevelType w:val="hybridMultilevel"/>
    <w:tmpl w:val="FCA28ADC"/>
    <w:lvl w:ilvl="0" w:tplc="BF628C74">
      <w:start w:val="1"/>
      <w:numFmt w:val="bullet"/>
      <w:lvlText w:val="•"/>
      <w:lvlJc w:val="left"/>
      <w:pPr>
        <w:tabs>
          <w:tab w:val="num" w:pos="720"/>
        </w:tabs>
        <w:ind w:left="720" w:hanging="360"/>
      </w:pPr>
      <w:rPr>
        <w:rFonts w:ascii="Arial" w:hAnsi="Arial" w:hint="default"/>
      </w:rPr>
    </w:lvl>
    <w:lvl w:ilvl="1" w:tplc="D43E0AA2" w:tentative="1">
      <w:start w:val="1"/>
      <w:numFmt w:val="bullet"/>
      <w:lvlText w:val="•"/>
      <w:lvlJc w:val="left"/>
      <w:pPr>
        <w:tabs>
          <w:tab w:val="num" w:pos="1440"/>
        </w:tabs>
        <w:ind w:left="1440" w:hanging="360"/>
      </w:pPr>
      <w:rPr>
        <w:rFonts w:ascii="Arial" w:hAnsi="Arial" w:hint="default"/>
      </w:rPr>
    </w:lvl>
    <w:lvl w:ilvl="2" w:tplc="5DB0B1CE" w:tentative="1">
      <w:start w:val="1"/>
      <w:numFmt w:val="bullet"/>
      <w:lvlText w:val="•"/>
      <w:lvlJc w:val="left"/>
      <w:pPr>
        <w:tabs>
          <w:tab w:val="num" w:pos="2160"/>
        </w:tabs>
        <w:ind w:left="2160" w:hanging="360"/>
      </w:pPr>
      <w:rPr>
        <w:rFonts w:ascii="Arial" w:hAnsi="Arial" w:hint="default"/>
      </w:rPr>
    </w:lvl>
    <w:lvl w:ilvl="3" w:tplc="AF4EDD64" w:tentative="1">
      <w:start w:val="1"/>
      <w:numFmt w:val="bullet"/>
      <w:lvlText w:val="•"/>
      <w:lvlJc w:val="left"/>
      <w:pPr>
        <w:tabs>
          <w:tab w:val="num" w:pos="2880"/>
        </w:tabs>
        <w:ind w:left="2880" w:hanging="360"/>
      </w:pPr>
      <w:rPr>
        <w:rFonts w:ascii="Arial" w:hAnsi="Arial" w:hint="default"/>
      </w:rPr>
    </w:lvl>
    <w:lvl w:ilvl="4" w:tplc="F4D67B80" w:tentative="1">
      <w:start w:val="1"/>
      <w:numFmt w:val="bullet"/>
      <w:lvlText w:val="•"/>
      <w:lvlJc w:val="left"/>
      <w:pPr>
        <w:tabs>
          <w:tab w:val="num" w:pos="3600"/>
        </w:tabs>
        <w:ind w:left="3600" w:hanging="360"/>
      </w:pPr>
      <w:rPr>
        <w:rFonts w:ascii="Arial" w:hAnsi="Arial" w:hint="default"/>
      </w:rPr>
    </w:lvl>
    <w:lvl w:ilvl="5" w:tplc="59BE2560" w:tentative="1">
      <w:start w:val="1"/>
      <w:numFmt w:val="bullet"/>
      <w:lvlText w:val="•"/>
      <w:lvlJc w:val="left"/>
      <w:pPr>
        <w:tabs>
          <w:tab w:val="num" w:pos="4320"/>
        </w:tabs>
        <w:ind w:left="4320" w:hanging="360"/>
      </w:pPr>
      <w:rPr>
        <w:rFonts w:ascii="Arial" w:hAnsi="Arial" w:hint="default"/>
      </w:rPr>
    </w:lvl>
    <w:lvl w:ilvl="6" w:tplc="270C4078" w:tentative="1">
      <w:start w:val="1"/>
      <w:numFmt w:val="bullet"/>
      <w:lvlText w:val="•"/>
      <w:lvlJc w:val="left"/>
      <w:pPr>
        <w:tabs>
          <w:tab w:val="num" w:pos="5040"/>
        </w:tabs>
        <w:ind w:left="5040" w:hanging="360"/>
      </w:pPr>
      <w:rPr>
        <w:rFonts w:ascii="Arial" w:hAnsi="Arial" w:hint="default"/>
      </w:rPr>
    </w:lvl>
    <w:lvl w:ilvl="7" w:tplc="BEEAB8D2" w:tentative="1">
      <w:start w:val="1"/>
      <w:numFmt w:val="bullet"/>
      <w:lvlText w:val="•"/>
      <w:lvlJc w:val="left"/>
      <w:pPr>
        <w:tabs>
          <w:tab w:val="num" w:pos="5760"/>
        </w:tabs>
        <w:ind w:left="5760" w:hanging="360"/>
      </w:pPr>
      <w:rPr>
        <w:rFonts w:ascii="Arial" w:hAnsi="Arial" w:hint="default"/>
      </w:rPr>
    </w:lvl>
    <w:lvl w:ilvl="8" w:tplc="F5C89D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00290F"/>
    <w:multiLevelType w:val="hybridMultilevel"/>
    <w:tmpl w:val="DCFC6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7C0026"/>
    <w:multiLevelType w:val="hybridMultilevel"/>
    <w:tmpl w:val="E5684762"/>
    <w:lvl w:ilvl="0" w:tplc="1200E786">
      <w:start w:val="1"/>
      <w:numFmt w:val="bullet"/>
      <w:lvlText w:val="•"/>
      <w:lvlJc w:val="left"/>
      <w:pPr>
        <w:tabs>
          <w:tab w:val="num" w:pos="720"/>
        </w:tabs>
        <w:ind w:left="720" w:hanging="360"/>
      </w:pPr>
      <w:rPr>
        <w:rFonts w:ascii="Arial" w:hAnsi="Arial" w:hint="default"/>
      </w:rPr>
    </w:lvl>
    <w:lvl w:ilvl="1" w:tplc="A38219F8" w:tentative="1">
      <w:start w:val="1"/>
      <w:numFmt w:val="bullet"/>
      <w:lvlText w:val="•"/>
      <w:lvlJc w:val="left"/>
      <w:pPr>
        <w:tabs>
          <w:tab w:val="num" w:pos="1440"/>
        </w:tabs>
        <w:ind w:left="1440" w:hanging="360"/>
      </w:pPr>
      <w:rPr>
        <w:rFonts w:ascii="Arial" w:hAnsi="Arial" w:hint="default"/>
      </w:rPr>
    </w:lvl>
    <w:lvl w:ilvl="2" w:tplc="B9A22CA0" w:tentative="1">
      <w:start w:val="1"/>
      <w:numFmt w:val="bullet"/>
      <w:lvlText w:val="•"/>
      <w:lvlJc w:val="left"/>
      <w:pPr>
        <w:tabs>
          <w:tab w:val="num" w:pos="2160"/>
        </w:tabs>
        <w:ind w:left="2160" w:hanging="360"/>
      </w:pPr>
      <w:rPr>
        <w:rFonts w:ascii="Arial" w:hAnsi="Arial" w:hint="default"/>
      </w:rPr>
    </w:lvl>
    <w:lvl w:ilvl="3" w:tplc="401E3534" w:tentative="1">
      <w:start w:val="1"/>
      <w:numFmt w:val="bullet"/>
      <w:lvlText w:val="•"/>
      <w:lvlJc w:val="left"/>
      <w:pPr>
        <w:tabs>
          <w:tab w:val="num" w:pos="2880"/>
        </w:tabs>
        <w:ind w:left="2880" w:hanging="360"/>
      </w:pPr>
      <w:rPr>
        <w:rFonts w:ascii="Arial" w:hAnsi="Arial" w:hint="default"/>
      </w:rPr>
    </w:lvl>
    <w:lvl w:ilvl="4" w:tplc="7494E766" w:tentative="1">
      <w:start w:val="1"/>
      <w:numFmt w:val="bullet"/>
      <w:lvlText w:val="•"/>
      <w:lvlJc w:val="left"/>
      <w:pPr>
        <w:tabs>
          <w:tab w:val="num" w:pos="3600"/>
        </w:tabs>
        <w:ind w:left="3600" w:hanging="360"/>
      </w:pPr>
      <w:rPr>
        <w:rFonts w:ascii="Arial" w:hAnsi="Arial" w:hint="default"/>
      </w:rPr>
    </w:lvl>
    <w:lvl w:ilvl="5" w:tplc="CB82F2E6" w:tentative="1">
      <w:start w:val="1"/>
      <w:numFmt w:val="bullet"/>
      <w:lvlText w:val="•"/>
      <w:lvlJc w:val="left"/>
      <w:pPr>
        <w:tabs>
          <w:tab w:val="num" w:pos="4320"/>
        </w:tabs>
        <w:ind w:left="4320" w:hanging="360"/>
      </w:pPr>
      <w:rPr>
        <w:rFonts w:ascii="Arial" w:hAnsi="Arial" w:hint="default"/>
      </w:rPr>
    </w:lvl>
    <w:lvl w:ilvl="6" w:tplc="04D229DE" w:tentative="1">
      <w:start w:val="1"/>
      <w:numFmt w:val="bullet"/>
      <w:lvlText w:val="•"/>
      <w:lvlJc w:val="left"/>
      <w:pPr>
        <w:tabs>
          <w:tab w:val="num" w:pos="5040"/>
        </w:tabs>
        <w:ind w:left="5040" w:hanging="360"/>
      </w:pPr>
      <w:rPr>
        <w:rFonts w:ascii="Arial" w:hAnsi="Arial" w:hint="default"/>
      </w:rPr>
    </w:lvl>
    <w:lvl w:ilvl="7" w:tplc="71FA2742" w:tentative="1">
      <w:start w:val="1"/>
      <w:numFmt w:val="bullet"/>
      <w:lvlText w:val="•"/>
      <w:lvlJc w:val="left"/>
      <w:pPr>
        <w:tabs>
          <w:tab w:val="num" w:pos="5760"/>
        </w:tabs>
        <w:ind w:left="5760" w:hanging="360"/>
      </w:pPr>
      <w:rPr>
        <w:rFonts w:ascii="Arial" w:hAnsi="Arial" w:hint="default"/>
      </w:rPr>
    </w:lvl>
    <w:lvl w:ilvl="8" w:tplc="9B14BD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81"/>
    <w:rsid w:val="000A48CE"/>
    <w:rsid w:val="00233D27"/>
    <w:rsid w:val="00331A11"/>
    <w:rsid w:val="003C0181"/>
    <w:rsid w:val="00454D5F"/>
    <w:rsid w:val="004C2F4F"/>
    <w:rsid w:val="005F7B6A"/>
    <w:rsid w:val="00730D3A"/>
    <w:rsid w:val="008874DC"/>
    <w:rsid w:val="00A42A8D"/>
    <w:rsid w:val="00A8526F"/>
    <w:rsid w:val="00C730BC"/>
    <w:rsid w:val="00CF607A"/>
    <w:rsid w:val="00EE568C"/>
    <w:rsid w:val="00F5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F130F-F935-4737-8DB8-70C4DC25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0795">
      <w:bodyDiv w:val="1"/>
      <w:marLeft w:val="0"/>
      <w:marRight w:val="0"/>
      <w:marTop w:val="0"/>
      <w:marBottom w:val="0"/>
      <w:divBdr>
        <w:top w:val="none" w:sz="0" w:space="0" w:color="auto"/>
        <w:left w:val="none" w:sz="0" w:space="0" w:color="auto"/>
        <w:bottom w:val="none" w:sz="0" w:space="0" w:color="auto"/>
        <w:right w:val="none" w:sz="0" w:space="0" w:color="auto"/>
      </w:divBdr>
      <w:divsChild>
        <w:div w:id="989750703">
          <w:marLeft w:val="360"/>
          <w:marRight w:val="0"/>
          <w:marTop w:val="200"/>
          <w:marBottom w:val="0"/>
          <w:divBdr>
            <w:top w:val="none" w:sz="0" w:space="0" w:color="auto"/>
            <w:left w:val="none" w:sz="0" w:space="0" w:color="auto"/>
            <w:bottom w:val="none" w:sz="0" w:space="0" w:color="auto"/>
            <w:right w:val="none" w:sz="0" w:space="0" w:color="auto"/>
          </w:divBdr>
        </w:div>
      </w:divsChild>
    </w:div>
    <w:div w:id="372535443">
      <w:bodyDiv w:val="1"/>
      <w:marLeft w:val="0"/>
      <w:marRight w:val="0"/>
      <w:marTop w:val="0"/>
      <w:marBottom w:val="0"/>
      <w:divBdr>
        <w:top w:val="none" w:sz="0" w:space="0" w:color="auto"/>
        <w:left w:val="none" w:sz="0" w:space="0" w:color="auto"/>
        <w:bottom w:val="none" w:sz="0" w:space="0" w:color="auto"/>
        <w:right w:val="none" w:sz="0" w:space="0" w:color="auto"/>
      </w:divBdr>
      <w:divsChild>
        <w:div w:id="1491562473">
          <w:marLeft w:val="360"/>
          <w:marRight w:val="0"/>
          <w:marTop w:val="200"/>
          <w:marBottom w:val="0"/>
          <w:divBdr>
            <w:top w:val="none" w:sz="0" w:space="0" w:color="auto"/>
            <w:left w:val="none" w:sz="0" w:space="0" w:color="auto"/>
            <w:bottom w:val="none" w:sz="0" w:space="0" w:color="auto"/>
            <w:right w:val="none" w:sz="0" w:space="0" w:color="auto"/>
          </w:divBdr>
        </w:div>
        <w:div w:id="1752501661">
          <w:marLeft w:val="360"/>
          <w:marRight w:val="0"/>
          <w:marTop w:val="200"/>
          <w:marBottom w:val="0"/>
          <w:divBdr>
            <w:top w:val="none" w:sz="0" w:space="0" w:color="auto"/>
            <w:left w:val="none" w:sz="0" w:space="0" w:color="auto"/>
            <w:bottom w:val="none" w:sz="0" w:space="0" w:color="auto"/>
            <w:right w:val="none" w:sz="0" w:space="0" w:color="auto"/>
          </w:divBdr>
        </w:div>
        <w:div w:id="908271974">
          <w:marLeft w:val="360"/>
          <w:marRight w:val="0"/>
          <w:marTop w:val="200"/>
          <w:marBottom w:val="0"/>
          <w:divBdr>
            <w:top w:val="none" w:sz="0" w:space="0" w:color="auto"/>
            <w:left w:val="none" w:sz="0" w:space="0" w:color="auto"/>
            <w:bottom w:val="none" w:sz="0" w:space="0" w:color="auto"/>
            <w:right w:val="none" w:sz="0" w:space="0" w:color="auto"/>
          </w:divBdr>
        </w:div>
        <w:div w:id="2088333521">
          <w:marLeft w:val="360"/>
          <w:marRight w:val="0"/>
          <w:marTop w:val="200"/>
          <w:marBottom w:val="0"/>
          <w:divBdr>
            <w:top w:val="none" w:sz="0" w:space="0" w:color="auto"/>
            <w:left w:val="none" w:sz="0" w:space="0" w:color="auto"/>
            <w:bottom w:val="none" w:sz="0" w:space="0" w:color="auto"/>
            <w:right w:val="none" w:sz="0" w:space="0" w:color="auto"/>
          </w:divBdr>
        </w:div>
        <w:div w:id="799684936">
          <w:marLeft w:val="360"/>
          <w:marRight w:val="0"/>
          <w:marTop w:val="200"/>
          <w:marBottom w:val="0"/>
          <w:divBdr>
            <w:top w:val="none" w:sz="0" w:space="0" w:color="auto"/>
            <w:left w:val="none" w:sz="0" w:space="0" w:color="auto"/>
            <w:bottom w:val="none" w:sz="0" w:space="0" w:color="auto"/>
            <w:right w:val="none" w:sz="0" w:space="0" w:color="auto"/>
          </w:divBdr>
        </w:div>
        <w:div w:id="262301679">
          <w:marLeft w:val="360"/>
          <w:marRight w:val="0"/>
          <w:marTop w:val="200"/>
          <w:marBottom w:val="0"/>
          <w:divBdr>
            <w:top w:val="none" w:sz="0" w:space="0" w:color="auto"/>
            <w:left w:val="none" w:sz="0" w:space="0" w:color="auto"/>
            <w:bottom w:val="none" w:sz="0" w:space="0" w:color="auto"/>
            <w:right w:val="none" w:sz="0" w:space="0" w:color="auto"/>
          </w:divBdr>
        </w:div>
        <w:div w:id="801848642">
          <w:marLeft w:val="360"/>
          <w:marRight w:val="0"/>
          <w:marTop w:val="200"/>
          <w:marBottom w:val="0"/>
          <w:divBdr>
            <w:top w:val="none" w:sz="0" w:space="0" w:color="auto"/>
            <w:left w:val="none" w:sz="0" w:space="0" w:color="auto"/>
            <w:bottom w:val="none" w:sz="0" w:space="0" w:color="auto"/>
            <w:right w:val="none" w:sz="0" w:space="0" w:color="auto"/>
          </w:divBdr>
        </w:div>
      </w:divsChild>
    </w:div>
    <w:div w:id="97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7</cp:revision>
  <dcterms:created xsi:type="dcterms:W3CDTF">2018-10-04T10:28:00Z</dcterms:created>
  <dcterms:modified xsi:type="dcterms:W3CDTF">2018-10-05T12:14:00Z</dcterms:modified>
</cp:coreProperties>
</file>