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D3" w:rsidRPr="00D011D3" w:rsidRDefault="00D011D3" w:rsidP="008B07B9">
      <w:pPr>
        <w:jc w:val="both"/>
        <w:rPr>
          <w:rFonts w:ascii="Arial" w:hAnsi="Arial" w:cs="Arial"/>
          <w:b/>
          <w:color w:val="00B0F0"/>
          <w:sz w:val="24"/>
        </w:rPr>
      </w:pPr>
      <w:r w:rsidRPr="00D011D3">
        <w:rPr>
          <w:rFonts w:ascii="Arial" w:hAnsi="Arial" w:cs="Arial"/>
          <w:b/>
          <w:color w:val="00B0F0"/>
          <w:sz w:val="24"/>
        </w:rPr>
        <w:t>Assignment Snapshot</w:t>
      </w:r>
    </w:p>
    <w:p w:rsidR="00D011D3" w:rsidRDefault="00D011D3" w:rsidP="008B07B9">
      <w:pPr>
        <w:jc w:val="both"/>
        <w:rPr>
          <w:rFonts w:ascii="Arial" w:hAnsi="Arial" w:cs="Arial"/>
          <w:sz w:val="24"/>
        </w:rPr>
      </w:pPr>
    </w:p>
    <w:p w:rsidR="008B07B9" w:rsidRDefault="008B07B9" w:rsidP="008B07B9">
      <w:pPr>
        <w:jc w:val="both"/>
        <w:rPr>
          <w:rFonts w:ascii="Arial" w:hAnsi="Arial" w:cs="Arial"/>
          <w:sz w:val="24"/>
        </w:rPr>
      </w:pPr>
      <w:r>
        <w:rPr>
          <w:rFonts w:ascii="Arial" w:hAnsi="Arial" w:cs="Arial"/>
          <w:sz w:val="24"/>
        </w:rPr>
        <w:t>Attention and focus on the importance of wellbeing has increased consistently in recent decades as a result of developments in gathering data. However this still remains to be a complex process due great uncertainty about how children and young people’s wellbeing can be assessed (McLellan and</w:t>
      </w:r>
      <w:r w:rsidRPr="002D1B4F">
        <w:rPr>
          <w:rFonts w:ascii="Arial" w:hAnsi="Arial" w:cs="Arial"/>
          <w:sz w:val="24"/>
        </w:rPr>
        <w:t xml:space="preserve"> </w:t>
      </w:r>
      <w:r>
        <w:rPr>
          <w:rFonts w:ascii="Arial" w:hAnsi="Arial" w:cs="Arial"/>
          <w:sz w:val="24"/>
        </w:rPr>
        <w:t>Steward, 2015). This therefore has implications for teachers implementing Health and Wellbeing (HWB) within the school and classroom environment. Research into the wellbeing of individuals, particularly those of school age, can inform experts and, more importantly, politicians to recognise key indicators which can aid the development of policy, provision and initiatives. With this, practitioners and those working with young people have a better awareness of individual’s needs; can make appropriate changes within the curriculum and the</w:t>
      </w:r>
      <w:bookmarkStart w:id="0" w:name="_GoBack"/>
      <w:bookmarkEnd w:id="0"/>
      <w:r>
        <w:rPr>
          <w:rFonts w:ascii="Arial" w:hAnsi="Arial" w:cs="Arial"/>
          <w:sz w:val="24"/>
        </w:rPr>
        <w:t xml:space="preserve"> delivery of HWB as well as providing individuals with the support they require. </w:t>
      </w:r>
    </w:p>
    <w:p w:rsidR="008B07B9" w:rsidRDefault="008B07B9" w:rsidP="008B07B9">
      <w:pPr>
        <w:jc w:val="both"/>
        <w:rPr>
          <w:rFonts w:ascii="Arial" w:hAnsi="Arial" w:cs="Arial"/>
          <w:sz w:val="24"/>
        </w:rPr>
      </w:pPr>
    </w:p>
    <w:p w:rsidR="009619B3" w:rsidRDefault="00A44068" w:rsidP="008B07B9">
      <w:pPr>
        <w:jc w:val="both"/>
        <w:rPr>
          <w:rFonts w:ascii="Arial" w:hAnsi="Arial" w:cs="Arial"/>
          <w:sz w:val="24"/>
          <w:szCs w:val="24"/>
        </w:rPr>
      </w:pPr>
      <w:r>
        <w:rPr>
          <w:rFonts w:ascii="Arial" w:hAnsi="Arial" w:cs="Arial"/>
          <w:sz w:val="24"/>
        </w:rPr>
        <w:t>McLellan and Steward</w:t>
      </w:r>
      <w:r w:rsidR="008B07B9">
        <w:rPr>
          <w:rFonts w:ascii="Arial" w:hAnsi="Arial" w:cs="Arial"/>
          <w:sz w:val="24"/>
        </w:rPr>
        <w:t xml:space="preserve"> (2015) state that measuring an individual’s wellbeing is often interpreted in many different ways depending on the study being undertaken. This subsequently increases the difficulty in developing a commonly agreed definition and makes the issue of wellbeing one of high controversy. Wilson (1967) </w:t>
      </w:r>
      <w:r w:rsidR="00D011D3">
        <w:rPr>
          <w:rFonts w:ascii="Arial" w:hAnsi="Arial" w:cs="Arial"/>
          <w:sz w:val="24"/>
        </w:rPr>
        <w:t xml:space="preserve">(cited in </w:t>
      </w:r>
      <w:proofErr w:type="spellStart"/>
      <w:r w:rsidR="00D011D3">
        <w:rPr>
          <w:rFonts w:ascii="Arial" w:hAnsi="Arial" w:cs="Arial"/>
          <w:sz w:val="24"/>
        </w:rPr>
        <w:t>Thorburn</w:t>
      </w:r>
      <w:proofErr w:type="spellEnd"/>
      <w:r w:rsidR="00D011D3">
        <w:rPr>
          <w:rFonts w:ascii="Arial" w:hAnsi="Arial" w:cs="Arial"/>
          <w:sz w:val="24"/>
        </w:rPr>
        <w:t xml:space="preserve">, 2014:210) </w:t>
      </w:r>
      <w:r w:rsidR="008B07B9">
        <w:rPr>
          <w:rFonts w:ascii="Arial" w:hAnsi="Arial" w:cs="Arial"/>
          <w:sz w:val="24"/>
        </w:rPr>
        <w:t xml:space="preserve">discusses the notion of wellbeing being determined by whether or not individuals were happy, well paid, educated, married and religious. In the 1950s, psychologists, previously only looking at negative states of emotions, began to consider positive emotions and feelings of </w:t>
      </w:r>
      <w:r w:rsidR="008B07B9" w:rsidRPr="00121AA9">
        <w:rPr>
          <w:rFonts w:ascii="Arial" w:hAnsi="Arial" w:cs="Arial"/>
          <w:sz w:val="24"/>
          <w:szCs w:val="24"/>
        </w:rPr>
        <w:t>wellbeing</w:t>
      </w:r>
      <w:r w:rsidR="008B07B9">
        <w:rPr>
          <w:rFonts w:ascii="Arial" w:hAnsi="Arial" w:cs="Arial"/>
          <w:sz w:val="24"/>
          <w:szCs w:val="24"/>
        </w:rPr>
        <w:t>; commonly referred to as subjective wellbeing which psychologists ar</w:t>
      </w:r>
      <w:r w:rsidR="00D011D3">
        <w:rPr>
          <w:rFonts w:ascii="Arial" w:hAnsi="Arial" w:cs="Arial"/>
          <w:sz w:val="24"/>
          <w:szCs w:val="24"/>
        </w:rPr>
        <w:t xml:space="preserve">e primarily concerned with </w:t>
      </w:r>
      <w:r w:rsidR="00D011D3" w:rsidRPr="00121AA9">
        <w:rPr>
          <w:rFonts w:ascii="Arial" w:hAnsi="Arial" w:cs="Arial"/>
          <w:sz w:val="24"/>
          <w:szCs w:val="24"/>
        </w:rPr>
        <w:t>(</w:t>
      </w:r>
      <w:r w:rsidR="00D011D3">
        <w:rPr>
          <w:rFonts w:ascii="Arial" w:hAnsi="Arial" w:cs="Arial"/>
          <w:sz w:val="24"/>
          <w:szCs w:val="24"/>
        </w:rPr>
        <w:t xml:space="preserve">van </w:t>
      </w:r>
      <w:r w:rsidR="00D011D3" w:rsidRPr="00121AA9">
        <w:rPr>
          <w:rFonts w:ascii="Arial" w:hAnsi="Arial" w:cs="Arial"/>
          <w:sz w:val="24"/>
          <w:szCs w:val="24"/>
        </w:rPr>
        <w:t>Hoorn, 2007</w:t>
      </w:r>
      <w:r>
        <w:rPr>
          <w:rFonts w:ascii="Arial" w:hAnsi="Arial" w:cs="Arial"/>
          <w:sz w:val="24"/>
          <w:szCs w:val="24"/>
        </w:rPr>
        <w:t>; McLellan and Steward</w:t>
      </w:r>
      <w:r w:rsidR="00D011D3">
        <w:rPr>
          <w:rFonts w:ascii="Arial" w:hAnsi="Arial" w:cs="Arial"/>
          <w:sz w:val="24"/>
          <w:szCs w:val="24"/>
        </w:rPr>
        <w:t>, 2015</w:t>
      </w:r>
      <w:r w:rsidR="00D011D3" w:rsidRPr="00121AA9">
        <w:rPr>
          <w:rFonts w:ascii="Arial" w:hAnsi="Arial" w:cs="Arial"/>
          <w:sz w:val="24"/>
          <w:szCs w:val="24"/>
        </w:rPr>
        <w:t>).</w:t>
      </w:r>
      <w:r w:rsidR="00D011D3">
        <w:rPr>
          <w:rFonts w:ascii="Arial" w:hAnsi="Arial" w:cs="Arial"/>
          <w:sz w:val="24"/>
          <w:szCs w:val="24"/>
        </w:rPr>
        <w:t xml:space="preserve"> </w:t>
      </w:r>
      <w:r w:rsidR="008B07B9">
        <w:rPr>
          <w:rFonts w:ascii="Arial" w:hAnsi="Arial" w:cs="Arial"/>
          <w:sz w:val="24"/>
          <w:szCs w:val="24"/>
        </w:rPr>
        <w:t>This led to wellbeing being subjectively defined, where objective indicators such as socio-economic circumstances or physical health alone cannot describe wellbeing.</w:t>
      </w:r>
    </w:p>
    <w:p w:rsidR="00D011D3" w:rsidRDefault="00D011D3" w:rsidP="008B07B9">
      <w:pPr>
        <w:jc w:val="both"/>
        <w:rPr>
          <w:rFonts w:ascii="Arial" w:hAnsi="Arial" w:cs="Arial"/>
          <w:sz w:val="24"/>
          <w:szCs w:val="24"/>
        </w:rPr>
      </w:pPr>
    </w:p>
    <w:p w:rsidR="00D011D3" w:rsidRPr="00D011D3" w:rsidRDefault="00D011D3" w:rsidP="008B07B9">
      <w:pPr>
        <w:jc w:val="both"/>
        <w:rPr>
          <w:rFonts w:ascii="Arial" w:hAnsi="Arial" w:cs="Arial"/>
          <w:b/>
          <w:color w:val="00B0F0"/>
          <w:sz w:val="24"/>
          <w:szCs w:val="24"/>
        </w:rPr>
      </w:pPr>
      <w:r w:rsidRPr="00D011D3">
        <w:rPr>
          <w:rFonts w:ascii="Arial" w:hAnsi="Arial" w:cs="Arial"/>
          <w:b/>
          <w:color w:val="00B0F0"/>
          <w:sz w:val="24"/>
          <w:szCs w:val="24"/>
        </w:rPr>
        <w:t>References</w:t>
      </w:r>
    </w:p>
    <w:p w:rsidR="00D011D3" w:rsidRDefault="00D011D3" w:rsidP="008B07B9">
      <w:pPr>
        <w:jc w:val="both"/>
        <w:rPr>
          <w:rFonts w:ascii="Arial" w:hAnsi="Arial" w:cs="Arial"/>
          <w:sz w:val="24"/>
          <w:szCs w:val="24"/>
        </w:rPr>
      </w:pPr>
    </w:p>
    <w:p w:rsidR="00D011D3" w:rsidRPr="00653E3C" w:rsidRDefault="00D011D3" w:rsidP="00D011D3">
      <w:pPr>
        <w:jc w:val="both"/>
        <w:rPr>
          <w:rFonts w:ascii="Arial" w:hAnsi="Arial" w:cs="Arial"/>
          <w:sz w:val="28"/>
        </w:rPr>
      </w:pPr>
      <w:proofErr w:type="gramStart"/>
      <w:r w:rsidRPr="00653E3C">
        <w:rPr>
          <w:rFonts w:ascii="Arial" w:hAnsi="Arial" w:cs="Arial"/>
          <w:sz w:val="24"/>
        </w:rPr>
        <w:t>McLellan</w:t>
      </w:r>
      <w:r>
        <w:rPr>
          <w:rFonts w:ascii="Arial" w:hAnsi="Arial" w:cs="Arial"/>
          <w:sz w:val="24"/>
        </w:rPr>
        <w:t xml:space="preserve">, R. and </w:t>
      </w:r>
      <w:r w:rsidRPr="00653E3C">
        <w:rPr>
          <w:rFonts w:ascii="Arial" w:hAnsi="Arial" w:cs="Arial"/>
          <w:sz w:val="24"/>
        </w:rPr>
        <w:t>Steward</w:t>
      </w:r>
      <w:r>
        <w:rPr>
          <w:rFonts w:ascii="Arial" w:hAnsi="Arial" w:cs="Arial"/>
          <w:sz w:val="24"/>
        </w:rPr>
        <w:t>, S.</w:t>
      </w:r>
      <w:r w:rsidRPr="00653E3C">
        <w:rPr>
          <w:rFonts w:ascii="Arial" w:hAnsi="Arial" w:cs="Arial"/>
          <w:sz w:val="24"/>
        </w:rPr>
        <w:t xml:space="preserve"> (2015) </w:t>
      </w:r>
      <w:r>
        <w:rPr>
          <w:rFonts w:ascii="Arial" w:hAnsi="Arial" w:cs="Arial"/>
          <w:sz w:val="24"/>
        </w:rPr>
        <w:t>‘Measuring Children and Young People’s Wellbeing in the School C</w:t>
      </w:r>
      <w:r w:rsidRPr="00653E3C">
        <w:rPr>
          <w:rFonts w:ascii="Arial" w:hAnsi="Arial" w:cs="Arial"/>
          <w:sz w:val="24"/>
        </w:rPr>
        <w:t>ontext</w:t>
      </w:r>
      <w:r>
        <w:rPr>
          <w:rFonts w:ascii="Arial" w:hAnsi="Arial" w:cs="Arial"/>
          <w:sz w:val="24"/>
        </w:rPr>
        <w:t>’</w:t>
      </w:r>
      <w:r w:rsidRPr="00653E3C">
        <w:rPr>
          <w:rFonts w:ascii="Arial" w:hAnsi="Arial" w:cs="Arial"/>
          <w:sz w:val="24"/>
        </w:rPr>
        <w:t xml:space="preserve">, </w:t>
      </w:r>
      <w:r w:rsidRPr="00653E3C">
        <w:rPr>
          <w:rFonts w:ascii="Arial" w:hAnsi="Arial" w:cs="Arial"/>
          <w:i/>
          <w:sz w:val="24"/>
        </w:rPr>
        <w:t>Cambridge Journal of Education</w:t>
      </w:r>
      <w:r>
        <w:rPr>
          <w:rFonts w:ascii="Arial" w:hAnsi="Arial" w:cs="Arial"/>
          <w:sz w:val="24"/>
        </w:rPr>
        <w:t>, 45(</w:t>
      </w:r>
      <w:r w:rsidRPr="00653E3C">
        <w:rPr>
          <w:rFonts w:ascii="Arial" w:hAnsi="Arial" w:cs="Arial"/>
          <w:sz w:val="24"/>
        </w:rPr>
        <w:t>3</w:t>
      </w:r>
      <w:r>
        <w:rPr>
          <w:rFonts w:ascii="Arial" w:hAnsi="Arial" w:cs="Arial"/>
          <w:sz w:val="24"/>
        </w:rPr>
        <w:t>)</w:t>
      </w:r>
      <w:r w:rsidRPr="00653E3C">
        <w:rPr>
          <w:rFonts w:ascii="Arial" w:hAnsi="Arial" w:cs="Arial"/>
          <w:sz w:val="24"/>
        </w:rPr>
        <w:t xml:space="preserve">, </w:t>
      </w:r>
      <w:r>
        <w:rPr>
          <w:rFonts w:ascii="Arial" w:hAnsi="Arial" w:cs="Arial"/>
          <w:sz w:val="24"/>
        </w:rPr>
        <w:t>pp. 307-332</w:t>
      </w:r>
      <w:r>
        <w:rPr>
          <w:rFonts w:ascii="Arial" w:hAnsi="Arial" w:cs="Arial"/>
          <w:sz w:val="28"/>
        </w:rPr>
        <w:t>.</w:t>
      </w:r>
      <w:proofErr w:type="gramEnd"/>
    </w:p>
    <w:p w:rsidR="00D011D3" w:rsidRDefault="00D011D3" w:rsidP="00D011D3">
      <w:pPr>
        <w:jc w:val="both"/>
      </w:pPr>
    </w:p>
    <w:p w:rsidR="00D011D3" w:rsidRDefault="00D011D3" w:rsidP="00D011D3">
      <w:pPr>
        <w:jc w:val="both"/>
        <w:rPr>
          <w:rFonts w:ascii="Arial" w:hAnsi="Arial" w:cs="Arial"/>
          <w:sz w:val="24"/>
        </w:rPr>
      </w:pPr>
      <w:proofErr w:type="spellStart"/>
      <w:r w:rsidRPr="00006577">
        <w:rPr>
          <w:rFonts w:ascii="Arial" w:hAnsi="Arial" w:cs="Arial"/>
          <w:sz w:val="24"/>
        </w:rPr>
        <w:t>Thorburn</w:t>
      </w:r>
      <w:proofErr w:type="spellEnd"/>
      <w:r>
        <w:rPr>
          <w:rFonts w:ascii="Arial" w:hAnsi="Arial" w:cs="Arial"/>
          <w:sz w:val="24"/>
        </w:rPr>
        <w:t>, M.</w:t>
      </w:r>
      <w:r w:rsidRPr="00006577">
        <w:rPr>
          <w:rFonts w:ascii="Arial" w:hAnsi="Arial" w:cs="Arial"/>
          <w:sz w:val="24"/>
        </w:rPr>
        <w:t xml:space="preserve"> (2014) </w:t>
      </w:r>
      <w:r>
        <w:rPr>
          <w:rFonts w:ascii="Arial" w:hAnsi="Arial" w:cs="Arial"/>
          <w:sz w:val="24"/>
        </w:rPr>
        <w:t>‘Educating for Well-Being in Scotland: Policy and Philosophy, Pitfalls and P</w:t>
      </w:r>
      <w:r w:rsidRPr="00006577">
        <w:rPr>
          <w:rFonts w:ascii="Arial" w:hAnsi="Arial" w:cs="Arial"/>
          <w:sz w:val="24"/>
        </w:rPr>
        <w:t>ossibilities</w:t>
      </w:r>
      <w:r>
        <w:rPr>
          <w:rFonts w:ascii="Arial" w:hAnsi="Arial" w:cs="Arial"/>
          <w:sz w:val="24"/>
        </w:rPr>
        <w:t>’</w:t>
      </w:r>
      <w:r w:rsidRPr="00006577">
        <w:rPr>
          <w:rFonts w:ascii="Arial" w:hAnsi="Arial" w:cs="Arial"/>
          <w:sz w:val="24"/>
        </w:rPr>
        <w:t xml:space="preserve">, </w:t>
      </w:r>
      <w:r w:rsidRPr="00006577">
        <w:rPr>
          <w:rFonts w:ascii="Arial" w:hAnsi="Arial" w:cs="Arial"/>
          <w:i/>
          <w:sz w:val="24"/>
        </w:rPr>
        <w:t>Oxford Review of Education</w:t>
      </w:r>
      <w:r w:rsidRPr="00006577">
        <w:rPr>
          <w:rFonts w:ascii="Arial" w:hAnsi="Arial" w:cs="Arial"/>
          <w:sz w:val="24"/>
        </w:rPr>
        <w:t>, 40</w:t>
      </w:r>
      <w:r>
        <w:rPr>
          <w:rFonts w:ascii="Arial" w:hAnsi="Arial" w:cs="Arial"/>
          <w:sz w:val="24"/>
        </w:rPr>
        <w:t>(</w:t>
      </w:r>
      <w:r w:rsidRPr="00006577">
        <w:rPr>
          <w:rFonts w:ascii="Arial" w:hAnsi="Arial" w:cs="Arial"/>
          <w:sz w:val="24"/>
        </w:rPr>
        <w:t>2</w:t>
      </w:r>
      <w:r>
        <w:rPr>
          <w:rFonts w:ascii="Arial" w:hAnsi="Arial" w:cs="Arial"/>
          <w:sz w:val="24"/>
        </w:rPr>
        <w:t>)</w:t>
      </w:r>
      <w:r w:rsidRPr="00006577">
        <w:rPr>
          <w:rFonts w:ascii="Arial" w:hAnsi="Arial" w:cs="Arial"/>
          <w:sz w:val="24"/>
        </w:rPr>
        <w:t>,</w:t>
      </w:r>
      <w:r>
        <w:rPr>
          <w:rFonts w:ascii="Arial" w:hAnsi="Arial" w:cs="Arial"/>
          <w:sz w:val="24"/>
        </w:rPr>
        <w:t xml:space="preserve"> pp. 206-222.</w:t>
      </w:r>
    </w:p>
    <w:p w:rsidR="00D011D3" w:rsidRDefault="00D011D3" w:rsidP="00D011D3">
      <w:pPr>
        <w:jc w:val="both"/>
      </w:pPr>
    </w:p>
    <w:p w:rsidR="00D011D3" w:rsidRDefault="00D011D3" w:rsidP="00D011D3">
      <w:pPr>
        <w:jc w:val="both"/>
        <w:rPr>
          <w:rFonts w:ascii="Arial" w:hAnsi="Arial" w:cs="Arial"/>
          <w:sz w:val="24"/>
          <w:szCs w:val="24"/>
          <w:shd w:val="clear" w:color="auto" w:fill="FFFFFF"/>
        </w:rPr>
      </w:pPr>
      <w:proofErr w:type="gramStart"/>
      <w:r>
        <w:rPr>
          <w:rFonts w:ascii="Arial" w:hAnsi="Arial" w:cs="Arial"/>
          <w:sz w:val="24"/>
        </w:rPr>
        <w:t>van</w:t>
      </w:r>
      <w:proofErr w:type="gramEnd"/>
      <w:r>
        <w:rPr>
          <w:rFonts w:ascii="Arial" w:hAnsi="Arial" w:cs="Arial"/>
          <w:sz w:val="24"/>
        </w:rPr>
        <w:t xml:space="preserve"> Hoorn, A. (2007</w:t>
      </w:r>
      <w:r w:rsidRPr="00703D9B">
        <w:rPr>
          <w:rFonts w:ascii="Arial" w:hAnsi="Arial" w:cs="Arial"/>
          <w:sz w:val="24"/>
          <w:szCs w:val="24"/>
        </w:rPr>
        <w:t>) ‘</w:t>
      </w:r>
      <w:r w:rsidRPr="00703D9B">
        <w:rPr>
          <w:rFonts w:ascii="Arial" w:hAnsi="Arial" w:cs="Arial"/>
          <w:sz w:val="24"/>
          <w:szCs w:val="24"/>
          <w:shd w:val="clear" w:color="auto" w:fill="FFFFFF"/>
        </w:rPr>
        <w:t>A Short I</w:t>
      </w:r>
      <w:r>
        <w:rPr>
          <w:rFonts w:ascii="Arial" w:hAnsi="Arial" w:cs="Arial"/>
          <w:sz w:val="24"/>
          <w:szCs w:val="24"/>
          <w:shd w:val="clear" w:color="auto" w:fill="FFFFFF"/>
        </w:rPr>
        <w:t>ntroduction to Subjective Well-B</w:t>
      </w:r>
      <w:r w:rsidRPr="00703D9B">
        <w:rPr>
          <w:rFonts w:ascii="Arial" w:hAnsi="Arial" w:cs="Arial"/>
          <w:sz w:val="24"/>
          <w:szCs w:val="24"/>
          <w:shd w:val="clear" w:color="auto" w:fill="FFFFFF"/>
        </w:rPr>
        <w:t xml:space="preserve">eing: Measurement, Correlates and Policy Uses’, in OECD (ed.) </w:t>
      </w:r>
      <w:r w:rsidRPr="00703D9B">
        <w:rPr>
          <w:rFonts w:ascii="Arial" w:hAnsi="Arial" w:cs="Arial"/>
          <w:i/>
          <w:sz w:val="24"/>
          <w:szCs w:val="24"/>
          <w:shd w:val="clear" w:color="auto" w:fill="FFFFFF"/>
        </w:rPr>
        <w:t>Statistics, Knowledge and Policy 2007: Measuring and Fostering the Progress of Societies</w:t>
      </w:r>
      <w:r>
        <w:rPr>
          <w:rFonts w:ascii="Arial" w:hAnsi="Arial" w:cs="Arial"/>
          <w:sz w:val="24"/>
          <w:szCs w:val="24"/>
          <w:shd w:val="clear" w:color="auto" w:fill="FFFFFF"/>
        </w:rPr>
        <w:t xml:space="preserve">. Available at: </w:t>
      </w:r>
      <w:hyperlink r:id="rId5" w:history="1">
        <w:r w:rsidRPr="006845EE">
          <w:rPr>
            <w:rStyle w:val="Hyperlink"/>
            <w:rFonts w:ascii="Arial" w:hAnsi="Arial" w:cs="Arial"/>
            <w:sz w:val="24"/>
            <w:szCs w:val="24"/>
            <w:shd w:val="clear" w:color="auto" w:fill="FFFFFF"/>
          </w:rPr>
          <w:t>http://www.oecd.org/site/worldforum06/38331839.pdf</w:t>
        </w:r>
      </w:hyperlink>
      <w:r>
        <w:rPr>
          <w:rFonts w:ascii="Arial" w:hAnsi="Arial" w:cs="Arial"/>
          <w:sz w:val="24"/>
          <w:szCs w:val="24"/>
          <w:shd w:val="clear" w:color="auto" w:fill="FFFFFF"/>
        </w:rPr>
        <w:t xml:space="preserve"> (Accessed: 08 November 2015)</w:t>
      </w:r>
    </w:p>
    <w:p w:rsidR="00D011D3" w:rsidRDefault="00D011D3" w:rsidP="00D011D3">
      <w:pPr>
        <w:jc w:val="both"/>
      </w:pPr>
    </w:p>
    <w:p w:rsidR="00397A78" w:rsidRDefault="00397A78" w:rsidP="00D011D3">
      <w:pPr>
        <w:jc w:val="both"/>
      </w:pPr>
    </w:p>
    <w:p w:rsidR="00397A78" w:rsidRDefault="00397A78" w:rsidP="00D011D3">
      <w:pPr>
        <w:jc w:val="both"/>
        <w:rPr>
          <w:rFonts w:ascii="Arial" w:hAnsi="Arial" w:cs="Arial"/>
          <w:b/>
          <w:color w:val="00B0F0"/>
          <w:sz w:val="24"/>
        </w:rPr>
      </w:pPr>
      <w:r w:rsidRPr="00397A78">
        <w:rPr>
          <w:rFonts w:ascii="Arial" w:hAnsi="Arial" w:cs="Arial"/>
          <w:b/>
          <w:color w:val="00B0F0"/>
          <w:sz w:val="24"/>
        </w:rPr>
        <w:lastRenderedPageBreak/>
        <w:t>Feedback</w:t>
      </w:r>
      <w:r>
        <w:rPr>
          <w:rFonts w:ascii="Arial" w:hAnsi="Arial" w:cs="Arial"/>
          <w:b/>
          <w:color w:val="00B0F0"/>
          <w:sz w:val="24"/>
        </w:rPr>
        <w:t>/Assessment</w:t>
      </w:r>
    </w:p>
    <w:p w:rsidR="00397A78" w:rsidRDefault="00397A78" w:rsidP="00D011D3">
      <w:pPr>
        <w:jc w:val="both"/>
        <w:rPr>
          <w:rFonts w:ascii="Arial" w:hAnsi="Arial" w:cs="Arial"/>
          <w:b/>
          <w:color w:val="00B0F0"/>
          <w:sz w:val="24"/>
        </w:rPr>
      </w:pPr>
    </w:p>
    <w:p w:rsidR="00397A78" w:rsidRDefault="00397A78" w:rsidP="00D011D3">
      <w:pPr>
        <w:jc w:val="both"/>
        <w:rPr>
          <w:rFonts w:ascii="Arial" w:hAnsi="Arial" w:cs="Arial"/>
          <w:b/>
          <w:color w:val="00B0F0"/>
          <w:sz w:val="24"/>
        </w:rPr>
      </w:pPr>
    </w:p>
    <w:p w:rsidR="00397A78" w:rsidRDefault="00397A78" w:rsidP="00397A78">
      <w:pPr>
        <w:ind w:left="709" w:hanging="709"/>
        <w:jc w:val="both"/>
        <w:rPr>
          <w:rFonts w:ascii="Arial" w:hAnsi="Arial" w:cs="Arial"/>
          <w:sz w:val="24"/>
        </w:rPr>
      </w:pPr>
      <w:r w:rsidRPr="00397A78">
        <w:rPr>
          <w:rFonts w:ascii="Arial" w:hAnsi="Arial" w:cs="Arial"/>
          <w:i/>
          <w:sz w:val="24"/>
        </w:rPr>
        <w:t xml:space="preserve">Self </w:t>
      </w:r>
      <w:r>
        <w:rPr>
          <w:rFonts w:ascii="Arial" w:hAnsi="Arial" w:cs="Arial"/>
          <w:i/>
          <w:sz w:val="24"/>
        </w:rPr>
        <w:t>–</w:t>
      </w:r>
      <w:r w:rsidRPr="00397A78">
        <w:rPr>
          <w:rFonts w:ascii="Arial" w:hAnsi="Arial" w:cs="Arial"/>
          <w:i/>
          <w:sz w:val="24"/>
        </w:rPr>
        <w:t xml:space="preserve"> </w:t>
      </w:r>
      <w:r>
        <w:rPr>
          <w:rFonts w:ascii="Arial" w:hAnsi="Arial" w:cs="Arial"/>
          <w:sz w:val="24"/>
        </w:rPr>
        <w:t>I feel I have considered the assessment criteria to aid the development of the assignment. I have tried to show analysis of the literature read, however critically analysing it more effectively is something I hope to work on. In addition I hope to ensure the assignment/argument flows for the reader.</w:t>
      </w:r>
    </w:p>
    <w:p w:rsidR="00397A78" w:rsidRDefault="00397A78" w:rsidP="00397A78">
      <w:pPr>
        <w:ind w:left="709" w:hanging="709"/>
        <w:jc w:val="both"/>
        <w:rPr>
          <w:rFonts w:ascii="Arial" w:hAnsi="Arial" w:cs="Arial"/>
          <w:sz w:val="24"/>
        </w:rPr>
      </w:pPr>
    </w:p>
    <w:p w:rsidR="00397A78" w:rsidRPr="00397A78" w:rsidRDefault="00397A78" w:rsidP="00397A78">
      <w:pPr>
        <w:ind w:left="709" w:hanging="709"/>
        <w:jc w:val="both"/>
        <w:rPr>
          <w:rFonts w:ascii="Arial" w:hAnsi="Arial" w:cs="Arial"/>
          <w:sz w:val="24"/>
        </w:rPr>
      </w:pPr>
      <w:r>
        <w:rPr>
          <w:rFonts w:ascii="Arial" w:hAnsi="Arial" w:cs="Arial"/>
          <w:i/>
          <w:sz w:val="24"/>
        </w:rPr>
        <w:t>Peer</w:t>
      </w:r>
      <w:r w:rsidRPr="00397A78">
        <w:rPr>
          <w:rFonts w:ascii="Arial" w:hAnsi="Arial" w:cs="Arial"/>
          <w:sz w:val="24"/>
        </w:rPr>
        <w:t xml:space="preserve"> –</w:t>
      </w:r>
      <w:r>
        <w:rPr>
          <w:rFonts w:ascii="Arial" w:hAnsi="Arial" w:cs="Arial"/>
          <w:i/>
          <w:sz w:val="24"/>
        </w:rPr>
        <w:t xml:space="preserve"> </w:t>
      </w:r>
      <w:r>
        <w:rPr>
          <w:rFonts w:ascii="Arial" w:hAnsi="Arial" w:cs="Arial"/>
          <w:sz w:val="24"/>
        </w:rPr>
        <w:t>Synthesise the literature to further develop arguments (if appropriate). Also agrees with comments made above. Ensure discuss HWB in the curriculum (due to specific snapshot chosen discussing wellbeing in general).</w:t>
      </w:r>
    </w:p>
    <w:sectPr w:rsidR="00397A78" w:rsidRPr="00397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B9"/>
    <w:rsid w:val="00397A78"/>
    <w:rsid w:val="008B07B9"/>
    <w:rsid w:val="009619B3"/>
    <w:rsid w:val="00A44068"/>
    <w:rsid w:val="00D0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ecd.org/site/worldforum06/3833183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4</cp:revision>
  <dcterms:created xsi:type="dcterms:W3CDTF">2015-11-12T09:50:00Z</dcterms:created>
  <dcterms:modified xsi:type="dcterms:W3CDTF">2015-11-15T15:14:00Z</dcterms:modified>
</cp:coreProperties>
</file>