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C9D1C14" w14:textId="2135A556" w:rsidR="002017FF" w:rsidRDefault="00D07295" w:rsidP="00D07295">
      <w:pPr>
        <w:shd w:val="clear" w:color="auto" w:fill="A8D08D" w:themeFill="accent6" w:themeFillTint="99"/>
      </w:pPr>
      <w:bookmarkStart w:id="0" w:name="_Hlk131079569"/>
      <w:bookmarkEnd w:id="0"/>
      <w:r>
        <w:rPr>
          <w:noProof/>
        </w:rPr>
        <mc:AlternateContent>
          <mc:Choice Requires="wps">
            <w:drawing>
              <wp:anchor distT="45720" distB="45720" distL="114300" distR="114300" simplePos="0" relativeHeight="251659264" behindDoc="0" locked="0" layoutInCell="1" allowOverlap="1" wp14:anchorId="61B4469D" wp14:editId="65245BBA">
                <wp:simplePos x="0" y="0"/>
                <wp:positionH relativeFrom="margin">
                  <wp:align>right</wp:align>
                </wp:positionH>
                <wp:positionV relativeFrom="paragraph">
                  <wp:posOffset>0</wp:posOffset>
                </wp:positionV>
                <wp:extent cx="5715000" cy="9080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08612"/>
                        </a:xfrm>
                        <a:prstGeom prst="rect">
                          <a:avLst/>
                        </a:prstGeom>
                        <a:solidFill>
                          <a:srgbClr val="FFFFFF"/>
                        </a:solidFill>
                        <a:ln w="9525">
                          <a:solidFill>
                            <a:srgbClr val="000000"/>
                          </a:solidFill>
                          <a:miter lim="800000"/>
                          <a:headEnd/>
                          <a:tailEnd/>
                        </a:ln>
                      </wps:spPr>
                      <wps:txbx>
                        <w:txbxContent>
                          <w:p w14:paraId="6FF48785" w14:textId="655D6C0E" w:rsidR="00D07295" w:rsidRPr="0055054E" w:rsidRDefault="00D07295" w:rsidP="00D07295">
                            <w:pPr>
                              <w:jc w:val="center"/>
                              <w:rPr>
                                <w:b/>
                                <w:bCs/>
                                <w:color w:val="385623" w:themeColor="accent6" w:themeShade="80"/>
                                <w:sz w:val="24"/>
                                <w:szCs w:val="24"/>
                              </w:rPr>
                            </w:pPr>
                            <w:r w:rsidRPr="0055054E">
                              <w:rPr>
                                <w:b/>
                                <w:bCs/>
                                <w:color w:val="385623" w:themeColor="accent6" w:themeShade="80"/>
                                <w:sz w:val="24"/>
                                <w:szCs w:val="24"/>
                              </w:rPr>
                              <w:t>Emotionally Based School Non-Attendance</w:t>
                            </w:r>
                            <w:r w:rsidR="00763081" w:rsidRPr="0055054E">
                              <w:rPr>
                                <w:b/>
                                <w:bCs/>
                                <w:color w:val="385623" w:themeColor="accent6" w:themeShade="80"/>
                                <w:sz w:val="24"/>
                                <w:szCs w:val="24"/>
                              </w:rPr>
                              <w:t xml:space="preserve"> (EBSNA)</w:t>
                            </w:r>
                          </w:p>
                          <w:p w14:paraId="02C81E65" w14:textId="3547153C" w:rsidR="00112CCA" w:rsidRPr="0055054E" w:rsidRDefault="00112CCA" w:rsidP="00D07295">
                            <w:pPr>
                              <w:jc w:val="center"/>
                              <w:rPr>
                                <w:b/>
                                <w:bCs/>
                                <w:color w:val="385623" w:themeColor="accent6" w:themeShade="80"/>
                                <w:sz w:val="24"/>
                                <w:szCs w:val="24"/>
                              </w:rPr>
                            </w:pPr>
                            <w:r w:rsidRPr="0055054E">
                              <w:rPr>
                                <w:b/>
                                <w:bCs/>
                                <w:color w:val="385623" w:themeColor="accent6" w:themeShade="80"/>
                                <w:sz w:val="24"/>
                                <w:szCs w:val="24"/>
                              </w:rPr>
                              <w:t xml:space="preserve"> </w:t>
                            </w:r>
                            <w:r w:rsidR="00D07295" w:rsidRPr="0055054E">
                              <w:rPr>
                                <w:b/>
                                <w:bCs/>
                                <w:color w:val="385623" w:themeColor="accent6" w:themeShade="80"/>
                                <w:sz w:val="24"/>
                                <w:szCs w:val="24"/>
                              </w:rPr>
                              <w:t>C</w:t>
                            </w:r>
                            <w:r w:rsidR="00E27F81" w:rsidRPr="0055054E">
                              <w:rPr>
                                <w:b/>
                                <w:bCs/>
                                <w:color w:val="385623" w:themeColor="accent6" w:themeShade="80"/>
                                <w:sz w:val="24"/>
                                <w:szCs w:val="24"/>
                              </w:rPr>
                              <w:t xml:space="preserve">areer </w:t>
                            </w:r>
                            <w:r w:rsidR="00D07295" w:rsidRPr="0055054E">
                              <w:rPr>
                                <w:b/>
                                <w:bCs/>
                                <w:color w:val="385623" w:themeColor="accent6" w:themeShade="80"/>
                                <w:sz w:val="24"/>
                                <w:szCs w:val="24"/>
                              </w:rPr>
                              <w:t>L</w:t>
                            </w:r>
                            <w:r w:rsidR="00E27F81" w:rsidRPr="0055054E">
                              <w:rPr>
                                <w:b/>
                                <w:bCs/>
                                <w:color w:val="385623" w:themeColor="accent6" w:themeShade="80"/>
                                <w:sz w:val="24"/>
                                <w:szCs w:val="24"/>
                              </w:rPr>
                              <w:t xml:space="preserve">ong Professional </w:t>
                            </w:r>
                            <w:r w:rsidR="00D07295" w:rsidRPr="0055054E">
                              <w:rPr>
                                <w:b/>
                                <w:bCs/>
                                <w:color w:val="385623" w:themeColor="accent6" w:themeShade="80"/>
                                <w:sz w:val="24"/>
                                <w:szCs w:val="24"/>
                              </w:rPr>
                              <w:t>L</w:t>
                            </w:r>
                            <w:r w:rsidR="00E27F81" w:rsidRPr="0055054E">
                              <w:rPr>
                                <w:b/>
                                <w:bCs/>
                                <w:color w:val="385623" w:themeColor="accent6" w:themeShade="80"/>
                                <w:sz w:val="24"/>
                                <w:szCs w:val="24"/>
                              </w:rPr>
                              <w:t>earning</w:t>
                            </w:r>
                            <w:r w:rsidR="00D07295" w:rsidRPr="0055054E">
                              <w:rPr>
                                <w:b/>
                                <w:bCs/>
                                <w:color w:val="385623" w:themeColor="accent6" w:themeShade="80"/>
                                <w:sz w:val="24"/>
                                <w:szCs w:val="24"/>
                              </w:rPr>
                              <w:t xml:space="preserve"> Framework </w:t>
                            </w:r>
                          </w:p>
                          <w:p w14:paraId="114FA0E5" w14:textId="368617D1" w:rsidR="00D07295" w:rsidRPr="0055054E" w:rsidRDefault="00D07295" w:rsidP="00825328">
                            <w:pPr>
                              <w:jc w:val="center"/>
                              <w:rPr>
                                <w:b/>
                                <w:bCs/>
                                <w:color w:val="385623" w:themeColor="accent6" w:themeShade="80"/>
                                <w:sz w:val="24"/>
                                <w:szCs w:val="24"/>
                              </w:rPr>
                            </w:pPr>
                            <w:r w:rsidRPr="0055054E">
                              <w:rPr>
                                <w:b/>
                                <w:bCs/>
                                <w:color w:val="385623" w:themeColor="accent6" w:themeShade="80"/>
                                <w:sz w:val="24"/>
                                <w:szCs w:val="24"/>
                              </w:rPr>
                              <w:t>Information for School</w:t>
                            </w:r>
                            <w:r w:rsidR="00112CCA" w:rsidRPr="0055054E">
                              <w:rPr>
                                <w:b/>
                                <w:bCs/>
                                <w:color w:val="385623" w:themeColor="accent6" w:themeShade="80"/>
                                <w:sz w:val="24"/>
                                <w:szCs w:val="24"/>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B4469D" id="_x0000_t202" coordsize="21600,21600" o:spt="202" path="m,l,21600r21600,l21600,xe">
                <v:stroke joinstyle="miter"/>
                <v:path gradientshapeok="t" o:connecttype="rect"/>
              </v:shapetype>
              <v:shape id="Text Box 2" o:spid="_x0000_s1026" type="#_x0000_t202" style="position:absolute;margin-left:398.8pt;margin-top:0;width:450pt;height:71.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">
                <v:textbox>
                  <w:txbxContent>
                    <w:p w14:paraId="6FF48785" w14:textId="655D6C0E" w:rsidR="00D07295" w:rsidRPr="0055054E" w:rsidRDefault="00D07295" w:rsidP="00D07295">
                      <w:pPr>
                        <w:jc w:val="center"/>
                        <w:rPr>
                          <w:b/>
                          <w:bCs/>
                          <w:color w:val="385623" w:themeColor="accent6" w:themeShade="80"/>
                          <w:sz w:val="24"/>
                          <w:szCs w:val="24"/>
                        </w:rPr>
                      </w:pPr>
                      <w:r w:rsidRPr="0055054E">
                        <w:rPr>
                          <w:b/>
                          <w:bCs/>
                          <w:color w:val="385623" w:themeColor="accent6" w:themeShade="80"/>
                          <w:sz w:val="24"/>
                          <w:szCs w:val="24"/>
                        </w:rPr>
                        <w:t>Emotionally Based School Non-Attendance</w:t>
                      </w:r>
                      <w:r w:rsidR="00763081" w:rsidRPr="0055054E">
                        <w:rPr>
                          <w:b/>
                          <w:bCs/>
                          <w:color w:val="385623" w:themeColor="accent6" w:themeShade="80"/>
                          <w:sz w:val="24"/>
                          <w:szCs w:val="24"/>
                        </w:rPr>
                        <w:t xml:space="preserve"> (EBSNA)</w:t>
                      </w:r>
                    </w:p>
                    <w:p w14:paraId="02C81E65" w14:textId="3547153C" w:rsidR="00112CCA" w:rsidRPr="0055054E" w:rsidRDefault="00112CCA" w:rsidP="00D07295">
                      <w:pPr>
                        <w:jc w:val="center"/>
                        <w:rPr>
                          <w:b/>
                          <w:bCs/>
                          <w:color w:val="385623" w:themeColor="accent6" w:themeShade="80"/>
                          <w:sz w:val="24"/>
                          <w:szCs w:val="24"/>
                        </w:rPr>
                      </w:pPr>
                      <w:r w:rsidRPr="0055054E">
                        <w:rPr>
                          <w:b/>
                          <w:bCs/>
                          <w:color w:val="385623" w:themeColor="accent6" w:themeShade="80"/>
                          <w:sz w:val="24"/>
                          <w:szCs w:val="24"/>
                        </w:rPr>
                        <w:t xml:space="preserve"> </w:t>
                      </w:r>
                      <w:r w:rsidR="00D07295" w:rsidRPr="0055054E">
                        <w:rPr>
                          <w:b/>
                          <w:bCs/>
                          <w:color w:val="385623" w:themeColor="accent6" w:themeShade="80"/>
                          <w:sz w:val="24"/>
                          <w:szCs w:val="24"/>
                        </w:rPr>
                        <w:t>C</w:t>
                      </w:r>
                      <w:r w:rsidR="00E27F81" w:rsidRPr="0055054E">
                        <w:rPr>
                          <w:b/>
                          <w:bCs/>
                          <w:color w:val="385623" w:themeColor="accent6" w:themeShade="80"/>
                          <w:sz w:val="24"/>
                          <w:szCs w:val="24"/>
                        </w:rPr>
                        <w:t xml:space="preserve">areer </w:t>
                      </w:r>
                      <w:r w:rsidR="00D07295" w:rsidRPr="0055054E">
                        <w:rPr>
                          <w:b/>
                          <w:bCs/>
                          <w:color w:val="385623" w:themeColor="accent6" w:themeShade="80"/>
                          <w:sz w:val="24"/>
                          <w:szCs w:val="24"/>
                        </w:rPr>
                        <w:t>L</w:t>
                      </w:r>
                      <w:r w:rsidR="00E27F81" w:rsidRPr="0055054E">
                        <w:rPr>
                          <w:b/>
                          <w:bCs/>
                          <w:color w:val="385623" w:themeColor="accent6" w:themeShade="80"/>
                          <w:sz w:val="24"/>
                          <w:szCs w:val="24"/>
                        </w:rPr>
                        <w:t xml:space="preserve">ong Professional </w:t>
                      </w:r>
                      <w:r w:rsidR="00D07295" w:rsidRPr="0055054E">
                        <w:rPr>
                          <w:b/>
                          <w:bCs/>
                          <w:color w:val="385623" w:themeColor="accent6" w:themeShade="80"/>
                          <w:sz w:val="24"/>
                          <w:szCs w:val="24"/>
                        </w:rPr>
                        <w:t>L</w:t>
                      </w:r>
                      <w:r w:rsidR="00E27F81" w:rsidRPr="0055054E">
                        <w:rPr>
                          <w:b/>
                          <w:bCs/>
                          <w:color w:val="385623" w:themeColor="accent6" w:themeShade="80"/>
                          <w:sz w:val="24"/>
                          <w:szCs w:val="24"/>
                        </w:rPr>
                        <w:t>earning</w:t>
                      </w:r>
                      <w:r w:rsidR="00D07295" w:rsidRPr="0055054E">
                        <w:rPr>
                          <w:b/>
                          <w:bCs/>
                          <w:color w:val="385623" w:themeColor="accent6" w:themeShade="80"/>
                          <w:sz w:val="24"/>
                          <w:szCs w:val="24"/>
                        </w:rPr>
                        <w:t xml:space="preserve"> Framework </w:t>
                      </w:r>
                    </w:p>
                    <w:p w14:paraId="114FA0E5" w14:textId="368617D1" w:rsidR="00D07295" w:rsidRPr="0055054E" w:rsidRDefault="00D07295" w:rsidP="00825328">
                      <w:pPr>
                        <w:jc w:val="center"/>
                        <w:rPr>
                          <w:b/>
                          <w:bCs/>
                          <w:color w:val="385623" w:themeColor="accent6" w:themeShade="80"/>
                          <w:sz w:val="24"/>
                          <w:szCs w:val="24"/>
                        </w:rPr>
                      </w:pPr>
                      <w:r w:rsidRPr="0055054E">
                        <w:rPr>
                          <w:b/>
                          <w:bCs/>
                          <w:color w:val="385623" w:themeColor="accent6" w:themeShade="80"/>
                          <w:sz w:val="24"/>
                          <w:szCs w:val="24"/>
                        </w:rPr>
                        <w:t>Information for School</w:t>
                      </w:r>
                      <w:r w:rsidR="00112CCA" w:rsidRPr="0055054E">
                        <w:rPr>
                          <w:b/>
                          <w:bCs/>
                          <w:color w:val="385623" w:themeColor="accent6" w:themeShade="80"/>
                          <w:sz w:val="24"/>
                          <w:szCs w:val="24"/>
                        </w:rPr>
                        <w:t>s</w:t>
                      </w:r>
                    </w:p>
                  </w:txbxContent>
                </v:textbox>
                <w10:wrap type="square" anchorx="margin"/>
              </v:shape>
            </w:pict>
          </mc:Fallback>
        </mc:AlternateContent>
      </w:r>
    </w:p>
    <w:p w14:paraId="62358494" w14:textId="77777777" w:rsidR="0029425B" w:rsidRDefault="0029425B" w:rsidP="0029425B">
      <w:pPr>
        <w:pStyle w:val="NormalWeb"/>
        <w:spacing w:before="0" w:beforeAutospacing="0" w:after="0" w:afterAutospacing="0"/>
        <w:rPr>
          <w:rFonts w:asciiTheme="minorHAnsi" w:eastAsia="Calibri" w:hAnsiTheme="minorHAnsi" w:cstheme="minorHAnsi"/>
          <w:b/>
          <w:bCs/>
          <w:i/>
          <w:iCs/>
          <w:color w:val="000000"/>
          <w:kern w:val="24"/>
          <w:sz w:val="22"/>
          <w:szCs w:val="22"/>
        </w:rPr>
      </w:pPr>
      <w:r>
        <w:rPr>
          <w:rFonts w:asciiTheme="minorHAnsi" w:eastAsia="Calibri" w:hAnsiTheme="minorHAnsi" w:cstheme="minorHAnsi"/>
          <w:b/>
          <w:bCs/>
          <w:i/>
          <w:iCs/>
          <w:noProof/>
          <w:color w:val="000000"/>
          <w:kern w:val="24"/>
          <w:sz w:val="22"/>
          <w:szCs w:val="22"/>
        </w:rPr>
        <w:drawing>
          <wp:anchor distT="0" distB="0" distL="114300" distR="114300" simplePos="0" relativeHeight="251661312" behindDoc="0" locked="0" layoutInCell="1" allowOverlap="1" wp14:anchorId="3AE9DBE9" wp14:editId="15469FE0">
            <wp:simplePos x="0" y="0"/>
            <wp:positionH relativeFrom="margin">
              <wp:align>center</wp:align>
            </wp:positionH>
            <wp:positionV relativeFrom="paragraph">
              <wp:posOffset>13970</wp:posOffset>
            </wp:positionV>
            <wp:extent cx="3009900" cy="583565"/>
            <wp:effectExtent l="0" t="0" r="0" b="698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9283" cy="587569"/>
                    </a:xfrm>
                    <a:prstGeom prst="rect">
                      <a:avLst/>
                    </a:prstGeom>
                    <a:noFill/>
                  </pic:spPr>
                </pic:pic>
              </a:graphicData>
            </a:graphic>
            <wp14:sizeRelV relativeFrom="margin">
              <wp14:pctHeight>0</wp14:pctHeight>
            </wp14:sizeRelV>
          </wp:anchor>
        </w:drawing>
      </w:r>
    </w:p>
    <w:p w14:paraId="4770F7AD" w14:textId="77777777" w:rsidR="0029425B" w:rsidRDefault="0029425B" w:rsidP="0029425B">
      <w:pPr>
        <w:pStyle w:val="NormalWeb"/>
        <w:spacing w:before="0" w:beforeAutospacing="0" w:after="0" w:afterAutospacing="0"/>
        <w:rPr>
          <w:rFonts w:asciiTheme="minorHAnsi" w:eastAsia="Calibri" w:hAnsiTheme="minorHAnsi" w:cstheme="minorHAnsi"/>
          <w:b/>
          <w:bCs/>
          <w:i/>
          <w:iCs/>
          <w:color w:val="000000"/>
          <w:kern w:val="24"/>
          <w:sz w:val="22"/>
          <w:szCs w:val="22"/>
        </w:rPr>
      </w:pPr>
    </w:p>
    <w:p w14:paraId="7EBCC4FB" w14:textId="77777777" w:rsidR="0029425B" w:rsidRDefault="0029425B" w:rsidP="0029425B">
      <w:pPr>
        <w:pStyle w:val="NormalWeb"/>
        <w:spacing w:before="0" w:beforeAutospacing="0" w:after="0" w:afterAutospacing="0"/>
        <w:rPr>
          <w:rFonts w:asciiTheme="minorHAnsi" w:eastAsia="Calibri" w:hAnsiTheme="minorHAnsi" w:cstheme="minorHAnsi"/>
          <w:b/>
          <w:bCs/>
          <w:i/>
          <w:iCs/>
          <w:color w:val="000000"/>
          <w:kern w:val="24"/>
          <w:sz w:val="22"/>
          <w:szCs w:val="22"/>
        </w:rPr>
      </w:pPr>
    </w:p>
    <w:p w14:paraId="184110F6" w14:textId="77777777" w:rsidR="0029425B" w:rsidRDefault="0029425B" w:rsidP="0029425B">
      <w:pPr>
        <w:pStyle w:val="NormalWeb"/>
        <w:spacing w:before="0" w:beforeAutospacing="0" w:after="0" w:afterAutospacing="0"/>
        <w:rPr>
          <w:rFonts w:asciiTheme="minorHAnsi" w:eastAsia="Calibri" w:hAnsiTheme="minorHAnsi" w:cstheme="minorHAnsi"/>
          <w:b/>
          <w:bCs/>
          <w:i/>
          <w:iCs/>
          <w:color w:val="000000"/>
          <w:kern w:val="24"/>
          <w:sz w:val="22"/>
          <w:szCs w:val="22"/>
        </w:rPr>
      </w:pPr>
    </w:p>
    <w:p w14:paraId="4BA2B68E" w14:textId="3AED264D" w:rsidR="00DD55C1" w:rsidRPr="0055054E" w:rsidRDefault="0029425B" w:rsidP="007C3CA8">
      <w:pPr>
        <w:pStyle w:val="NormalWeb"/>
        <w:spacing w:before="0" w:beforeAutospacing="0" w:after="0" w:afterAutospacing="0"/>
        <w:jc w:val="center"/>
        <w:rPr>
          <w:rFonts w:asciiTheme="minorHAnsi" w:eastAsia="Calibri" w:hAnsiTheme="minorHAnsi" w:cstheme="minorHAnsi"/>
          <w:b/>
          <w:bCs/>
          <w:color w:val="385623" w:themeColor="accent6" w:themeShade="80"/>
          <w:kern w:val="24"/>
          <w:sz w:val="22"/>
          <w:szCs w:val="22"/>
        </w:rPr>
      </w:pPr>
      <w:r w:rsidRPr="0055054E">
        <w:rPr>
          <w:rFonts w:asciiTheme="minorHAnsi" w:eastAsia="Calibri" w:hAnsiTheme="minorHAnsi" w:cstheme="minorHAnsi"/>
          <w:b/>
          <w:bCs/>
          <w:color w:val="385623" w:themeColor="accent6" w:themeShade="80"/>
          <w:kern w:val="24"/>
          <w:sz w:val="22"/>
          <w:szCs w:val="22"/>
        </w:rPr>
        <w:t>What is</w:t>
      </w:r>
      <w:r w:rsidR="00E27F81" w:rsidRPr="0055054E">
        <w:rPr>
          <w:rFonts w:asciiTheme="minorHAnsi" w:eastAsia="Calibri" w:hAnsiTheme="minorHAnsi" w:cstheme="minorHAnsi"/>
          <w:b/>
          <w:bCs/>
          <w:color w:val="385623" w:themeColor="accent6" w:themeShade="80"/>
          <w:kern w:val="24"/>
          <w:sz w:val="22"/>
          <w:szCs w:val="22"/>
        </w:rPr>
        <w:t xml:space="preserve"> EBSNA</w:t>
      </w:r>
      <w:r w:rsidRPr="0055054E">
        <w:rPr>
          <w:rFonts w:asciiTheme="minorHAnsi" w:eastAsia="Calibri" w:hAnsiTheme="minorHAnsi" w:cstheme="minorHAnsi"/>
          <w:b/>
          <w:bCs/>
          <w:color w:val="385623" w:themeColor="accent6" w:themeShade="80"/>
          <w:kern w:val="24"/>
          <w:sz w:val="22"/>
          <w:szCs w:val="22"/>
        </w:rPr>
        <w:t>?</w:t>
      </w:r>
    </w:p>
    <w:p w14:paraId="2F147C66" w14:textId="77777777" w:rsidR="0055054E" w:rsidRDefault="0055054E" w:rsidP="00763081">
      <w:pPr>
        <w:pStyle w:val="NormalWeb"/>
        <w:spacing w:before="0" w:beforeAutospacing="0" w:after="0" w:afterAutospacing="0"/>
        <w:rPr>
          <w:rFonts w:asciiTheme="minorHAnsi" w:eastAsia="Calibri" w:hAnsiTheme="minorHAnsi" w:cstheme="minorHAnsi"/>
          <w:b/>
          <w:bCs/>
          <w:color w:val="385623" w:themeColor="accent6" w:themeShade="80"/>
          <w:kern w:val="24"/>
          <w:sz w:val="22"/>
          <w:szCs w:val="22"/>
        </w:rPr>
      </w:pPr>
    </w:p>
    <w:p w14:paraId="4C9FDD52" w14:textId="77777777" w:rsidR="0055054E" w:rsidRDefault="0029425B" w:rsidP="0055054E">
      <w:pPr>
        <w:pStyle w:val="NormalWeb"/>
        <w:spacing w:before="0" w:beforeAutospacing="0" w:after="0" w:afterAutospacing="0"/>
        <w:rPr>
          <w:rFonts w:asciiTheme="minorHAnsi" w:eastAsia="Calibri" w:hAnsiTheme="minorHAnsi" w:cstheme="minorHAnsi"/>
          <w:color w:val="000000"/>
          <w:kern w:val="24"/>
          <w:sz w:val="22"/>
          <w:szCs w:val="22"/>
        </w:rPr>
      </w:pPr>
      <w:r w:rsidRPr="00763081">
        <w:rPr>
          <w:rFonts w:asciiTheme="minorHAnsi" w:eastAsia="Calibri" w:hAnsiTheme="minorHAnsi" w:cstheme="minorHAnsi"/>
          <w:color w:val="000000"/>
          <w:kern w:val="24"/>
          <w:sz w:val="22"/>
          <w:szCs w:val="22"/>
        </w:rPr>
        <w:t>EBSNA is an overarching term used to describe children and young people who have a profile of additional support needs which includes a difficulty in engaging with and/or attending school. This difficulty is often due to wide ranging factors which can include anxiety, issues related to Autism and neurodevelopmental profiles of need and other mental health presentations</w:t>
      </w:r>
      <w:r w:rsidR="00763081">
        <w:rPr>
          <w:rFonts w:asciiTheme="minorHAnsi" w:eastAsia="Calibri" w:hAnsiTheme="minorHAnsi" w:cstheme="minorHAnsi"/>
          <w:color w:val="000000"/>
          <w:kern w:val="24"/>
          <w:sz w:val="22"/>
          <w:szCs w:val="22"/>
        </w:rPr>
        <w:t>.</w:t>
      </w:r>
    </w:p>
    <w:p w14:paraId="41376D62" w14:textId="77777777" w:rsidR="0055054E" w:rsidRDefault="0055054E" w:rsidP="0055054E">
      <w:pPr>
        <w:pStyle w:val="NormalWeb"/>
        <w:spacing w:before="0" w:beforeAutospacing="0" w:after="0" w:afterAutospacing="0"/>
        <w:rPr>
          <w:rFonts w:asciiTheme="minorHAnsi" w:eastAsia="Calibri" w:hAnsiTheme="minorHAnsi" w:cstheme="minorHAnsi"/>
          <w:color w:val="000000"/>
          <w:kern w:val="24"/>
          <w:sz w:val="22"/>
          <w:szCs w:val="22"/>
        </w:rPr>
      </w:pPr>
    </w:p>
    <w:p w14:paraId="00946BD5" w14:textId="066C2FA2" w:rsidR="00763081" w:rsidRPr="0055054E" w:rsidRDefault="00763081" w:rsidP="0055054E">
      <w:pPr>
        <w:pStyle w:val="NormalWeb"/>
        <w:spacing w:before="0" w:beforeAutospacing="0" w:after="0" w:afterAutospacing="0"/>
        <w:jc w:val="center"/>
        <w:rPr>
          <w:rFonts w:ascii="Calibri" w:eastAsia="+mn-ea" w:hAnsi="Calibri" w:cs="+mn-cs"/>
          <w:b/>
          <w:bCs/>
          <w:color w:val="385623" w:themeColor="accent6" w:themeShade="80"/>
          <w:kern w:val="24"/>
          <w:sz w:val="22"/>
          <w:szCs w:val="22"/>
        </w:rPr>
      </w:pPr>
      <w:r w:rsidRPr="0055054E">
        <w:rPr>
          <w:rFonts w:ascii="Calibri" w:eastAsia="+mn-ea" w:hAnsi="Calibri" w:cs="+mn-cs"/>
          <w:b/>
          <w:bCs/>
          <w:color w:val="385623" w:themeColor="accent6" w:themeShade="80"/>
          <w:kern w:val="24"/>
          <w:sz w:val="22"/>
          <w:szCs w:val="22"/>
        </w:rPr>
        <w:t>What is Glasgow</w:t>
      </w:r>
      <w:r w:rsidR="00893A64" w:rsidRPr="0055054E">
        <w:rPr>
          <w:rFonts w:ascii="Calibri" w:eastAsia="+mn-ea" w:hAnsi="Calibri" w:cs="+mn-cs"/>
          <w:b/>
          <w:bCs/>
          <w:color w:val="385623" w:themeColor="accent6" w:themeShade="80"/>
          <w:kern w:val="24"/>
          <w:sz w:val="22"/>
          <w:szCs w:val="22"/>
        </w:rPr>
        <w:t>’s</w:t>
      </w:r>
      <w:r w:rsidRPr="0055054E">
        <w:rPr>
          <w:rFonts w:ascii="Calibri" w:eastAsia="+mn-ea" w:hAnsi="Calibri" w:cs="+mn-cs"/>
          <w:b/>
          <w:bCs/>
          <w:color w:val="385623" w:themeColor="accent6" w:themeShade="80"/>
          <w:kern w:val="24"/>
          <w:sz w:val="22"/>
          <w:szCs w:val="22"/>
        </w:rPr>
        <w:t xml:space="preserve"> EBSNA CLPL Framework?</w:t>
      </w:r>
    </w:p>
    <w:p w14:paraId="7F6C03F5" w14:textId="77777777" w:rsidR="0055054E" w:rsidRPr="0055054E" w:rsidRDefault="0055054E" w:rsidP="0055054E">
      <w:pPr>
        <w:pStyle w:val="NormalWeb"/>
        <w:spacing w:before="0" w:beforeAutospacing="0" w:after="0" w:afterAutospacing="0"/>
        <w:jc w:val="center"/>
        <w:rPr>
          <w:rFonts w:asciiTheme="minorHAnsi" w:eastAsia="Calibri" w:hAnsiTheme="minorHAnsi" w:cstheme="minorHAnsi"/>
          <w:color w:val="000000"/>
          <w:kern w:val="24"/>
          <w:sz w:val="22"/>
          <w:szCs w:val="22"/>
        </w:rPr>
      </w:pPr>
    </w:p>
    <w:p w14:paraId="1BE6667C" w14:textId="77777777" w:rsidR="005C76FD" w:rsidRDefault="00763081" w:rsidP="005C76FD">
      <w:pPr>
        <w:jc w:val="both"/>
        <w:rPr>
          <w:lang w:eastAsia="en-GB"/>
        </w:rPr>
      </w:pPr>
      <w:bookmarkStart w:id="1" w:name="_Hlk137206071"/>
      <w:r>
        <w:rPr>
          <w:rFonts w:ascii="Calibri" w:eastAsia="+mn-ea" w:hAnsi="Calibri" w:cs="+mn-cs"/>
          <w:color w:val="000000"/>
          <w:kern w:val="24"/>
        </w:rPr>
        <w:t xml:space="preserve">Glasgow’s EBSNA CLPL framework aims to support </w:t>
      </w:r>
      <w:r w:rsidR="00893A64">
        <w:rPr>
          <w:rFonts w:ascii="Calibri" w:eastAsia="+mn-ea" w:hAnsi="Calibri" w:cs="+mn-cs"/>
          <w:color w:val="000000"/>
          <w:kern w:val="24"/>
        </w:rPr>
        <w:t xml:space="preserve">both primary and secondary </w:t>
      </w:r>
      <w:r>
        <w:rPr>
          <w:rFonts w:ascii="Calibri" w:eastAsia="+mn-ea" w:hAnsi="Calibri" w:cs="+mn-cs"/>
          <w:color w:val="000000"/>
          <w:kern w:val="24"/>
        </w:rPr>
        <w:t>schools</w:t>
      </w:r>
      <w:bookmarkEnd w:id="1"/>
      <w:r>
        <w:rPr>
          <w:rFonts w:ascii="Calibri" w:eastAsia="+mn-ea" w:hAnsi="Calibri" w:cs="+mn-cs"/>
          <w:color w:val="000000"/>
          <w:kern w:val="24"/>
        </w:rPr>
        <w:t xml:space="preserve"> </w:t>
      </w:r>
      <w:r w:rsidR="00893A64">
        <w:rPr>
          <w:rFonts w:ascii="Calibri" w:eastAsia="+mn-ea" w:hAnsi="Calibri" w:cs="+mn-cs"/>
          <w:color w:val="000000"/>
          <w:kern w:val="24"/>
        </w:rPr>
        <w:t>to</w:t>
      </w:r>
      <w:r>
        <w:rPr>
          <w:rFonts w:ascii="Calibri" w:eastAsia="+mn-ea" w:hAnsi="Calibri" w:cs="+mn-cs"/>
          <w:color w:val="000000"/>
          <w:kern w:val="24"/>
        </w:rPr>
        <w:t xml:space="preserve"> develop their knowledge, understanding and confidence in relation to responding to EBSNA. </w:t>
      </w:r>
      <w:r w:rsidR="00E27F81">
        <w:rPr>
          <w:lang w:eastAsia="en-GB"/>
        </w:rPr>
        <w:t>E</w:t>
      </w:r>
      <w:r>
        <w:rPr>
          <w:lang w:eastAsia="en-GB"/>
        </w:rPr>
        <w:t>ach practitioner</w:t>
      </w:r>
      <w:r w:rsidRPr="00112CCA">
        <w:rPr>
          <w:lang w:eastAsia="en-GB"/>
        </w:rPr>
        <w:t xml:space="preserve"> will </w:t>
      </w:r>
      <w:r>
        <w:rPr>
          <w:lang w:eastAsia="en-GB"/>
        </w:rPr>
        <w:t xml:space="preserve">have </w:t>
      </w:r>
      <w:r w:rsidRPr="00112CCA">
        <w:rPr>
          <w:lang w:eastAsia="en-GB"/>
        </w:rPr>
        <w:t>an opportunity to network</w:t>
      </w:r>
      <w:r>
        <w:rPr>
          <w:lang w:eastAsia="en-GB"/>
        </w:rPr>
        <w:t xml:space="preserve"> and share good practice which will allow them to a</w:t>
      </w:r>
      <w:r w:rsidRPr="00112CCA">
        <w:rPr>
          <w:lang w:eastAsia="en-GB"/>
        </w:rPr>
        <w:t xml:space="preserve">pply </w:t>
      </w:r>
      <w:r w:rsidR="00570DF6">
        <w:rPr>
          <w:lang w:eastAsia="en-GB"/>
        </w:rPr>
        <w:t xml:space="preserve">their learning </w:t>
      </w:r>
      <w:r w:rsidRPr="00112CCA">
        <w:rPr>
          <w:lang w:eastAsia="en-GB"/>
        </w:rPr>
        <w:t>within their own context</w:t>
      </w:r>
      <w:r>
        <w:rPr>
          <w:lang w:eastAsia="en-GB"/>
        </w:rPr>
        <w:t xml:space="preserve">, both at a whole school and individual practice level. </w:t>
      </w:r>
    </w:p>
    <w:p w14:paraId="35B2A0BB" w14:textId="14E8838A" w:rsidR="005C76FD" w:rsidRPr="0055054E" w:rsidRDefault="005C76FD" w:rsidP="005C76FD">
      <w:pPr>
        <w:jc w:val="center"/>
        <w:rPr>
          <w:b/>
          <w:bCs/>
          <w:color w:val="385623" w:themeColor="accent6" w:themeShade="80"/>
          <w:lang w:eastAsia="en-GB"/>
        </w:rPr>
      </w:pPr>
      <w:r w:rsidRPr="0055054E">
        <w:rPr>
          <w:b/>
          <w:bCs/>
          <w:color w:val="385623" w:themeColor="accent6" w:themeShade="80"/>
          <w:lang w:eastAsia="en-GB"/>
        </w:rPr>
        <w:t>Who is the CLPL for?</w:t>
      </w:r>
    </w:p>
    <w:p w14:paraId="18DED2CF" w14:textId="739DEC88" w:rsidR="005C76FD" w:rsidRDefault="005C76FD" w:rsidP="005C76FD">
      <w:pPr>
        <w:rPr>
          <w:rFonts w:ascii="Calibri" w:eastAsia="+mn-ea" w:hAnsi="Calibri" w:cs="+mn-cs"/>
          <w:color w:val="000000"/>
          <w:kern w:val="24"/>
        </w:rPr>
      </w:pPr>
      <w:r>
        <w:rPr>
          <w:rFonts w:ascii="Calibri" w:eastAsia="+mn-ea" w:hAnsi="Calibri" w:cs="+mn-cs"/>
          <w:color w:val="000000"/>
          <w:kern w:val="24"/>
        </w:rPr>
        <w:t>The CLPL framework can be accessed by colleagues</w:t>
      </w:r>
      <w:r w:rsidR="00E238F2">
        <w:rPr>
          <w:rFonts w:ascii="Calibri" w:eastAsia="+mn-ea" w:hAnsi="Calibri" w:cs="+mn-cs"/>
          <w:color w:val="000000"/>
          <w:kern w:val="24"/>
        </w:rPr>
        <w:t xml:space="preserve"> who fulfil a diverse range of remits which involves supporting CYP and their families who experience EBSNA</w:t>
      </w:r>
      <w:r>
        <w:rPr>
          <w:rFonts w:ascii="Calibri" w:eastAsia="+mn-ea" w:hAnsi="Calibri" w:cs="+mn-cs"/>
          <w:color w:val="000000"/>
          <w:kern w:val="24"/>
        </w:rPr>
        <w:t>. Who engages with the training framework will depend on the mode of delivery chosen</w:t>
      </w:r>
      <w:r w:rsidR="00E238F2">
        <w:rPr>
          <w:rFonts w:ascii="Calibri" w:eastAsia="+mn-ea" w:hAnsi="Calibri" w:cs="+mn-cs"/>
          <w:color w:val="000000"/>
          <w:kern w:val="24"/>
        </w:rPr>
        <w:t xml:space="preserve"> and will be at the discretion of</w:t>
      </w:r>
      <w:r w:rsidR="00B16172">
        <w:rPr>
          <w:rFonts w:ascii="Calibri" w:eastAsia="+mn-ea" w:hAnsi="Calibri" w:cs="+mn-cs"/>
          <w:color w:val="000000"/>
          <w:kern w:val="24"/>
        </w:rPr>
        <w:t xml:space="preserve"> the</w:t>
      </w:r>
      <w:r w:rsidR="00E238F2">
        <w:rPr>
          <w:rFonts w:ascii="Calibri" w:eastAsia="+mn-ea" w:hAnsi="Calibri" w:cs="+mn-cs"/>
          <w:color w:val="000000"/>
          <w:kern w:val="24"/>
        </w:rPr>
        <w:t xml:space="preserve"> individual establishment</w:t>
      </w:r>
      <w:r>
        <w:rPr>
          <w:rFonts w:ascii="Calibri" w:eastAsia="+mn-ea" w:hAnsi="Calibri" w:cs="+mn-cs"/>
          <w:color w:val="000000"/>
          <w:kern w:val="24"/>
        </w:rPr>
        <w:t xml:space="preserve">. Establishments engaging with the framework are encouraged to identify a lead practitioner who will support ongoing implementation. In addition, it is helpful to have a wider implementation team from within </w:t>
      </w:r>
      <w:r w:rsidR="00E238F2">
        <w:rPr>
          <w:rFonts w:ascii="Calibri" w:eastAsia="+mn-ea" w:hAnsi="Calibri" w:cs="+mn-cs"/>
          <w:color w:val="000000"/>
          <w:kern w:val="24"/>
        </w:rPr>
        <w:t xml:space="preserve">individual </w:t>
      </w:r>
      <w:r>
        <w:rPr>
          <w:rFonts w:ascii="Calibri" w:eastAsia="+mn-ea" w:hAnsi="Calibri" w:cs="+mn-cs"/>
          <w:color w:val="000000"/>
          <w:kern w:val="24"/>
        </w:rPr>
        <w:t>establishment</w:t>
      </w:r>
      <w:r w:rsidR="00E238F2">
        <w:rPr>
          <w:rFonts w:ascii="Calibri" w:eastAsia="+mn-ea" w:hAnsi="Calibri" w:cs="+mn-cs"/>
          <w:color w:val="000000"/>
          <w:kern w:val="24"/>
        </w:rPr>
        <w:t>s</w:t>
      </w:r>
      <w:r>
        <w:rPr>
          <w:rFonts w:ascii="Calibri" w:eastAsia="+mn-ea" w:hAnsi="Calibri" w:cs="+mn-cs"/>
          <w:color w:val="000000"/>
          <w:kern w:val="24"/>
        </w:rPr>
        <w:t xml:space="preserve"> or across a learning community. </w:t>
      </w:r>
    </w:p>
    <w:p w14:paraId="5AD456F3" w14:textId="0F89145C" w:rsidR="00763081" w:rsidRDefault="00763081" w:rsidP="005C76FD">
      <w:pPr>
        <w:jc w:val="center"/>
        <w:rPr>
          <w:b/>
          <w:bCs/>
          <w:color w:val="385623" w:themeColor="accent6" w:themeShade="80"/>
          <w:lang w:eastAsia="en-GB"/>
        </w:rPr>
      </w:pPr>
      <w:r w:rsidRPr="00763081">
        <w:rPr>
          <w:b/>
          <w:bCs/>
          <w:color w:val="385623" w:themeColor="accent6" w:themeShade="80"/>
          <w:lang w:eastAsia="en-GB"/>
        </w:rPr>
        <w:t>What does the CLPL</w:t>
      </w:r>
      <w:r w:rsidR="00AE77A9">
        <w:rPr>
          <w:b/>
          <w:bCs/>
          <w:color w:val="385623" w:themeColor="accent6" w:themeShade="80"/>
          <w:lang w:eastAsia="en-GB"/>
        </w:rPr>
        <w:t xml:space="preserve"> framework</w:t>
      </w:r>
      <w:r w:rsidRPr="00763081">
        <w:rPr>
          <w:b/>
          <w:bCs/>
          <w:color w:val="385623" w:themeColor="accent6" w:themeShade="80"/>
          <w:lang w:eastAsia="en-GB"/>
        </w:rPr>
        <w:t xml:space="preserve"> involve?</w:t>
      </w:r>
    </w:p>
    <w:p w14:paraId="5A3C7CF6" w14:textId="078F7499" w:rsidR="00561FA6" w:rsidRDefault="00763081" w:rsidP="00561FA6">
      <w:pPr>
        <w:spacing w:after="200" w:line="276" w:lineRule="auto"/>
        <w:jc w:val="both"/>
        <w:rPr>
          <w:lang w:eastAsia="en-GB"/>
        </w:rPr>
      </w:pPr>
      <w:r w:rsidRPr="00763081">
        <w:rPr>
          <w:lang w:eastAsia="en-GB"/>
        </w:rPr>
        <w:t xml:space="preserve">The CLPL </w:t>
      </w:r>
      <w:r>
        <w:rPr>
          <w:lang w:eastAsia="en-GB"/>
        </w:rPr>
        <w:t>f</w:t>
      </w:r>
      <w:r w:rsidRPr="00763081">
        <w:rPr>
          <w:lang w:eastAsia="en-GB"/>
        </w:rPr>
        <w:t xml:space="preserve">ramework is made up of 3 </w:t>
      </w:r>
      <w:r>
        <w:rPr>
          <w:lang w:eastAsia="en-GB"/>
        </w:rPr>
        <w:t xml:space="preserve">core </w:t>
      </w:r>
      <w:r w:rsidRPr="00763081">
        <w:rPr>
          <w:lang w:eastAsia="en-GB"/>
        </w:rPr>
        <w:t xml:space="preserve">workshops </w:t>
      </w:r>
      <w:r>
        <w:rPr>
          <w:lang w:eastAsia="en-GB"/>
        </w:rPr>
        <w:t>which aim to provide a detailed overview of EBSNA and how to respond effectively, each workshop is</w:t>
      </w:r>
      <w:r w:rsidR="00C34A9D">
        <w:rPr>
          <w:lang w:eastAsia="en-GB"/>
        </w:rPr>
        <w:t xml:space="preserve"> </w:t>
      </w:r>
      <w:r w:rsidR="008E5C78">
        <w:rPr>
          <w:lang w:eastAsia="en-GB"/>
        </w:rPr>
        <w:t>roughly 90-</w:t>
      </w:r>
      <w:r w:rsidR="00E27F81">
        <w:rPr>
          <w:lang w:eastAsia="en-GB"/>
        </w:rPr>
        <w:t>120</w:t>
      </w:r>
      <w:r>
        <w:rPr>
          <w:lang w:eastAsia="en-GB"/>
        </w:rPr>
        <w:t xml:space="preserve"> minutes in length</w:t>
      </w:r>
      <w:r w:rsidR="007C3CA8">
        <w:rPr>
          <w:lang w:eastAsia="en-GB"/>
        </w:rPr>
        <w:t xml:space="preserve">. </w:t>
      </w:r>
      <w:r w:rsidR="00E27F81">
        <w:rPr>
          <w:lang w:eastAsia="en-GB"/>
        </w:rPr>
        <w:t xml:space="preserve">Following the completion of 3 core workshops, schools will have access to a range of supplementary </w:t>
      </w:r>
      <w:r w:rsidR="00E238F2">
        <w:rPr>
          <w:lang w:eastAsia="en-GB"/>
        </w:rPr>
        <w:t>workshops</w:t>
      </w:r>
      <w:r w:rsidR="00E27F81">
        <w:rPr>
          <w:lang w:eastAsia="en-GB"/>
        </w:rPr>
        <w:t xml:space="preserve"> which focus</w:t>
      </w:r>
      <w:r w:rsidR="00E238F2">
        <w:rPr>
          <w:lang w:eastAsia="en-GB"/>
        </w:rPr>
        <w:t xml:space="preserve"> </w:t>
      </w:r>
      <w:r w:rsidR="00E27F81">
        <w:rPr>
          <w:lang w:eastAsia="en-GB"/>
        </w:rPr>
        <w:t xml:space="preserve">on </w:t>
      </w:r>
      <w:r w:rsidR="00E238F2">
        <w:rPr>
          <w:lang w:eastAsia="en-GB"/>
        </w:rPr>
        <w:t xml:space="preserve">more specific </w:t>
      </w:r>
      <w:r w:rsidR="00E27F81">
        <w:rPr>
          <w:lang w:eastAsia="en-GB"/>
        </w:rPr>
        <w:t>topics in relation to understanding and responding to EBSNA</w:t>
      </w:r>
      <w:r w:rsidR="00E238F2">
        <w:rPr>
          <w:lang w:eastAsia="en-GB"/>
        </w:rPr>
        <w:t xml:space="preserve"> effectively</w:t>
      </w:r>
      <w:r w:rsidR="00E27F81">
        <w:rPr>
          <w:lang w:eastAsia="en-GB"/>
        </w:rPr>
        <w:t>. Practitioners can choose to engage with supplementary workshops to meet the needs of</w:t>
      </w:r>
      <w:r w:rsidR="00B16172">
        <w:rPr>
          <w:lang w:eastAsia="en-GB"/>
        </w:rPr>
        <w:t xml:space="preserve"> CYP</w:t>
      </w:r>
      <w:r w:rsidR="00570DF6">
        <w:rPr>
          <w:lang w:eastAsia="en-GB"/>
        </w:rPr>
        <w:t xml:space="preserve"> within their establishments.</w:t>
      </w:r>
    </w:p>
    <w:p w14:paraId="60D02EF2" w14:textId="0A8638C4" w:rsidR="00E238F2" w:rsidRPr="00561FA6" w:rsidRDefault="00E238F2" w:rsidP="00561FA6">
      <w:pPr>
        <w:spacing w:after="200" w:line="276" w:lineRule="auto"/>
        <w:jc w:val="center"/>
        <w:rPr>
          <w:lang w:eastAsia="en-GB"/>
        </w:rPr>
      </w:pPr>
      <w:r w:rsidRPr="00893A64">
        <w:rPr>
          <w:b/>
          <w:bCs/>
          <w:color w:val="385623" w:themeColor="accent6" w:themeShade="80"/>
        </w:rPr>
        <w:t>Are there different models of delivery?</w:t>
      </w:r>
    </w:p>
    <w:p w14:paraId="2DA5E044" w14:textId="112D8217" w:rsidR="00E238F2" w:rsidRDefault="00E238F2" w:rsidP="00E238F2">
      <w:r>
        <w:t>The CLPL framework aims to be as flexible as possible to meet the needs of individual practitioners, their establishments and wider learning communities. For example, schools can choose to engage with the CLPL framework as an individual establishment or delivery can be considered across a whole learning community involving key members of staff being identified to attend each workshop from across the primary and secondary school sector. When engaging with the framework as a learning community it will be important to consider how learning will be disseminated following each workshop.</w:t>
      </w:r>
    </w:p>
    <w:p w14:paraId="76EF31F1" w14:textId="03C79EE3" w:rsidR="00E238F2" w:rsidRDefault="007D7942" w:rsidP="00E238F2">
      <w:pPr>
        <w:spacing w:after="200" w:line="276" w:lineRule="auto"/>
        <w:jc w:val="center"/>
        <w:rPr>
          <w:lang w:eastAsia="en-GB"/>
        </w:rPr>
      </w:pPr>
      <w:r w:rsidRPr="00402DC2">
        <w:rPr>
          <w:b/>
          <w:bCs/>
          <w:noProof/>
          <w:color w:val="385623" w:themeColor="accent6" w:themeShade="80"/>
        </w:rPr>
        <w:lastRenderedPageBreak/>
        <mc:AlternateContent>
          <mc:Choice Requires="wps">
            <w:drawing>
              <wp:anchor distT="45720" distB="45720" distL="114300" distR="114300" simplePos="0" relativeHeight="251669504" behindDoc="0" locked="0" layoutInCell="1" allowOverlap="1" wp14:anchorId="46F1A1E9" wp14:editId="26637951">
                <wp:simplePos x="0" y="0"/>
                <wp:positionH relativeFrom="column">
                  <wp:posOffset>2997200</wp:posOffset>
                </wp:positionH>
                <wp:positionV relativeFrom="paragraph">
                  <wp:posOffset>145415</wp:posOffset>
                </wp:positionV>
                <wp:extent cx="3168650" cy="38100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3810000"/>
                        </a:xfrm>
                        <a:prstGeom prst="rect">
                          <a:avLst/>
                        </a:prstGeom>
                        <a:solidFill>
                          <a:schemeClr val="accent6">
                            <a:lumMod val="20000"/>
                            <a:lumOff val="80000"/>
                          </a:schemeClr>
                        </a:solidFill>
                        <a:ln w="9525">
                          <a:noFill/>
                          <a:miter lim="800000"/>
                          <a:headEnd/>
                          <a:tailEnd/>
                        </a:ln>
                      </wps:spPr>
                      <wps:txbx>
                        <w:txbxContent>
                          <w:p w14:paraId="279A7CBF" w14:textId="71125D22" w:rsidR="00402DC2" w:rsidRDefault="00402DC2" w:rsidP="00402DC2">
                            <w:pPr>
                              <w:rPr>
                                <w:b/>
                                <w:bCs/>
                                <w:sz w:val="18"/>
                                <w:szCs w:val="18"/>
                                <w:u w:val="single"/>
                              </w:rPr>
                            </w:pPr>
                            <w:r w:rsidRPr="00402DC2">
                              <w:rPr>
                                <w:b/>
                                <w:bCs/>
                                <w:sz w:val="18"/>
                                <w:szCs w:val="18"/>
                                <w:u w:val="single"/>
                              </w:rPr>
                              <w:t>Anxiety, Risk/ Resilience and EBSNA</w:t>
                            </w:r>
                          </w:p>
                          <w:p w14:paraId="688BD929" w14:textId="7FAA16E8" w:rsidR="00BB35ED" w:rsidRPr="00BB35ED" w:rsidRDefault="00BB35ED" w:rsidP="00402DC2">
                            <w:pPr>
                              <w:rPr>
                                <w:sz w:val="18"/>
                                <w:szCs w:val="18"/>
                              </w:rPr>
                            </w:pPr>
                            <w:r>
                              <w:rPr>
                                <w:sz w:val="18"/>
                                <w:szCs w:val="18"/>
                              </w:rPr>
                              <w:t xml:space="preserve">Workshop 1 aims to introduce EBSNA highlighting the relevance of discussing this topic in relation </w:t>
                            </w:r>
                            <w:r w:rsidR="00774005">
                              <w:rPr>
                                <w:sz w:val="18"/>
                                <w:szCs w:val="18"/>
                              </w:rPr>
                              <w:t xml:space="preserve">to </w:t>
                            </w:r>
                            <w:r>
                              <w:rPr>
                                <w:sz w:val="18"/>
                                <w:szCs w:val="18"/>
                              </w:rPr>
                              <w:t xml:space="preserve">understanding and responding to anxiety. </w:t>
                            </w:r>
                            <w:r w:rsidR="00774005">
                              <w:rPr>
                                <w:sz w:val="18"/>
                                <w:szCs w:val="18"/>
                              </w:rPr>
                              <w:t>Early intervention is emphasised along with the identification of r</w:t>
                            </w:r>
                            <w:r>
                              <w:rPr>
                                <w:sz w:val="18"/>
                                <w:szCs w:val="18"/>
                              </w:rPr>
                              <w:t>isk and resilience factors related to EBSNA</w:t>
                            </w:r>
                            <w:r w:rsidR="00774005">
                              <w:rPr>
                                <w:sz w:val="18"/>
                                <w:szCs w:val="18"/>
                              </w:rPr>
                              <w:t>. Aligned to early intervention, a range of strategies to respond to anxiety are included.</w:t>
                            </w:r>
                          </w:p>
                          <w:p w14:paraId="0DAAD64D" w14:textId="393FEFFA" w:rsidR="00402DC2" w:rsidRDefault="00402DC2" w:rsidP="00402DC2">
                            <w:pPr>
                              <w:rPr>
                                <w:b/>
                                <w:bCs/>
                                <w:sz w:val="18"/>
                                <w:szCs w:val="18"/>
                                <w:u w:val="single"/>
                              </w:rPr>
                            </w:pPr>
                            <w:r w:rsidRPr="00402DC2">
                              <w:rPr>
                                <w:b/>
                                <w:bCs/>
                                <w:sz w:val="18"/>
                                <w:szCs w:val="18"/>
                                <w:u w:val="single"/>
                              </w:rPr>
                              <w:t>Information Gathering and Analysis</w:t>
                            </w:r>
                          </w:p>
                          <w:p w14:paraId="64E61C50" w14:textId="055FFD02" w:rsidR="00BB35ED" w:rsidRPr="00BB35ED" w:rsidRDefault="00BB35ED" w:rsidP="00402DC2">
                            <w:pPr>
                              <w:rPr>
                                <w:sz w:val="18"/>
                                <w:szCs w:val="18"/>
                              </w:rPr>
                            </w:pPr>
                            <w:r>
                              <w:rPr>
                                <w:sz w:val="18"/>
                                <w:szCs w:val="18"/>
                              </w:rPr>
                              <w:t xml:space="preserve">Workshop 2 </w:t>
                            </w:r>
                            <w:r w:rsidR="00774005">
                              <w:rPr>
                                <w:sz w:val="18"/>
                                <w:szCs w:val="18"/>
                              </w:rPr>
                              <w:t>aims</w:t>
                            </w:r>
                            <w:r w:rsidR="00872674">
                              <w:rPr>
                                <w:sz w:val="18"/>
                                <w:szCs w:val="18"/>
                              </w:rPr>
                              <w:t xml:space="preserve"> to</w:t>
                            </w:r>
                            <w:r w:rsidR="00774005">
                              <w:rPr>
                                <w:sz w:val="18"/>
                                <w:szCs w:val="18"/>
                              </w:rPr>
                              <w:t xml:space="preserve"> introduce how those working with CYP who experience EBSNA </w:t>
                            </w:r>
                            <w:r>
                              <w:rPr>
                                <w:sz w:val="18"/>
                                <w:szCs w:val="18"/>
                              </w:rPr>
                              <w:t>can effectively gather assessment information</w:t>
                            </w:r>
                            <w:r w:rsidR="007D7942">
                              <w:rPr>
                                <w:sz w:val="18"/>
                                <w:szCs w:val="18"/>
                              </w:rPr>
                              <w:t xml:space="preserve"> to inform planning, this includes an overview of the importance of analysis within this process.</w:t>
                            </w:r>
                            <w:r w:rsidR="00774005">
                              <w:rPr>
                                <w:sz w:val="18"/>
                                <w:szCs w:val="18"/>
                              </w:rPr>
                              <w:t xml:space="preserve"> Content is aligned to the national and local policy, including GIRFEC and staged intervention. The importance of stakeholder voice is emphasised and explored.</w:t>
                            </w:r>
                          </w:p>
                          <w:p w14:paraId="7BB47815" w14:textId="75FFE304" w:rsidR="00402DC2" w:rsidRDefault="00402DC2" w:rsidP="00402DC2">
                            <w:pPr>
                              <w:rPr>
                                <w:b/>
                                <w:bCs/>
                                <w:sz w:val="18"/>
                                <w:szCs w:val="18"/>
                                <w:u w:val="single"/>
                              </w:rPr>
                            </w:pPr>
                            <w:r w:rsidRPr="00402DC2">
                              <w:rPr>
                                <w:b/>
                                <w:bCs/>
                                <w:sz w:val="18"/>
                                <w:szCs w:val="18"/>
                                <w:u w:val="single"/>
                              </w:rPr>
                              <w:t>Intervention and Planning</w:t>
                            </w:r>
                          </w:p>
                          <w:p w14:paraId="261457EF" w14:textId="79032D70" w:rsidR="007D7942" w:rsidRPr="00402DC2" w:rsidRDefault="007D7942" w:rsidP="00402DC2">
                            <w:pPr>
                              <w:rPr>
                                <w:b/>
                                <w:bCs/>
                                <w:sz w:val="18"/>
                                <w:szCs w:val="18"/>
                                <w:u w:val="single"/>
                              </w:rPr>
                            </w:pPr>
                            <w:r>
                              <w:rPr>
                                <w:sz w:val="18"/>
                                <w:szCs w:val="18"/>
                              </w:rPr>
                              <w:t xml:space="preserve">Workshop 3 </w:t>
                            </w:r>
                            <w:r w:rsidR="00872674">
                              <w:rPr>
                                <w:sz w:val="18"/>
                                <w:szCs w:val="18"/>
                              </w:rPr>
                              <w:t xml:space="preserve">aims to </w:t>
                            </w:r>
                            <w:r>
                              <w:rPr>
                                <w:sz w:val="18"/>
                                <w:szCs w:val="18"/>
                              </w:rPr>
                              <w:t>support</w:t>
                            </w:r>
                            <w:r w:rsidR="00872674">
                              <w:rPr>
                                <w:sz w:val="18"/>
                                <w:szCs w:val="18"/>
                              </w:rPr>
                              <w:t xml:space="preserve"> those working with CYP who experience EBSNA </w:t>
                            </w:r>
                            <w:r>
                              <w:rPr>
                                <w:sz w:val="18"/>
                                <w:szCs w:val="18"/>
                              </w:rPr>
                              <w:t>to effectively develop action plans</w:t>
                            </w:r>
                            <w:r w:rsidR="00872674">
                              <w:rPr>
                                <w:sz w:val="18"/>
                                <w:szCs w:val="18"/>
                              </w:rPr>
                              <w:t xml:space="preserve"> in response to need</w:t>
                            </w:r>
                            <w:r>
                              <w:rPr>
                                <w:sz w:val="18"/>
                                <w:szCs w:val="18"/>
                              </w:rPr>
                              <w:t>. Suggested interventions are based on good practice examples informed by research and literature.</w:t>
                            </w:r>
                            <w:r w:rsidR="00872674">
                              <w:rPr>
                                <w:sz w:val="18"/>
                                <w:szCs w:val="18"/>
                              </w:rPr>
                              <w:t xml:space="preserve"> The role of wider services within this process is introduced.</w:t>
                            </w:r>
                          </w:p>
                          <w:p w14:paraId="7B0B5993" w14:textId="77777777" w:rsidR="00402DC2" w:rsidRDefault="00402DC2" w:rsidP="00402D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1A1E9" id="_x0000_s1027" type="#_x0000_t202" style="position:absolute;left:0;text-align:left;margin-left:236pt;margin-top:11.45pt;width:249.5pt;height:300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" fillcolor="#e2efd9 [665]" stroked="f">
                <v:textbox>
                  <w:txbxContent>
                    <w:p w14:paraId="279A7CBF" w14:textId="71125D22" w:rsidR="00402DC2" w:rsidRDefault="00402DC2" w:rsidP="00402DC2">
                      <w:pPr>
                        <w:rPr>
                          <w:b/>
                          <w:bCs/>
                          <w:sz w:val="18"/>
                          <w:szCs w:val="18"/>
                          <w:u w:val="single"/>
                        </w:rPr>
                      </w:pPr>
                      <w:r w:rsidRPr="00402DC2">
                        <w:rPr>
                          <w:b/>
                          <w:bCs/>
                          <w:sz w:val="18"/>
                          <w:szCs w:val="18"/>
                          <w:u w:val="single"/>
                        </w:rPr>
                        <w:t>Anxiety, Risk/ Resilience and EBSNA</w:t>
                      </w:r>
                    </w:p>
                    <w:p w14:paraId="688BD929" w14:textId="7FAA16E8" w:rsidR="00BB35ED" w:rsidRPr="00BB35ED" w:rsidRDefault="00BB35ED" w:rsidP="00402DC2">
                      <w:pPr>
                        <w:rPr>
                          <w:sz w:val="18"/>
                          <w:szCs w:val="18"/>
                        </w:rPr>
                      </w:pPr>
                      <w:r>
                        <w:rPr>
                          <w:sz w:val="18"/>
                          <w:szCs w:val="18"/>
                        </w:rPr>
                        <w:t xml:space="preserve">Workshop 1 aims to introduce EBSNA highlighting the relevance of discussing this topic in relation </w:t>
                      </w:r>
                      <w:r w:rsidR="00774005">
                        <w:rPr>
                          <w:sz w:val="18"/>
                          <w:szCs w:val="18"/>
                        </w:rPr>
                        <w:t xml:space="preserve">to </w:t>
                      </w:r>
                      <w:r>
                        <w:rPr>
                          <w:sz w:val="18"/>
                          <w:szCs w:val="18"/>
                        </w:rPr>
                        <w:t xml:space="preserve">understanding and responding to anxiety. </w:t>
                      </w:r>
                      <w:r w:rsidR="00774005">
                        <w:rPr>
                          <w:sz w:val="18"/>
                          <w:szCs w:val="18"/>
                        </w:rPr>
                        <w:t>Early intervention is emphasised along with the identification of r</w:t>
                      </w:r>
                      <w:r>
                        <w:rPr>
                          <w:sz w:val="18"/>
                          <w:szCs w:val="18"/>
                        </w:rPr>
                        <w:t>isk and resilience factors related to EBSNA</w:t>
                      </w:r>
                      <w:r w:rsidR="00774005">
                        <w:rPr>
                          <w:sz w:val="18"/>
                          <w:szCs w:val="18"/>
                        </w:rPr>
                        <w:t>. Aligned to early intervention, a range of strategies to respond to anxiety are included.</w:t>
                      </w:r>
                    </w:p>
                    <w:p w14:paraId="0DAAD64D" w14:textId="393FEFFA" w:rsidR="00402DC2" w:rsidRDefault="00402DC2" w:rsidP="00402DC2">
                      <w:pPr>
                        <w:rPr>
                          <w:b/>
                          <w:bCs/>
                          <w:sz w:val="18"/>
                          <w:szCs w:val="18"/>
                          <w:u w:val="single"/>
                        </w:rPr>
                      </w:pPr>
                      <w:r w:rsidRPr="00402DC2">
                        <w:rPr>
                          <w:b/>
                          <w:bCs/>
                          <w:sz w:val="18"/>
                          <w:szCs w:val="18"/>
                          <w:u w:val="single"/>
                        </w:rPr>
                        <w:t>Information Gathering and Analysis</w:t>
                      </w:r>
                    </w:p>
                    <w:p w14:paraId="64E61C50" w14:textId="055FFD02" w:rsidR="00BB35ED" w:rsidRPr="00BB35ED" w:rsidRDefault="00BB35ED" w:rsidP="00402DC2">
                      <w:pPr>
                        <w:rPr>
                          <w:sz w:val="18"/>
                          <w:szCs w:val="18"/>
                        </w:rPr>
                      </w:pPr>
                      <w:r>
                        <w:rPr>
                          <w:sz w:val="18"/>
                          <w:szCs w:val="18"/>
                        </w:rPr>
                        <w:t xml:space="preserve">Workshop 2 </w:t>
                      </w:r>
                      <w:r w:rsidR="00774005">
                        <w:rPr>
                          <w:sz w:val="18"/>
                          <w:szCs w:val="18"/>
                        </w:rPr>
                        <w:t>aims</w:t>
                      </w:r>
                      <w:r w:rsidR="00872674">
                        <w:rPr>
                          <w:sz w:val="18"/>
                          <w:szCs w:val="18"/>
                        </w:rPr>
                        <w:t xml:space="preserve"> to</w:t>
                      </w:r>
                      <w:r w:rsidR="00774005">
                        <w:rPr>
                          <w:sz w:val="18"/>
                          <w:szCs w:val="18"/>
                        </w:rPr>
                        <w:t xml:space="preserve"> introduce how those working with CYP who experience EBSNA </w:t>
                      </w:r>
                      <w:r>
                        <w:rPr>
                          <w:sz w:val="18"/>
                          <w:szCs w:val="18"/>
                        </w:rPr>
                        <w:t>can effectively gather assessment information</w:t>
                      </w:r>
                      <w:r w:rsidR="007D7942">
                        <w:rPr>
                          <w:sz w:val="18"/>
                          <w:szCs w:val="18"/>
                        </w:rPr>
                        <w:t xml:space="preserve"> to inform planning, this includes an overview of the importance of analysis within this process.</w:t>
                      </w:r>
                      <w:r w:rsidR="00774005">
                        <w:rPr>
                          <w:sz w:val="18"/>
                          <w:szCs w:val="18"/>
                        </w:rPr>
                        <w:t xml:space="preserve"> Content is aligned to the national and local policy, including GIRFEC and staged intervention. The importance of stakeholder voice is emphasised and explored.</w:t>
                      </w:r>
                    </w:p>
                    <w:p w14:paraId="7BB47815" w14:textId="75FFE304" w:rsidR="00402DC2" w:rsidRDefault="00402DC2" w:rsidP="00402DC2">
                      <w:pPr>
                        <w:rPr>
                          <w:b/>
                          <w:bCs/>
                          <w:sz w:val="18"/>
                          <w:szCs w:val="18"/>
                          <w:u w:val="single"/>
                        </w:rPr>
                      </w:pPr>
                      <w:r w:rsidRPr="00402DC2">
                        <w:rPr>
                          <w:b/>
                          <w:bCs/>
                          <w:sz w:val="18"/>
                          <w:szCs w:val="18"/>
                          <w:u w:val="single"/>
                        </w:rPr>
                        <w:t>Intervention and Planning</w:t>
                      </w:r>
                    </w:p>
                    <w:p w14:paraId="261457EF" w14:textId="79032D70" w:rsidR="007D7942" w:rsidRPr="00402DC2" w:rsidRDefault="007D7942" w:rsidP="00402DC2">
                      <w:pPr>
                        <w:rPr>
                          <w:b/>
                          <w:bCs/>
                          <w:sz w:val="18"/>
                          <w:szCs w:val="18"/>
                          <w:u w:val="single"/>
                        </w:rPr>
                      </w:pPr>
                      <w:r>
                        <w:rPr>
                          <w:sz w:val="18"/>
                          <w:szCs w:val="18"/>
                        </w:rPr>
                        <w:t xml:space="preserve">Workshop 3 </w:t>
                      </w:r>
                      <w:r w:rsidR="00872674">
                        <w:rPr>
                          <w:sz w:val="18"/>
                          <w:szCs w:val="18"/>
                        </w:rPr>
                        <w:t xml:space="preserve">aims to </w:t>
                      </w:r>
                      <w:r>
                        <w:rPr>
                          <w:sz w:val="18"/>
                          <w:szCs w:val="18"/>
                        </w:rPr>
                        <w:t>support</w:t>
                      </w:r>
                      <w:r w:rsidR="00872674">
                        <w:rPr>
                          <w:sz w:val="18"/>
                          <w:szCs w:val="18"/>
                        </w:rPr>
                        <w:t xml:space="preserve"> those working with CYP who experience EBSNA </w:t>
                      </w:r>
                      <w:r>
                        <w:rPr>
                          <w:sz w:val="18"/>
                          <w:szCs w:val="18"/>
                        </w:rPr>
                        <w:t>to effectively develop action plans</w:t>
                      </w:r>
                      <w:r w:rsidR="00872674">
                        <w:rPr>
                          <w:sz w:val="18"/>
                          <w:szCs w:val="18"/>
                        </w:rPr>
                        <w:t xml:space="preserve"> in response to need</w:t>
                      </w:r>
                      <w:r>
                        <w:rPr>
                          <w:sz w:val="18"/>
                          <w:szCs w:val="18"/>
                        </w:rPr>
                        <w:t>. Suggested interventions are based on good practice examples informed by research and literature.</w:t>
                      </w:r>
                      <w:r w:rsidR="00872674">
                        <w:rPr>
                          <w:sz w:val="18"/>
                          <w:szCs w:val="18"/>
                        </w:rPr>
                        <w:t xml:space="preserve"> The role of wider services within this process is introduced.</w:t>
                      </w:r>
                    </w:p>
                    <w:p w14:paraId="7B0B5993" w14:textId="77777777" w:rsidR="00402DC2" w:rsidRDefault="00402DC2" w:rsidP="00402DC2"/>
                  </w:txbxContent>
                </v:textbox>
                <w10:wrap type="square"/>
              </v:shape>
            </w:pict>
          </mc:Fallback>
        </mc:AlternateContent>
      </w:r>
    </w:p>
    <w:p w14:paraId="11A3A7CF" w14:textId="368D3815" w:rsidR="00E238F2" w:rsidRDefault="007D7942" w:rsidP="007C3CA8">
      <w:pPr>
        <w:spacing w:after="200" w:line="276" w:lineRule="auto"/>
        <w:jc w:val="both"/>
        <w:rPr>
          <w:lang w:eastAsia="en-GB"/>
        </w:rPr>
      </w:pPr>
      <w:r>
        <w:rPr>
          <w:noProof/>
        </w:rPr>
        <mc:AlternateContent>
          <mc:Choice Requires="wps">
            <w:drawing>
              <wp:anchor distT="0" distB="0" distL="114300" distR="114300" simplePos="0" relativeHeight="251667456" behindDoc="0" locked="0" layoutInCell="1" allowOverlap="1" wp14:anchorId="16FF12E9" wp14:editId="2F3AE5AE">
                <wp:simplePos x="0" y="0"/>
                <wp:positionH relativeFrom="margin">
                  <wp:posOffset>1937385</wp:posOffset>
                </wp:positionH>
                <wp:positionV relativeFrom="paragraph">
                  <wp:posOffset>1564005</wp:posOffset>
                </wp:positionV>
                <wp:extent cx="914400" cy="330591"/>
                <wp:effectExtent l="0" t="19050" r="38100" b="31750"/>
                <wp:wrapNone/>
                <wp:docPr id="12" name="Arrow: Right 12"/>
                <wp:cNvGraphicFramePr/>
                <a:graphic xmlns:a="http://schemas.openxmlformats.org/drawingml/2006/main">
                  <a:graphicData uri="http://schemas.microsoft.com/office/word/2010/wordprocessingShape">
                    <wps:wsp>
                      <wps:cNvSpPr/>
                      <wps:spPr>
                        <a:xfrm>
                          <a:off x="0" y="0"/>
                          <a:ext cx="914400" cy="330591"/>
                        </a:xfrm>
                        <a:prstGeom prst="rightArrow">
                          <a:avLst/>
                        </a:prstGeom>
                        <a:solidFill>
                          <a:srgbClr val="70AD47">
                            <a:lumMod val="60000"/>
                            <a:lumOff val="40000"/>
                          </a:srgbClr>
                        </a:solid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91FAA5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2" o:spid="_x0000_s1026" type="#_x0000_t13" style="position:absolute;margin-left:152.55pt;margin-top:123.15pt;width:1in;height:26.0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" adj="17695" fillcolor="#a9d18e" strokecolor="#385723" strokeweight="1pt">
                <w10:wrap anchorx="margin"/>
              </v:shape>
            </w:pict>
          </mc:Fallback>
        </mc:AlternateContent>
      </w:r>
      <w:r>
        <w:rPr>
          <w:noProof/>
        </w:rPr>
        <w:drawing>
          <wp:inline distT="0" distB="0" distL="0" distR="0" wp14:anchorId="283A2990" wp14:editId="04517B87">
            <wp:extent cx="2567354" cy="3347085"/>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1193F0B" w14:textId="31714249" w:rsidR="00763081" w:rsidRDefault="00763081" w:rsidP="00E238F2">
      <w:pPr>
        <w:pStyle w:val="NormalWeb"/>
        <w:spacing w:before="0" w:beforeAutospacing="0" w:after="0" w:afterAutospacing="0"/>
        <w:rPr>
          <w:rFonts w:asciiTheme="minorHAnsi" w:hAnsiTheme="minorHAnsi" w:cstheme="minorHAnsi"/>
          <w:i/>
          <w:iCs/>
          <w:sz w:val="22"/>
          <w:szCs w:val="22"/>
        </w:rPr>
      </w:pPr>
    </w:p>
    <w:p w14:paraId="67345CB0" w14:textId="20A9A8F4" w:rsidR="00B16172" w:rsidRPr="0029425B" w:rsidRDefault="00B16172" w:rsidP="00E238F2">
      <w:pPr>
        <w:pStyle w:val="NormalWeb"/>
        <w:spacing w:before="0" w:beforeAutospacing="0" w:after="0" w:afterAutospacing="0"/>
        <w:rPr>
          <w:rFonts w:asciiTheme="minorHAnsi" w:hAnsiTheme="minorHAnsi" w:cstheme="minorHAnsi"/>
          <w:i/>
          <w:iCs/>
          <w:sz w:val="22"/>
          <w:szCs w:val="22"/>
        </w:rPr>
      </w:pPr>
    </w:p>
    <w:p w14:paraId="5A727239" w14:textId="10B7A3D5" w:rsidR="007C3CA8" w:rsidRDefault="00103EF7" w:rsidP="00B16172">
      <w:pPr>
        <w:tabs>
          <w:tab w:val="left" w:pos="5605"/>
        </w:tabs>
        <w:ind w:left="360"/>
        <w:jc w:val="center"/>
      </w:pPr>
      <w:r w:rsidRPr="00402DC2">
        <w:rPr>
          <w:b/>
          <w:bCs/>
          <w:noProof/>
          <w:color w:val="385623" w:themeColor="accent6" w:themeShade="80"/>
        </w:rPr>
        <mc:AlternateContent>
          <mc:Choice Requires="wps">
            <w:drawing>
              <wp:anchor distT="45720" distB="45720" distL="114300" distR="114300" simplePos="0" relativeHeight="251671552" behindDoc="0" locked="0" layoutInCell="1" allowOverlap="1" wp14:anchorId="310E6EAE" wp14:editId="467E78FB">
                <wp:simplePos x="0" y="0"/>
                <wp:positionH relativeFrom="column">
                  <wp:posOffset>1631950</wp:posOffset>
                </wp:positionH>
                <wp:positionV relativeFrom="paragraph">
                  <wp:posOffset>73025</wp:posOffset>
                </wp:positionV>
                <wp:extent cx="2395855" cy="1127760"/>
                <wp:effectExtent l="0" t="0" r="4445" b="0"/>
                <wp:wrapSquare wrapText="bothSides"/>
                <wp:docPr id="2115735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855" cy="1127760"/>
                        </a:xfrm>
                        <a:prstGeom prst="rect">
                          <a:avLst/>
                        </a:prstGeom>
                        <a:solidFill>
                          <a:srgbClr val="70AD47">
                            <a:lumMod val="20000"/>
                            <a:lumOff val="80000"/>
                          </a:srgbClr>
                        </a:solidFill>
                        <a:ln w="9525">
                          <a:noFill/>
                          <a:miter lim="800000"/>
                          <a:headEnd/>
                          <a:tailEnd/>
                        </a:ln>
                      </wps:spPr>
                      <wps:txbx>
                        <w:txbxContent>
                          <w:p w14:paraId="7BFF0D9A" w14:textId="77777777" w:rsidR="00103EF7" w:rsidRDefault="00103EF7" w:rsidP="00103EF7">
                            <w:pPr>
                              <w:rPr>
                                <w:sz w:val="18"/>
                                <w:szCs w:val="18"/>
                              </w:rPr>
                            </w:pPr>
                          </w:p>
                          <w:p w14:paraId="34DE7BCD" w14:textId="7EC7AAD3" w:rsidR="00103EF7" w:rsidRPr="00103EF7" w:rsidRDefault="00103EF7" w:rsidP="00103EF7">
                            <w:pPr>
                              <w:pStyle w:val="ListParagraph"/>
                              <w:numPr>
                                <w:ilvl w:val="0"/>
                                <w:numId w:val="5"/>
                              </w:numPr>
                              <w:rPr>
                                <w:sz w:val="18"/>
                                <w:szCs w:val="18"/>
                              </w:rPr>
                            </w:pPr>
                            <w:r w:rsidRPr="00103EF7">
                              <w:rPr>
                                <w:sz w:val="18"/>
                                <w:szCs w:val="18"/>
                              </w:rPr>
                              <w:t>Speech, Language and Communication Differences and EBSNA</w:t>
                            </w:r>
                          </w:p>
                          <w:p w14:paraId="61DE7195" w14:textId="0D46E3B3" w:rsidR="00103EF7" w:rsidRPr="00103EF7" w:rsidRDefault="00103EF7" w:rsidP="00103EF7">
                            <w:pPr>
                              <w:pStyle w:val="ListParagraph"/>
                              <w:numPr>
                                <w:ilvl w:val="0"/>
                                <w:numId w:val="5"/>
                              </w:numPr>
                              <w:rPr>
                                <w:sz w:val="18"/>
                                <w:szCs w:val="18"/>
                              </w:rPr>
                            </w:pPr>
                            <w:r w:rsidRPr="00103EF7">
                              <w:rPr>
                                <w:sz w:val="18"/>
                                <w:szCs w:val="18"/>
                              </w:rPr>
                              <w:t>Parent/Carer Engagement and EBSNA</w:t>
                            </w:r>
                          </w:p>
                          <w:p w14:paraId="75F26BC8" w14:textId="2A262CAA" w:rsidR="00103EF7" w:rsidRPr="00103EF7" w:rsidRDefault="00103EF7" w:rsidP="00103EF7">
                            <w:pPr>
                              <w:pStyle w:val="ListParagraph"/>
                              <w:numPr>
                                <w:ilvl w:val="0"/>
                                <w:numId w:val="5"/>
                              </w:numPr>
                              <w:rPr>
                                <w:sz w:val="18"/>
                                <w:szCs w:val="18"/>
                              </w:rPr>
                            </w:pPr>
                            <w:r w:rsidRPr="00103EF7">
                              <w:rPr>
                                <w:sz w:val="18"/>
                                <w:szCs w:val="18"/>
                              </w:rPr>
                              <w:t>Solution Oriented Practice and EBSNA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E6EAE" id="_x0000_s1028" type="#_x0000_t202" style="position:absolute;left:0;text-align:left;margin-left:128.5pt;margin-top:5.75pt;width:188.65pt;height:88.8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" fillcolor="#e2f0d9" stroked="f">
                <v:textbox>
                  <w:txbxContent>
                    <w:p w14:paraId="7BFF0D9A" w14:textId="77777777" w:rsidR="00103EF7" w:rsidRDefault="00103EF7" w:rsidP="00103EF7">
                      <w:pPr>
                        <w:rPr>
                          <w:sz w:val="18"/>
                          <w:szCs w:val="18"/>
                        </w:rPr>
                      </w:pPr>
                    </w:p>
                    <w:p w14:paraId="34DE7BCD" w14:textId="7EC7AAD3" w:rsidR="00103EF7" w:rsidRPr="00103EF7" w:rsidRDefault="00103EF7" w:rsidP="00103EF7">
                      <w:pPr>
                        <w:pStyle w:val="ListParagraph"/>
                        <w:numPr>
                          <w:ilvl w:val="0"/>
                          <w:numId w:val="5"/>
                        </w:numPr>
                        <w:rPr>
                          <w:sz w:val="18"/>
                          <w:szCs w:val="18"/>
                        </w:rPr>
                      </w:pPr>
                      <w:r w:rsidRPr="00103EF7">
                        <w:rPr>
                          <w:sz w:val="18"/>
                          <w:szCs w:val="18"/>
                        </w:rPr>
                        <w:t>Speech, Language and Communication Differences and EBSNA</w:t>
                      </w:r>
                    </w:p>
                    <w:p w14:paraId="61DE7195" w14:textId="0D46E3B3" w:rsidR="00103EF7" w:rsidRPr="00103EF7" w:rsidRDefault="00103EF7" w:rsidP="00103EF7">
                      <w:pPr>
                        <w:pStyle w:val="ListParagraph"/>
                        <w:numPr>
                          <w:ilvl w:val="0"/>
                          <w:numId w:val="5"/>
                        </w:numPr>
                        <w:rPr>
                          <w:sz w:val="18"/>
                          <w:szCs w:val="18"/>
                        </w:rPr>
                      </w:pPr>
                      <w:r w:rsidRPr="00103EF7">
                        <w:rPr>
                          <w:sz w:val="18"/>
                          <w:szCs w:val="18"/>
                        </w:rPr>
                        <w:t>Parent/Carer Engagement and EBSNA</w:t>
                      </w:r>
                    </w:p>
                    <w:p w14:paraId="75F26BC8" w14:textId="2A262CAA" w:rsidR="00103EF7" w:rsidRPr="00103EF7" w:rsidRDefault="00103EF7" w:rsidP="00103EF7">
                      <w:pPr>
                        <w:pStyle w:val="ListParagraph"/>
                        <w:numPr>
                          <w:ilvl w:val="0"/>
                          <w:numId w:val="5"/>
                        </w:numPr>
                        <w:rPr>
                          <w:sz w:val="18"/>
                          <w:szCs w:val="18"/>
                        </w:rPr>
                      </w:pPr>
                      <w:r w:rsidRPr="00103EF7">
                        <w:rPr>
                          <w:sz w:val="18"/>
                          <w:szCs w:val="18"/>
                        </w:rPr>
                        <w:t>Solution Oriented Practice and EBSNA</w:t>
                      </w:r>
                    </w:p>
                  </w:txbxContent>
                </v:textbox>
                <w10:wrap type="square"/>
              </v:shape>
            </w:pict>
          </mc:Fallback>
        </mc:AlternateContent>
      </w:r>
    </w:p>
    <w:p w14:paraId="2DC878D3" w14:textId="77777777" w:rsidR="00103EF7" w:rsidRDefault="00103EF7" w:rsidP="008E5C78">
      <w:pPr>
        <w:jc w:val="center"/>
        <w:rPr>
          <w:b/>
          <w:bCs/>
          <w:color w:val="385623" w:themeColor="accent6" w:themeShade="80"/>
        </w:rPr>
      </w:pPr>
      <w:bookmarkStart w:id="2" w:name="_Hlk137206536"/>
      <w:r>
        <w:rPr>
          <w:b/>
          <w:bCs/>
          <w:color w:val="385623" w:themeColor="accent6" w:themeShade="80"/>
        </w:rPr>
        <w:t xml:space="preserve">                                       </w:t>
      </w:r>
    </w:p>
    <w:p w14:paraId="0E942945" w14:textId="77777777" w:rsidR="00103EF7" w:rsidRDefault="00103EF7" w:rsidP="008E5C78">
      <w:pPr>
        <w:jc w:val="center"/>
        <w:rPr>
          <w:b/>
          <w:bCs/>
          <w:color w:val="385623" w:themeColor="accent6" w:themeShade="80"/>
        </w:rPr>
      </w:pPr>
    </w:p>
    <w:p w14:paraId="4892C4CF" w14:textId="77777777" w:rsidR="00103EF7" w:rsidRDefault="00103EF7" w:rsidP="008E5C78">
      <w:pPr>
        <w:jc w:val="center"/>
        <w:rPr>
          <w:b/>
          <w:bCs/>
          <w:color w:val="385623" w:themeColor="accent6" w:themeShade="80"/>
        </w:rPr>
      </w:pPr>
    </w:p>
    <w:p w14:paraId="0D0E4F12" w14:textId="77777777" w:rsidR="00103EF7" w:rsidRDefault="00103EF7" w:rsidP="008E5C78">
      <w:pPr>
        <w:jc w:val="center"/>
        <w:rPr>
          <w:b/>
          <w:bCs/>
          <w:color w:val="385623" w:themeColor="accent6" w:themeShade="80"/>
        </w:rPr>
      </w:pPr>
    </w:p>
    <w:p w14:paraId="7999CCD1" w14:textId="6D5DCEEB" w:rsidR="006805D0" w:rsidRDefault="006805D0" w:rsidP="00103EF7">
      <w:pPr>
        <w:jc w:val="center"/>
        <w:rPr>
          <w:b/>
          <w:bCs/>
          <w:color w:val="385623" w:themeColor="accent6" w:themeShade="80"/>
        </w:rPr>
      </w:pPr>
      <w:r w:rsidRPr="006805D0">
        <w:rPr>
          <w:b/>
          <w:bCs/>
          <w:color w:val="385623" w:themeColor="accent6" w:themeShade="80"/>
        </w:rPr>
        <w:t>Evaluation of Impact and Outcomes</w:t>
      </w:r>
    </w:p>
    <w:p w14:paraId="678B0601" w14:textId="4D5AB85A" w:rsidR="006805D0" w:rsidRPr="006805D0" w:rsidRDefault="006805D0" w:rsidP="006805D0">
      <w:pPr>
        <w:jc w:val="center"/>
        <w:rPr>
          <w:b/>
          <w:bCs/>
          <w:color w:val="385623" w:themeColor="accent6" w:themeShade="80"/>
        </w:rPr>
      </w:pPr>
      <w:r>
        <w:rPr>
          <w:b/>
          <w:bCs/>
          <w:noProof/>
          <w:color w:val="385623" w:themeColor="accent6" w:themeShade="80"/>
        </w:rPr>
        <w:drawing>
          <wp:inline distT="0" distB="0" distL="0" distR="0" wp14:anchorId="24C56267" wp14:editId="3E81F60A">
            <wp:extent cx="3469005" cy="19265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69005" cy="1926590"/>
                    </a:xfrm>
                    <a:prstGeom prst="rect">
                      <a:avLst/>
                    </a:prstGeom>
                    <a:noFill/>
                  </pic:spPr>
                </pic:pic>
              </a:graphicData>
            </a:graphic>
          </wp:inline>
        </w:drawing>
      </w:r>
    </w:p>
    <w:bookmarkEnd w:id="2"/>
    <w:p w14:paraId="798ED3A5" w14:textId="0DB8816C" w:rsidR="00570DF6" w:rsidRDefault="00570DF6" w:rsidP="00570DF6">
      <w:pPr>
        <w:jc w:val="center"/>
        <w:rPr>
          <w:b/>
          <w:bCs/>
          <w:color w:val="385623" w:themeColor="accent6" w:themeShade="80"/>
        </w:rPr>
      </w:pPr>
      <w:r w:rsidRPr="00570DF6">
        <w:rPr>
          <w:b/>
          <w:bCs/>
          <w:color w:val="385623" w:themeColor="accent6" w:themeShade="80"/>
        </w:rPr>
        <w:t>How can I access Glasgow’s EBSNA CLPL Framework?</w:t>
      </w:r>
    </w:p>
    <w:p w14:paraId="4F1DFF23" w14:textId="71B1F6C5" w:rsidR="0029425B" w:rsidRDefault="00E27F81" w:rsidP="006B70D6">
      <w:pPr>
        <w:jc w:val="center"/>
      </w:pPr>
      <w:r>
        <w:t>For more information, please contact Alison W</w:t>
      </w:r>
      <w:r w:rsidR="008E5C78">
        <w:t>hite</w:t>
      </w:r>
      <w:r>
        <w:t xml:space="preserve"> (Educational Psychologist) or the link Educational Psychologist for your establishment.</w:t>
      </w:r>
    </w:p>
    <w:p w14:paraId="3FDD7B70" w14:textId="7D4B1941" w:rsidR="00825328" w:rsidRDefault="008E5C78" w:rsidP="006B70D6">
      <w:pPr>
        <w:jc w:val="center"/>
      </w:pPr>
      <w:hyperlink r:id="rId16" w:history="1">
        <w:r w:rsidRPr="00D85C4E">
          <w:rPr>
            <w:rStyle w:val="Hyperlink"/>
          </w:rPr>
          <w:t>Alison.white@education.glasgow.gov.uk</w:t>
        </w:r>
      </w:hyperlink>
    </w:p>
    <w:p w14:paraId="5ADDAA1C" w14:textId="77777777" w:rsidR="00E27F81" w:rsidRDefault="00E27F81" w:rsidP="00D07295"/>
    <w:p w14:paraId="26C434DC" w14:textId="69183D51" w:rsidR="0029425B" w:rsidRPr="00E238F2" w:rsidRDefault="00763081" w:rsidP="00E238F2">
      <w:pPr>
        <w:ind w:left="-567"/>
        <w:jc w:val="center"/>
        <w:rPr>
          <w:lang w:eastAsia="en-GB"/>
        </w:rPr>
      </w:pPr>
      <w:r w:rsidRPr="00763081">
        <w:rPr>
          <w:rFonts w:ascii="Calibri" w:eastAsia="+mn-ea" w:hAnsi="Calibri" w:cs="+mn-cs"/>
          <w:color w:val="385623" w:themeColor="accent6" w:themeShade="80"/>
          <w:kern w:val="24"/>
        </w:rPr>
        <w:t xml:space="preserve">              </w:t>
      </w:r>
    </w:p>
    <w:p w14:paraId="5D8DD3C9" w14:textId="77777777" w:rsidR="0029425B" w:rsidRDefault="0029425B" w:rsidP="00D07295"/>
    <w:p w14:paraId="6034B498" w14:textId="77777777" w:rsidR="0029425B" w:rsidRDefault="0029425B" w:rsidP="00D07295"/>
    <w:p w14:paraId="008D7238" w14:textId="77777777" w:rsidR="0029425B" w:rsidRDefault="0029425B" w:rsidP="00D07295"/>
    <w:p w14:paraId="5693C2CB" w14:textId="0C5805EF" w:rsidR="00D07295" w:rsidRPr="00D07295" w:rsidRDefault="00D07295" w:rsidP="00D07295"/>
    <w:sectPr w:rsidR="00D07295" w:rsidRPr="00D07295" w:rsidSect="00763081">
      <w:headerReference w:type="even" r:id="rId17"/>
      <w:headerReference w:type="default" r:id="rId18"/>
      <w:footerReference w:type="even" r:id="rId19"/>
      <w:footerReference w:type="default" r:id="rId20"/>
      <w:headerReference w:type="first" r:id="rId21"/>
      <w:footerReference w:type="first" r:id="rId22"/>
      <w:pgSz w:w="11906" w:h="16838"/>
      <w:pgMar w:top="1001" w:right="1440" w:bottom="1440" w:left="1440"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60E18" w14:textId="77777777" w:rsidR="00C06189" w:rsidRDefault="00C06189" w:rsidP="00D07295">
      <w:pPr>
        <w:spacing w:after="0" w:line="240" w:lineRule="auto"/>
      </w:pPr>
      <w:r>
        <w:separator/>
      </w:r>
    </w:p>
  </w:endnote>
  <w:endnote w:type="continuationSeparator" w:id="0">
    <w:p w14:paraId="377AC497" w14:textId="77777777" w:rsidR="00C06189" w:rsidRDefault="00C06189" w:rsidP="00D07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D2034" w14:textId="0C52B2D8" w:rsidR="0095012E" w:rsidRDefault="00103EF7" w:rsidP="00103EF7">
    <w:pPr>
      <w:pStyle w:val="Footer"/>
      <w:jc w:val="center"/>
    </w:pPr>
    <w:fldSimple w:instr=" DOCPROPERTY bjFooterEvenPageDocProperty \* MERGEFORMAT " w:fldLock="1">
      <w:r w:rsidRPr="00103EF7">
        <w:rPr>
          <w:rFonts w:ascii="Arial" w:hAnsi="Arial" w:cs="Arial"/>
          <w:b/>
          <w:color w:val="000000"/>
          <w:sz w:val="24"/>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6C67" w14:textId="5ED7B793" w:rsidR="0095012E" w:rsidRDefault="00103EF7" w:rsidP="00103EF7">
    <w:pPr>
      <w:pStyle w:val="Footer"/>
      <w:jc w:val="center"/>
    </w:pPr>
    <w:fldSimple w:instr=" DOCPROPERTY bjFooterBothDocProperty \* MERGEFORMAT " w:fldLock="1">
      <w:r w:rsidRPr="00103EF7">
        <w:rPr>
          <w:rFonts w:ascii="Arial" w:hAnsi="Arial" w:cs="Arial"/>
          <w:b/>
          <w:color w:val="000000"/>
          <w:sz w:val="24"/>
        </w:rPr>
        <w:t>OFFICIAL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DC4CE" w14:textId="77777777" w:rsidR="00103EF7" w:rsidRDefault="00103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FD6A6" w14:textId="77777777" w:rsidR="00C06189" w:rsidRDefault="00C06189" w:rsidP="00D07295">
      <w:pPr>
        <w:spacing w:after="0" w:line="240" w:lineRule="auto"/>
      </w:pPr>
      <w:r>
        <w:separator/>
      </w:r>
    </w:p>
  </w:footnote>
  <w:footnote w:type="continuationSeparator" w:id="0">
    <w:p w14:paraId="4D409299" w14:textId="77777777" w:rsidR="00C06189" w:rsidRDefault="00C06189" w:rsidP="00D07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E0E6" w14:textId="04A71F15" w:rsidR="0095012E" w:rsidRDefault="00103EF7" w:rsidP="00103EF7">
    <w:pPr>
      <w:pStyle w:val="Header"/>
      <w:jc w:val="center"/>
    </w:pPr>
    <w:fldSimple w:instr=" DOCPROPERTY bjHeaderEvenPageDocProperty \* MERGEFORMAT " w:fldLock="1">
      <w:r w:rsidRPr="00103EF7">
        <w:rPr>
          <w:rFonts w:ascii="Arial" w:hAnsi="Arial" w:cs="Arial"/>
          <w:b/>
          <w:color w:val="000000"/>
          <w:sz w:val="24"/>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40D37" w14:textId="7DC1A73E" w:rsidR="0029425B" w:rsidRDefault="00103EF7" w:rsidP="00103EF7">
    <w:pPr>
      <w:pStyle w:val="Header"/>
      <w:jc w:val="center"/>
    </w:pPr>
    <w:fldSimple w:instr=" DOCPROPERTY bjHeaderBothDocProperty \* MERGEFORMAT " w:fldLock="1">
      <w:r w:rsidRPr="00103EF7">
        <w:rPr>
          <w:rFonts w:ascii="Arial" w:hAnsi="Arial" w:cs="Arial"/>
          <w:b/>
          <w:color w:val="000000"/>
          <w:sz w:val="24"/>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D7795" w14:textId="77777777" w:rsidR="00103EF7" w:rsidRDefault="00103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37D43"/>
    <w:multiLevelType w:val="hybridMultilevel"/>
    <w:tmpl w:val="7150AD1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4EC467FA"/>
    <w:multiLevelType w:val="hybridMultilevel"/>
    <w:tmpl w:val="800A6716"/>
    <w:lvl w:ilvl="0" w:tplc="8EA006DC">
      <w:numFmt w:val="bullet"/>
      <w:lvlText w:val="-"/>
      <w:lvlJc w:val="left"/>
      <w:pPr>
        <w:ind w:left="360" w:hanging="360"/>
      </w:pPr>
      <w:rPr>
        <w:rFonts w:ascii="Calibri" w:eastAsiaTheme="minorHAnsi" w:hAnsi="Calibri" w:cs="Calibri"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368738E"/>
    <w:multiLevelType w:val="hybridMultilevel"/>
    <w:tmpl w:val="99B6723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6D580B01"/>
    <w:multiLevelType w:val="hybridMultilevel"/>
    <w:tmpl w:val="B068375C"/>
    <w:lvl w:ilvl="0" w:tplc="C1D8116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C20738"/>
    <w:multiLevelType w:val="hybridMultilevel"/>
    <w:tmpl w:val="1E50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1867072">
    <w:abstractNumId w:val="3"/>
  </w:num>
  <w:num w:numId="2" w16cid:durableId="365562793">
    <w:abstractNumId w:val="0"/>
  </w:num>
  <w:num w:numId="3" w16cid:durableId="1467310824">
    <w:abstractNumId w:val="4"/>
  </w:num>
  <w:num w:numId="4" w16cid:durableId="27537419">
    <w:abstractNumId w:val="2"/>
  </w:num>
  <w:num w:numId="5" w16cid:durableId="886995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95"/>
    <w:rsid w:val="00103EF7"/>
    <w:rsid w:val="00112CCA"/>
    <w:rsid w:val="001E3DDD"/>
    <w:rsid w:val="001E6477"/>
    <w:rsid w:val="002017FF"/>
    <w:rsid w:val="0027489D"/>
    <w:rsid w:val="002874BD"/>
    <w:rsid w:val="0029425B"/>
    <w:rsid w:val="00331407"/>
    <w:rsid w:val="00402DC2"/>
    <w:rsid w:val="004542A3"/>
    <w:rsid w:val="0055054E"/>
    <w:rsid w:val="00561FA6"/>
    <w:rsid w:val="00570DF6"/>
    <w:rsid w:val="005C76FD"/>
    <w:rsid w:val="00631235"/>
    <w:rsid w:val="006805D0"/>
    <w:rsid w:val="006A0857"/>
    <w:rsid w:val="006B70D6"/>
    <w:rsid w:val="00763081"/>
    <w:rsid w:val="00774005"/>
    <w:rsid w:val="007878B4"/>
    <w:rsid w:val="007C3CA8"/>
    <w:rsid w:val="007D7942"/>
    <w:rsid w:val="007F235D"/>
    <w:rsid w:val="00825328"/>
    <w:rsid w:val="00872674"/>
    <w:rsid w:val="00893A64"/>
    <w:rsid w:val="008E5C78"/>
    <w:rsid w:val="0095012E"/>
    <w:rsid w:val="0096733A"/>
    <w:rsid w:val="009D3E40"/>
    <w:rsid w:val="00AD27D9"/>
    <w:rsid w:val="00AE77A9"/>
    <w:rsid w:val="00B16172"/>
    <w:rsid w:val="00B46F25"/>
    <w:rsid w:val="00B61D60"/>
    <w:rsid w:val="00B6429F"/>
    <w:rsid w:val="00BB35ED"/>
    <w:rsid w:val="00BC645E"/>
    <w:rsid w:val="00C06189"/>
    <w:rsid w:val="00C34A9D"/>
    <w:rsid w:val="00D07295"/>
    <w:rsid w:val="00D506AF"/>
    <w:rsid w:val="00DD55C1"/>
    <w:rsid w:val="00E238F2"/>
    <w:rsid w:val="00E27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3A70B"/>
  <w15:chartTrackingRefBased/>
  <w15:docId w15:val="{32F17BDB-A5D3-4C8C-BD22-30260BA87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295"/>
  </w:style>
  <w:style w:type="paragraph" w:styleId="Footer">
    <w:name w:val="footer"/>
    <w:basedOn w:val="Normal"/>
    <w:link w:val="FooterChar"/>
    <w:uiPriority w:val="99"/>
    <w:unhideWhenUsed/>
    <w:rsid w:val="00D07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295"/>
  </w:style>
  <w:style w:type="paragraph" w:styleId="NormalWeb">
    <w:name w:val="Normal (Web)"/>
    <w:basedOn w:val="Normal"/>
    <w:uiPriority w:val="99"/>
    <w:unhideWhenUsed/>
    <w:rsid w:val="002942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D55C1"/>
    <w:pPr>
      <w:ind w:left="720"/>
      <w:contextualSpacing/>
    </w:pPr>
  </w:style>
  <w:style w:type="character" w:styleId="Hyperlink">
    <w:name w:val="Hyperlink"/>
    <w:basedOn w:val="DefaultParagraphFont"/>
    <w:uiPriority w:val="99"/>
    <w:unhideWhenUsed/>
    <w:rsid w:val="00825328"/>
    <w:rPr>
      <w:color w:val="0563C1" w:themeColor="hyperlink"/>
      <w:u w:val="single"/>
    </w:rPr>
  </w:style>
  <w:style w:type="character" w:styleId="UnresolvedMention">
    <w:name w:val="Unresolved Mention"/>
    <w:basedOn w:val="DefaultParagraphFont"/>
    <w:uiPriority w:val="99"/>
    <w:semiHidden/>
    <w:unhideWhenUsed/>
    <w:rsid w:val="00825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84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lison.white@education.glasgow.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03DA18-2B39-4588-8C55-55B16977F778}" type="doc">
      <dgm:prSet loTypeId="urn:microsoft.com/office/officeart/2009/layout/CircleArrowProcess" loCatId="process" qsTypeId="urn:microsoft.com/office/officeart/2005/8/quickstyle/simple1" qsCatId="simple" csTypeId="urn:microsoft.com/office/officeart/2005/8/colors/accent6_1" csCatId="accent6" phldr="1"/>
      <dgm:spPr/>
      <dgm:t>
        <a:bodyPr/>
        <a:lstStyle/>
        <a:p>
          <a:endParaRPr lang="en-GB"/>
        </a:p>
      </dgm:t>
    </dgm:pt>
    <dgm:pt modelId="{6D97AFCE-DBFC-47CA-B47C-1B9508908506}">
      <dgm:prSet phldrT="[Text]" custT="1"/>
      <dgm:spPr/>
      <dgm:t>
        <a:bodyPr/>
        <a:lstStyle/>
        <a:p>
          <a:r>
            <a:rPr lang="en-GB" sz="900" b="1">
              <a:solidFill>
                <a:schemeClr val="accent6">
                  <a:lumMod val="50000"/>
                </a:schemeClr>
              </a:solidFill>
            </a:rPr>
            <a:t>Anxiety, Risk/Resilience and EBSNA</a:t>
          </a:r>
        </a:p>
      </dgm:t>
    </dgm:pt>
    <dgm:pt modelId="{4754E281-6FCE-42AC-A566-358BC8F94860}" type="parTrans" cxnId="{F398D93F-138B-4718-9A35-A4DA75A7AF27}">
      <dgm:prSet/>
      <dgm:spPr/>
      <dgm:t>
        <a:bodyPr/>
        <a:lstStyle/>
        <a:p>
          <a:endParaRPr lang="en-GB"/>
        </a:p>
      </dgm:t>
    </dgm:pt>
    <dgm:pt modelId="{868C95B3-839A-40F9-8A4D-36CAD8C3DE69}" type="sibTrans" cxnId="{F398D93F-138B-4718-9A35-A4DA75A7AF27}">
      <dgm:prSet/>
      <dgm:spPr/>
      <dgm:t>
        <a:bodyPr/>
        <a:lstStyle/>
        <a:p>
          <a:endParaRPr lang="en-GB"/>
        </a:p>
      </dgm:t>
    </dgm:pt>
    <dgm:pt modelId="{85FD4341-C669-4DAF-BB97-3F2653D3E670}">
      <dgm:prSet phldrT="[Text]" custT="1"/>
      <dgm:spPr/>
      <dgm:t>
        <a:bodyPr/>
        <a:lstStyle/>
        <a:p>
          <a:r>
            <a:rPr lang="en-GB" sz="900" b="1">
              <a:solidFill>
                <a:schemeClr val="accent6">
                  <a:lumMod val="50000"/>
                </a:schemeClr>
              </a:solidFill>
            </a:rPr>
            <a:t>Information Gathering and Analysis</a:t>
          </a:r>
        </a:p>
      </dgm:t>
    </dgm:pt>
    <dgm:pt modelId="{A4FDBFA5-959D-4575-8828-DF02AE0921A0}" type="parTrans" cxnId="{BFD7F931-DB1B-468B-A3E9-0F3B36962432}">
      <dgm:prSet/>
      <dgm:spPr/>
      <dgm:t>
        <a:bodyPr/>
        <a:lstStyle/>
        <a:p>
          <a:endParaRPr lang="en-GB"/>
        </a:p>
      </dgm:t>
    </dgm:pt>
    <dgm:pt modelId="{B7D1CEF1-74BA-4192-9C2C-3FD3326C7A9C}" type="sibTrans" cxnId="{BFD7F931-DB1B-468B-A3E9-0F3B36962432}">
      <dgm:prSet/>
      <dgm:spPr/>
      <dgm:t>
        <a:bodyPr/>
        <a:lstStyle/>
        <a:p>
          <a:endParaRPr lang="en-GB"/>
        </a:p>
      </dgm:t>
    </dgm:pt>
    <dgm:pt modelId="{46ACC331-F10D-446D-AE4C-1B8742B532C0}">
      <dgm:prSet phldrT="[Text]" custT="1"/>
      <dgm:spPr/>
      <dgm:t>
        <a:bodyPr/>
        <a:lstStyle/>
        <a:p>
          <a:r>
            <a:rPr lang="en-GB" sz="900" b="1">
              <a:solidFill>
                <a:schemeClr val="accent6">
                  <a:lumMod val="50000"/>
                </a:schemeClr>
              </a:solidFill>
            </a:rPr>
            <a:t>Intervention and Planning</a:t>
          </a:r>
        </a:p>
      </dgm:t>
    </dgm:pt>
    <dgm:pt modelId="{6082F6A8-CF9B-4CA8-A8E0-7AE09D046342}" type="parTrans" cxnId="{D8AD2A07-E7A7-41A7-9ACA-F527F8973796}">
      <dgm:prSet/>
      <dgm:spPr/>
      <dgm:t>
        <a:bodyPr/>
        <a:lstStyle/>
        <a:p>
          <a:endParaRPr lang="en-GB"/>
        </a:p>
      </dgm:t>
    </dgm:pt>
    <dgm:pt modelId="{D286CDE9-B83C-43AE-BA4D-B0A80D115026}" type="sibTrans" cxnId="{D8AD2A07-E7A7-41A7-9ACA-F527F8973796}">
      <dgm:prSet/>
      <dgm:spPr/>
      <dgm:t>
        <a:bodyPr/>
        <a:lstStyle/>
        <a:p>
          <a:endParaRPr lang="en-GB"/>
        </a:p>
      </dgm:t>
    </dgm:pt>
    <dgm:pt modelId="{AB4A787A-B281-4446-A6AA-DB4BB3F4427C}" type="pres">
      <dgm:prSet presAssocID="{6B03DA18-2B39-4588-8C55-55B16977F778}" presName="Name0" presStyleCnt="0">
        <dgm:presLayoutVars>
          <dgm:chMax val="7"/>
          <dgm:chPref val="7"/>
          <dgm:dir/>
          <dgm:animLvl val="lvl"/>
        </dgm:presLayoutVars>
      </dgm:prSet>
      <dgm:spPr/>
    </dgm:pt>
    <dgm:pt modelId="{ACF9AB4A-1F7D-44A3-8C84-818BCFC6ECB6}" type="pres">
      <dgm:prSet presAssocID="{6D97AFCE-DBFC-47CA-B47C-1B9508908506}" presName="Accent1" presStyleCnt="0"/>
      <dgm:spPr/>
    </dgm:pt>
    <dgm:pt modelId="{E89BFB1B-A7EA-4116-BA60-209D19AC715C}" type="pres">
      <dgm:prSet presAssocID="{6D97AFCE-DBFC-47CA-B47C-1B9508908506}" presName="Accent" presStyleLbl="node1" presStyleIdx="0" presStyleCnt="3" custLinFactNeighborX="1071" custLinFactNeighborY="535"/>
      <dgm:spPr>
        <a:solidFill>
          <a:schemeClr val="accent6">
            <a:lumMod val="20000"/>
            <a:lumOff val="80000"/>
          </a:schemeClr>
        </a:solidFill>
      </dgm:spPr>
    </dgm:pt>
    <dgm:pt modelId="{73D2CDA2-2F33-4E48-82CA-4BE295FFBB71}" type="pres">
      <dgm:prSet presAssocID="{6D97AFCE-DBFC-47CA-B47C-1B9508908506}" presName="Parent1" presStyleLbl="revTx" presStyleIdx="0" presStyleCnt="3" custLinFactNeighborX="1000" custLinFactNeighborY="-4000">
        <dgm:presLayoutVars>
          <dgm:chMax val="1"/>
          <dgm:chPref val="1"/>
          <dgm:bulletEnabled val="1"/>
        </dgm:presLayoutVars>
      </dgm:prSet>
      <dgm:spPr/>
    </dgm:pt>
    <dgm:pt modelId="{C4B34DB0-4B44-4B32-A1B9-AF7A9DCA6F82}" type="pres">
      <dgm:prSet presAssocID="{85FD4341-C669-4DAF-BB97-3F2653D3E670}" presName="Accent2" presStyleCnt="0"/>
      <dgm:spPr/>
    </dgm:pt>
    <dgm:pt modelId="{C6753D40-C22D-4757-AE9B-3548200AE1C9}" type="pres">
      <dgm:prSet presAssocID="{85FD4341-C669-4DAF-BB97-3F2653D3E670}" presName="Accent" presStyleLbl="node1" presStyleIdx="1" presStyleCnt="3"/>
      <dgm:spPr>
        <a:solidFill>
          <a:schemeClr val="accent6">
            <a:lumMod val="60000"/>
            <a:lumOff val="40000"/>
          </a:schemeClr>
        </a:solidFill>
      </dgm:spPr>
    </dgm:pt>
    <dgm:pt modelId="{E2CF9792-7B95-4E6F-AA28-B915455A05FC}" type="pres">
      <dgm:prSet presAssocID="{85FD4341-C669-4DAF-BB97-3F2653D3E670}" presName="Parent2" presStyleLbl="revTx" presStyleIdx="1" presStyleCnt="3" custLinFactNeighborX="1616" custLinFactNeighborY="-6470">
        <dgm:presLayoutVars>
          <dgm:chMax val="1"/>
          <dgm:chPref val="1"/>
          <dgm:bulletEnabled val="1"/>
        </dgm:presLayoutVars>
      </dgm:prSet>
      <dgm:spPr/>
    </dgm:pt>
    <dgm:pt modelId="{7DA5F364-95B7-4717-95EF-5D25F2E4197A}" type="pres">
      <dgm:prSet presAssocID="{46ACC331-F10D-446D-AE4C-1B8742B532C0}" presName="Accent3" presStyleCnt="0"/>
      <dgm:spPr/>
    </dgm:pt>
    <dgm:pt modelId="{188B5F90-AE5B-41AB-831E-07193AA93713}" type="pres">
      <dgm:prSet presAssocID="{46ACC331-F10D-446D-AE4C-1B8742B532C0}" presName="Accent" presStyleLbl="node1" presStyleIdx="2" presStyleCnt="3"/>
      <dgm:spPr>
        <a:solidFill>
          <a:schemeClr val="accent6">
            <a:lumMod val="20000"/>
            <a:lumOff val="80000"/>
          </a:schemeClr>
        </a:solidFill>
      </dgm:spPr>
    </dgm:pt>
    <dgm:pt modelId="{7CE43C0C-59B7-4A9A-80AA-557836985E49}" type="pres">
      <dgm:prSet presAssocID="{46ACC331-F10D-446D-AE4C-1B8742B532C0}" presName="Parent3" presStyleLbl="revTx" presStyleIdx="2" presStyleCnt="3">
        <dgm:presLayoutVars>
          <dgm:chMax val="1"/>
          <dgm:chPref val="1"/>
          <dgm:bulletEnabled val="1"/>
        </dgm:presLayoutVars>
      </dgm:prSet>
      <dgm:spPr/>
    </dgm:pt>
  </dgm:ptLst>
  <dgm:cxnLst>
    <dgm:cxn modelId="{D8AD2A07-E7A7-41A7-9ACA-F527F8973796}" srcId="{6B03DA18-2B39-4588-8C55-55B16977F778}" destId="{46ACC331-F10D-446D-AE4C-1B8742B532C0}" srcOrd="2" destOrd="0" parTransId="{6082F6A8-CF9B-4CA8-A8E0-7AE09D046342}" sibTransId="{D286CDE9-B83C-43AE-BA4D-B0A80D115026}"/>
    <dgm:cxn modelId="{BFD7F931-DB1B-468B-A3E9-0F3B36962432}" srcId="{6B03DA18-2B39-4588-8C55-55B16977F778}" destId="{85FD4341-C669-4DAF-BB97-3F2653D3E670}" srcOrd="1" destOrd="0" parTransId="{A4FDBFA5-959D-4575-8828-DF02AE0921A0}" sibTransId="{B7D1CEF1-74BA-4192-9C2C-3FD3326C7A9C}"/>
    <dgm:cxn modelId="{F398D93F-138B-4718-9A35-A4DA75A7AF27}" srcId="{6B03DA18-2B39-4588-8C55-55B16977F778}" destId="{6D97AFCE-DBFC-47CA-B47C-1B9508908506}" srcOrd="0" destOrd="0" parTransId="{4754E281-6FCE-42AC-A566-358BC8F94860}" sibTransId="{868C95B3-839A-40F9-8A4D-36CAD8C3DE69}"/>
    <dgm:cxn modelId="{2575C843-3D04-47C9-BBC8-91816A216E97}" type="presOf" srcId="{6D97AFCE-DBFC-47CA-B47C-1B9508908506}" destId="{73D2CDA2-2F33-4E48-82CA-4BE295FFBB71}" srcOrd="0" destOrd="0" presId="urn:microsoft.com/office/officeart/2009/layout/CircleArrowProcess"/>
    <dgm:cxn modelId="{4172B5A9-7290-4986-960A-E5CF4DCEDD65}" type="presOf" srcId="{6B03DA18-2B39-4588-8C55-55B16977F778}" destId="{AB4A787A-B281-4446-A6AA-DB4BB3F4427C}" srcOrd="0" destOrd="0" presId="urn:microsoft.com/office/officeart/2009/layout/CircleArrowProcess"/>
    <dgm:cxn modelId="{EADF7AE2-F3DE-40FC-B40B-E6164390C6A2}" type="presOf" srcId="{85FD4341-C669-4DAF-BB97-3F2653D3E670}" destId="{E2CF9792-7B95-4E6F-AA28-B915455A05FC}" srcOrd="0" destOrd="0" presId="urn:microsoft.com/office/officeart/2009/layout/CircleArrowProcess"/>
    <dgm:cxn modelId="{D4D7FCEC-4EAD-432A-83BF-60215846C51A}" type="presOf" srcId="{46ACC331-F10D-446D-AE4C-1B8742B532C0}" destId="{7CE43C0C-59B7-4A9A-80AA-557836985E49}" srcOrd="0" destOrd="0" presId="urn:microsoft.com/office/officeart/2009/layout/CircleArrowProcess"/>
    <dgm:cxn modelId="{C098BD44-C342-42A7-A588-4AEAB41B86B0}" type="presParOf" srcId="{AB4A787A-B281-4446-A6AA-DB4BB3F4427C}" destId="{ACF9AB4A-1F7D-44A3-8C84-818BCFC6ECB6}" srcOrd="0" destOrd="0" presId="urn:microsoft.com/office/officeart/2009/layout/CircleArrowProcess"/>
    <dgm:cxn modelId="{6A6FAD00-BD45-41B8-A829-E38D7EA35122}" type="presParOf" srcId="{ACF9AB4A-1F7D-44A3-8C84-818BCFC6ECB6}" destId="{E89BFB1B-A7EA-4116-BA60-209D19AC715C}" srcOrd="0" destOrd="0" presId="urn:microsoft.com/office/officeart/2009/layout/CircleArrowProcess"/>
    <dgm:cxn modelId="{A433FFB8-35EA-43E1-8DC4-9BDAC1085674}" type="presParOf" srcId="{AB4A787A-B281-4446-A6AA-DB4BB3F4427C}" destId="{73D2CDA2-2F33-4E48-82CA-4BE295FFBB71}" srcOrd="1" destOrd="0" presId="urn:microsoft.com/office/officeart/2009/layout/CircleArrowProcess"/>
    <dgm:cxn modelId="{14D09012-B4E3-4959-80AE-5D755F78C08F}" type="presParOf" srcId="{AB4A787A-B281-4446-A6AA-DB4BB3F4427C}" destId="{C4B34DB0-4B44-4B32-A1B9-AF7A9DCA6F82}" srcOrd="2" destOrd="0" presId="urn:microsoft.com/office/officeart/2009/layout/CircleArrowProcess"/>
    <dgm:cxn modelId="{1343B858-BEEA-47CB-A6EF-FBA3F89C285A}" type="presParOf" srcId="{C4B34DB0-4B44-4B32-A1B9-AF7A9DCA6F82}" destId="{C6753D40-C22D-4757-AE9B-3548200AE1C9}" srcOrd="0" destOrd="0" presId="urn:microsoft.com/office/officeart/2009/layout/CircleArrowProcess"/>
    <dgm:cxn modelId="{B62F50AA-071B-4C02-BBC2-6DD957122822}" type="presParOf" srcId="{AB4A787A-B281-4446-A6AA-DB4BB3F4427C}" destId="{E2CF9792-7B95-4E6F-AA28-B915455A05FC}" srcOrd="3" destOrd="0" presId="urn:microsoft.com/office/officeart/2009/layout/CircleArrowProcess"/>
    <dgm:cxn modelId="{25FC76B3-C9B3-4447-8752-67B206D5F7FF}" type="presParOf" srcId="{AB4A787A-B281-4446-A6AA-DB4BB3F4427C}" destId="{7DA5F364-95B7-4717-95EF-5D25F2E4197A}" srcOrd="4" destOrd="0" presId="urn:microsoft.com/office/officeart/2009/layout/CircleArrowProcess"/>
    <dgm:cxn modelId="{3930DCEE-AD05-4662-B1F4-21DCEE5E4619}" type="presParOf" srcId="{7DA5F364-95B7-4717-95EF-5D25F2E4197A}" destId="{188B5F90-AE5B-41AB-831E-07193AA93713}" srcOrd="0" destOrd="0" presId="urn:microsoft.com/office/officeart/2009/layout/CircleArrowProcess"/>
    <dgm:cxn modelId="{F37377FA-843B-47FE-9CD4-62542F9CD26D}" type="presParOf" srcId="{AB4A787A-B281-4446-A6AA-DB4BB3F4427C}" destId="{7CE43C0C-59B7-4A9A-80AA-557836985E49}" srcOrd="5" destOrd="0" presId="urn:microsoft.com/office/officeart/2009/layout/CircleArrowProcess"/>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9BFB1B-A7EA-4116-BA60-209D19AC715C}">
      <dsp:nvSpPr>
        <dsp:cNvPr id="0" name=""/>
        <dsp:cNvSpPr/>
      </dsp:nvSpPr>
      <dsp:spPr>
        <a:xfrm>
          <a:off x="804616" y="260703"/>
          <a:ext cx="1367116" cy="1367324"/>
        </a:xfrm>
        <a:prstGeom prst="circularArrow">
          <a:avLst>
            <a:gd name="adj1" fmla="val 10980"/>
            <a:gd name="adj2" fmla="val 1142322"/>
            <a:gd name="adj3" fmla="val 4500000"/>
            <a:gd name="adj4" fmla="val 10800000"/>
            <a:gd name="adj5" fmla="val 12500"/>
          </a:avLst>
        </a:prstGeom>
        <a:solidFill>
          <a:schemeClr val="accent6">
            <a:lumMod val="20000"/>
            <a:lumOff val="8000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3D2CDA2-2F33-4E48-82CA-4BE295FFBB71}">
      <dsp:nvSpPr>
        <dsp:cNvPr id="0" name=""/>
        <dsp:cNvSpPr/>
      </dsp:nvSpPr>
      <dsp:spPr>
        <a:xfrm>
          <a:off x="1099749" y="731844"/>
          <a:ext cx="759680" cy="37974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solidFill>
                <a:schemeClr val="accent6">
                  <a:lumMod val="50000"/>
                </a:schemeClr>
              </a:solidFill>
            </a:rPr>
            <a:t>Anxiety, Risk/Resilience and EBSNA</a:t>
          </a:r>
        </a:p>
      </dsp:txBody>
      <dsp:txXfrm>
        <a:off x="1099749" y="731844"/>
        <a:ext cx="759680" cy="379749"/>
      </dsp:txXfrm>
    </dsp:sp>
    <dsp:sp modelId="{C6753D40-C22D-4757-AE9B-3548200AE1C9}">
      <dsp:nvSpPr>
        <dsp:cNvPr id="0" name=""/>
        <dsp:cNvSpPr/>
      </dsp:nvSpPr>
      <dsp:spPr>
        <a:xfrm>
          <a:off x="410263" y="1039017"/>
          <a:ext cx="1367116" cy="1367324"/>
        </a:xfrm>
        <a:prstGeom prst="leftCircularArrow">
          <a:avLst>
            <a:gd name="adj1" fmla="val 10980"/>
            <a:gd name="adj2" fmla="val 1142322"/>
            <a:gd name="adj3" fmla="val 6300000"/>
            <a:gd name="adj4" fmla="val 18900000"/>
            <a:gd name="adj5" fmla="val 12500"/>
          </a:avLst>
        </a:prstGeom>
        <a:solidFill>
          <a:schemeClr val="accent6">
            <a:lumMod val="60000"/>
            <a:lumOff val="4000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2CF9792-7B95-4E6F-AA28-B915455A05FC}">
      <dsp:nvSpPr>
        <dsp:cNvPr id="0" name=""/>
        <dsp:cNvSpPr/>
      </dsp:nvSpPr>
      <dsp:spPr>
        <a:xfrm>
          <a:off x="726257" y="1512637"/>
          <a:ext cx="759680" cy="37974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solidFill>
                <a:schemeClr val="accent6">
                  <a:lumMod val="50000"/>
                </a:schemeClr>
              </a:solidFill>
            </a:rPr>
            <a:t>Information Gathering and Analysis</a:t>
          </a:r>
        </a:p>
      </dsp:txBody>
      <dsp:txXfrm>
        <a:off x="726257" y="1512637"/>
        <a:ext cx="759680" cy="379749"/>
      </dsp:txXfrm>
    </dsp:sp>
    <dsp:sp modelId="{188B5F90-AE5B-41AB-831E-07193AA93713}">
      <dsp:nvSpPr>
        <dsp:cNvPr id="0" name=""/>
        <dsp:cNvSpPr/>
      </dsp:nvSpPr>
      <dsp:spPr>
        <a:xfrm>
          <a:off x="887277" y="1918661"/>
          <a:ext cx="1174564" cy="1175035"/>
        </a:xfrm>
        <a:prstGeom prst="blockArc">
          <a:avLst>
            <a:gd name="adj1" fmla="val 13500000"/>
            <a:gd name="adj2" fmla="val 10800000"/>
            <a:gd name="adj3" fmla="val 12740"/>
          </a:avLst>
        </a:prstGeom>
        <a:solidFill>
          <a:schemeClr val="accent6">
            <a:lumMod val="20000"/>
            <a:lumOff val="8000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CE43C0C-59B7-4A9A-80AA-557836985E49}">
      <dsp:nvSpPr>
        <dsp:cNvPr id="0" name=""/>
        <dsp:cNvSpPr/>
      </dsp:nvSpPr>
      <dsp:spPr>
        <a:xfrm>
          <a:off x="1093949" y="2328517"/>
          <a:ext cx="759680" cy="37974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solidFill>
                <a:schemeClr val="accent6">
                  <a:lumMod val="50000"/>
                </a:schemeClr>
              </a:solidFill>
            </a:rPr>
            <a:t>Intervention and Planning</a:t>
          </a:r>
        </a:p>
      </dsp:txBody>
      <dsp:txXfrm>
        <a:off x="1093949" y="2328517"/>
        <a:ext cx="759680" cy="379749"/>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35FCC805-8B41-42F5-83FF-47162B72C852}">
  <ds:schemaRefs>
    <ds:schemaRef ds:uri="http://schemas.openxmlformats.org/officeDocument/2006/bibliography"/>
  </ds:schemaRefs>
</ds:datastoreItem>
</file>

<file path=customXml/itemProps2.xml><?xml version="1.0" encoding="utf-8"?>
<ds:datastoreItem xmlns:ds="http://schemas.openxmlformats.org/officeDocument/2006/customXml" ds:itemID="{4FF12DF3-5F6C-4F36-83DA-18DD43B76FD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Woods, Alison</dc:creator>
  <cp:keywords>[OFFICIAL]</cp:keywords>
  <dc:description/>
  <cp:lastModifiedBy>White, Alison</cp:lastModifiedBy>
  <cp:revision>3</cp:revision>
  <cp:lastPrinted>2023-06-13T10:08:00Z</cp:lastPrinted>
  <dcterms:created xsi:type="dcterms:W3CDTF">2024-10-28T09:24:00Z</dcterms:created>
  <dcterms:modified xsi:type="dcterms:W3CDTF">2025-02-17T14:09:00Z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0fbcf0b0-add2-42af-9711-03355ea721ba</vt:lpwstr>
  </property>
  <property fmtid="{D5CDD505-2E9C-101B-9397-08002B2CF9AE}" pid="3" name="bjSaver">
    <vt:lpwstr>/tjSwrs2yBqT3f7MPMDnK3/oAx89LI0j</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ies>
</file>