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90" w:rsidRDefault="00381604" w:rsidP="003816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A3089">
        <w:rPr>
          <w:rFonts w:ascii="Arial" w:hAnsi="Arial" w:cs="Arial"/>
          <w:b/>
          <w:bCs/>
          <w:color w:val="000000"/>
          <w:u w:val="single"/>
        </w:rPr>
        <w:t>Anti-Bullying Self-Evaluation</w:t>
      </w:r>
      <w:r w:rsidR="00F00890" w:rsidRPr="000A3089">
        <w:rPr>
          <w:rFonts w:ascii="Arial" w:hAnsi="Arial" w:cs="Arial"/>
          <w:b/>
          <w:bCs/>
          <w:color w:val="000000"/>
          <w:u w:val="single"/>
        </w:rPr>
        <w:t xml:space="preserve"> Tool</w:t>
      </w:r>
      <w:r w:rsidRPr="000A3089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714479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5223131" wp14:editId="5BC5E769">
            <wp:extent cx="731520" cy="124206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90" w:rsidRPr="00F00890" w:rsidRDefault="00F00890" w:rsidP="00F0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F00890" w:rsidRPr="00F00890" w:rsidRDefault="00F00890" w:rsidP="00F00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00890">
        <w:rPr>
          <w:rFonts w:ascii="Arial" w:hAnsi="Arial" w:cs="Arial"/>
          <w:bCs/>
          <w:color w:val="000000"/>
        </w:rPr>
        <w:t xml:space="preserve">Schools should use this tool to assess their current policy and develop actions and timetables for improvement of their policy to bring it into line with the </w:t>
      </w:r>
      <w:r w:rsidR="00381604">
        <w:rPr>
          <w:rFonts w:ascii="Arial" w:hAnsi="Arial" w:cs="Arial"/>
          <w:bCs/>
          <w:color w:val="000000"/>
        </w:rPr>
        <w:t>Glasg</w:t>
      </w:r>
      <w:r w:rsidRPr="00F00890">
        <w:rPr>
          <w:rFonts w:ascii="Arial" w:hAnsi="Arial" w:cs="Arial"/>
          <w:bCs/>
          <w:color w:val="000000"/>
        </w:rPr>
        <w:t xml:space="preserve">ow Education Service </w:t>
      </w:r>
      <w:r w:rsidR="00381604">
        <w:rPr>
          <w:rFonts w:ascii="Arial" w:hAnsi="Arial" w:cs="Arial"/>
          <w:bCs/>
          <w:color w:val="000000"/>
        </w:rPr>
        <w:t xml:space="preserve">Revised Anti-bullying </w:t>
      </w:r>
      <w:r w:rsidRPr="00F00890">
        <w:rPr>
          <w:rFonts w:ascii="Arial" w:hAnsi="Arial" w:cs="Arial"/>
          <w:bCs/>
          <w:color w:val="000000"/>
        </w:rPr>
        <w:t>Guidelines, and to identify needs e.g. training. An annual review of schools’</w:t>
      </w:r>
      <w:r w:rsidR="00381604">
        <w:rPr>
          <w:rFonts w:ascii="Arial" w:hAnsi="Arial" w:cs="Arial"/>
          <w:bCs/>
          <w:color w:val="000000"/>
        </w:rPr>
        <w:t xml:space="preserve"> </w:t>
      </w:r>
      <w:r w:rsidRPr="00F00890">
        <w:rPr>
          <w:rFonts w:ascii="Arial" w:hAnsi="Arial" w:cs="Arial"/>
          <w:bCs/>
          <w:color w:val="000000"/>
        </w:rPr>
        <w:t>policies i</w:t>
      </w:r>
      <w:r w:rsidR="00381604">
        <w:rPr>
          <w:rFonts w:ascii="Arial" w:hAnsi="Arial" w:cs="Arial"/>
          <w:bCs/>
          <w:color w:val="000000"/>
        </w:rPr>
        <w:t>s recommended as best practice. For further help a</w:t>
      </w:r>
      <w:r w:rsidRPr="00F00890">
        <w:rPr>
          <w:rFonts w:ascii="Arial" w:hAnsi="Arial" w:cs="Arial"/>
          <w:bCs/>
          <w:color w:val="000000"/>
        </w:rPr>
        <w:t xml:space="preserve">n excellent guide on Policy </w:t>
      </w:r>
      <w:proofErr w:type="gramStart"/>
      <w:r w:rsidRPr="00F00890">
        <w:rPr>
          <w:rFonts w:ascii="Arial" w:hAnsi="Arial" w:cs="Arial"/>
          <w:bCs/>
          <w:color w:val="000000"/>
        </w:rPr>
        <w:t>Into</w:t>
      </w:r>
      <w:proofErr w:type="gramEnd"/>
      <w:r w:rsidRPr="00F00890">
        <w:rPr>
          <w:rFonts w:ascii="Arial" w:hAnsi="Arial" w:cs="Arial"/>
          <w:bCs/>
          <w:color w:val="000000"/>
        </w:rPr>
        <w:t xml:space="preserve"> Practice is available on </w:t>
      </w:r>
      <w:proofErr w:type="spellStart"/>
      <w:r w:rsidRPr="00F00890">
        <w:rPr>
          <w:rFonts w:ascii="Arial" w:hAnsi="Arial" w:cs="Arial"/>
          <w:bCs/>
          <w:color w:val="000000"/>
        </w:rPr>
        <w:t>respect</w:t>
      </w:r>
      <w:r w:rsidRPr="00F00890">
        <w:rPr>
          <w:rFonts w:ascii="Arial" w:hAnsi="Arial" w:cs="Arial"/>
          <w:bCs/>
          <w:i/>
          <w:iCs/>
          <w:color w:val="000000"/>
        </w:rPr>
        <w:t>me’</w:t>
      </w:r>
      <w:r w:rsidRPr="00F00890">
        <w:rPr>
          <w:rFonts w:ascii="Arial" w:hAnsi="Arial" w:cs="Arial"/>
          <w:bCs/>
          <w:color w:val="000000"/>
        </w:rPr>
        <w:t>s</w:t>
      </w:r>
      <w:proofErr w:type="spellEnd"/>
      <w:r w:rsidRPr="00F00890">
        <w:rPr>
          <w:rFonts w:ascii="Arial" w:hAnsi="Arial" w:cs="Arial"/>
          <w:bCs/>
          <w:color w:val="000000"/>
        </w:rPr>
        <w:t xml:space="preserve"> website</w:t>
      </w:r>
    </w:p>
    <w:p w:rsidR="00BA2FC7" w:rsidRDefault="00714479" w:rsidP="00F00890">
      <w:pPr>
        <w:rPr>
          <w:rFonts w:ascii="Arial" w:hAnsi="Arial" w:cs="Arial"/>
          <w:color w:val="0563C2"/>
        </w:rPr>
      </w:pPr>
      <w:hyperlink r:id="rId8" w:history="1">
        <w:r w:rsidR="00F00890" w:rsidRPr="00BD2D38">
          <w:rPr>
            <w:rStyle w:val="Hyperlink"/>
            <w:rFonts w:ascii="Arial" w:hAnsi="Arial" w:cs="Arial"/>
          </w:rPr>
          <w:t>www.respect</w:t>
        </w:r>
        <w:r w:rsidR="00F00890" w:rsidRPr="00BD2D38">
          <w:rPr>
            <w:rStyle w:val="Hyperlink"/>
            <w:rFonts w:ascii="Arial" w:hAnsi="Arial" w:cs="Arial"/>
            <w:i/>
            <w:iCs/>
          </w:rPr>
          <w:t>me</w:t>
        </w:r>
        <w:r w:rsidR="00F00890" w:rsidRPr="00BD2D38">
          <w:rPr>
            <w:rStyle w:val="Hyperlink"/>
            <w:rFonts w:ascii="Arial" w:hAnsi="Arial" w:cs="Arial"/>
          </w:rPr>
          <w:t>.org.uk</w:t>
        </w:r>
      </w:hyperlink>
    </w:p>
    <w:p w:rsidR="00F00890" w:rsidRPr="000A3089" w:rsidRDefault="00381604" w:rsidP="00381604">
      <w:pPr>
        <w:spacing w:after="0" w:line="240" w:lineRule="auto"/>
        <w:rPr>
          <w:rFonts w:ascii="Arial" w:hAnsi="Arial" w:cs="Arial"/>
        </w:rPr>
      </w:pPr>
      <w:r w:rsidRPr="000A3089">
        <w:rPr>
          <w:rFonts w:ascii="Arial" w:hAnsi="Arial" w:cs="Arial"/>
        </w:rPr>
        <w:t>Name of establishment:</w:t>
      </w:r>
    </w:p>
    <w:p w:rsidR="00381604" w:rsidRPr="000A3089" w:rsidRDefault="00381604" w:rsidP="00381604">
      <w:pPr>
        <w:spacing w:after="0" w:line="240" w:lineRule="auto"/>
        <w:rPr>
          <w:rFonts w:ascii="Arial" w:hAnsi="Arial" w:cs="Arial"/>
        </w:rPr>
      </w:pPr>
      <w:r w:rsidRPr="000A3089">
        <w:rPr>
          <w:rFonts w:ascii="Arial" w:hAnsi="Arial" w:cs="Arial"/>
        </w:rPr>
        <w:t>Evaluation Date:</w:t>
      </w:r>
    </w:p>
    <w:p w:rsidR="00381604" w:rsidRPr="000A3089" w:rsidRDefault="00381604" w:rsidP="00381604">
      <w:pPr>
        <w:spacing w:after="0" w:line="240" w:lineRule="auto"/>
        <w:rPr>
          <w:rFonts w:ascii="Arial" w:hAnsi="Arial" w:cs="Arial"/>
        </w:rPr>
      </w:pPr>
      <w:r w:rsidRPr="000A3089">
        <w:rPr>
          <w:rFonts w:ascii="Arial" w:hAnsi="Arial" w:cs="Arial"/>
        </w:rPr>
        <w:t>Completed by:</w:t>
      </w:r>
    </w:p>
    <w:p w:rsidR="00381604" w:rsidRDefault="00381604" w:rsidP="00381604">
      <w:pPr>
        <w:spacing w:after="0" w:line="240" w:lineRule="auto"/>
        <w:rPr>
          <w:rFonts w:ascii="Arial" w:hAnsi="Arial" w:cs="Arial"/>
          <w:color w:val="0563C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126"/>
        <w:gridCol w:w="851"/>
        <w:gridCol w:w="2835"/>
        <w:gridCol w:w="3685"/>
      </w:tblGrid>
      <w:tr w:rsidR="00F00890" w:rsidTr="00381604">
        <w:trPr>
          <w:jc w:val="center"/>
        </w:trPr>
        <w:tc>
          <w:tcPr>
            <w:tcW w:w="4248" w:type="dxa"/>
          </w:tcPr>
          <w:p w:rsidR="00F00890" w:rsidRPr="00381604" w:rsidRDefault="00F00890" w:rsidP="00F00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04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126" w:type="dxa"/>
          </w:tcPr>
          <w:p w:rsidR="00F00890" w:rsidRPr="00381604" w:rsidRDefault="00F00890" w:rsidP="00F00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04">
              <w:rPr>
                <w:rFonts w:ascii="Arial" w:hAnsi="Arial" w:cs="Arial"/>
                <w:b/>
                <w:sz w:val="20"/>
                <w:szCs w:val="20"/>
              </w:rPr>
              <w:t>Reflection Notes</w:t>
            </w:r>
          </w:p>
        </w:tc>
        <w:tc>
          <w:tcPr>
            <w:tcW w:w="3686" w:type="dxa"/>
            <w:gridSpan w:val="2"/>
          </w:tcPr>
          <w:p w:rsidR="00F00890" w:rsidRPr="00381604" w:rsidRDefault="00714479" w:rsidP="00F00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Self-</w:t>
            </w:r>
            <w:r w:rsidR="00F00890" w:rsidRPr="00381604">
              <w:rPr>
                <w:rFonts w:ascii="Arial" w:hAnsi="Arial" w:cs="Arial"/>
                <w:b/>
                <w:sz w:val="20"/>
                <w:szCs w:val="20"/>
              </w:rPr>
              <w:t>Evaluation Rating</w:t>
            </w:r>
          </w:p>
          <w:p w:rsidR="00136DF7" w:rsidRDefault="00136DF7" w:rsidP="00136DF7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 = Area for development</w:t>
            </w:r>
          </w:p>
          <w:p w:rsidR="00136DF7" w:rsidRDefault="00136DF7" w:rsidP="00136DF7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 = Planning in place to implement</w:t>
            </w:r>
          </w:p>
          <w:p w:rsidR="00136DF7" w:rsidRDefault="00136DF7" w:rsidP="00136DF7">
            <w:pPr>
              <w:autoSpaceDE w:val="0"/>
              <w:autoSpaceDN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 =Consistent across the school</w:t>
            </w:r>
          </w:p>
          <w:p w:rsidR="00136DF7" w:rsidRDefault="00136DF7" w:rsidP="00136DF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 = Embedded, tracked and monitored across the school</w:t>
            </w:r>
          </w:p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F00890" w:rsidRPr="00381604" w:rsidRDefault="00F00890" w:rsidP="00F008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604">
              <w:rPr>
                <w:rFonts w:ascii="Arial" w:hAnsi="Arial" w:cs="Arial"/>
                <w:b/>
                <w:sz w:val="20"/>
                <w:szCs w:val="20"/>
              </w:rPr>
              <w:t>Actions required and timescale</w:t>
            </w:r>
            <w:r w:rsidR="00381604" w:rsidRPr="00381604">
              <w:rPr>
                <w:rFonts w:ascii="Arial" w:hAnsi="Arial" w:cs="Arial"/>
                <w:b/>
                <w:sz w:val="20"/>
                <w:szCs w:val="20"/>
              </w:rPr>
              <w:t xml:space="preserve"> for improvement</w:t>
            </w: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Default="00F00890" w:rsidP="00F4178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13B41">
              <w:rPr>
                <w:rFonts w:ascii="Arial" w:hAnsi="Arial" w:cs="Arial"/>
                <w:b/>
                <w:color w:val="0070C0"/>
                <w:sz w:val="20"/>
                <w:szCs w:val="20"/>
              </w:rPr>
              <w:t>Policy</w:t>
            </w:r>
          </w:p>
          <w:p w:rsidR="00381604" w:rsidRPr="00A13B41" w:rsidRDefault="00381604" w:rsidP="00F4178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F00890" w:rsidRPr="00381604" w:rsidRDefault="00F00890" w:rsidP="00381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604">
              <w:rPr>
                <w:rFonts w:ascii="Arial" w:hAnsi="Arial" w:cs="Arial"/>
                <w:sz w:val="20"/>
                <w:szCs w:val="20"/>
              </w:rPr>
              <w:t xml:space="preserve">Does the school have a current anti-bullying policy which reflects </w:t>
            </w:r>
            <w:r w:rsidR="00381604">
              <w:rPr>
                <w:rFonts w:ascii="Arial" w:hAnsi="Arial" w:cs="Arial"/>
                <w:sz w:val="20"/>
                <w:szCs w:val="20"/>
              </w:rPr>
              <w:t>Glasgow City Council</w:t>
            </w:r>
            <w:r w:rsidRPr="00381604">
              <w:rPr>
                <w:rFonts w:ascii="Arial" w:hAnsi="Arial" w:cs="Arial"/>
                <w:sz w:val="20"/>
                <w:szCs w:val="20"/>
              </w:rPr>
              <w:t xml:space="preserve"> guidance and Respect for All - A National Approach to Anti-Bullying for Scotland’s Children and Young People?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F00890" w:rsidRDefault="00F00890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890">
              <w:rPr>
                <w:rFonts w:ascii="Arial" w:hAnsi="Arial" w:cs="Arial"/>
                <w:sz w:val="20"/>
                <w:szCs w:val="20"/>
              </w:rPr>
              <w:t>How well were staff, pupils, parents and any other relevant stakeholders involved in the policy development?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F00890" w:rsidRDefault="00F00890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890">
              <w:rPr>
                <w:rFonts w:ascii="Arial" w:hAnsi="Arial" w:cs="Arial"/>
                <w:color w:val="000000"/>
                <w:sz w:val="20"/>
                <w:szCs w:val="20"/>
              </w:rPr>
              <w:t xml:space="preserve">To what extent does the whole-school community have ownership of the vision, aims </w:t>
            </w:r>
            <w:r w:rsidRPr="00F0089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and values of the policy? How well has it been communicated and implemented?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F00890" w:rsidRDefault="00F00890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890">
              <w:rPr>
                <w:rFonts w:ascii="Arial" w:hAnsi="Arial" w:cs="Arial"/>
                <w:sz w:val="20"/>
                <w:szCs w:val="20"/>
              </w:rPr>
              <w:t xml:space="preserve">If there is no current policy, what is the plan and timescale for </w:t>
            </w:r>
            <w:r>
              <w:rPr>
                <w:rFonts w:ascii="Arial" w:hAnsi="Arial" w:cs="Arial"/>
                <w:sz w:val="20"/>
                <w:szCs w:val="20"/>
              </w:rPr>
              <w:t>progressing this?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Default="00F00890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13B4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Whole-school staff training/involvement</w:t>
            </w:r>
          </w:p>
          <w:p w:rsidR="00A13B41" w:rsidRPr="00A13B41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F00890" w:rsidRPr="00F00890" w:rsidRDefault="00F00890" w:rsidP="00381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890">
              <w:rPr>
                <w:rFonts w:ascii="Arial" w:hAnsi="Arial" w:cs="Arial"/>
                <w:sz w:val="20"/>
                <w:szCs w:val="20"/>
              </w:rPr>
              <w:t>How well do all st</w:t>
            </w:r>
            <w:r>
              <w:rPr>
                <w:rFonts w:ascii="Arial" w:hAnsi="Arial" w:cs="Arial"/>
                <w:sz w:val="20"/>
                <w:szCs w:val="20"/>
              </w:rPr>
              <w:t xml:space="preserve">aff know and understand GIRFEC, </w:t>
            </w:r>
            <w:r w:rsidR="00381604">
              <w:rPr>
                <w:rFonts w:ascii="Arial" w:hAnsi="Arial" w:cs="Arial"/>
                <w:sz w:val="20"/>
                <w:szCs w:val="20"/>
              </w:rPr>
              <w:t>Nurturing Principles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the United Nations </w:t>
            </w:r>
            <w:r w:rsidRPr="00F00890">
              <w:rPr>
                <w:rFonts w:ascii="Arial" w:hAnsi="Arial" w:cs="Arial"/>
                <w:sz w:val="20"/>
                <w:szCs w:val="20"/>
              </w:rPr>
              <w:t xml:space="preserve">Convention on the </w:t>
            </w:r>
            <w:r w:rsidR="00F41782">
              <w:rPr>
                <w:rFonts w:ascii="Arial" w:hAnsi="Arial" w:cs="Arial"/>
                <w:sz w:val="20"/>
                <w:szCs w:val="20"/>
              </w:rPr>
              <w:t xml:space="preserve">Rights of the Child and Respect </w:t>
            </w:r>
            <w:r w:rsidRPr="00F00890">
              <w:rPr>
                <w:rFonts w:ascii="Arial" w:hAnsi="Arial" w:cs="Arial"/>
                <w:sz w:val="20"/>
                <w:szCs w:val="20"/>
              </w:rPr>
              <w:t>for All – A Nationa</w:t>
            </w:r>
            <w:r>
              <w:rPr>
                <w:rFonts w:ascii="Arial" w:hAnsi="Arial" w:cs="Arial"/>
                <w:sz w:val="20"/>
                <w:szCs w:val="20"/>
              </w:rPr>
              <w:t xml:space="preserve">l Approach to Anti-Bullying for </w:t>
            </w:r>
            <w:r w:rsidRPr="00F00890">
              <w:rPr>
                <w:rFonts w:ascii="Arial" w:hAnsi="Arial" w:cs="Arial"/>
                <w:sz w:val="20"/>
                <w:szCs w:val="20"/>
              </w:rPr>
              <w:t>Scotland’s Children and Young People?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F00890" w:rsidRDefault="00F00890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890">
              <w:rPr>
                <w:rFonts w:ascii="Arial" w:hAnsi="Arial" w:cs="Arial"/>
                <w:sz w:val="20"/>
                <w:szCs w:val="20"/>
              </w:rPr>
              <w:t xml:space="preserve">How well do we </w:t>
            </w:r>
            <w:r>
              <w:rPr>
                <w:rFonts w:ascii="Arial" w:hAnsi="Arial" w:cs="Arial"/>
                <w:sz w:val="20"/>
                <w:szCs w:val="20"/>
              </w:rPr>
              <w:t xml:space="preserve">ensure that all staff undertake </w:t>
            </w:r>
            <w:r w:rsidRPr="00F00890">
              <w:rPr>
                <w:rFonts w:ascii="Arial" w:hAnsi="Arial" w:cs="Arial"/>
                <w:sz w:val="20"/>
                <w:szCs w:val="20"/>
              </w:rPr>
              <w:t>regular professiona</w:t>
            </w:r>
            <w:r>
              <w:rPr>
                <w:rFonts w:ascii="Arial" w:hAnsi="Arial" w:cs="Arial"/>
                <w:sz w:val="20"/>
                <w:szCs w:val="20"/>
              </w:rPr>
              <w:t xml:space="preserve">l learning around anti-bullying </w:t>
            </w:r>
            <w:r w:rsidRPr="00F00890">
              <w:rPr>
                <w:rFonts w:ascii="Arial" w:hAnsi="Arial" w:cs="Arial"/>
                <w:sz w:val="20"/>
                <w:szCs w:val="20"/>
              </w:rPr>
              <w:t>policy and practice?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A13B41" w:rsidRPr="00A13B41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A13B4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Culture &amp; Practice</w:t>
            </w:r>
          </w:p>
          <w:p w:rsidR="00A13B41" w:rsidRPr="00A13B41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0890" w:rsidRPr="00F00890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41">
              <w:rPr>
                <w:rFonts w:ascii="Arial" w:hAnsi="Arial" w:cs="Arial"/>
                <w:sz w:val="20"/>
                <w:szCs w:val="20"/>
              </w:rPr>
              <w:t>What steps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taken to raise awareness, </w:t>
            </w:r>
            <w:r w:rsidRPr="00A13B41">
              <w:rPr>
                <w:rFonts w:ascii="Arial" w:hAnsi="Arial" w:cs="Arial"/>
                <w:sz w:val="20"/>
                <w:szCs w:val="20"/>
              </w:rPr>
              <w:t>prevent and respond to bullying?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F00890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41">
              <w:rPr>
                <w:rFonts w:ascii="Arial" w:hAnsi="Arial" w:cs="Arial"/>
                <w:sz w:val="20"/>
                <w:szCs w:val="20"/>
              </w:rPr>
              <w:t>How effectively are we creating and promoting 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B41">
              <w:rPr>
                <w:rFonts w:ascii="Arial" w:hAnsi="Arial" w:cs="Arial"/>
                <w:sz w:val="20"/>
                <w:szCs w:val="20"/>
              </w:rPr>
              <w:t>ethos of inclusio</w:t>
            </w:r>
            <w:r>
              <w:rPr>
                <w:rFonts w:ascii="Arial" w:hAnsi="Arial" w:cs="Arial"/>
                <w:sz w:val="20"/>
                <w:szCs w:val="20"/>
              </w:rPr>
              <w:t xml:space="preserve">n, diversity, participation and </w:t>
            </w:r>
            <w:r w:rsidRPr="00A13B41">
              <w:rPr>
                <w:rFonts w:ascii="Arial" w:hAnsi="Arial" w:cs="Arial"/>
                <w:sz w:val="20"/>
                <w:szCs w:val="20"/>
              </w:rPr>
              <w:t>positive relationships aimed at eliminating</w:t>
            </w:r>
            <w:r w:rsidR="003816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782">
              <w:rPr>
                <w:rFonts w:ascii="Arial" w:hAnsi="Arial" w:cs="Arial"/>
                <w:sz w:val="20"/>
                <w:szCs w:val="20"/>
              </w:rPr>
              <w:t>d</w:t>
            </w:r>
            <w:r w:rsidR="00F41782" w:rsidRPr="00A13B41">
              <w:rPr>
                <w:rFonts w:ascii="Arial" w:hAnsi="Arial" w:cs="Arial"/>
                <w:sz w:val="20"/>
                <w:szCs w:val="20"/>
              </w:rPr>
              <w:t>iscrimination</w:t>
            </w:r>
            <w:r w:rsidRPr="00A13B41">
              <w:rPr>
                <w:rFonts w:ascii="Arial" w:hAnsi="Arial" w:cs="Arial"/>
                <w:sz w:val="20"/>
                <w:szCs w:val="20"/>
              </w:rPr>
              <w:t>, educ</w:t>
            </w:r>
            <w:r>
              <w:rPr>
                <w:rFonts w:ascii="Arial" w:hAnsi="Arial" w:cs="Arial"/>
                <w:sz w:val="20"/>
                <w:szCs w:val="20"/>
              </w:rPr>
              <w:t xml:space="preserve">ating young people and building </w:t>
            </w:r>
            <w:r w:rsidRPr="00A13B41">
              <w:rPr>
                <w:rFonts w:ascii="Arial" w:hAnsi="Arial" w:cs="Arial"/>
                <w:sz w:val="20"/>
                <w:szCs w:val="20"/>
              </w:rPr>
              <w:t xml:space="preserve">empathy to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an anti-bullying culture in the </w:t>
            </w:r>
            <w:r w:rsidRPr="00A13B41">
              <w:rPr>
                <w:rFonts w:ascii="Arial" w:hAnsi="Arial" w:cs="Arial"/>
                <w:sz w:val="20"/>
                <w:szCs w:val="20"/>
              </w:rPr>
              <w:t>school?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A13B41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3B41">
              <w:rPr>
                <w:rFonts w:ascii="Arial" w:hAnsi="Arial" w:cs="Arial"/>
                <w:color w:val="000000"/>
                <w:sz w:val="20"/>
                <w:szCs w:val="20"/>
              </w:rPr>
              <w:t>How effectively are incidents related to equalities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13B41">
              <w:rPr>
                <w:rFonts w:ascii="Arial" w:hAnsi="Arial" w:cs="Arial"/>
                <w:color w:val="000000"/>
                <w:sz w:val="20"/>
                <w:szCs w:val="20"/>
              </w:rPr>
              <w:t>and/or prejudi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ce-based bullying acted upon to </w:t>
            </w:r>
            <w:r w:rsidRPr="00A13B41">
              <w:rPr>
                <w:rFonts w:ascii="Arial" w:hAnsi="Arial" w:cs="Arial"/>
                <w:color w:val="000000"/>
                <w:sz w:val="20"/>
                <w:szCs w:val="20"/>
              </w:rPr>
              <w:t>prevent future occurrences?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F00890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41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A13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consistent </w:t>
            </w:r>
            <w:r w:rsidRPr="00A13B41">
              <w:rPr>
                <w:rFonts w:ascii="Arial" w:hAnsi="Arial" w:cs="Arial"/>
                <w:sz w:val="20"/>
                <w:szCs w:val="20"/>
              </w:rPr>
              <w:t>is anti-bullying practice across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B41">
              <w:rPr>
                <w:rFonts w:ascii="Arial" w:hAnsi="Arial" w:cs="Arial"/>
                <w:sz w:val="20"/>
                <w:szCs w:val="20"/>
              </w:rPr>
              <w:t>whole school?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F00890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41">
              <w:rPr>
                <w:rFonts w:ascii="Arial" w:hAnsi="Arial" w:cs="Arial"/>
                <w:sz w:val="20"/>
                <w:szCs w:val="20"/>
              </w:rPr>
              <w:t>How well do children and young people show</w:t>
            </w:r>
            <w:r w:rsidR="003816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B41">
              <w:rPr>
                <w:rFonts w:ascii="Arial" w:hAnsi="Arial" w:cs="Arial"/>
                <w:sz w:val="20"/>
                <w:szCs w:val="20"/>
              </w:rPr>
              <w:t xml:space="preserve">consideration for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others and demonstrate positive </w:t>
            </w:r>
            <w:r w:rsidRPr="00A13B41">
              <w:rPr>
                <w:rFonts w:ascii="Arial" w:hAnsi="Arial" w:cs="Arial"/>
                <w:sz w:val="20"/>
                <w:szCs w:val="20"/>
              </w:rPr>
              <w:t>behaviour and relationships?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A13B41" w:rsidRPr="00A13B41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A13B41"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Parental/Family Engagement</w:t>
            </w:r>
          </w:p>
          <w:p w:rsidR="00A13B41" w:rsidRPr="00A13B41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0890" w:rsidRPr="00F00890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41">
              <w:rPr>
                <w:rFonts w:ascii="Arial" w:hAnsi="Arial" w:cs="Arial"/>
                <w:sz w:val="20"/>
                <w:szCs w:val="20"/>
              </w:rPr>
              <w:t>How well do we suppor</w:t>
            </w:r>
            <w:r>
              <w:rPr>
                <w:rFonts w:ascii="Arial" w:hAnsi="Arial" w:cs="Arial"/>
                <w:sz w:val="20"/>
                <w:szCs w:val="20"/>
              </w:rPr>
              <w:t xml:space="preserve">t families in developing skills </w:t>
            </w:r>
            <w:r w:rsidRPr="00A13B41">
              <w:rPr>
                <w:rFonts w:ascii="Arial" w:hAnsi="Arial" w:cs="Arial"/>
                <w:sz w:val="20"/>
                <w:szCs w:val="20"/>
              </w:rPr>
              <w:t>which lead to positive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relationships, better learning </w:t>
            </w:r>
            <w:r w:rsidRPr="00A13B41">
              <w:rPr>
                <w:rFonts w:ascii="Arial" w:hAnsi="Arial" w:cs="Arial"/>
                <w:sz w:val="20"/>
                <w:szCs w:val="20"/>
              </w:rPr>
              <w:t>and better behaviour?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A13B41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41">
              <w:rPr>
                <w:rFonts w:ascii="Arial" w:hAnsi="Arial" w:cs="Arial"/>
                <w:sz w:val="20"/>
                <w:szCs w:val="20"/>
              </w:rPr>
              <w:lastRenderedPageBreak/>
              <w:t>How well do we enable parents, carers and families to contribute to the life of the school and be involved in anti-bullying policy and practice?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A13B41" w:rsidRDefault="00A13B41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3B41">
              <w:rPr>
                <w:rFonts w:ascii="Arial" w:hAnsi="Arial" w:cs="Arial"/>
                <w:sz w:val="20"/>
                <w:szCs w:val="20"/>
              </w:rPr>
              <w:t>How do we ensure that relationships with parents, carers and families, the local community and partners are characterised by trust and respect?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41" w:rsidTr="00381604">
        <w:trPr>
          <w:jc w:val="center"/>
        </w:trPr>
        <w:tc>
          <w:tcPr>
            <w:tcW w:w="4248" w:type="dxa"/>
          </w:tcPr>
          <w:p w:rsidR="00F41782" w:rsidRPr="00F41782" w:rsidRDefault="00F41782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F4178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Recording, monitoring, continuous</w:t>
            </w:r>
          </w:p>
          <w:p w:rsidR="00F41782" w:rsidRDefault="00F41782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  <w:r w:rsidRPr="00F4178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improvement &amp; learning</w:t>
            </w:r>
          </w:p>
          <w:p w:rsidR="00F41782" w:rsidRPr="00F41782" w:rsidRDefault="00F41782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:rsidR="00A13B41" w:rsidRPr="00F00890" w:rsidRDefault="00F41782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782">
              <w:rPr>
                <w:rFonts w:ascii="Arial" w:hAnsi="Arial" w:cs="Arial"/>
                <w:sz w:val="20"/>
                <w:szCs w:val="20"/>
              </w:rPr>
              <w:t xml:space="preserve">How effective are </w:t>
            </w:r>
            <w:r>
              <w:rPr>
                <w:rFonts w:ascii="Arial" w:hAnsi="Arial" w:cs="Arial"/>
                <w:sz w:val="20"/>
                <w:szCs w:val="20"/>
              </w:rPr>
              <w:t xml:space="preserve">our recording and monitoring </w:t>
            </w:r>
            <w:r w:rsidRPr="00F41782">
              <w:rPr>
                <w:rFonts w:ascii="Arial" w:hAnsi="Arial" w:cs="Arial"/>
                <w:sz w:val="20"/>
                <w:szCs w:val="20"/>
              </w:rPr>
              <w:t>processes where there are bullying concerns?</w:t>
            </w:r>
          </w:p>
        </w:tc>
        <w:tc>
          <w:tcPr>
            <w:tcW w:w="2126" w:type="dxa"/>
          </w:tcPr>
          <w:p w:rsidR="00A13B41" w:rsidRPr="00F00890" w:rsidRDefault="00A13B41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3B41" w:rsidRPr="00381604" w:rsidRDefault="00A13B41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13B41" w:rsidRPr="00F00890" w:rsidRDefault="00A13B41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41" w:rsidTr="00381604">
        <w:trPr>
          <w:jc w:val="center"/>
        </w:trPr>
        <w:tc>
          <w:tcPr>
            <w:tcW w:w="4248" w:type="dxa"/>
          </w:tcPr>
          <w:p w:rsidR="00A13B41" w:rsidRPr="00F41782" w:rsidRDefault="00F41782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1782">
              <w:rPr>
                <w:rFonts w:ascii="Arial" w:hAnsi="Arial" w:cs="Arial"/>
                <w:color w:val="000000"/>
                <w:sz w:val="20"/>
                <w:szCs w:val="20"/>
              </w:rPr>
              <w:t>How well do we know if the steps we have taken to prevent and respond to bullying have improved outcomes for children?</w:t>
            </w:r>
          </w:p>
        </w:tc>
        <w:tc>
          <w:tcPr>
            <w:tcW w:w="2126" w:type="dxa"/>
          </w:tcPr>
          <w:p w:rsidR="00A13B41" w:rsidRPr="00F00890" w:rsidRDefault="00A13B41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3B41" w:rsidRPr="00381604" w:rsidRDefault="00A13B41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13B41" w:rsidRPr="00F00890" w:rsidRDefault="00A13B41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F00890" w:rsidRDefault="00F41782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782">
              <w:rPr>
                <w:rFonts w:ascii="Arial" w:hAnsi="Arial" w:cs="Arial"/>
                <w:sz w:val="20"/>
                <w:szCs w:val="20"/>
              </w:rPr>
              <w:t>What is our process for seeking feedback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782">
              <w:rPr>
                <w:rFonts w:ascii="Arial" w:hAnsi="Arial" w:cs="Arial"/>
                <w:sz w:val="20"/>
                <w:szCs w:val="20"/>
              </w:rPr>
              <w:t>effectiveness of an</w:t>
            </w:r>
            <w:r>
              <w:rPr>
                <w:rFonts w:ascii="Arial" w:hAnsi="Arial" w:cs="Arial"/>
                <w:sz w:val="20"/>
                <w:szCs w:val="20"/>
              </w:rPr>
              <w:t xml:space="preserve">ti-bullying work undertaken and </w:t>
            </w:r>
            <w:r w:rsidRPr="00F41782">
              <w:rPr>
                <w:rFonts w:ascii="Arial" w:hAnsi="Arial" w:cs="Arial"/>
                <w:sz w:val="20"/>
                <w:szCs w:val="20"/>
              </w:rPr>
              <w:t>ensuring th</w:t>
            </w:r>
            <w:r>
              <w:rPr>
                <w:rFonts w:ascii="Arial" w:hAnsi="Arial" w:cs="Arial"/>
                <w:sz w:val="20"/>
                <w:szCs w:val="20"/>
              </w:rPr>
              <w:t xml:space="preserve">at valuable learning from it is </w:t>
            </w:r>
            <w:r w:rsidRPr="00F41782">
              <w:rPr>
                <w:rFonts w:ascii="Arial" w:hAnsi="Arial" w:cs="Arial"/>
                <w:sz w:val="20"/>
                <w:szCs w:val="20"/>
              </w:rPr>
              <w:t>incorporated in future policy?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089" w:rsidTr="00381604">
        <w:trPr>
          <w:jc w:val="center"/>
        </w:trPr>
        <w:tc>
          <w:tcPr>
            <w:tcW w:w="4248" w:type="dxa"/>
          </w:tcPr>
          <w:p w:rsidR="000A3089" w:rsidRPr="00F41782" w:rsidRDefault="000A3089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do we use data on the SEEMIS Bullying and Equalities module to monitor improvements in relationships and reduction in Bullying incidents?</w:t>
            </w:r>
          </w:p>
        </w:tc>
        <w:tc>
          <w:tcPr>
            <w:tcW w:w="2126" w:type="dxa"/>
          </w:tcPr>
          <w:p w:rsidR="000A3089" w:rsidRPr="00F00890" w:rsidRDefault="000A3089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A3089" w:rsidRPr="00381604" w:rsidRDefault="000A3089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0A3089" w:rsidRPr="00F00890" w:rsidRDefault="000A3089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41" w:rsidTr="00381604">
        <w:trPr>
          <w:jc w:val="center"/>
        </w:trPr>
        <w:tc>
          <w:tcPr>
            <w:tcW w:w="4248" w:type="dxa"/>
          </w:tcPr>
          <w:p w:rsidR="00A13B41" w:rsidRPr="00F41782" w:rsidRDefault="00F41782" w:rsidP="00F417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782">
              <w:rPr>
                <w:rFonts w:ascii="Arial" w:hAnsi="Arial" w:cs="Arial"/>
                <w:sz w:val="20"/>
                <w:szCs w:val="20"/>
              </w:rPr>
              <w:t>Do we have examples of good practice worth sharing more widely?</w:t>
            </w:r>
          </w:p>
        </w:tc>
        <w:tc>
          <w:tcPr>
            <w:tcW w:w="2126" w:type="dxa"/>
          </w:tcPr>
          <w:p w:rsidR="00A13B41" w:rsidRPr="00F00890" w:rsidRDefault="00A13B41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3B41" w:rsidRPr="00381604" w:rsidRDefault="00A13B41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13B41" w:rsidRPr="00F00890" w:rsidRDefault="00A13B41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B41" w:rsidTr="00381604">
        <w:trPr>
          <w:jc w:val="center"/>
        </w:trPr>
        <w:tc>
          <w:tcPr>
            <w:tcW w:w="4248" w:type="dxa"/>
          </w:tcPr>
          <w:p w:rsidR="00381604" w:rsidRPr="00381604" w:rsidRDefault="00381604" w:rsidP="00381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381604"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>Response, support &amp; pupil voice</w:t>
            </w:r>
          </w:p>
          <w:p w:rsidR="00381604" w:rsidRPr="00381604" w:rsidRDefault="00381604" w:rsidP="00381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B41" w:rsidRPr="00381604" w:rsidRDefault="00381604" w:rsidP="0038160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381604">
              <w:rPr>
                <w:rFonts w:ascii="Arial" w:hAnsi="Arial" w:cs="Arial"/>
                <w:sz w:val="20"/>
                <w:szCs w:val="20"/>
              </w:rPr>
              <w:t>How clear are children and young people about how they can report bullying and what level of support they can expect?</w:t>
            </w:r>
          </w:p>
        </w:tc>
        <w:tc>
          <w:tcPr>
            <w:tcW w:w="2126" w:type="dxa"/>
          </w:tcPr>
          <w:p w:rsidR="00A13B41" w:rsidRPr="00F00890" w:rsidRDefault="00A13B41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13B41" w:rsidRPr="00381604" w:rsidRDefault="00A13B41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13B41" w:rsidRPr="00F00890" w:rsidRDefault="00A13B41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381604" w:rsidRDefault="00381604" w:rsidP="003816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604">
              <w:rPr>
                <w:rFonts w:ascii="Arial" w:hAnsi="Arial" w:cs="Arial"/>
                <w:sz w:val="20"/>
                <w:szCs w:val="20"/>
              </w:rPr>
              <w:t>How well do we support children and young people to recover their sense of agency and make decisions about their wellbeing after a bullying experience?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90" w:rsidTr="00381604">
        <w:trPr>
          <w:jc w:val="center"/>
        </w:trPr>
        <w:tc>
          <w:tcPr>
            <w:tcW w:w="4248" w:type="dxa"/>
          </w:tcPr>
          <w:p w:rsidR="00F00890" w:rsidRPr="00381604" w:rsidRDefault="00381604" w:rsidP="00F00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604">
              <w:rPr>
                <w:rFonts w:ascii="Arial" w:hAnsi="Arial" w:cs="Arial"/>
                <w:sz w:val="20"/>
                <w:szCs w:val="20"/>
              </w:rPr>
              <w:t>How well do staff know learners as individuals?</w:t>
            </w:r>
          </w:p>
        </w:tc>
        <w:tc>
          <w:tcPr>
            <w:tcW w:w="2126" w:type="dxa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00890" w:rsidRPr="00381604" w:rsidRDefault="00F00890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F00890" w:rsidRPr="00F00890" w:rsidRDefault="00F00890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604" w:rsidTr="00381604">
        <w:trPr>
          <w:jc w:val="center"/>
        </w:trPr>
        <w:tc>
          <w:tcPr>
            <w:tcW w:w="4248" w:type="dxa"/>
          </w:tcPr>
          <w:p w:rsidR="00381604" w:rsidRDefault="00381604" w:rsidP="00F00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1604" w:rsidRPr="00381604" w:rsidRDefault="00381604" w:rsidP="00F008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1604">
              <w:rPr>
                <w:rFonts w:ascii="Arial" w:hAnsi="Arial" w:cs="Arial"/>
                <w:b/>
                <w:sz w:val="20"/>
                <w:szCs w:val="20"/>
              </w:rPr>
              <w:t xml:space="preserve">Total out of possible </w:t>
            </w:r>
            <w:r w:rsidR="00676CB4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A308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381604" w:rsidRPr="00F00890" w:rsidRDefault="00381604" w:rsidP="00F008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1604" w:rsidRPr="00F00890" w:rsidRDefault="00381604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1604" w:rsidRPr="00381604" w:rsidRDefault="00381604" w:rsidP="003816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381604" w:rsidRPr="00F00890" w:rsidRDefault="00381604" w:rsidP="00F008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CB4" w:rsidRDefault="00676CB4" w:rsidP="00F00890">
      <w:pPr>
        <w:rPr>
          <w:rFonts w:ascii="Arial" w:hAnsi="Arial" w:cs="Arial"/>
          <w:sz w:val="16"/>
          <w:szCs w:val="16"/>
        </w:rPr>
      </w:pPr>
    </w:p>
    <w:p w:rsidR="00676CB4" w:rsidRPr="00676CB4" w:rsidRDefault="00676CB4" w:rsidP="00F00890">
      <w:pPr>
        <w:rPr>
          <w:rFonts w:ascii="Arial" w:hAnsi="Arial" w:cs="Arial"/>
          <w:sz w:val="16"/>
          <w:szCs w:val="16"/>
        </w:rPr>
      </w:pPr>
      <w:r w:rsidRPr="00676CB4">
        <w:rPr>
          <w:rFonts w:ascii="Arial" w:hAnsi="Arial" w:cs="Arial"/>
          <w:sz w:val="16"/>
          <w:szCs w:val="16"/>
        </w:rPr>
        <w:t>Adapted from North Lanarkshire Council’s Ant</w:t>
      </w:r>
      <w:r>
        <w:rPr>
          <w:rFonts w:ascii="Arial" w:hAnsi="Arial" w:cs="Arial"/>
          <w:sz w:val="16"/>
          <w:szCs w:val="16"/>
        </w:rPr>
        <w:t>i-Bullying P</w:t>
      </w:r>
      <w:r w:rsidRPr="00676CB4">
        <w:rPr>
          <w:rFonts w:ascii="Arial" w:hAnsi="Arial" w:cs="Arial"/>
          <w:sz w:val="16"/>
          <w:szCs w:val="16"/>
        </w:rPr>
        <w:t>olicy and Prevention Guidelines, February 2017</w:t>
      </w:r>
    </w:p>
    <w:sectPr w:rsidR="00676CB4" w:rsidRPr="00676CB4" w:rsidSect="00F00890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04" w:rsidRDefault="00381604" w:rsidP="00381604">
      <w:pPr>
        <w:spacing w:after="0" w:line="240" w:lineRule="auto"/>
      </w:pPr>
      <w:r>
        <w:separator/>
      </w:r>
    </w:p>
  </w:endnote>
  <w:endnote w:type="continuationSeparator" w:id="0">
    <w:p w:rsidR="00381604" w:rsidRDefault="00381604" w:rsidP="0038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506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604" w:rsidRDefault="003816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4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1604" w:rsidRDefault="00381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04" w:rsidRDefault="00381604" w:rsidP="00381604">
      <w:pPr>
        <w:spacing w:after="0" w:line="240" w:lineRule="auto"/>
      </w:pPr>
      <w:r>
        <w:separator/>
      </w:r>
    </w:p>
  </w:footnote>
  <w:footnote w:type="continuationSeparator" w:id="0">
    <w:p w:rsidR="00381604" w:rsidRDefault="00381604" w:rsidP="0038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04" w:rsidRDefault="00381604" w:rsidP="00381604">
    <w:pPr>
      <w:pStyle w:val="Header"/>
      <w:tabs>
        <w:tab w:val="clear" w:pos="4513"/>
        <w:tab w:val="clear" w:pos="9026"/>
        <w:tab w:val="left" w:pos="4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120D2"/>
    <w:multiLevelType w:val="hybridMultilevel"/>
    <w:tmpl w:val="1A32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90"/>
    <w:rsid w:val="000A3089"/>
    <w:rsid w:val="00136DF7"/>
    <w:rsid w:val="00381604"/>
    <w:rsid w:val="00676CB4"/>
    <w:rsid w:val="00714479"/>
    <w:rsid w:val="00A13B41"/>
    <w:rsid w:val="00BA2FC7"/>
    <w:rsid w:val="00EB2AFA"/>
    <w:rsid w:val="00F00890"/>
    <w:rsid w:val="00F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31E8F-ED36-443A-B851-AC2522A5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89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04"/>
  </w:style>
  <w:style w:type="paragraph" w:styleId="Footer">
    <w:name w:val="footer"/>
    <w:basedOn w:val="Normal"/>
    <w:link w:val="FooterChar"/>
    <w:uiPriority w:val="99"/>
    <w:unhideWhenUsed/>
    <w:rsid w:val="00381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04"/>
  </w:style>
  <w:style w:type="paragraph" w:styleId="BalloonText">
    <w:name w:val="Balloon Text"/>
    <w:basedOn w:val="Normal"/>
    <w:link w:val="BalloonTextChar"/>
    <w:uiPriority w:val="99"/>
    <w:semiHidden/>
    <w:unhideWhenUsed/>
    <w:rsid w:val="0071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ectm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Syme, Barry</dc:creator>
  <cp:keywords/>
  <dc:description/>
  <cp:lastModifiedBy>Syme, Barry</cp:lastModifiedBy>
  <cp:revision>6</cp:revision>
  <cp:lastPrinted>2019-10-24T10:47:00Z</cp:lastPrinted>
  <dcterms:created xsi:type="dcterms:W3CDTF">2019-05-20T14:10:00Z</dcterms:created>
  <dcterms:modified xsi:type="dcterms:W3CDTF">2019-10-24T10:47:00Z</dcterms:modified>
</cp:coreProperties>
</file>