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7C57" w14:textId="5F2B7B29" w:rsidR="00842AAF" w:rsidRPr="003C14D9" w:rsidRDefault="00384484" w:rsidP="00CE224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3C14D9">
        <w:rPr>
          <w:rFonts w:ascii="Arial" w:hAnsi="Arial" w:cs="Arial"/>
          <w:b/>
          <w:color w:val="00B050"/>
          <w:sz w:val="28"/>
          <w:szCs w:val="28"/>
        </w:rPr>
        <w:t>Title</w:t>
      </w:r>
      <w:r w:rsidR="00D525CD">
        <w:rPr>
          <w:rFonts w:ascii="Arial" w:hAnsi="Arial" w:cs="Arial"/>
          <w:b/>
          <w:color w:val="00B050"/>
          <w:sz w:val="28"/>
          <w:szCs w:val="28"/>
        </w:rPr>
        <w:t xml:space="preserve"> of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2740F117" w14:textId="77777777" w:rsidTr="00E41FB6">
        <w:trPr>
          <w:trHeight w:val="598"/>
        </w:trPr>
        <w:tc>
          <w:tcPr>
            <w:tcW w:w="9242" w:type="dxa"/>
          </w:tcPr>
          <w:p w14:paraId="45A00732" w14:textId="5D7DE11F" w:rsidR="00384484" w:rsidRPr="00336B1D" w:rsidRDefault="00E41FB6" w:rsidP="00CE2242">
            <w:pPr>
              <w:spacing w:after="0" w:line="360" w:lineRule="auto"/>
              <w:rPr>
                <w:noProof/>
                <w:lang w:eastAsia="en-GB"/>
              </w:rPr>
            </w:pPr>
            <w:r w:rsidRPr="00E41FB6">
              <w:rPr>
                <w:noProof/>
                <w:lang w:eastAsia="en-GB"/>
              </w:rPr>
              <w:t>Can building self efficacy mediate the poverty related attainment gap in education?</w:t>
            </w:r>
          </w:p>
        </w:tc>
      </w:tr>
    </w:tbl>
    <w:p w14:paraId="6DD3491A" w14:textId="77777777" w:rsidR="00842AAF" w:rsidRPr="00842AAF" w:rsidRDefault="00842AAF" w:rsidP="00CE22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A858BD" w14:textId="4B75BDEB" w:rsidR="00842AAF" w:rsidRPr="00E41FB6" w:rsidRDefault="00D525CD" w:rsidP="00CE224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BE463D">
        <w:rPr>
          <w:rFonts w:ascii="Arial" w:hAnsi="Arial" w:cs="Arial"/>
          <w:b/>
          <w:color w:val="00B050"/>
          <w:sz w:val="28"/>
          <w:szCs w:val="28"/>
        </w:rPr>
        <w:t>Overall aim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2EB7D38B" w14:textId="77777777" w:rsidTr="00322AD0">
        <w:trPr>
          <w:trHeight w:val="4160"/>
        </w:trPr>
        <w:tc>
          <w:tcPr>
            <w:tcW w:w="9242" w:type="dxa"/>
          </w:tcPr>
          <w:p w14:paraId="43FD6F87" w14:textId="34E24A0F" w:rsidR="009D36A2" w:rsidRDefault="009D36A2" w:rsidP="00CE2242">
            <w:pPr>
              <w:spacing w:after="0"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Aims </w:t>
            </w:r>
          </w:p>
          <w:p w14:paraId="6731EE7F" w14:textId="77777777" w:rsidR="009D36A2" w:rsidRDefault="009D36A2" w:rsidP="00CE2242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lang w:val="en-US"/>
              </w:rPr>
            </w:pPr>
            <w:r w:rsidRPr="009D36A2">
              <w:rPr>
                <w:rFonts w:cs="Arial"/>
                <w:lang w:val="en-US"/>
              </w:rPr>
              <w:t>To gain an understanding of the variables (academic self-efficacy, emotional self-efficacy and attendance) that have been identified as influencing better attainment in groups of Glasgow youn</w:t>
            </w:r>
            <w:r>
              <w:rPr>
                <w:rFonts w:cs="Arial"/>
                <w:lang w:val="en-US"/>
              </w:rPr>
              <w:t xml:space="preserve">g people who live in SIMD 1 &amp; 2. </w:t>
            </w:r>
          </w:p>
          <w:p w14:paraId="37677BC1" w14:textId="18954614" w:rsidR="009D36A2" w:rsidRPr="009D36A2" w:rsidRDefault="0000538C" w:rsidP="00CE2242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lang w:val="en-US"/>
              </w:rPr>
            </w:pPr>
            <w:r w:rsidRPr="00405A79">
              <w:rPr>
                <w:rFonts w:cs="Arial"/>
                <w:lang w:val="en-US"/>
              </w:rPr>
              <w:t>To consider if these variables are</w:t>
            </w:r>
            <w:r w:rsidR="009D36A2" w:rsidRPr="00405A79">
              <w:rPr>
                <w:rFonts w:cs="Arial"/>
                <w:lang w:val="en-US"/>
              </w:rPr>
              <w:t xml:space="preserve"> present </w:t>
            </w:r>
            <w:r w:rsidR="009D36A2">
              <w:rPr>
                <w:rFonts w:cs="Arial"/>
                <w:lang w:val="en-US"/>
              </w:rPr>
              <w:t>in pupils attending schools where achievement is higher than predicted levels</w:t>
            </w:r>
            <w:r>
              <w:rPr>
                <w:rFonts w:cs="Arial"/>
                <w:lang w:val="en-US"/>
              </w:rPr>
              <w:t>.</w:t>
            </w:r>
          </w:p>
          <w:p w14:paraId="1803709C" w14:textId="77777777" w:rsidR="009D36A2" w:rsidRPr="009D36A2" w:rsidRDefault="009D36A2" w:rsidP="00CE2242">
            <w:pPr>
              <w:spacing w:after="0" w:line="360" w:lineRule="auto"/>
              <w:rPr>
                <w:rFonts w:cs="Arial"/>
                <w:lang w:val="en-US"/>
              </w:rPr>
            </w:pPr>
            <w:r w:rsidRPr="009D36A2">
              <w:rPr>
                <w:rFonts w:cs="Arial"/>
                <w:lang w:val="en-US"/>
              </w:rPr>
              <w:t>Objectives</w:t>
            </w:r>
          </w:p>
          <w:p w14:paraId="47FB86CB" w14:textId="144A6325" w:rsidR="009D36A2" w:rsidRPr="00405A79" w:rsidRDefault="009D36A2" w:rsidP="00CE2242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lang w:val="en-US"/>
              </w:rPr>
            </w:pPr>
            <w:r w:rsidRPr="009D36A2">
              <w:rPr>
                <w:rFonts w:cs="Arial"/>
                <w:lang w:val="en-US"/>
              </w:rPr>
              <w:t xml:space="preserve">To </w:t>
            </w:r>
            <w:r w:rsidRPr="00405A79">
              <w:rPr>
                <w:rFonts w:cs="Arial"/>
                <w:lang w:val="en-US"/>
              </w:rPr>
              <w:t xml:space="preserve">explore staff and </w:t>
            </w:r>
            <w:r w:rsidR="0000538C" w:rsidRPr="00405A79">
              <w:rPr>
                <w:rFonts w:cs="Arial"/>
                <w:lang w:val="en-US"/>
              </w:rPr>
              <w:t>pupils’</w:t>
            </w:r>
            <w:r w:rsidRPr="00405A79">
              <w:rPr>
                <w:rFonts w:cs="Arial"/>
                <w:lang w:val="en-US"/>
              </w:rPr>
              <w:t xml:space="preserve"> views on their school experiences.</w:t>
            </w:r>
          </w:p>
          <w:p w14:paraId="176EF89C" w14:textId="16DA39CC" w:rsidR="009D36A2" w:rsidRPr="00405A79" w:rsidRDefault="009D36A2" w:rsidP="00CE2242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lang w:val="en-US"/>
              </w:rPr>
            </w:pPr>
            <w:r w:rsidRPr="00405A79">
              <w:rPr>
                <w:rFonts w:cs="Arial"/>
                <w:lang w:val="en-US"/>
              </w:rPr>
              <w:t xml:space="preserve">To explore staff and </w:t>
            </w:r>
            <w:r w:rsidR="0000538C" w:rsidRPr="00405A79">
              <w:rPr>
                <w:rFonts w:cs="Arial"/>
                <w:lang w:val="en-US"/>
              </w:rPr>
              <w:t>pupils’</w:t>
            </w:r>
            <w:r w:rsidRPr="00405A79">
              <w:rPr>
                <w:rFonts w:cs="Arial"/>
                <w:lang w:val="en-US"/>
              </w:rPr>
              <w:t xml:space="preserve"> views on what they feel helps them achieve success at school. </w:t>
            </w:r>
          </w:p>
          <w:p w14:paraId="13A4A76E" w14:textId="5311CE9D" w:rsidR="00384484" w:rsidRPr="009D36A2" w:rsidRDefault="009D36A2" w:rsidP="00CE2242">
            <w:pPr>
              <w:numPr>
                <w:ilvl w:val="0"/>
                <w:numId w:val="6"/>
              </w:numPr>
              <w:spacing w:after="0" w:line="360" w:lineRule="auto"/>
              <w:rPr>
                <w:rFonts w:cs="Arial"/>
                <w:lang w:val="en-US"/>
              </w:rPr>
            </w:pPr>
            <w:r w:rsidRPr="00405A79">
              <w:rPr>
                <w:rFonts w:cs="Arial"/>
                <w:lang w:val="en-US"/>
              </w:rPr>
              <w:t>To consider possible interventions that promote atta</w:t>
            </w:r>
            <w:r w:rsidR="005B31FA">
              <w:rPr>
                <w:rFonts w:cs="Arial"/>
                <w:lang w:val="en-US"/>
              </w:rPr>
              <w:t>inment in more vulnerable groups</w:t>
            </w:r>
            <w:r w:rsidRPr="009D36A2">
              <w:rPr>
                <w:rFonts w:cs="Arial"/>
                <w:lang w:val="en-US"/>
              </w:rPr>
              <w:t>.</w:t>
            </w:r>
          </w:p>
        </w:tc>
      </w:tr>
    </w:tbl>
    <w:p w14:paraId="48B5B0DF" w14:textId="77777777" w:rsidR="00842AAF" w:rsidRPr="00842AAF" w:rsidRDefault="00842AAF" w:rsidP="00CE224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4F2D21" w14:textId="5486D08A" w:rsidR="00842AAF" w:rsidRPr="00BE463D" w:rsidRDefault="00D525CD" w:rsidP="00CE224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BE463D">
        <w:rPr>
          <w:rFonts w:ascii="Arial" w:hAnsi="Arial" w:cs="Arial"/>
          <w:b/>
          <w:color w:val="00B050"/>
          <w:sz w:val="28"/>
          <w:szCs w:val="28"/>
        </w:rPr>
        <w:t>Background information</w:t>
      </w:r>
      <w:r w:rsidR="00E41FB6" w:rsidRPr="00BE463D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1E002ED9" w14:textId="77777777" w:rsidTr="00384484">
        <w:tc>
          <w:tcPr>
            <w:tcW w:w="9242" w:type="dxa"/>
          </w:tcPr>
          <w:p w14:paraId="78C5CAD2" w14:textId="6C288528" w:rsidR="002451AC" w:rsidRPr="008D6A0E" w:rsidRDefault="002451AC" w:rsidP="00CE2242">
            <w:pPr>
              <w:spacing w:after="0" w:line="360" w:lineRule="auto"/>
              <w:rPr>
                <w:color w:val="FF0000"/>
              </w:rPr>
            </w:pPr>
            <w:r w:rsidRPr="002451AC">
              <w:t>When comparing the academic performance of primary and secondary school children between the most affluent areas and most deprived areas, the Scottish Survey of Literacy and Nume</w:t>
            </w:r>
            <w:r w:rsidR="008D6A0E">
              <w:t>racy (Scottish Government, 2013</w:t>
            </w:r>
            <w:r w:rsidRPr="002451AC">
              <w:t>) suggested an attainment gap of:</w:t>
            </w:r>
          </w:p>
          <w:p w14:paraId="5702D399" w14:textId="77777777" w:rsidR="002451AC" w:rsidRPr="002451AC" w:rsidRDefault="002451AC" w:rsidP="00CE2242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2451AC">
              <w:t>14-17% for reading</w:t>
            </w:r>
          </w:p>
          <w:p w14:paraId="227C716C" w14:textId="77777777" w:rsidR="002451AC" w:rsidRPr="002451AC" w:rsidRDefault="002451AC" w:rsidP="00CE2242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2451AC">
              <w:t>21% for writing</w:t>
            </w:r>
          </w:p>
          <w:p w14:paraId="1B17F1BC" w14:textId="77777777" w:rsidR="002451AC" w:rsidRPr="002451AC" w:rsidRDefault="002451AC" w:rsidP="00CE2242">
            <w:pPr>
              <w:pStyle w:val="ListParagraph"/>
              <w:numPr>
                <w:ilvl w:val="0"/>
                <w:numId w:val="5"/>
              </w:numPr>
              <w:spacing w:after="0" w:line="360" w:lineRule="auto"/>
            </w:pPr>
            <w:r w:rsidRPr="002451AC">
              <w:t>12-28% for numeracy</w:t>
            </w:r>
          </w:p>
          <w:p w14:paraId="4FD04BD2" w14:textId="5B64F1FA" w:rsidR="002451AC" w:rsidRPr="00DD2144" w:rsidRDefault="002451AC" w:rsidP="00CE2242">
            <w:pPr>
              <w:spacing w:after="0" w:line="360" w:lineRule="auto"/>
            </w:pPr>
            <w:r w:rsidRPr="002451AC">
              <w:t>This is consistent with the substantive educational research literature that indicates that the most important variable influencing educational achievement is social class</w:t>
            </w:r>
            <w:r w:rsidR="0034453A" w:rsidRPr="00DD2144">
              <w:t xml:space="preserve"> (</w:t>
            </w:r>
            <w:r w:rsidR="00DD2144">
              <w:t>Sosu and Ellis, 2014)</w:t>
            </w:r>
            <w:r w:rsidR="009001F7">
              <w:t>.</w:t>
            </w:r>
          </w:p>
          <w:p w14:paraId="38C0DE9D" w14:textId="0F52FB4E" w:rsidR="002451AC" w:rsidRDefault="002451AC" w:rsidP="00CE2242">
            <w:pPr>
              <w:spacing w:after="0" w:line="360" w:lineRule="auto"/>
            </w:pPr>
            <w:r w:rsidRPr="002451AC">
              <w:lastRenderedPageBreak/>
              <w:t>However, McKay, Dempster and Perry (2017) suggest that the patterns of lower academic attai</w:t>
            </w:r>
            <w:r w:rsidR="005B31FA">
              <w:t>nment linked to areas of lower s</w:t>
            </w:r>
            <w:r w:rsidRPr="002451AC">
              <w:t xml:space="preserve">ocio-economic status can be overcome if individuals attend school more frequently and </w:t>
            </w:r>
            <w:r w:rsidRPr="00405A79">
              <w:t>have</w:t>
            </w:r>
            <w:r w:rsidR="0034453A" w:rsidRPr="00405A79">
              <w:t xml:space="preserve"> a</w:t>
            </w:r>
            <w:r w:rsidRPr="00405A79">
              <w:t xml:space="preserve"> higher </w:t>
            </w:r>
            <w:r w:rsidRPr="002451AC">
              <w:t>level of belief in their own academic ability.</w:t>
            </w:r>
            <w:r w:rsidR="00405A79">
              <w:t xml:space="preserve"> </w:t>
            </w:r>
            <w:r>
              <w:t xml:space="preserve">This </w:t>
            </w:r>
            <w:r w:rsidR="00405A79">
              <w:t xml:space="preserve">assertion </w:t>
            </w:r>
            <w:r>
              <w:t>is based on data obtained from 546 pupils, across five high schools in a local authority in the West of Scotland. The data was collected at four time points, when the pupils were in S1, S2, S3 and in S4.</w:t>
            </w:r>
          </w:p>
          <w:p w14:paraId="5A28ED06" w14:textId="77777777" w:rsidR="002451AC" w:rsidRPr="00405A79" w:rsidRDefault="002451AC" w:rsidP="00CE2242">
            <w:pPr>
              <w:spacing w:after="0" w:line="360" w:lineRule="auto"/>
              <w:rPr>
                <w:rFonts w:asciiTheme="minorHAnsi" w:hAnsiTheme="minorHAnsi"/>
              </w:rPr>
            </w:pPr>
          </w:p>
          <w:p w14:paraId="6F19DDA9" w14:textId="7D7FA504" w:rsidR="002451AC" w:rsidRPr="00405A79" w:rsidRDefault="002451AC" w:rsidP="00CE224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="MinionPro-Regular"/>
                <w:color w:val="4D4D4D"/>
                <w:lang w:eastAsia="en-GB"/>
              </w:rPr>
            </w:pPr>
            <w:r w:rsidRPr="00405A79">
              <w:rPr>
                <w:rFonts w:asciiTheme="minorHAnsi" w:hAnsiTheme="minorHAnsi"/>
              </w:rPr>
              <w:t xml:space="preserve">The data obtained for each pupil included Individual-level Scottish Index of Multiple Deprivation (SIMD); tariff scores; attendance data; and individual responses to the Self-efficacy Questionnaire for </w:t>
            </w:r>
            <w:r w:rsidR="00405A79" w:rsidRPr="00405A79">
              <w:rPr>
                <w:rFonts w:asciiTheme="minorHAnsi" w:hAnsiTheme="minorHAnsi"/>
              </w:rPr>
              <w:t>Children (</w:t>
            </w:r>
            <w:r w:rsidR="00405A79" w:rsidRPr="009001F7">
              <w:rPr>
                <w:rFonts w:asciiTheme="minorHAnsi" w:eastAsia="Times New Roman" w:hAnsiTheme="minorHAnsi" w:cs="MinionPro-Regular"/>
                <w:lang w:eastAsia="en-GB"/>
              </w:rPr>
              <w:t>SEQ-C; Muris, 2001)</w:t>
            </w:r>
            <w:r w:rsidR="009001F7" w:rsidRPr="009001F7">
              <w:rPr>
                <w:rFonts w:asciiTheme="minorHAnsi" w:eastAsia="Times New Roman" w:hAnsiTheme="minorHAnsi" w:cs="MinionPro-Regular"/>
                <w:lang w:eastAsia="en-GB"/>
              </w:rPr>
              <w:t>.</w:t>
            </w:r>
          </w:p>
          <w:p w14:paraId="4E599E78" w14:textId="77777777" w:rsidR="002451AC" w:rsidRDefault="002451AC" w:rsidP="00CE2242">
            <w:pPr>
              <w:spacing w:after="0" w:line="360" w:lineRule="auto"/>
            </w:pPr>
          </w:p>
          <w:p w14:paraId="055B6361" w14:textId="6CDBC756" w:rsidR="00A44A76" w:rsidRPr="000B3E32" w:rsidRDefault="002451AC" w:rsidP="00CE2242">
            <w:pPr>
              <w:spacing w:after="0" w:line="360" w:lineRule="auto"/>
              <w:rPr>
                <w:rFonts w:cs="Arial"/>
              </w:rPr>
            </w:pPr>
            <w:r>
              <w:t xml:space="preserve">Self-efficacy is defined as “people’s judgements of their capabilities to organise and execute courses </w:t>
            </w:r>
            <w:r w:rsidRPr="001F5EDE">
              <w:t xml:space="preserve">of action required to attain designated types of performance” (Bandura, 1986, p391). </w:t>
            </w:r>
            <w:r w:rsidRPr="001F5EDE">
              <w:rPr>
                <w:rFonts w:cs="Arial"/>
              </w:rPr>
              <w:t>Bandura further differentiated between ‘efficacy expectations’ and ‘efficacy outcomes’. With re</w:t>
            </w:r>
            <w:r>
              <w:rPr>
                <w:rFonts w:cs="Arial"/>
              </w:rPr>
              <w:t>gard to academic performance</w:t>
            </w:r>
            <w:r w:rsidRPr="001F5EDE">
              <w:rPr>
                <w:rFonts w:cs="Arial"/>
              </w:rPr>
              <w:t xml:space="preserve">, ‘expectations’ </w:t>
            </w:r>
            <w:r>
              <w:rPr>
                <w:rFonts w:cs="Arial"/>
              </w:rPr>
              <w:t>may concern pupil</w:t>
            </w:r>
            <w:r w:rsidRPr="001F5EDE">
              <w:rPr>
                <w:rFonts w:cs="Arial"/>
              </w:rPr>
              <w:t xml:space="preserve"> beliefs that th</w:t>
            </w:r>
            <w:r>
              <w:rPr>
                <w:rFonts w:cs="Arial"/>
              </w:rPr>
              <w:t xml:space="preserve">ey can meet the demands of effective school engagement; </w:t>
            </w:r>
            <w:r w:rsidRPr="001F5EDE">
              <w:rPr>
                <w:rFonts w:cs="Arial"/>
              </w:rPr>
              <w:t xml:space="preserve">whereas ‘outcomes’ relate to </w:t>
            </w:r>
            <w:r>
              <w:rPr>
                <w:rFonts w:cs="Arial"/>
              </w:rPr>
              <w:t xml:space="preserve">each pupils </w:t>
            </w:r>
            <w:r w:rsidRPr="001F5EDE">
              <w:rPr>
                <w:rFonts w:cs="Arial"/>
              </w:rPr>
              <w:t xml:space="preserve">belief that </w:t>
            </w:r>
            <w:r>
              <w:rPr>
                <w:rFonts w:cs="Arial"/>
              </w:rPr>
              <w:t xml:space="preserve">effective </w:t>
            </w:r>
            <w:r w:rsidRPr="001F5EDE">
              <w:rPr>
                <w:rFonts w:cs="Arial"/>
              </w:rPr>
              <w:t xml:space="preserve">engagement in </w:t>
            </w:r>
            <w:r>
              <w:rPr>
                <w:rFonts w:cs="Arial"/>
              </w:rPr>
              <w:t xml:space="preserve">school </w:t>
            </w:r>
            <w:r w:rsidRPr="001F5EDE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lead to</w:t>
            </w:r>
            <w:r w:rsidRPr="001F5EDE">
              <w:rPr>
                <w:rFonts w:cs="Arial"/>
              </w:rPr>
              <w:t xml:space="preserve"> desired </w:t>
            </w:r>
            <w:r>
              <w:rPr>
                <w:rFonts w:cs="Arial"/>
              </w:rPr>
              <w:t>academic attainment.</w:t>
            </w:r>
          </w:p>
        </w:tc>
      </w:tr>
    </w:tbl>
    <w:p w14:paraId="520C8590" w14:textId="77777777" w:rsidR="00384177" w:rsidRDefault="00384177" w:rsidP="00CE2242">
      <w:pPr>
        <w:spacing w:after="0" w:line="360" w:lineRule="auto"/>
        <w:rPr>
          <w:rFonts w:ascii="Arial" w:hAnsi="Arial" w:cs="Arial"/>
          <w:b/>
          <w:color w:val="009BAA"/>
          <w:sz w:val="28"/>
          <w:szCs w:val="28"/>
        </w:rPr>
      </w:pPr>
    </w:p>
    <w:p w14:paraId="0811ED90" w14:textId="52FB2F46" w:rsidR="00842AAF" w:rsidRPr="00E41FB6" w:rsidRDefault="00E41FB6" w:rsidP="00CE224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What did we do</w:t>
      </w:r>
      <w:r w:rsidR="00D525CD">
        <w:rPr>
          <w:rFonts w:ascii="Arial" w:hAnsi="Arial" w:cs="Arial"/>
          <w:b/>
          <w:color w:val="00B050"/>
          <w:sz w:val="28"/>
          <w:szCs w:val="28"/>
        </w:rPr>
        <w:t xml:space="preserve"> / methodology</w:t>
      </w:r>
      <w:r>
        <w:rPr>
          <w:rFonts w:ascii="Arial" w:hAnsi="Arial" w:cs="Arial"/>
          <w:b/>
          <w:color w:val="00B050"/>
          <w:sz w:val="28"/>
          <w:szCs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7ED6791D" w14:textId="77777777" w:rsidTr="003B5661">
        <w:trPr>
          <w:trHeight w:val="2190"/>
        </w:trPr>
        <w:tc>
          <w:tcPr>
            <w:tcW w:w="9242" w:type="dxa"/>
          </w:tcPr>
          <w:p w14:paraId="318D7638" w14:textId="2A0DB92A" w:rsidR="0025321D" w:rsidRDefault="00E26323" w:rsidP="00CE2242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 order to identify </w:t>
            </w:r>
            <w:r w:rsidR="00765564">
              <w:rPr>
                <w:rFonts w:cs="Calibri"/>
              </w:rPr>
              <w:t>the sample group for the research</w:t>
            </w:r>
            <w:r w:rsidR="00384177">
              <w:rPr>
                <w:rFonts w:cs="Calibri"/>
              </w:rPr>
              <w:t>,</w:t>
            </w:r>
            <w:r w:rsidR="0076556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published exam results deriving from all </w:t>
            </w:r>
            <w:r w:rsidR="0025321D" w:rsidRPr="00B35EAB">
              <w:rPr>
                <w:rFonts w:cs="Calibri"/>
              </w:rPr>
              <w:t>Glasgow school</w:t>
            </w:r>
            <w:r>
              <w:rPr>
                <w:rFonts w:cs="Calibri"/>
              </w:rPr>
              <w:t>s</w:t>
            </w:r>
            <w:r w:rsidR="0025321D" w:rsidRPr="00B35EAB">
              <w:rPr>
                <w:rFonts w:cs="Calibri"/>
              </w:rPr>
              <w:t xml:space="preserve"> over the past four years</w:t>
            </w:r>
            <w:r>
              <w:rPr>
                <w:rFonts w:cs="Calibri"/>
              </w:rPr>
              <w:t xml:space="preserve"> were analysed. From this analysis </w:t>
            </w:r>
            <w:r w:rsidR="0025321D" w:rsidRPr="00B35EAB">
              <w:rPr>
                <w:rFonts w:cs="Calibri"/>
              </w:rPr>
              <w:t>six secondary schools were identified as consistently outperforming both their virtual comparator school</w:t>
            </w:r>
            <w:r w:rsidR="0025321D">
              <w:rPr>
                <w:rFonts w:cs="Calibri"/>
              </w:rPr>
              <w:t>s</w:t>
            </w:r>
            <w:r w:rsidR="0025321D" w:rsidRPr="00B35EAB">
              <w:rPr>
                <w:rFonts w:cs="Calibri"/>
              </w:rPr>
              <w:t xml:space="preserve"> and their expected benchmarked levels of </w:t>
            </w:r>
            <w:r>
              <w:rPr>
                <w:rFonts w:cs="Calibri"/>
              </w:rPr>
              <w:t xml:space="preserve">exam </w:t>
            </w:r>
            <w:r w:rsidR="0025321D" w:rsidRPr="00B35EAB">
              <w:rPr>
                <w:rFonts w:cs="Calibri"/>
              </w:rPr>
              <w:t xml:space="preserve">results. Of these six establishments, two </w:t>
            </w:r>
            <w:r>
              <w:rPr>
                <w:rFonts w:cs="Calibri"/>
              </w:rPr>
              <w:t xml:space="preserve">were </w:t>
            </w:r>
            <w:r w:rsidRPr="00B35EAB">
              <w:rPr>
                <w:rFonts w:cs="Calibri"/>
              </w:rPr>
              <w:t>omitted</w:t>
            </w:r>
            <w:r w:rsidR="0025321D" w:rsidRPr="00B35EAB">
              <w:rPr>
                <w:rFonts w:cs="Calibri"/>
              </w:rPr>
              <w:t xml:space="preserve"> from the study due to unique school characteristics and four school</w:t>
            </w:r>
            <w:r w:rsidR="00384177">
              <w:rPr>
                <w:rFonts w:cs="Calibri"/>
              </w:rPr>
              <w:t>s</w:t>
            </w:r>
            <w:r w:rsidR="0025321D" w:rsidRPr="00B35EAB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>ere</w:t>
            </w:r>
            <w:r w:rsidR="0025321D" w:rsidRPr="00B35EAB">
              <w:rPr>
                <w:rFonts w:cs="Calibri"/>
              </w:rPr>
              <w:t xml:space="preserve"> targeted. </w:t>
            </w:r>
          </w:p>
          <w:p w14:paraId="4FD97E41" w14:textId="77777777" w:rsidR="009001F7" w:rsidRDefault="009001F7" w:rsidP="00CE2242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0C18E982" w14:textId="43FCCFB0" w:rsidR="00501478" w:rsidRPr="00E26323" w:rsidRDefault="009001F7" w:rsidP="00CE2242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25321D" w:rsidRPr="00B35EAB">
              <w:rPr>
                <w:rFonts w:cs="Calibri"/>
              </w:rPr>
              <w:t>upils attending these high performing schools in Glasgow</w:t>
            </w:r>
            <w:r w:rsidR="00E2632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were targeted with a view </w:t>
            </w:r>
            <w:r w:rsidR="00E26323">
              <w:rPr>
                <w:rFonts w:cs="Calibri"/>
              </w:rPr>
              <w:t xml:space="preserve">to identify </w:t>
            </w:r>
            <w:r w:rsidR="00501478">
              <w:rPr>
                <w:rFonts w:cs="Calibri"/>
              </w:rPr>
              <w:t>how these pupils experience school and to explore the</w:t>
            </w:r>
            <w:r w:rsidR="003B5661">
              <w:rPr>
                <w:rFonts w:cs="Calibri"/>
              </w:rPr>
              <w:t>ir</w:t>
            </w:r>
            <w:r w:rsidR="00501478">
              <w:rPr>
                <w:rFonts w:cs="Calibri"/>
              </w:rPr>
              <w:t xml:space="preserve"> </w:t>
            </w:r>
            <w:r w:rsidR="00501478" w:rsidRPr="008D6A0E">
              <w:rPr>
                <w:rFonts w:cs="Calibri"/>
              </w:rPr>
              <w:t xml:space="preserve">perceptions </w:t>
            </w:r>
            <w:r w:rsidR="003B5661">
              <w:rPr>
                <w:rFonts w:cs="Calibri"/>
              </w:rPr>
              <w:t>of how</w:t>
            </w:r>
            <w:r w:rsidR="00501478">
              <w:rPr>
                <w:rFonts w:cs="Calibri"/>
              </w:rPr>
              <w:t xml:space="preserve"> school fosters achievement among pupils. </w:t>
            </w:r>
          </w:p>
          <w:p w14:paraId="50B8EB69" w14:textId="77777777" w:rsidR="0025321D" w:rsidRDefault="0025321D" w:rsidP="00CE2242">
            <w:pPr>
              <w:spacing w:after="0" w:line="360" w:lineRule="auto"/>
              <w:rPr>
                <w:rFonts w:cs="Arial"/>
                <w:iCs/>
                <w:color w:val="000000"/>
              </w:rPr>
            </w:pPr>
          </w:p>
          <w:p w14:paraId="2E9BAC17" w14:textId="443748B0" w:rsidR="00A44A76" w:rsidRDefault="00A20D78" w:rsidP="00CE2242">
            <w:pPr>
              <w:spacing w:after="0" w:line="360" w:lineRule="auto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Focus group methodology was used in the present research.</w:t>
            </w:r>
            <w:r w:rsidRPr="00074F78">
              <w:rPr>
                <w:rFonts w:cs="Arial"/>
                <w:iCs/>
                <w:color w:val="000000"/>
              </w:rPr>
              <w:t xml:space="preserve"> </w:t>
            </w:r>
            <w:r w:rsidR="00765564">
              <w:rPr>
                <w:rFonts w:cs="Arial"/>
                <w:iCs/>
                <w:color w:val="000000"/>
              </w:rPr>
              <w:t xml:space="preserve">Although it was important that the focus of the research was clear, it was </w:t>
            </w:r>
            <w:r w:rsidR="008D6A0E" w:rsidRPr="008D6A0E">
              <w:rPr>
                <w:rFonts w:cs="Arial"/>
                <w:iCs/>
              </w:rPr>
              <w:t>equally important that group members felt able to talk openly and without the constraint of having to respond to set questions</w:t>
            </w:r>
            <w:r w:rsidR="008D6A0E">
              <w:rPr>
                <w:rFonts w:cs="Arial"/>
                <w:iCs/>
              </w:rPr>
              <w:t>.</w:t>
            </w:r>
            <w:r w:rsidR="008D6A0E" w:rsidRPr="008D6A0E">
              <w:rPr>
                <w:rFonts w:cs="Arial"/>
                <w:iCs/>
              </w:rPr>
              <w:t xml:space="preserve"> </w:t>
            </w:r>
            <w:r w:rsidR="003B5661">
              <w:rPr>
                <w:rFonts w:cs="Arial"/>
                <w:iCs/>
                <w:color w:val="000000"/>
              </w:rPr>
              <w:t>A</w:t>
            </w:r>
            <w:r>
              <w:rPr>
                <w:rFonts w:cs="Arial"/>
                <w:iCs/>
                <w:color w:val="000000"/>
              </w:rPr>
              <w:t xml:space="preserve"> set of prompt questions were p</w:t>
            </w:r>
            <w:r w:rsidRPr="00074F78">
              <w:rPr>
                <w:rFonts w:cs="Arial"/>
                <w:iCs/>
                <w:color w:val="000000"/>
              </w:rPr>
              <w:t xml:space="preserve">rovided but </w:t>
            </w:r>
            <w:r>
              <w:rPr>
                <w:rFonts w:cs="Arial"/>
                <w:iCs/>
                <w:color w:val="000000"/>
              </w:rPr>
              <w:t xml:space="preserve">essentially the </w:t>
            </w:r>
            <w:r w:rsidRPr="00074F78">
              <w:rPr>
                <w:rFonts w:cs="Arial"/>
                <w:iCs/>
                <w:color w:val="000000"/>
              </w:rPr>
              <w:t xml:space="preserve">group process </w:t>
            </w:r>
            <w:r>
              <w:rPr>
                <w:rFonts w:cs="Arial"/>
                <w:iCs/>
                <w:color w:val="000000"/>
              </w:rPr>
              <w:t>guided</w:t>
            </w:r>
            <w:r w:rsidRPr="00074F78">
              <w:rPr>
                <w:rFonts w:cs="Arial"/>
                <w:iCs/>
                <w:color w:val="000000"/>
              </w:rPr>
              <w:t xml:space="preserve"> the discussion.</w:t>
            </w:r>
          </w:p>
          <w:p w14:paraId="7C0C3067" w14:textId="77777777" w:rsidR="00A20D78" w:rsidRPr="00A20D78" w:rsidRDefault="00A20D78" w:rsidP="00CE2242">
            <w:pPr>
              <w:spacing w:after="0" w:line="360" w:lineRule="auto"/>
              <w:rPr>
                <w:rFonts w:cs="Arial"/>
                <w:color w:val="000000"/>
              </w:rPr>
            </w:pPr>
          </w:p>
          <w:p w14:paraId="22DE643E" w14:textId="470EE4BC" w:rsidR="00A20D78" w:rsidRDefault="00A20D78" w:rsidP="00CE2242">
            <w:pPr>
              <w:spacing w:after="0" w:line="360" w:lineRule="auto"/>
            </w:pPr>
            <w:r>
              <w:t xml:space="preserve">In total </w:t>
            </w:r>
            <w:r w:rsidR="009001F7">
              <w:t>six</w:t>
            </w:r>
            <w:r>
              <w:t xml:space="preserve"> focus groups were carried out with senior pupils across thre</w:t>
            </w:r>
            <w:r w:rsidR="005B31FA">
              <w:t>e schools (total n = 37 pupils).</w:t>
            </w:r>
          </w:p>
          <w:p w14:paraId="3656B21F" w14:textId="77777777" w:rsidR="0025321D" w:rsidRDefault="0025321D" w:rsidP="00CE2242">
            <w:pPr>
              <w:spacing w:after="0" w:line="360" w:lineRule="auto"/>
              <w:rPr>
                <w:rFonts w:cs="Arial"/>
              </w:rPr>
            </w:pPr>
          </w:p>
          <w:p w14:paraId="7209D8FE" w14:textId="2B75D4DA" w:rsidR="0025321D" w:rsidRPr="00501478" w:rsidRDefault="0025321D" w:rsidP="00CE224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074F78">
              <w:rPr>
                <w:rFonts w:cs="Arial"/>
              </w:rPr>
              <w:t>ocus group</w:t>
            </w:r>
            <w:r>
              <w:rPr>
                <w:rFonts w:cs="Arial"/>
              </w:rPr>
              <w:t>s</w:t>
            </w:r>
            <w:r w:rsidRPr="00074F78">
              <w:rPr>
                <w:rFonts w:cs="Arial"/>
              </w:rPr>
              <w:t xml:space="preserve"> were facilitated </w:t>
            </w:r>
            <w:r>
              <w:rPr>
                <w:rFonts w:cs="Arial"/>
              </w:rPr>
              <w:t xml:space="preserve">and scribed </w:t>
            </w:r>
            <w:r w:rsidRPr="00074F78">
              <w:rPr>
                <w:rFonts w:cs="Arial"/>
              </w:rPr>
              <w:t xml:space="preserve">by </w:t>
            </w:r>
            <w:r>
              <w:rPr>
                <w:rFonts w:cs="Arial"/>
              </w:rPr>
              <w:t>an</w:t>
            </w:r>
            <w:r w:rsidRPr="00074F78">
              <w:rPr>
                <w:rFonts w:cs="Arial"/>
              </w:rPr>
              <w:t xml:space="preserve"> educational psychologist </w:t>
            </w:r>
            <w:r>
              <w:rPr>
                <w:rFonts w:cs="Arial"/>
              </w:rPr>
              <w:t>(EP). Focus group data was then collated and thematic analysis carried out to identify key themes.</w:t>
            </w:r>
          </w:p>
        </w:tc>
      </w:tr>
    </w:tbl>
    <w:p w14:paraId="35B0BAE5" w14:textId="77777777" w:rsidR="00842AAF" w:rsidRPr="00E41FB6" w:rsidRDefault="00842AAF" w:rsidP="00CE2242">
      <w:pPr>
        <w:spacing w:after="0" w:line="360" w:lineRule="auto"/>
        <w:rPr>
          <w:rFonts w:ascii="Arial" w:hAnsi="Arial" w:cs="Arial"/>
          <w:color w:val="00B050"/>
          <w:sz w:val="24"/>
          <w:szCs w:val="24"/>
        </w:rPr>
      </w:pPr>
    </w:p>
    <w:p w14:paraId="57FEB011" w14:textId="0A875C9F" w:rsidR="00842AAF" w:rsidRPr="00E41FB6" w:rsidRDefault="00741029" w:rsidP="00CE224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E41FB6">
        <w:rPr>
          <w:rFonts w:ascii="Arial" w:hAnsi="Arial" w:cs="Arial"/>
          <w:b/>
          <w:color w:val="00B050"/>
          <w:sz w:val="28"/>
          <w:szCs w:val="28"/>
        </w:rPr>
        <w:t>What have w</w:t>
      </w:r>
      <w:r w:rsidR="00A44A76" w:rsidRPr="00E41FB6">
        <w:rPr>
          <w:rFonts w:ascii="Arial" w:hAnsi="Arial" w:cs="Arial"/>
          <w:b/>
          <w:color w:val="00B050"/>
          <w:sz w:val="28"/>
          <w:szCs w:val="28"/>
        </w:rPr>
        <w:t>e found</w:t>
      </w:r>
      <w:r w:rsidR="00842AAF" w:rsidRPr="00E41FB6">
        <w:rPr>
          <w:rFonts w:ascii="Arial" w:hAnsi="Arial" w:cs="Arial"/>
          <w:b/>
          <w:color w:val="00B050"/>
          <w:sz w:val="28"/>
          <w:szCs w:val="28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29C85112" w14:textId="77777777" w:rsidTr="00CE2242">
        <w:tc>
          <w:tcPr>
            <w:tcW w:w="9016" w:type="dxa"/>
          </w:tcPr>
          <w:p w14:paraId="445F38B0" w14:textId="46C78027" w:rsidR="00384484" w:rsidRDefault="000B3E32" w:rsidP="00CE2242">
            <w:pPr>
              <w:spacing w:after="0" w:line="360" w:lineRule="auto"/>
            </w:pPr>
            <w:r>
              <w:t>Following</w:t>
            </w:r>
            <w:r w:rsidR="008D6A0E" w:rsidRPr="008D6A0E">
              <w:t xml:space="preserve"> analysis of focus group responses a number of key themes emerged</w:t>
            </w:r>
            <w:r w:rsidR="00DD2144">
              <w:t xml:space="preserve">. </w:t>
            </w:r>
            <w:r w:rsidR="00F62576" w:rsidRPr="008D6A0E">
              <w:t>T</w:t>
            </w:r>
            <w:r w:rsidR="001067DE">
              <w:t xml:space="preserve">hemes are presented below with </w:t>
            </w:r>
            <w:r w:rsidR="009001F7">
              <w:t>a sample of</w:t>
            </w:r>
            <w:r w:rsidR="001067DE">
              <w:t xml:space="preserve"> </w:t>
            </w:r>
            <w:r w:rsidR="009001F7">
              <w:t>illustrative quotes</w:t>
            </w:r>
            <w:r w:rsidR="001067DE">
              <w:t>:</w:t>
            </w:r>
          </w:p>
          <w:p w14:paraId="7E8CE949" w14:textId="77777777" w:rsidR="001067DE" w:rsidRDefault="001067DE" w:rsidP="00CE2242">
            <w:pPr>
              <w:spacing w:after="0" w:line="360" w:lineRule="auto"/>
            </w:pPr>
          </w:p>
          <w:p w14:paraId="6408C7E5" w14:textId="40D6CAEB" w:rsidR="006D276E" w:rsidRPr="008D6A0E" w:rsidRDefault="001067DE" w:rsidP="00CE2242">
            <w:pPr>
              <w:spacing w:after="0" w:line="360" w:lineRule="auto"/>
              <w:rPr>
                <w:u w:val="single"/>
              </w:rPr>
            </w:pPr>
            <w:r w:rsidRPr="00013CE8">
              <w:rPr>
                <w:u w:val="single"/>
              </w:rPr>
              <w:t>Theme 1: Teacher support</w:t>
            </w:r>
          </w:p>
          <w:p w14:paraId="5B298122" w14:textId="49923E04" w:rsidR="001067DE" w:rsidRPr="00013CE8" w:rsidRDefault="008D6A0E" w:rsidP="00CE224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“</w:t>
            </w:r>
            <w:r w:rsidR="001067DE" w:rsidRPr="00013CE8">
              <w:rPr>
                <w:i/>
              </w:rPr>
              <w:t>They (teachers) will sit you down and give yo</w:t>
            </w:r>
            <w:r>
              <w:rPr>
                <w:i/>
              </w:rPr>
              <w:t>u tips on where you can improve.”</w:t>
            </w:r>
          </w:p>
          <w:p w14:paraId="2E0BD8DB" w14:textId="704FCF76" w:rsidR="001067DE" w:rsidRPr="00013CE8" w:rsidRDefault="008D6A0E" w:rsidP="00CE2242">
            <w:pPr>
              <w:spacing w:after="0" w:line="360" w:lineRule="auto"/>
              <w:rPr>
                <w:i/>
              </w:rPr>
            </w:pPr>
            <w:bookmarkStart w:id="0" w:name="_Hlk534972189"/>
            <w:r>
              <w:rPr>
                <w:i/>
              </w:rPr>
              <w:t>“</w:t>
            </w:r>
            <w:r w:rsidR="001067DE" w:rsidRPr="00013CE8">
              <w:rPr>
                <w:i/>
              </w:rPr>
              <w:t>Teachers give you all the opportunities to do well and if you don’t take them up, it’s your fault.</w:t>
            </w:r>
            <w:r>
              <w:rPr>
                <w:i/>
              </w:rPr>
              <w:t>”</w:t>
            </w:r>
          </w:p>
          <w:bookmarkEnd w:id="0"/>
          <w:p w14:paraId="78418E47" w14:textId="77777777" w:rsidR="001067DE" w:rsidRPr="001067DE" w:rsidRDefault="001067DE" w:rsidP="00CE2242">
            <w:pPr>
              <w:spacing w:after="0" w:line="360" w:lineRule="auto"/>
            </w:pPr>
          </w:p>
          <w:p w14:paraId="0207E80F" w14:textId="0B336653" w:rsidR="00013CE8" w:rsidRPr="00013CE8" w:rsidRDefault="001067DE" w:rsidP="00CE2242">
            <w:pPr>
              <w:spacing w:after="0" w:line="360" w:lineRule="auto"/>
              <w:rPr>
                <w:u w:val="single"/>
              </w:rPr>
            </w:pPr>
            <w:r w:rsidRPr="00013CE8">
              <w:rPr>
                <w:u w:val="single"/>
              </w:rPr>
              <w:t>Theme 2: Supportive school ethos</w:t>
            </w:r>
          </w:p>
          <w:p w14:paraId="3E47A594" w14:textId="19617950" w:rsidR="001067DE" w:rsidRPr="00013CE8" w:rsidRDefault="008D6A0E" w:rsidP="00CE224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“I</w:t>
            </w:r>
            <w:r w:rsidR="001067DE" w:rsidRPr="00013CE8">
              <w:rPr>
                <w:i/>
              </w:rPr>
              <w:t>t’s normal to go to supported</w:t>
            </w:r>
            <w:r>
              <w:rPr>
                <w:i/>
              </w:rPr>
              <w:t xml:space="preserve"> study during prelims.”</w:t>
            </w:r>
          </w:p>
          <w:p w14:paraId="1558195A" w14:textId="0A61F33A" w:rsidR="00013CE8" w:rsidRPr="00013CE8" w:rsidRDefault="00133171" w:rsidP="00CE224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8D6A0E">
              <w:rPr>
                <w:i/>
              </w:rPr>
              <w:t>“</w:t>
            </w:r>
            <w:r w:rsidR="00013CE8" w:rsidRPr="00013CE8">
              <w:rPr>
                <w:i/>
              </w:rPr>
              <w:t>Good class atm</w:t>
            </w:r>
            <w:r w:rsidR="008D6A0E">
              <w:rPr>
                <w:i/>
              </w:rPr>
              <w:t>osphere starts with the teacher.”</w:t>
            </w:r>
          </w:p>
          <w:p w14:paraId="2AF98AF3" w14:textId="73EAA479" w:rsidR="00013CE8" w:rsidRPr="00013CE8" w:rsidRDefault="001067DE" w:rsidP="00CE2242">
            <w:pPr>
              <w:spacing w:after="0" w:line="360" w:lineRule="auto"/>
              <w:rPr>
                <w:u w:val="single"/>
              </w:rPr>
            </w:pPr>
            <w:r w:rsidRPr="00013CE8">
              <w:rPr>
                <w:u w:val="single"/>
              </w:rPr>
              <w:t xml:space="preserve">Theme 3: Parental support </w:t>
            </w:r>
          </w:p>
          <w:p w14:paraId="4272F74A" w14:textId="574EF4F6" w:rsidR="00013CE8" w:rsidRPr="00214183" w:rsidRDefault="00013CE8" w:rsidP="00CE224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“</w:t>
            </w:r>
            <w:r w:rsidRPr="00214183">
              <w:rPr>
                <w:i/>
              </w:rPr>
              <w:t>(</w:t>
            </w:r>
            <w:r w:rsidR="008D6A0E" w:rsidRPr="00214183">
              <w:rPr>
                <w:i/>
              </w:rPr>
              <w:t>Parents</w:t>
            </w:r>
            <w:r w:rsidRPr="00214183">
              <w:rPr>
                <w:i/>
              </w:rPr>
              <w:t>) comfort you; can tell you’re stressed and just talk to you.</w:t>
            </w:r>
            <w:r w:rsidR="008D6A0E">
              <w:rPr>
                <w:i/>
              </w:rPr>
              <w:t>”</w:t>
            </w:r>
          </w:p>
          <w:p w14:paraId="58BE8BFA" w14:textId="068551A5" w:rsidR="00013CE8" w:rsidRPr="00013CE8" w:rsidRDefault="00013CE8" w:rsidP="00CE2242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“</w:t>
            </w:r>
            <w:r w:rsidRPr="00013CE8">
              <w:rPr>
                <w:i/>
              </w:rPr>
              <w:t>They (parents) help me keep on top of things during my exams</w:t>
            </w:r>
            <w:r w:rsidR="008D6A0E">
              <w:rPr>
                <w:i/>
              </w:rPr>
              <w:t>.</w:t>
            </w:r>
            <w:r w:rsidRPr="00013CE8">
              <w:rPr>
                <w:i/>
              </w:rPr>
              <w:t>’’</w:t>
            </w:r>
          </w:p>
          <w:p w14:paraId="22D7CD02" w14:textId="77777777" w:rsidR="00CE2242" w:rsidRDefault="00CE2242" w:rsidP="00CE2242">
            <w:pPr>
              <w:spacing w:after="0" w:line="360" w:lineRule="auto"/>
              <w:rPr>
                <w:u w:val="single"/>
              </w:rPr>
            </w:pPr>
            <w:bookmarkStart w:id="1" w:name="_GoBack"/>
            <w:bookmarkEnd w:id="1"/>
          </w:p>
          <w:p w14:paraId="74D2B75A" w14:textId="684C459B" w:rsidR="00013CE8" w:rsidRPr="008D6A0E" w:rsidRDefault="001067DE" w:rsidP="00CE2242">
            <w:pPr>
              <w:spacing w:after="0" w:line="360" w:lineRule="auto"/>
              <w:rPr>
                <w:u w:val="single"/>
              </w:rPr>
            </w:pPr>
            <w:r w:rsidRPr="00013CE8">
              <w:rPr>
                <w:u w:val="single"/>
              </w:rPr>
              <w:t>Theme 4: Intrinsic motivation</w:t>
            </w:r>
          </w:p>
          <w:p w14:paraId="348B10F3" w14:textId="4399DD0A" w:rsidR="00765564" w:rsidRPr="00765564" w:rsidRDefault="00133171" w:rsidP="00CE2242">
            <w:pPr>
              <w:spacing w:after="0" w:line="360" w:lineRule="auto"/>
              <w:rPr>
                <w:i/>
              </w:rPr>
            </w:pPr>
            <w:r w:rsidRPr="00765564">
              <w:rPr>
                <w:i/>
              </w:rPr>
              <w:t xml:space="preserve"> </w:t>
            </w:r>
            <w:r w:rsidR="00013CE8" w:rsidRPr="00765564">
              <w:rPr>
                <w:i/>
              </w:rPr>
              <w:t>“I want to do well because I know what I want to do when I l</w:t>
            </w:r>
            <w:r w:rsidR="008D6A0E">
              <w:rPr>
                <w:i/>
              </w:rPr>
              <w:t>eave school.</w:t>
            </w:r>
            <w:r w:rsidR="00013CE8" w:rsidRPr="00765564">
              <w:rPr>
                <w:i/>
              </w:rPr>
              <w:t>”</w:t>
            </w:r>
          </w:p>
          <w:p w14:paraId="17316FED" w14:textId="47C4E9DB" w:rsidR="00013CE8" w:rsidRPr="00765564" w:rsidRDefault="00765564" w:rsidP="00CE2242">
            <w:pPr>
              <w:spacing w:after="0" w:line="360" w:lineRule="auto"/>
              <w:rPr>
                <w:i/>
              </w:rPr>
            </w:pPr>
            <w:r w:rsidRPr="00765564">
              <w:rPr>
                <w:i/>
              </w:rPr>
              <w:t>“</w:t>
            </w:r>
            <w:r w:rsidR="00013CE8" w:rsidRPr="00765564">
              <w:rPr>
                <w:i/>
              </w:rPr>
              <w:t>I put a lot of pressure on myself</w:t>
            </w:r>
            <w:r w:rsidR="008D6A0E">
              <w:rPr>
                <w:i/>
              </w:rPr>
              <w:t>.</w:t>
            </w:r>
            <w:r w:rsidR="00013CE8" w:rsidRPr="00765564">
              <w:rPr>
                <w:i/>
              </w:rPr>
              <w:t xml:space="preserve"> (rather than parent/ teachers)”</w:t>
            </w:r>
          </w:p>
          <w:p w14:paraId="19CDA697" w14:textId="77777777" w:rsidR="00013CE8" w:rsidRPr="001067DE" w:rsidRDefault="00013CE8" w:rsidP="00CE2242">
            <w:pPr>
              <w:spacing w:after="0" w:line="360" w:lineRule="auto"/>
            </w:pPr>
          </w:p>
          <w:p w14:paraId="401AE30C" w14:textId="51173D59" w:rsidR="00765564" w:rsidRPr="00765564" w:rsidRDefault="001067DE" w:rsidP="00CE2242">
            <w:pPr>
              <w:spacing w:after="0" w:line="360" w:lineRule="auto"/>
              <w:rPr>
                <w:u w:val="single"/>
              </w:rPr>
            </w:pPr>
            <w:r w:rsidRPr="00765564">
              <w:rPr>
                <w:u w:val="single"/>
              </w:rPr>
              <w:t xml:space="preserve">Theme 5: </w:t>
            </w:r>
            <w:r w:rsidR="00765564">
              <w:rPr>
                <w:u w:val="single"/>
              </w:rPr>
              <w:t>Importance of a</w:t>
            </w:r>
            <w:r w:rsidRPr="00765564">
              <w:rPr>
                <w:u w:val="single"/>
              </w:rPr>
              <w:t xml:space="preserve">ssessment </w:t>
            </w:r>
          </w:p>
          <w:p w14:paraId="5668D1E7" w14:textId="2AAE2A79" w:rsidR="00013CE8" w:rsidRPr="00765564" w:rsidRDefault="00765564" w:rsidP="00CE2242">
            <w:pPr>
              <w:spacing w:after="0" w:line="360" w:lineRule="auto"/>
              <w:rPr>
                <w:i/>
              </w:rPr>
            </w:pPr>
            <w:r w:rsidRPr="00765564">
              <w:rPr>
                <w:i/>
              </w:rPr>
              <w:t>“</w:t>
            </w:r>
            <w:r w:rsidR="00013CE8" w:rsidRPr="00765564">
              <w:rPr>
                <w:i/>
              </w:rPr>
              <w:t>Lots of tests</w:t>
            </w:r>
            <w:r w:rsidRPr="00765564">
              <w:rPr>
                <w:i/>
              </w:rPr>
              <w:t>…. Constantly</w:t>
            </w:r>
            <w:r w:rsidR="00013CE8" w:rsidRPr="00765564">
              <w:rPr>
                <w:i/>
              </w:rPr>
              <w:t xml:space="preserve"> trying to better you</w:t>
            </w:r>
            <w:r w:rsidRPr="00765564">
              <w:rPr>
                <w:i/>
              </w:rPr>
              <w:t>….</w:t>
            </w:r>
            <w:r w:rsidR="00013CE8" w:rsidRPr="00765564">
              <w:rPr>
                <w:i/>
              </w:rPr>
              <w:t>It does help.</w:t>
            </w:r>
            <w:r w:rsidRPr="00765564">
              <w:rPr>
                <w:i/>
              </w:rPr>
              <w:t>”</w:t>
            </w:r>
          </w:p>
          <w:p w14:paraId="1ECD0084" w14:textId="0EFF3BA5" w:rsidR="00013CE8" w:rsidRPr="00765564" w:rsidRDefault="00013CE8" w:rsidP="00CE2242">
            <w:pPr>
              <w:spacing w:after="0" w:line="360" w:lineRule="auto"/>
              <w:rPr>
                <w:i/>
              </w:rPr>
            </w:pPr>
            <w:r w:rsidRPr="00765564">
              <w:rPr>
                <w:i/>
              </w:rPr>
              <w:t xml:space="preserve">(Teachers have) </w:t>
            </w:r>
            <w:r w:rsidR="00765564">
              <w:rPr>
                <w:i/>
              </w:rPr>
              <w:t>“</w:t>
            </w:r>
            <w:r w:rsidRPr="00765564">
              <w:rPr>
                <w:i/>
              </w:rPr>
              <w:t>Learner conversations (i.e.) why you got a B.</w:t>
            </w:r>
            <w:r w:rsidR="00765564">
              <w:rPr>
                <w:i/>
              </w:rPr>
              <w:t>”</w:t>
            </w:r>
          </w:p>
          <w:p w14:paraId="1B1EBB6B" w14:textId="77777777" w:rsidR="00013CE8" w:rsidRPr="001067DE" w:rsidRDefault="00013CE8" w:rsidP="00CE2242">
            <w:pPr>
              <w:spacing w:after="0" w:line="360" w:lineRule="auto"/>
            </w:pPr>
          </w:p>
          <w:p w14:paraId="705EA702" w14:textId="03996AB5" w:rsidR="00013CE8" w:rsidRPr="008D6A0E" w:rsidRDefault="001067DE" w:rsidP="00CE2242">
            <w:pPr>
              <w:spacing w:after="0" w:line="360" w:lineRule="auto"/>
              <w:rPr>
                <w:u w:val="single"/>
              </w:rPr>
            </w:pPr>
            <w:r w:rsidRPr="00765564">
              <w:rPr>
                <w:u w:val="single"/>
              </w:rPr>
              <w:t xml:space="preserve">Theme 6: </w:t>
            </w:r>
            <w:r w:rsidR="00765564">
              <w:rPr>
                <w:u w:val="single"/>
              </w:rPr>
              <w:t>Importance of a</w:t>
            </w:r>
            <w:r w:rsidRPr="00765564">
              <w:rPr>
                <w:u w:val="single"/>
              </w:rPr>
              <w:t xml:space="preserve">ttendance </w:t>
            </w:r>
          </w:p>
          <w:p w14:paraId="7E9DB1ED" w14:textId="43A987EF" w:rsidR="00013CE8" w:rsidRPr="00765564" w:rsidRDefault="00765564" w:rsidP="00CE2242">
            <w:pPr>
              <w:spacing w:after="0" w:line="360" w:lineRule="auto"/>
              <w:rPr>
                <w:i/>
              </w:rPr>
            </w:pPr>
            <w:r w:rsidRPr="00765564">
              <w:rPr>
                <w:i/>
              </w:rPr>
              <w:t>“</w:t>
            </w:r>
            <w:r w:rsidR="00013CE8" w:rsidRPr="00765564">
              <w:rPr>
                <w:i/>
              </w:rPr>
              <w:t>If you’re off you miss a lot.</w:t>
            </w:r>
            <w:r w:rsidRPr="00765564">
              <w:rPr>
                <w:i/>
              </w:rPr>
              <w:t>”</w:t>
            </w:r>
          </w:p>
          <w:p w14:paraId="1C313F7D" w14:textId="7EB9A3BE" w:rsidR="00013CE8" w:rsidRPr="00765564" w:rsidRDefault="00765564" w:rsidP="00CE2242">
            <w:pPr>
              <w:spacing w:after="0" w:line="360" w:lineRule="auto"/>
              <w:contextualSpacing/>
              <w:rPr>
                <w:i/>
              </w:rPr>
            </w:pPr>
            <w:r w:rsidRPr="00765564">
              <w:rPr>
                <w:i/>
              </w:rPr>
              <w:t>“</w:t>
            </w:r>
            <w:r w:rsidR="008D6A0E" w:rsidRPr="00765564">
              <w:rPr>
                <w:i/>
              </w:rPr>
              <w:t>You</w:t>
            </w:r>
            <w:r w:rsidR="00013CE8" w:rsidRPr="00765564">
              <w:rPr>
                <w:i/>
              </w:rPr>
              <w:t xml:space="preserve"> come to school to do what you need to do</w:t>
            </w:r>
            <w:r w:rsidR="008D6A0E">
              <w:rPr>
                <w:i/>
              </w:rPr>
              <w:t>.</w:t>
            </w:r>
            <w:r w:rsidRPr="00765564">
              <w:rPr>
                <w:i/>
              </w:rPr>
              <w:t>”</w:t>
            </w:r>
          </w:p>
          <w:p w14:paraId="1F604009" w14:textId="77777777" w:rsidR="00013CE8" w:rsidRPr="00765564" w:rsidRDefault="00013CE8" w:rsidP="00CE2242">
            <w:pPr>
              <w:spacing w:after="0" w:line="360" w:lineRule="auto"/>
              <w:rPr>
                <w:u w:val="single"/>
              </w:rPr>
            </w:pPr>
          </w:p>
          <w:p w14:paraId="5AA58291" w14:textId="1041D6D7" w:rsidR="00765564" w:rsidRPr="00765564" w:rsidRDefault="001067DE" w:rsidP="00CE2242">
            <w:pPr>
              <w:spacing w:after="0" w:line="360" w:lineRule="auto"/>
              <w:rPr>
                <w:u w:val="single"/>
              </w:rPr>
            </w:pPr>
            <w:r w:rsidRPr="00765564">
              <w:rPr>
                <w:u w:val="single"/>
              </w:rPr>
              <w:t>Theme 7: Mental health support</w:t>
            </w:r>
          </w:p>
          <w:p w14:paraId="14242AC5" w14:textId="06D303B2" w:rsidR="00013CE8" w:rsidRPr="002514D6" w:rsidRDefault="00765564" w:rsidP="00CE2242">
            <w:pPr>
              <w:spacing w:after="0" w:line="36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“</w:t>
            </w:r>
            <w:r w:rsidR="00013CE8" w:rsidRPr="002514D6">
              <w:rPr>
                <w:i/>
                <w:color w:val="000000"/>
              </w:rPr>
              <w:t>Always felt that we had someone to talk to</w:t>
            </w:r>
            <w:r w:rsidR="00013CE8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”</w:t>
            </w:r>
          </w:p>
          <w:p w14:paraId="60B563F3" w14:textId="32CBAFA1" w:rsidR="001D1448" w:rsidRPr="008D6A0E" w:rsidRDefault="00133171" w:rsidP="00CE2242">
            <w:pPr>
              <w:spacing w:after="0" w:line="360" w:lineRule="auto"/>
              <w:rPr>
                <w:i/>
              </w:rPr>
            </w:pPr>
            <w:r w:rsidRPr="008D6A0E">
              <w:rPr>
                <w:i/>
              </w:rPr>
              <w:t xml:space="preserve"> </w:t>
            </w:r>
            <w:r w:rsidR="00765564" w:rsidRPr="008D6A0E">
              <w:rPr>
                <w:i/>
              </w:rPr>
              <w:t>“</w:t>
            </w:r>
            <w:r w:rsidR="00013CE8" w:rsidRPr="008D6A0E">
              <w:rPr>
                <w:i/>
              </w:rPr>
              <w:t>It</w:t>
            </w:r>
            <w:r w:rsidR="006D276E" w:rsidRPr="008D6A0E">
              <w:rPr>
                <w:i/>
              </w:rPr>
              <w:t>’</w:t>
            </w:r>
            <w:r w:rsidR="00013CE8" w:rsidRPr="008D6A0E">
              <w:rPr>
                <w:i/>
              </w:rPr>
              <w:t>s all there – you just have to look it out</w:t>
            </w:r>
            <w:r w:rsidR="00765564" w:rsidRPr="008D6A0E">
              <w:rPr>
                <w:i/>
              </w:rPr>
              <w:t>.”</w:t>
            </w:r>
            <w:r w:rsidR="006D276E" w:rsidRPr="008D6A0E">
              <w:rPr>
                <w:i/>
              </w:rPr>
              <w:t xml:space="preserve"> </w:t>
            </w:r>
          </w:p>
        </w:tc>
      </w:tr>
    </w:tbl>
    <w:p w14:paraId="7E6E27DC" w14:textId="77777777" w:rsidR="00CE2242" w:rsidRDefault="00CE2242" w:rsidP="00CE2242">
      <w:pPr>
        <w:tabs>
          <w:tab w:val="left" w:pos="7125"/>
        </w:tabs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</w:p>
    <w:p w14:paraId="066FF15D" w14:textId="4BE07ED2" w:rsidR="00384177" w:rsidRPr="00E41FB6" w:rsidRDefault="00CE2242" w:rsidP="00CE2242">
      <w:pPr>
        <w:tabs>
          <w:tab w:val="left" w:pos="7125"/>
        </w:tabs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Discussion of results and next steps</w:t>
      </w:r>
      <w:r w:rsidRPr="00E41FB6">
        <w:rPr>
          <w:rFonts w:ascii="Arial" w:hAnsi="Arial" w:cs="Arial"/>
          <w:b/>
          <w:color w:val="00B050"/>
          <w:sz w:val="28"/>
          <w:szCs w:val="28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6DBF1B6E" w14:textId="77777777" w:rsidTr="00D525CD">
        <w:tc>
          <w:tcPr>
            <w:tcW w:w="9016" w:type="dxa"/>
          </w:tcPr>
          <w:p w14:paraId="2DBF4D41" w14:textId="2B5753CC" w:rsidR="00BD3E44" w:rsidRDefault="00BD3E44" w:rsidP="00501478">
            <w:pPr>
              <w:tabs>
                <w:tab w:val="left" w:pos="7125"/>
              </w:tabs>
              <w:spacing w:after="0" w:line="360" w:lineRule="auto"/>
            </w:pPr>
            <w:r>
              <w:t>Results</w:t>
            </w:r>
            <w:r w:rsidR="00E41FB6">
              <w:t xml:space="preserve"> reflect</w:t>
            </w:r>
            <w:r>
              <w:t xml:space="preserve"> a num</w:t>
            </w:r>
            <w:r w:rsidR="00E41FB6">
              <w:t>ber of key themes which detail</w:t>
            </w:r>
            <w:r>
              <w:t xml:space="preserve"> </w:t>
            </w:r>
            <w:r w:rsidR="001D1448">
              <w:t xml:space="preserve">the pupil’s perceptions of the </w:t>
            </w:r>
            <w:r>
              <w:t>conditions wi</w:t>
            </w:r>
            <w:r w:rsidR="00E41FB6">
              <w:t>thin their schools which allow</w:t>
            </w:r>
            <w:r>
              <w:t xml:space="preserve"> them to thrive. Pupils gave examples of how they </w:t>
            </w:r>
            <w:r w:rsidR="00133171">
              <w:t xml:space="preserve">are </w:t>
            </w:r>
            <w:r>
              <w:t xml:space="preserve">supported by their school and their teachers. They </w:t>
            </w:r>
            <w:r w:rsidR="001D1448">
              <w:t>report</w:t>
            </w:r>
            <w:r w:rsidR="00322AD0">
              <w:t xml:space="preserve"> </w:t>
            </w:r>
            <w:r w:rsidR="001D1448">
              <w:t xml:space="preserve">feeling </w:t>
            </w:r>
            <w:r>
              <w:t xml:space="preserve">understood by their school, involved in their education and </w:t>
            </w:r>
            <w:r w:rsidR="00322AD0">
              <w:t>as having</w:t>
            </w:r>
            <w:r>
              <w:t xml:space="preserve"> a high level of control </w:t>
            </w:r>
            <w:r w:rsidR="00D525CD">
              <w:t>and self-efficacy over educational</w:t>
            </w:r>
            <w:r w:rsidR="001D1448">
              <w:t xml:space="preserve"> choices</w:t>
            </w:r>
            <w:r w:rsidR="00D525CD">
              <w:t xml:space="preserve"> and </w:t>
            </w:r>
            <w:r>
              <w:t>post school options.</w:t>
            </w:r>
            <w:r w:rsidR="00133171">
              <w:t xml:space="preserve"> </w:t>
            </w:r>
            <w:r w:rsidR="008A7E67">
              <w:t xml:space="preserve"> Students overwhelmingly value attendance as a predictor of success </w:t>
            </w:r>
            <w:r w:rsidR="00322AD0">
              <w:t xml:space="preserve">and </w:t>
            </w:r>
            <w:r w:rsidR="008A7E67">
              <w:t>feel that if they work hard they can achieve their goals. They spoke about a number of ways these beliefs are fostered within their schools. Analysis of SMT results suggest that there is high correlation between staff and pupil views.</w:t>
            </w:r>
          </w:p>
          <w:p w14:paraId="3333065A" w14:textId="77777777" w:rsidR="009001F7" w:rsidRDefault="009001F7" w:rsidP="001D1448">
            <w:pPr>
              <w:tabs>
                <w:tab w:val="left" w:pos="7125"/>
              </w:tabs>
              <w:spacing w:after="0" w:line="360" w:lineRule="auto"/>
            </w:pPr>
          </w:p>
          <w:p w14:paraId="40934B5E" w14:textId="712A30BF" w:rsidR="009001F7" w:rsidRPr="00336B1D" w:rsidRDefault="00133171" w:rsidP="003B5661">
            <w:pPr>
              <w:tabs>
                <w:tab w:val="left" w:pos="7125"/>
              </w:tabs>
              <w:spacing w:after="0" w:line="360" w:lineRule="auto"/>
            </w:pPr>
            <w:r>
              <w:t xml:space="preserve">To explore the validity of the finding of the present study </w:t>
            </w:r>
            <w:r w:rsidR="009001F7">
              <w:t xml:space="preserve">it would be of interest to </w:t>
            </w:r>
            <w:r w:rsidR="005B31FA">
              <w:t xml:space="preserve">carry out a second phase of research looking at </w:t>
            </w:r>
            <w:r w:rsidR="000B3E32">
              <w:t xml:space="preserve">the views of young people in schools </w:t>
            </w:r>
            <w:r w:rsidR="003B5661">
              <w:t xml:space="preserve">with </w:t>
            </w:r>
            <w:r w:rsidR="005B31FA">
              <w:t>similar characteristic</w:t>
            </w:r>
            <w:r>
              <w:t>s</w:t>
            </w:r>
            <w:r w:rsidR="000B3E32">
              <w:t>, where pupils are not attaining highly</w:t>
            </w:r>
            <w:r w:rsidR="005B31FA">
              <w:t>. The ethical implications of this would have to be fully explored before th</w:t>
            </w:r>
            <w:r w:rsidR="003B5661">
              <w:t xml:space="preserve">is </w:t>
            </w:r>
            <w:r w:rsidR="005B31FA">
              <w:t>undertaking.</w:t>
            </w:r>
          </w:p>
        </w:tc>
      </w:tr>
    </w:tbl>
    <w:p w14:paraId="578C3356" w14:textId="77777777" w:rsidR="00336B1D" w:rsidRDefault="00336B1D" w:rsidP="00842AAF">
      <w:pPr>
        <w:spacing w:after="0" w:line="240" w:lineRule="auto"/>
        <w:rPr>
          <w:rFonts w:ascii="Arial" w:hAnsi="Arial" w:cs="Arial"/>
          <w:b/>
          <w:color w:val="009BAA"/>
          <w:sz w:val="28"/>
          <w:szCs w:val="28"/>
        </w:rPr>
      </w:pPr>
    </w:p>
    <w:p w14:paraId="2F9F535C" w14:textId="0E4DCDDC" w:rsidR="008A7E67" w:rsidRPr="008A7E67" w:rsidRDefault="008A7E67" w:rsidP="00CE224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8A7E67">
        <w:rPr>
          <w:rFonts w:ascii="Arial" w:hAnsi="Arial" w:cs="Arial"/>
          <w:b/>
          <w:color w:val="00B050"/>
          <w:sz w:val="28"/>
          <w:szCs w:val="28"/>
        </w:rPr>
        <w:t>Dissemination of results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A7E67" w14:paraId="19C2B4FE" w14:textId="77777777" w:rsidTr="008A7E67">
        <w:trPr>
          <w:trHeight w:val="570"/>
        </w:trPr>
        <w:tc>
          <w:tcPr>
            <w:tcW w:w="8910" w:type="dxa"/>
          </w:tcPr>
          <w:p w14:paraId="005A0D73" w14:textId="5E1C0F96" w:rsidR="008A7E67" w:rsidRPr="00CE2242" w:rsidRDefault="008A7E67" w:rsidP="00CE2242">
            <w:pPr>
              <w:tabs>
                <w:tab w:val="left" w:pos="7125"/>
              </w:tabs>
              <w:spacing w:after="0" w:line="360" w:lineRule="auto"/>
            </w:pPr>
            <w:r>
              <w:t>Findings from pupils and staff have been disseminated to individual schools, staff and parents. A full research report is available with links made between the current research findings and recommendations for future actions.</w:t>
            </w:r>
          </w:p>
        </w:tc>
      </w:tr>
    </w:tbl>
    <w:p w14:paraId="2C44EFA6" w14:textId="77777777" w:rsidR="008A7E67" w:rsidRDefault="008A7E67" w:rsidP="00CE2242">
      <w:pPr>
        <w:spacing w:after="0" w:line="360" w:lineRule="auto"/>
        <w:rPr>
          <w:rFonts w:ascii="Arial" w:hAnsi="Arial" w:cs="Arial"/>
          <w:b/>
          <w:color w:val="009BAA"/>
          <w:sz w:val="28"/>
          <w:szCs w:val="28"/>
        </w:rPr>
      </w:pPr>
    </w:p>
    <w:p w14:paraId="389A4522" w14:textId="77777777" w:rsidR="00842AAF" w:rsidRPr="00E41FB6" w:rsidRDefault="00842AAF" w:rsidP="00CE2242">
      <w:pPr>
        <w:spacing w:after="0"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E41FB6">
        <w:rPr>
          <w:rFonts w:ascii="Arial" w:hAnsi="Arial" w:cs="Arial"/>
          <w:b/>
          <w:color w:val="00B050"/>
          <w:sz w:val="28"/>
          <w:szCs w:val="28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3DDC5AD9" w14:textId="77777777" w:rsidTr="00384484">
        <w:tc>
          <w:tcPr>
            <w:tcW w:w="9242" w:type="dxa"/>
          </w:tcPr>
          <w:p w14:paraId="4AD98F04" w14:textId="1539BE52" w:rsidR="00DD2144" w:rsidRDefault="004215D8" w:rsidP="00CE2242">
            <w:pPr>
              <w:spacing w:after="0" w:line="360" w:lineRule="auto"/>
            </w:pPr>
            <w:r>
              <w:t xml:space="preserve">Bandura, A. (1986). </w:t>
            </w:r>
            <w:r w:rsidRPr="004215D8">
              <w:rPr>
                <w:i/>
              </w:rPr>
              <w:t>Social Foundations of Though and Action: A Social Cognitive Theory</w:t>
            </w:r>
            <w:r>
              <w:t>. Englewood Cliffs, NJ: Prentice-Hall.</w:t>
            </w:r>
          </w:p>
          <w:p w14:paraId="46058DC1" w14:textId="77777777" w:rsidR="00CE2242" w:rsidRDefault="00CE2242" w:rsidP="00CE2242">
            <w:pPr>
              <w:spacing w:after="0" w:line="360" w:lineRule="auto"/>
            </w:pPr>
          </w:p>
          <w:p w14:paraId="331CC885" w14:textId="65C77684" w:rsidR="004215D8" w:rsidRDefault="008D6A0E" w:rsidP="00CE2242">
            <w:pPr>
              <w:spacing w:after="0" w:line="360" w:lineRule="auto"/>
              <w:rPr>
                <w:rFonts w:asciiTheme="minorHAnsi" w:hAnsiTheme="minorHAnsi"/>
              </w:rPr>
            </w:pPr>
            <w:r>
              <w:t>McKay, M, T.</w:t>
            </w:r>
            <w:r w:rsidR="00DD2144">
              <w:t xml:space="preserve"> Dempster, M. and Perry, J, L. </w:t>
            </w:r>
            <w:r w:rsidR="004215D8">
              <w:t xml:space="preserve">(2017). </w:t>
            </w:r>
            <w:r w:rsidR="004215D8" w:rsidRPr="004215D8">
              <w:rPr>
                <w:i/>
              </w:rPr>
              <w:t>Academic Self-Efficacy Partially Mediates the Relationship between Scottish Index of Multiple Deprivation and Composite Attainment Score</w:t>
            </w:r>
            <w:r w:rsidR="004215D8">
              <w:t xml:space="preserve">. </w:t>
            </w:r>
            <w:r w:rsidR="00406ED8">
              <w:rPr>
                <w:rFonts w:asciiTheme="minorHAnsi" w:hAnsiTheme="minorHAnsi"/>
              </w:rPr>
              <w:t>Frontiers in Psychology. 8, 1 – 9.</w:t>
            </w:r>
          </w:p>
          <w:p w14:paraId="77BE8ED8" w14:textId="77777777" w:rsidR="00405A79" w:rsidRPr="00405A79" w:rsidRDefault="00405A79" w:rsidP="00CE2242">
            <w:pPr>
              <w:spacing w:after="0" w:line="360" w:lineRule="auto"/>
              <w:rPr>
                <w:rFonts w:asciiTheme="minorHAnsi" w:hAnsiTheme="minorHAnsi"/>
              </w:rPr>
            </w:pPr>
          </w:p>
          <w:p w14:paraId="7245643D" w14:textId="42DE0F0E" w:rsidR="00405A79" w:rsidRPr="00405A79" w:rsidRDefault="00405A79" w:rsidP="00CE224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="MinionPro-Regular"/>
                <w:lang w:eastAsia="en-GB"/>
              </w:rPr>
            </w:pPr>
            <w:r w:rsidRPr="00405A79">
              <w:rPr>
                <w:rFonts w:asciiTheme="minorHAnsi" w:eastAsia="Times New Roman" w:hAnsiTheme="minorHAnsi" w:cs="MinionPro-Regular"/>
                <w:lang w:eastAsia="en-GB"/>
              </w:rPr>
              <w:t xml:space="preserve">Muris, P. (2001). </w:t>
            </w:r>
            <w:r w:rsidRPr="008D6A0E">
              <w:rPr>
                <w:rFonts w:asciiTheme="minorHAnsi" w:eastAsia="Times New Roman" w:hAnsiTheme="minorHAnsi" w:cs="MinionPro-Regular"/>
                <w:i/>
                <w:lang w:eastAsia="en-GB"/>
              </w:rPr>
              <w:t>A brief questionnaire for measuring self-efficacy in youths</w:t>
            </w:r>
            <w:r w:rsidRPr="00405A79">
              <w:rPr>
                <w:rFonts w:asciiTheme="minorHAnsi" w:eastAsia="Times New Roman" w:hAnsiTheme="minorHAnsi" w:cs="MinionPro-Regular"/>
                <w:lang w:eastAsia="en-GB"/>
              </w:rPr>
              <w:t xml:space="preserve">. </w:t>
            </w:r>
            <w:r w:rsidR="008D6A0E">
              <w:rPr>
                <w:rFonts w:asciiTheme="minorHAnsi" w:eastAsia="Times New Roman" w:hAnsiTheme="minorHAnsi" w:cs="MinionPro-It"/>
                <w:lang w:eastAsia="en-GB"/>
              </w:rPr>
              <w:t xml:space="preserve">Journal of </w:t>
            </w:r>
            <w:r>
              <w:rPr>
                <w:rFonts w:asciiTheme="minorHAnsi" w:eastAsia="Times New Roman" w:hAnsiTheme="minorHAnsi" w:cs="MinionPro-It"/>
                <w:lang w:eastAsia="en-GB"/>
              </w:rPr>
              <w:t>Psychopathology</w:t>
            </w:r>
            <w:r w:rsidR="008D6A0E">
              <w:rPr>
                <w:rFonts w:asciiTheme="minorHAnsi" w:eastAsia="Times New Roman" w:hAnsiTheme="minorHAnsi" w:cs="MinionPro-It"/>
                <w:lang w:eastAsia="en-GB"/>
              </w:rPr>
              <w:t xml:space="preserve"> </w:t>
            </w:r>
            <w:r w:rsidRPr="00405A79">
              <w:rPr>
                <w:rFonts w:asciiTheme="minorHAnsi" w:eastAsia="Times New Roman" w:hAnsiTheme="minorHAnsi" w:cs="MinionPro-It"/>
                <w:lang w:eastAsia="en-GB"/>
              </w:rPr>
              <w:t>Behav</w:t>
            </w:r>
            <w:r w:rsidR="008D6A0E">
              <w:rPr>
                <w:rFonts w:asciiTheme="minorHAnsi" w:eastAsia="Times New Roman" w:hAnsiTheme="minorHAnsi" w:cs="MinionPro-Regular"/>
                <w:lang w:eastAsia="en-GB"/>
              </w:rPr>
              <w:t>iour.</w:t>
            </w:r>
            <w:r w:rsidRPr="00405A79">
              <w:rPr>
                <w:rFonts w:asciiTheme="minorHAnsi" w:eastAsia="Times New Roman" w:hAnsiTheme="minorHAnsi" w:cs="MinionPro-Regular"/>
                <w:lang w:eastAsia="en-GB"/>
              </w:rPr>
              <w:t xml:space="preserve"> 23, 145–149.</w:t>
            </w:r>
          </w:p>
          <w:p w14:paraId="1F41CA24" w14:textId="77777777" w:rsidR="008D6A0E" w:rsidRDefault="008D6A0E" w:rsidP="00CE224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="MinionPro-Regular"/>
                <w:lang w:eastAsia="en-GB"/>
              </w:rPr>
            </w:pPr>
          </w:p>
          <w:p w14:paraId="18214D57" w14:textId="194B68F4" w:rsidR="008D6A0E" w:rsidRPr="008D6A0E" w:rsidRDefault="008D6A0E" w:rsidP="00CE224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="MinionPro-Regular"/>
                <w:lang w:eastAsia="en-GB"/>
              </w:rPr>
            </w:pPr>
            <w:r w:rsidRPr="008D6A0E">
              <w:rPr>
                <w:rFonts w:asciiTheme="minorHAnsi" w:eastAsia="Times New Roman" w:hAnsiTheme="minorHAnsi" w:cs="MinionPro-Regular"/>
                <w:lang w:eastAsia="en-GB"/>
              </w:rPr>
              <w:t>Scottish Government</w:t>
            </w:r>
            <w:r w:rsidR="00DD2144">
              <w:rPr>
                <w:rFonts w:asciiTheme="minorHAnsi" w:eastAsia="Times New Roman" w:hAnsiTheme="minorHAnsi" w:cs="MinionPro-Regular"/>
                <w:lang w:eastAsia="en-GB"/>
              </w:rPr>
              <w:t>.</w:t>
            </w:r>
            <w:r w:rsidRPr="008D6A0E">
              <w:rPr>
                <w:rFonts w:asciiTheme="minorHAnsi" w:eastAsia="Times New Roman" w:hAnsiTheme="minorHAnsi" w:cs="MinionPro-Regular"/>
                <w:lang w:eastAsia="en-GB"/>
              </w:rPr>
              <w:t xml:space="preserve"> (2013). </w:t>
            </w:r>
            <w:r w:rsidRPr="00406ED8">
              <w:rPr>
                <w:rFonts w:asciiTheme="minorHAnsi" w:eastAsia="Times New Roman" w:hAnsiTheme="minorHAnsi" w:cs="MinionPro-It"/>
                <w:i/>
                <w:lang w:eastAsia="en-GB"/>
              </w:rPr>
              <w:t>Scottish Survey of Literacy and Numeracy 2012</w:t>
            </w:r>
            <w:r w:rsidRPr="008D6A0E">
              <w:rPr>
                <w:rFonts w:asciiTheme="minorHAnsi" w:eastAsia="Times New Roman" w:hAnsiTheme="minorHAnsi" w:cs="MinionPro-Regular"/>
                <w:lang w:eastAsia="en-GB"/>
              </w:rPr>
              <w:t>.</w:t>
            </w:r>
          </w:p>
          <w:p w14:paraId="50A0B9AD" w14:textId="77777777" w:rsidR="008D6A0E" w:rsidRPr="008D6A0E" w:rsidRDefault="008D6A0E" w:rsidP="00CE2242">
            <w:pPr>
              <w:spacing w:after="0" w:line="360" w:lineRule="auto"/>
              <w:rPr>
                <w:rFonts w:asciiTheme="minorHAnsi" w:hAnsiTheme="minorHAnsi"/>
              </w:rPr>
            </w:pPr>
            <w:r w:rsidRPr="008D6A0E">
              <w:rPr>
                <w:rFonts w:asciiTheme="minorHAnsi" w:eastAsia="Times New Roman" w:hAnsiTheme="minorHAnsi" w:cs="MinionPro-Regular"/>
                <w:lang w:eastAsia="en-GB"/>
              </w:rPr>
              <w:t>Available online at: www.scotland.gov.uk/Publications/2013/04/8843/0</w:t>
            </w:r>
          </w:p>
          <w:p w14:paraId="18323B88" w14:textId="77777777" w:rsidR="00DD2144" w:rsidRPr="00DD2144" w:rsidRDefault="00DD2144" w:rsidP="00CE2242">
            <w:pPr>
              <w:spacing w:after="0" w:line="360" w:lineRule="auto"/>
              <w:rPr>
                <w:rFonts w:asciiTheme="minorHAnsi" w:hAnsiTheme="minorHAnsi"/>
              </w:rPr>
            </w:pPr>
          </w:p>
          <w:p w14:paraId="67BC4CD4" w14:textId="6B6D93AE" w:rsidR="00DD2144" w:rsidRPr="00DD2144" w:rsidRDefault="00DD2144" w:rsidP="00CE224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Sosu, E. and</w:t>
            </w:r>
            <w:r w:rsidRPr="00DD2144">
              <w:rPr>
                <w:rFonts w:asciiTheme="minorHAnsi" w:hAnsiTheme="minorHAnsi"/>
              </w:rPr>
              <w:t xml:space="preserve"> Ellis, S</w:t>
            </w:r>
            <w:r>
              <w:rPr>
                <w:rFonts w:asciiTheme="minorHAnsi" w:hAnsiTheme="minorHAnsi"/>
              </w:rPr>
              <w:t xml:space="preserve">. </w:t>
            </w:r>
            <w:r w:rsidRPr="00DD2144">
              <w:rPr>
                <w:rFonts w:asciiTheme="minorHAnsi" w:hAnsiTheme="minorHAnsi"/>
              </w:rPr>
              <w:t>(</w:t>
            </w:r>
            <w:r w:rsidRPr="00DD2144">
              <w:rPr>
                <w:rStyle w:val="nlmyear"/>
                <w:rFonts w:asciiTheme="minorHAnsi" w:hAnsiTheme="minorHAnsi"/>
              </w:rPr>
              <w:t>2014</w:t>
            </w:r>
            <w:r w:rsidRPr="00DD2144">
              <w:rPr>
                <w:rFonts w:asciiTheme="minorHAnsi" w:hAnsiTheme="minorHAnsi"/>
              </w:rPr>
              <w:t xml:space="preserve">) </w:t>
            </w:r>
            <w:r w:rsidRPr="00DD2144">
              <w:rPr>
                <w:rStyle w:val="nlmarticle-title"/>
                <w:rFonts w:asciiTheme="minorHAnsi" w:hAnsiTheme="minorHAnsi"/>
                <w:i/>
              </w:rPr>
              <w:t>Closing the attainment gap in Scottish education</w:t>
            </w:r>
            <w:r w:rsidRPr="00DD2144">
              <w:rPr>
                <w:rFonts w:asciiTheme="minorHAnsi" w:hAnsiTheme="minorHAnsi"/>
              </w:rPr>
              <w:t xml:space="preserve">. Report, </w:t>
            </w:r>
            <w:r w:rsidRPr="00DD2144">
              <w:rPr>
                <w:rStyle w:val="nlmpublisher-name"/>
                <w:rFonts w:asciiTheme="minorHAnsi" w:hAnsiTheme="minorHAnsi"/>
              </w:rPr>
              <w:t>Joseph Rowntree Foundation</w:t>
            </w:r>
            <w:r w:rsidRPr="00DD2144">
              <w:rPr>
                <w:rFonts w:asciiTheme="minorHAnsi" w:hAnsiTheme="minorHAnsi"/>
              </w:rPr>
              <w:t xml:space="preserve">, </w:t>
            </w:r>
            <w:r w:rsidRPr="00DD2144">
              <w:rPr>
                <w:rStyle w:val="nlmpublisher-loc"/>
                <w:rFonts w:asciiTheme="minorHAnsi" w:hAnsiTheme="minorHAnsi"/>
              </w:rPr>
              <w:t>York</w:t>
            </w:r>
            <w:r w:rsidRPr="00DD2144">
              <w:rPr>
                <w:rFonts w:asciiTheme="minorHAnsi" w:hAnsiTheme="minorHAnsi"/>
              </w:rPr>
              <w:t xml:space="preserve">, </w:t>
            </w:r>
            <w:r w:rsidRPr="00DD2144">
              <w:rPr>
                <w:rStyle w:val="nlmmonth"/>
                <w:rFonts w:asciiTheme="minorHAnsi" w:hAnsiTheme="minorHAnsi"/>
              </w:rPr>
              <w:t>May</w:t>
            </w:r>
            <w:r w:rsidRPr="00DD2144">
              <w:rPr>
                <w:rFonts w:asciiTheme="minorHAnsi" w:hAnsiTheme="minorHAnsi"/>
              </w:rPr>
              <w:t>.</w:t>
            </w:r>
          </w:p>
        </w:tc>
      </w:tr>
    </w:tbl>
    <w:p w14:paraId="49961E02" w14:textId="77777777" w:rsidR="004F5707" w:rsidRPr="00384484" w:rsidRDefault="004F5707" w:rsidP="00842AA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0A1123" w14:textId="77777777" w:rsidR="004F5707" w:rsidRPr="00384484" w:rsidRDefault="004F5707" w:rsidP="00842AA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404075" w14:textId="77777777" w:rsidR="004F5707" w:rsidRPr="00E41FB6" w:rsidRDefault="00384484" w:rsidP="00842AAF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E41FB6">
        <w:rPr>
          <w:rFonts w:ascii="Arial" w:hAnsi="Arial" w:cs="Arial"/>
          <w:b/>
          <w:color w:val="00B050"/>
          <w:sz w:val="28"/>
          <w:szCs w:val="28"/>
        </w:rPr>
        <w:t>For further information contact</w:t>
      </w:r>
      <w:r w:rsidR="00A44A76" w:rsidRPr="00E41FB6">
        <w:rPr>
          <w:rFonts w:ascii="Arial" w:hAnsi="Arial" w:cs="Arial"/>
          <w:b/>
          <w:color w:val="00B05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484" w14:paraId="16D0048A" w14:textId="77777777" w:rsidTr="00384484">
        <w:tc>
          <w:tcPr>
            <w:tcW w:w="9242" w:type="dxa"/>
          </w:tcPr>
          <w:p w14:paraId="2C691BFC" w14:textId="71AAAB74" w:rsidR="00384177" w:rsidRDefault="00384177" w:rsidP="00384177">
            <w:pPr>
              <w:spacing w:after="0" w:line="240" w:lineRule="auto"/>
              <w:rPr>
                <w:rFonts w:eastAsiaTheme="minorHAnsi"/>
                <w:lang w:eastAsia="en-GB"/>
              </w:rPr>
            </w:pPr>
            <w:r>
              <w:rPr>
                <w:lang w:eastAsia="en-GB"/>
              </w:rPr>
              <w:t>Marianne Paul                                                                     Joe Meloy</w:t>
            </w:r>
          </w:p>
          <w:p w14:paraId="576361E5" w14:textId="49B3EF68" w:rsidR="00384177" w:rsidRDefault="00384177" w:rsidP="0038417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Educational Psychologist                                                   Educational Psychologist</w:t>
            </w:r>
          </w:p>
          <w:p w14:paraId="1AAF75BF" w14:textId="374A0C14" w:rsidR="00384177" w:rsidRDefault="00384177" w:rsidP="0038417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Psychological Service  - North West                                Psychological Service – North East</w:t>
            </w:r>
          </w:p>
          <w:p w14:paraId="5844D4E9" w14:textId="784CE611" w:rsidR="00384177" w:rsidRDefault="00384177" w:rsidP="0038417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c/o Anderston Primary School,                                        c/o Gadburn Campus</w:t>
            </w:r>
          </w:p>
          <w:p w14:paraId="63A8D525" w14:textId="39230121" w:rsidR="00384177" w:rsidRDefault="00384177" w:rsidP="0038417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3 Port Street,                                                                       70 Rockfield Road</w:t>
            </w:r>
          </w:p>
          <w:p w14:paraId="5F05D8DC" w14:textId="0E1D942F" w:rsidR="00384177" w:rsidRDefault="00384177" w:rsidP="00384177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Glasgow, G3 8HY.                                                               Glasgow, G21 3DZ</w:t>
            </w:r>
          </w:p>
          <w:p w14:paraId="7E5D69C0" w14:textId="77777777" w:rsidR="00384177" w:rsidRDefault="00384177" w:rsidP="00384177">
            <w:pPr>
              <w:spacing w:after="0" w:line="240" w:lineRule="auto"/>
              <w:rPr>
                <w:lang w:eastAsia="en-GB"/>
              </w:rPr>
            </w:pPr>
          </w:p>
          <w:p w14:paraId="1BF5B30E" w14:textId="1FCA91EA" w:rsidR="00A44A76" w:rsidRDefault="00384177" w:rsidP="00384177">
            <w:pPr>
              <w:spacing w:after="0" w:line="240" w:lineRule="auto"/>
            </w:pPr>
            <w:r>
              <w:rPr>
                <w:lang w:eastAsia="en-GB"/>
              </w:rPr>
              <w:t>Tel: 0141 276 2070                                                             Tel: 0141 276 2170</w:t>
            </w:r>
          </w:p>
          <w:p w14:paraId="3BE2DECD" w14:textId="6287EEA2" w:rsidR="00384484" w:rsidRDefault="00BE463D" w:rsidP="00336B1D">
            <w:pPr>
              <w:rPr>
                <w:color w:val="1F497D" w:themeColor="dark2"/>
              </w:rPr>
            </w:pPr>
            <w:hyperlink r:id="rId12" w:history="1">
              <w:r w:rsidR="004215D8" w:rsidRPr="007E0386">
                <w:rPr>
                  <w:rStyle w:val="Hyperlink"/>
                </w:rPr>
                <w:t>Marianne.Paul@glasgow.gov.uk</w:t>
              </w:r>
            </w:hyperlink>
            <w:r w:rsidR="004215D8">
              <w:rPr>
                <w:color w:val="1F497D" w:themeColor="dark2"/>
              </w:rPr>
              <w:t xml:space="preserve">                                     </w:t>
            </w:r>
            <w:hyperlink r:id="rId13" w:history="1">
              <w:r w:rsidR="004215D8" w:rsidRPr="007E0386">
                <w:rPr>
                  <w:rStyle w:val="Hyperlink"/>
                </w:rPr>
                <w:t>joe.meloy2@education.glasgow.gov.uk</w:t>
              </w:r>
            </w:hyperlink>
          </w:p>
          <w:p w14:paraId="098A3997" w14:textId="77777777" w:rsidR="00A44A76" w:rsidRPr="00336B1D" w:rsidRDefault="00A44A76" w:rsidP="00336B1D"/>
        </w:tc>
      </w:tr>
    </w:tbl>
    <w:p w14:paraId="31776D2E" w14:textId="77777777" w:rsidR="00A44A76" w:rsidRDefault="00A44A76" w:rsidP="00D525CD"/>
    <w:p w14:paraId="4DA44139" w14:textId="77777777" w:rsidR="00393B0B" w:rsidRPr="00393B0B" w:rsidRDefault="00393B0B" w:rsidP="00393B0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93B0B" w:rsidRPr="00393B0B" w:rsidSect="00E41F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5770" w14:textId="77777777" w:rsidR="00464AE5" w:rsidRDefault="00464AE5">
      <w:pPr>
        <w:spacing w:after="0" w:line="240" w:lineRule="auto"/>
      </w:pPr>
      <w:r>
        <w:separator/>
      </w:r>
    </w:p>
  </w:endnote>
  <w:endnote w:type="continuationSeparator" w:id="0">
    <w:p w14:paraId="1E6D5B44" w14:textId="77777777" w:rsidR="00464AE5" w:rsidRDefault="0046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rning + Teaching Scotlan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D660" w14:textId="46649D67" w:rsidR="00D04BE1" w:rsidRDefault="00BE463D" w:rsidP="00BE463D">
    <w:pPr>
      <w:pStyle w:val="Footer"/>
      <w:jc w:val="center"/>
    </w:pPr>
    <w:fldSimple w:instr=" DOCPROPERTY bjFooterEvenPageDocProperty \* MERGEFORMAT " w:fldLock="1">
      <w:r w:rsidRPr="00BE463D">
        <w:rPr>
          <w:rFonts w:cs="Arial"/>
          <w:b/>
          <w:color w:val="000000"/>
          <w:sz w:val="24"/>
        </w:rPr>
        <w:t>OFFICIAL - SENSITIVE: Personal Data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9C89" w14:textId="60EDAFCD" w:rsidR="00D04BE1" w:rsidRDefault="00BE463D" w:rsidP="00BE463D">
    <w:pPr>
      <w:jc w:val="center"/>
    </w:pPr>
    <w:fldSimple w:instr=" DOCPROPERTY bjFooterBothDocProperty \* MERGEFORMAT " w:fldLock="1">
      <w:r w:rsidRPr="00BE463D">
        <w:rPr>
          <w:rFonts w:ascii="Arial" w:hAnsi="Arial" w:cs="Arial"/>
          <w:b/>
          <w:color w:val="000000"/>
          <w:sz w:val="24"/>
        </w:rPr>
        <w:t>OFFICIAL - SENSITIVE: Personal Data</w:t>
      </w:r>
    </w:fldSimple>
  </w:p>
  <w:tbl>
    <w:tblPr>
      <w:tblW w:w="0" w:type="auto"/>
      <w:tblLook w:val="01E0" w:firstRow="1" w:lastRow="1" w:firstColumn="1" w:lastColumn="1" w:noHBand="0" w:noVBand="0"/>
    </w:tblPr>
    <w:tblGrid>
      <w:gridCol w:w="3536"/>
      <w:gridCol w:w="2576"/>
      <w:gridCol w:w="2914"/>
    </w:tblGrid>
    <w:tr w:rsidR="005249C6" w:rsidRPr="00D3003F" w14:paraId="6F914194" w14:textId="77777777" w:rsidTr="00D04BE1">
      <w:trPr>
        <w:trHeight w:val="170"/>
      </w:trPr>
      <w:tc>
        <w:tcPr>
          <w:tcW w:w="3536" w:type="dxa"/>
        </w:tcPr>
        <w:p w14:paraId="21FE5A94" w14:textId="77777777" w:rsidR="00D04BE1" w:rsidRDefault="00D04BE1" w:rsidP="00C53374">
          <w:pPr>
            <w:pStyle w:val="Footer"/>
            <w:rPr>
              <w:sz w:val="18"/>
              <w:szCs w:val="18"/>
            </w:rPr>
          </w:pPr>
        </w:p>
        <w:p w14:paraId="65659422" w14:textId="3BAAC96E" w:rsidR="005249C6" w:rsidRPr="00E41938" w:rsidRDefault="00E41FB6" w:rsidP="00C53374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Research Summery 2020</w:t>
          </w:r>
        </w:p>
      </w:tc>
      <w:tc>
        <w:tcPr>
          <w:tcW w:w="2576" w:type="dxa"/>
        </w:tcPr>
        <w:p w14:paraId="04F0D79D" w14:textId="77777777" w:rsidR="005249C6" w:rsidRPr="00E41938" w:rsidRDefault="005249C6" w:rsidP="003778BF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2914" w:type="dxa"/>
        </w:tcPr>
        <w:p w14:paraId="268C4DCC" w14:textId="77777777" w:rsidR="005249C6" w:rsidRPr="00E41938" w:rsidRDefault="005249C6" w:rsidP="00C0310E">
          <w:pPr>
            <w:pStyle w:val="Footer"/>
            <w:rPr>
              <w:sz w:val="18"/>
              <w:szCs w:val="18"/>
            </w:rPr>
          </w:pPr>
        </w:p>
      </w:tc>
    </w:tr>
  </w:tbl>
  <w:p w14:paraId="328DCCFE" w14:textId="77777777" w:rsidR="005249C6" w:rsidRDefault="005249C6" w:rsidP="005F67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EAA53" w14:textId="77777777" w:rsidR="00BE463D" w:rsidRDefault="00BE4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E278F" w14:textId="77777777" w:rsidR="00464AE5" w:rsidRDefault="00464AE5">
      <w:pPr>
        <w:spacing w:after="0" w:line="240" w:lineRule="auto"/>
      </w:pPr>
      <w:r>
        <w:separator/>
      </w:r>
    </w:p>
  </w:footnote>
  <w:footnote w:type="continuationSeparator" w:id="0">
    <w:p w14:paraId="2DDDF3F4" w14:textId="77777777" w:rsidR="00464AE5" w:rsidRDefault="0046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5F98" w14:textId="1CB59FCB" w:rsidR="00D04BE1" w:rsidRDefault="00BE463D" w:rsidP="00BE463D">
    <w:pPr>
      <w:pStyle w:val="Header"/>
      <w:jc w:val="center"/>
    </w:pPr>
    <w:fldSimple w:instr=" DOCPROPERTY bjHeaderEvenPageDocProperty \* MERGEFORMAT " w:fldLock="1">
      <w:r w:rsidRPr="00BE463D">
        <w:rPr>
          <w:rFonts w:cs="Arial"/>
          <w:color w:val="000000"/>
          <w:sz w:val="24"/>
        </w:rPr>
        <w:t>OFFICIAL - SENSITIVE: Personal Data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6ED0" w14:textId="10A492F7" w:rsidR="00D04BE1" w:rsidRDefault="00BE463D" w:rsidP="00BE463D">
    <w:pPr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 - SENSITIVE: Personal Data</w:t>
    </w:r>
    <w:r>
      <w:rPr>
        <w:rFonts w:ascii="Arial" w:hAnsi="Arial" w:cs="Arial"/>
        <w:b/>
        <w:color w:val="000000"/>
        <w:sz w:val="24"/>
      </w:rPr>
      <w:fldChar w:fldCharType="end"/>
    </w:r>
  </w:p>
  <w:tbl>
    <w:tblPr>
      <w:tblW w:w="8616" w:type="dxa"/>
      <w:tblLayout w:type="fixed"/>
      <w:tblLook w:val="01E0" w:firstRow="1" w:lastRow="1" w:firstColumn="1" w:lastColumn="1" w:noHBand="0" w:noVBand="0"/>
    </w:tblPr>
    <w:tblGrid>
      <w:gridCol w:w="7128"/>
      <w:gridCol w:w="1488"/>
    </w:tblGrid>
    <w:tr w:rsidR="005249C6" w14:paraId="2C54B794" w14:textId="77777777" w:rsidTr="003778BF">
      <w:tc>
        <w:tcPr>
          <w:tcW w:w="7128" w:type="dxa"/>
        </w:tcPr>
        <w:p w14:paraId="2081C4DF" w14:textId="77777777" w:rsidR="00D04BE1" w:rsidRDefault="00D04BE1"/>
        <w:p w14:paraId="2D9230BE" w14:textId="62BA4F51" w:rsidR="005249C6" w:rsidRDefault="003C14D9">
          <w:r>
            <w:rPr>
              <w:noProof/>
              <w:lang w:eastAsia="en-GB"/>
            </w:rPr>
            <w:drawing>
              <wp:inline distT="0" distB="0" distL="0" distR="0" wp14:anchorId="2D8C8AD2" wp14:editId="136D52BE">
                <wp:extent cx="1443215" cy="81915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21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C64BF0A" w14:textId="77777777" w:rsidR="005249C6" w:rsidRPr="00E8589C" w:rsidRDefault="005249C6" w:rsidP="00E12E31">
          <w:pPr>
            <w:pStyle w:val="Header"/>
            <w:spacing w:after="0" w:line="240" w:lineRule="auto"/>
            <w:rPr>
              <w:sz w:val="24"/>
            </w:rPr>
          </w:pPr>
        </w:p>
        <w:p w14:paraId="2001D08E" w14:textId="77777777" w:rsidR="005249C6" w:rsidRPr="008E217C" w:rsidRDefault="005249C6" w:rsidP="00842AAF">
          <w:pPr>
            <w:pStyle w:val="Header"/>
            <w:spacing w:after="0" w:line="240" w:lineRule="auto"/>
            <w:rPr>
              <w:sz w:val="24"/>
            </w:rPr>
          </w:pPr>
        </w:p>
      </w:tc>
      <w:tc>
        <w:tcPr>
          <w:tcW w:w="1488" w:type="dxa"/>
        </w:tcPr>
        <w:p w14:paraId="00AA9CF9" w14:textId="77777777" w:rsidR="005249C6" w:rsidRPr="008E217C" w:rsidRDefault="005249C6">
          <w:pPr>
            <w:pStyle w:val="Header"/>
            <w:rPr>
              <w:sz w:val="24"/>
            </w:rPr>
          </w:pPr>
        </w:p>
      </w:tc>
    </w:tr>
  </w:tbl>
  <w:p w14:paraId="4913684E" w14:textId="77777777" w:rsidR="005249C6" w:rsidRPr="00FB7AF8" w:rsidRDefault="005249C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04E3" w14:textId="77777777" w:rsidR="00BE463D" w:rsidRDefault="00BE4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C2A"/>
    <w:multiLevelType w:val="hybridMultilevel"/>
    <w:tmpl w:val="C4BAA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817F3"/>
    <w:multiLevelType w:val="hybridMultilevel"/>
    <w:tmpl w:val="A42A48B4"/>
    <w:lvl w:ilvl="0" w:tplc="7898041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1AF7"/>
    <w:multiLevelType w:val="hybridMultilevel"/>
    <w:tmpl w:val="CB6CAC18"/>
    <w:lvl w:ilvl="0" w:tplc="65224732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65CC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4E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44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E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1AB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08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C0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84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955ED"/>
    <w:multiLevelType w:val="hybridMultilevel"/>
    <w:tmpl w:val="45F0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71E7"/>
    <w:multiLevelType w:val="hybridMultilevel"/>
    <w:tmpl w:val="D35C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1F19"/>
    <w:multiLevelType w:val="hybridMultilevel"/>
    <w:tmpl w:val="9166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F"/>
    <w:rsid w:val="0000538C"/>
    <w:rsid w:val="00013CE8"/>
    <w:rsid w:val="000223EA"/>
    <w:rsid w:val="00067262"/>
    <w:rsid w:val="000A4E0F"/>
    <w:rsid w:val="000B3E32"/>
    <w:rsid w:val="000C345F"/>
    <w:rsid w:val="001057CB"/>
    <w:rsid w:val="001067DE"/>
    <w:rsid w:val="00133171"/>
    <w:rsid w:val="001441BA"/>
    <w:rsid w:val="001728F1"/>
    <w:rsid w:val="001D1448"/>
    <w:rsid w:val="001E36EB"/>
    <w:rsid w:val="0021207F"/>
    <w:rsid w:val="002451AC"/>
    <w:rsid w:val="0025321D"/>
    <w:rsid w:val="00271F73"/>
    <w:rsid w:val="002A0B57"/>
    <w:rsid w:val="00322AD0"/>
    <w:rsid w:val="00336B1D"/>
    <w:rsid w:val="0034453A"/>
    <w:rsid w:val="003778BF"/>
    <w:rsid w:val="00384177"/>
    <w:rsid w:val="00384484"/>
    <w:rsid w:val="00393B0B"/>
    <w:rsid w:val="003B5661"/>
    <w:rsid w:val="003C14D9"/>
    <w:rsid w:val="00405A79"/>
    <w:rsid w:val="00406ED8"/>
    <w:rsid w:val="00415E5C"/>
    <w:rsid w:val="004215D8"/>
    <w:rsid w:val="00447608"/>
    <w:rsid w:val="00452483"/>
    <w:rsid w:val="00464AE5"/>
    <w:rsid w:val="004A3B05"/>
    <w:rsid w:val="004B00DE"/>
    <w:rsid w:val="004F5707"/>
    <w:rsid w:val="00501478"/>
    <w:rsid w:val="00512798"/>
    <w:rsid w:val="00512952"/>
    <w:rsid w:val="00520BF0"/>
    <w:rsid w:val="005249C6"/>
    <w:rsid w:val="005A774E"/>
    <w:rsid w:val="005B31FA"/>
    <w:rsid w:val="005F1D70"/>
    <w:rsid w:val="005F6701"/>
    <w:rsid w:val="00606FAD"/>
    <w:rsid w:val="006547AD"/>
    <w:rsid w:val="00661C50"/>
    <w:rsid w:val="006A063B"/>
    <w:rsid w:val="006B4DBD"/>
    <w:rsid w:val="006D276E"/>
    <w:rsid w:val="006F5124"/>
    <w:rsid w:val="00733D87"/>
    <w:rsid w:val="00741029"/>
    <w:rsid w:val="00750A94"/>
    <w:rsid w:val="00765564"/>
    <w:rsid w:val="007E3D35"/>
    <w:rsid w:val="007F373C"/>
    <w:rsid w:val="008064B8"/>
    <w:rsid w:val="00842AAF"/>
    <w:rsid w:val="00844527"/>
    <w:rsid w:val="008A7E67"/>
    <w:rsid w:val="008D6A0E"/>
    <w:rsid w:val="008E217C"/>
    <w:rsid w:val="008E50F7"/>
    <w:rsid w:val="009001F7"/>
    <w:rsid w:val="009778AF"/>
    <w:rsid w:val="009A5D85"/>
    <w:rsid w:val="009A5E53"/>
    <w:rsid w:val="009B3A93"/>
    <w:rsid w:val="009B6AC0"/>
    <w:rsid w:val="009D36A2"/>
    <w:rsid w:val="009F2C47"/>
    <w:rsid w:val="00A12369"/>
    <w:rsid w:val="00A20D78"/>
    <w:rsid w:val="00A2689E"/>
    <w:rsid w:val="00A436DD"/>
    <w:rsid w:val="00A44A76"/>
    <w:rsid w:val="00B0249D"/>
    <w:rsid w:val="00B224BF"/>
    <w:rsid w:val="00B36B3B"/>
    <w:rsid w:val="00BA3E35"/>
    <w:rsid w:val="00BD3E44"/>
    <w:rsid w:val="00BE1DEF"/>
    <w:rsid w:val="00BE463D"/>
    <w:rsid w:val="00C0310E"/>
    <w:rsid w:val="00C1144C"/>
    <w:rsid w:val="00C2591F"/>
    <w:rsid w:val="00C51E36"/>
    <w:rsid w:val="00C53374"/>
    <w:rsid w:val="00C603B7"/>
    <w:rsid w:val="00C748CC"/>
    <w:rsid w:val="00C936F2"/>
    <w:rsid w:val="00CE2242"/>
    <w:rsid w:val="00D04BE1"/>
    <w:rsid w:val="00D33A7B"/>
    <w:rsid w:val="00D41E77"/>
    <w:rsid w:val="00D525CD"/>
    <w:rsid w:val="00D70A0C"/>
    <w:rsid w:val="00D97960"/>
    <w:rsid w:val="00DB282F"/>
    <w:rsid w:val="00DC68F6"/>
    <w:rsid w:val="00DD2144"/>
    <w:rsid w:val="00E12E31"/>
    <w:rsid w:val="00E26323"/>
    <w:rsid w:val="00E41938"/>
    <w:rsid w:val="00E41FB6"/>
    <w:rsid w:val="00E45897"/>
    <w:rsid w:val="00E8589C"/>
    <w:rsid w:val="00ED142F"/>
    <w:rsid w:val="00F62576"/>
    <w:rsid w:val="00F75181"/>
    <w:rsid w:val="00FB7AF8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6A2472"/>
  <w15:docId w15:val="{20C79D54-D6CE-4601-AD0A-C028910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380"/>
      </w:tabs>
      <w:spacing w:line="288" w:lineRule="auto"/>
      <w:ind w:left="5940"/>
      <w:outlineLvl w:val="0"/>
    </w:pPr>
    <w:rPr>
      <w:rFonts w:ascii="Arial" w:eastAsia="Times New Roman" w:hAnsi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88" w:lineRule="auto"/>
    </w:pPr>
    <w:rPr>
      <w:rFonts w:ascii="Arial" w:eastAsia="Times New Roman" w:hAnsi="Arial"/>
      <w:b/>
      <w:bCs/>
      <w:spacing w:val="20"/>
      <w:sz w:val="36"/>
      <w:szCs w:val="24"/>
    </w:rPr>
  </w:style>
  <w:style w:type="paragraph" w:styleId="Footer">
    <w:name w:val="footer"/>
    <w:basedOn w:val="Normal"/>
    <w:pPr>
      <w:tabs>
        <w:tab w:val="center" w:pos="4153"/>
        <w:tab w:val="right" w:pos="8460"/>
      </w:tabs>
      <w:spacing w:line="288" w:lineRule="auto"/>
    </w:pPr>
    <w:rPr>
      <w:rFonts w:ascii="Arial" w:eastAsia="Times New Roman" w:hAnsi="Arial"/>
      <w:sz w:val="16"/>
      <w:szCs w:val="24"/>
    </w:rPr>
  </w:style>
  <w:style w:type="paragraph" w:customStyle="1" w:styleId="Logo">
    <w:name w:val="Logo"/>
    <w:basedOn w:val="Normal"/>
    <w:pPr>
      <w:spacing w:line="288" w:lineRule="auto"/>
    </w:pPr>
    <w:rPr>
      <w:rFonts w:ascii="Learning + Teaching Scotland" w:eastAsia="Times New Roman" w:hAnsi="Learning + Teaching Scotland"/>
      <w:sz w:val="196"/>
      <w:szCs w:val="24"/>
    </w:rPr>
  </w:style>
  <w:style w:type="paragraph" w:customStyle="1" w:styleId="RO">
    <w:name w:val="RO"/>
    <w:basedOn w:val="Normal"/>
    <w:pPr>
      <w:spacing w:line="288" w:lineRule="auto"/>
      <w:ind w:left="-720"/>
      <w:jc w:val="right"/>
    </w:pPr>
    <w:rPr>
      <w:rFonts w:ascii="Arial" w:eastAsia="Times New Roman" w:hAnsi="Arial"/>
      <w:sz w:val="13"/>
      <w:szCs w:val="24"/>
    </w:rPr>
  </w:style>
  <w:style w:type="paragraph" w:customStyle="1" w:styleId="SL">
    <w:name w:val="SL"/>
    <w:basedOn w:val="Normal"/>
    <w:pPr>
      <w:spacing w:line="288" w:lineRule="auto"/>
      <w:jc w:val="right"/>
    </w:pPr>
    <w:rPr>
      <w:rFonts w:ascii="Arial" w:eastAsia="Times New Roman" w:hAnsi="Arial"/>
      <w:b/>
      <w:bCs/>
      <w:sz w:val="16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OL">
    <w:name w:val="OL"/>
    <w:basedOn w:val="Normal"/>
    <w:pPr>
      <w:spacing w:line="288" w:lineRule="auto"/>
      <w:jc w:val="right"/>
    </w:pPr>
    <w:rPr>
      <w:rFonts w:ascii="Arial" w:eastAsia="Times New Roman" w:hAnsi="Arial"/>
      <w:sz w:val="16"/>
      <w:szCs w:val="24"/>
    </w:rPr>
  </w:style>
  <w:style w:type="paragraph" w:styleId="Title">
    <w:name w:val="Title"/>
    <w:basedOn w:val="Normal"/>
    <w:link w:val="TitleChar"/>
    <w:qFormat/>
    <w:pPr>
      <w:spacing w:before="240" w:after="60" w:line="288" w:lineRule="auto"/>
      <w:outlineLvl w:val="0"/>
    </w:pPr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SCD">
    <w:name w:val="SCD"/>
    <w:basedOn w:val="Normal"/>
    <w:pPr>
      <w:spacing w:after="0" w:line="288" w:lineRule="auto"/>
    </w:pPr>
    <w:rPr>
      <w:rFonts w:ascii="Arial" w:eastAsia="Times New Roman" w:hAnsi="Arial"/>
      <w:sz w:val="16"/>
      <w:szCs w:val="24"/>
    </w:rPr>
  </w:style>
  <w:style w:type="paragraph" w:customStyle="1" w:styleId="NL">
    <w:name w:val="NL"/>
    <w:basedOn w:val="Normal"/>
    <w:pPr>
      <w:numPr>
        <w:numId w:val="1"/>
      </w:numPr>
      <w:tabs>
        <w:tab w:val="clear" w:pos="360"/>
        <w:tab w:val="num" w:pos="540"/>
      </w:tabs>
      <w:spacing w:line="288" w:lineRule="auto"/>
      <w:ind w:left="540" w:hanging="540"/>
    </w:pPr>
    <w:rPr>
      <w:rFonts w:ascii="Arial" w:eastAsia="Times New Roman" w:hAnsi="Arial"/>
      <w:sz w:val="20"/>
      <w:szCs w:val="24"/>
    </w:rPr>
  </w:style>
  <w:style w:type="paragraph" w:customStyle="1" w:styleId="SD">
    <w:name w:val="SD"/>
    <w:basedOn w:val="Normal"/>
    <w:pPr>
      <w:spacing w:line="288" w:lineRule="auto"/>
    </w:pPr>
    <w:rPr>
      <w:rFonts w:ascii="Arial" w:eastAsia="Times New Roman" w:hAnsi="Arial"/>
      <w:b/>
      <w:bCs/>
      <w:sz w:val="20"/>
      <w:szCs w:val="24"/>
    </w:rPr>
  </w:style>
  <w:style w:type="paragraph" w:customStyle="1" w:styleId="SN">
    <w:name w:val="SN"/>
    <w:basedOn w:val="SD"/>
    <w:pPr>
      <w:spacing w:before="1200" w:after="0"/>
    </w:pPr>
    <w:rPr>
      <w:b w:val="0"/>
      <w:bCs w:val="0"/>
    </w:rPr>
  </w:style>
  <w:style w:type="paragraph" w:customStyle="1" w:styleId="AI">
    <w:name w:val="AI"/>
    <w:basedOn w:val="NL"/>
    <w:pPr>
      <w:spacing w:before="200" w:after="0"/>
      <w:ind w:left="539" w:hanging="539"/>
    </w:pPr>
    <w:rPr>
      <w:b/>
      <w:bCs/>
    </w:rPr>
  </w:style>
  <w:style w:type="paragraph" w:customStyle="1" w:styleId="AID">
    <w:name w:val="AID"/>
    <w:basedOn w:val="AI"/>
    <w:pPr>
      <w:numPr>
        <w:numId w:val="0"/>
      </w:numPr>
      <w:tabs>
        <w:tab w:val="left" w:pos="7380"/>
        <w:tab w:val="left" w:pos="8640"/>
      </w:tabs>
      <w:spacing w:before="0" w:after="200"/>
      <w:ind w:left="539" w:right="840"/>
    </w:pPr>
    <w:rPr>
      <w:b w:val="0"/>
      <w:bCs w:val="0"/>
    </w:rPr>
  </w:style>
  <w:style w:type="character" w:styleId="PageNumber">
    <w:name w:val="page number"/>
    <w:basedOn w:val="DefaultParagraphFont"/>
  </w:style>
  <w:style w:type="paragraph" w:customStyle="1" w:styleId="AH">
    <w:name w:val="AH"/>
    <w:basedOn w:val="Normal"/>
    <w:pPr>
      <w:keepNext/>
      <w:tabs>
        <w:tab w:val="left" w:pos="8640"/>
      </w:tabs>
      <w:spacing w:line="288" w:lineRule="auto"/>
      <w:ind w:left="7380" w:right="-1320"/>
      <w:outlineLvl w:val="0"/>
    </w:pPr>
    <w:rPr>
      <w:rFonts w:ascii="Arial" w:eastAsia="Times New Roman" w:hAnsi="Arial"/>
      <w:b/>
      <w:bCs/>
      <w:sz w:val="20"/>
      <w:szCs w:val="24"/>
    </w:rPr>
  </w:style>
  <w:style w:type="character" w:customStyle="1" w:styleId="AD">
    <w:name w:val="AD"/>
    <w:rPr>
      <w:sz w:val="16"/>
    </w:rPr>
  </w:style>
  <w:style w:type="paragraph" w:customStyle="1" w:styleId="MA">
    <w:name w:val="MA"/>
    <w:basedOn w:val="NL"/>
    <w:pPr>
      <w:numPr>
        <w:numId w:val="0"/>
      </w:numPr>
    </w:pPr>
    <w:rPr>
      <w:b/>
      <w:bCs/>
      <w:sz w:val="16"/>
    </w:rPr>
  </w:style>
  <w:style w:type="paragraph" w:customStyle="1" w:styleId="Faxdetail">
    <w:name w:val="Fax detail"/>
    <w:basedOn w:val="Normal"/>
    <w:pPr>
      <w:spacing w:after="40" w:line="240" w:lineRule="auto"/>
    </w:pPr>
    <w:rPr>
      <w:rFonts w:ascii="Arial" w:eastAsia="Times New Roman" w:hAnsi="Arial"/>
      <w:sz w:val="20"/>
      <w:szCs w:val="24"/>
    </w:rPr>
  </w:style>
  <w:style w:type="paragraph" w:customStyle="1" w:styleId="MD">
    <w:name w:val="MD"/>
    <w:basedOn w:val="Faxdetail"/>
    <w:rPr>
      <w:b/>
      <w:bCs/>
    </w:rPr>
  </w:style>
  <w:style w:type="table" w:styleId="TableGrid">
    <w:name w:val="Table Grid"/>
    <w:basedOn w:val="TableNormal"/>
    <w:rsid w:val="00FB7AF8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798"/>
    <w:pPr>
      <w:spacing w:line="288" w:lineRule="auto"/>
    </w:pPr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C51E36"/>
    <w:rPr>
      <w:b/>
      <w:bCs/>
    </w:rPr>
  </w:style>
  <w:style w:type="character" w:customStyle="1" w:styleId="TitleChar">
    <w:name w:val="Title Char"/>
    <w:link w:val="Title"/>
    <w:rsid w:val="00C53374"/>
    <w:rPr>
      <w:rFonts w:ascii="Arial" w:hAnsi="Arial" w:cs="Arial"/>
      <w:b/>
      <w:bCs/>
      <w:kern w:val="28"/>
      <w:sz w:val="36"/>
      <w:szCs w:val="3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36B1D"/>
    <w:rPr>
      <w:i/>
      <w:iCs/>
    </w:rPr>
  </w:style>
  <w:style w:type="paragraph" w:styleId="NoSpacing">
    <w:name w:val="No Spacing"/>
    <w:uiPriority w:val="1"/>
    <w:qFormat/>
    <w:rsid w:val="00336B1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93B0B"/>
    <w:pPr>
      <w:ind w:left="720"/>
      <w:contextualSpacing/>
    </w:pPr>
  </w:style>
  <w:style w:type="character" w:customStyle="1" w:styleId="reference-text">
    <w:name w:val="reference-text"/>
    <w:basedOn w:val="DefaultParagraphFont"/>
    <w:rsid w:val="004215D8"/>
  </w:style>
  <w:style w:type="character" w:customStyle="1" w:styleId="nlmyear">
    <w:name w:val="nlm_year"/>
    <w:basedOn w:val="DefaultParagraphFont"/>
    <w:rsid w:val="00DD2144"/>
  </w:style>
  <w:style w:type="character" w:customStyle="1" w:styleId="nlmarticle-title">
    <w:name w:val="nlm_article-title"/>
    <w:basedOn w:val="DefaultParagraphFont"/>
    <w:rsid w:val="00DD2144"/>
  </w:style>
  <w:style w:type="character" w:customStyle="1" w:styleId="nlmpublisher-name">
    <w:name w:val="nlm_publisher-name"/>
    <w:basedOn w:val="DefaultParagraphFont"/>
    <w:rsid w:val="00DD2144"/>
  </w:style>
  <w:style w:type="character" w:customStyle="1" w:styleId="nlmpublisher-loc">
    <w:name w:val="nlm_publisher-loc"/>
    <w:basedOn w:val="DefaultParagraphFont"/>
    <w:rsid w:val="00DD2144"/>
  </w:style>
  <w:style w:type="character" w:customStyle="1" w:styleId="nlmmonth">
    <w:name w:val="nlm_month"/>
    <w:basedOn w:val="DefaultParagraphFont"/>
    <w:rsid w:val="00DD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e.meloy2@education.glasgow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Marianne.Paul@glasgow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A23350500</value>
    </field>
    <field name="Objective-Title">
      <value order="0">Action Enquiry - Education Scotland - Summary Report - Glasgow Council - Exploration of potential mediating factors in closing the attainment gap - Joe Meloy</value>
    </field>
    <field name="Objective-Description">
      <value order="0"/>
    </field>
    <field name="Objective-CreationStamp">
      <value order="0">2019-02-01T09:35:39Z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2019-02-11T08:35:19Z</value>
    </field>
    <field name="Objective-Owner">
      <value order="0">Sinclair, Fiona F (U418908)</value>
    </field>
    <field name="Objective-Path">
      <value order="0">Objective Global Folder:SG File Plan:Education, careers and employment:Education and skills:Education Establishment Inspections:Casework: Education and skills - Education Establishment Inspections - Part 2 (2017-):Education Scotland: Authorities: Education Psychological Services (EPS): Action Enquiry Group: 2017-2022</value>
    </field>
    <field name="Objective-Parent">
      <value order="0">Education Scotland: Authorities: Education Psychological Services (EPS): Action Enquiry Group: 2017-2022</value>
    </field>
    <field name="Objective-State">
      <value order="0">Being Drafted</value>
    </field>
    <field name="Objective-VersionId">
      <value order="0">vA33231178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PROJ/12805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1E429D02E041A36574A8A848EC83" ma:contentTypeVersion="0" ma:contentTypeDescription="Create a new document." ma:contentTypeScope="" ma:versionID="48f73204b1e8d9e8c62883a684724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69a946b-a7de-4dda-87be-dc950cd6e227" value=""/>
  <element uid="a63034f1-202c-44b6-86a4-bc806f442829" value=""/>
  <element uid="6a4e5c3a-656a-4e9c-bd20-e36013bcf373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3D06E7DF-29DD-417F-A400-CD90724D8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7255C-7520-48C7-BBE6-EFA5A53C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7FF6B-BA9C-4191-9304-8EC9C1BF9B98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8A92E21-F1AF-4A50-B635-7489759D80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LT Scotland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n310074</dc:creator>
  <cp:keywords>[OFFICIAL - SENSITIVE/Personal Data]</cp:keywords>
  <cp:lastModifiedBy>Paul, Marianne</cp:lastModifiedBy>
  <cp:revision>3</cp:revision>
  <cp:lastPrinted>2012-03-01T12:49:00Z</cp:lastPrinted>
  <dcterms:created xsi:type="dcterms:W3CDTF">2020-03-23T11:21:00Z</dcterms:created>
  <dcterms:modified xsi:type="dcterms:W3CDTF">2020-03-23T11:38:00Z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A23350500</vt:lpwstr>
  </property>
  <property fmtid="{D5CDD505-2E9C-101B-9397-08002B2CF9AE}" pid="4" name="Objective-Title">
    <vt:lpwstr>Action Enquiry - Education Scotland - Summary Report - Glasgow Council - Exploration of potential mediating factors in closing the attainment gap - Joe Meloy</vt:lpwstr>
  </property>
  <property fmtid="{D5CDD505-2E9C-101B-9397-08002B2CF9AE}" pid="5" name="Objective-Description">
    <vt:lpwstr/>
  </property>
  <property fmtid="{D5CDD505-2E9C-101B-9397-08002B2CF9AE}" pid="6" name="Objective-CreationStamp">
    <vt:filetime>2019-02-01T09:35:43Z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2019-02-11T08:35:19Z</vt:filetime>
  </property>
  <property fmtid="{D5CDD505-2E9C-101B-9397-08002B2CF9AE}" pid="11" name="Objective-Owner">
    <vt:lpwstr>Sinclair, Fiona F (U418908)</vt:lpwstr>
  </property>
  <property fmtid="{D5CDD505-2E9C-101B-9397-08002B2CF9AE}" pid="12" name="Objective-Path">
    <vt:lpwstr>Objective Global Folder:SG File Plan:Education, careers and employment:Education and skills:Education Establishment Inspections:Casework: Education and skills - Education Establishment Inspections - Part 2 (2017-):Education Scotland: Authorities: Educatio</vt:lpwstr>
  </property>
  <property fmtid="{D5CDD505-2E9C-101B-9397-08002B2CF9AE}" pid="13" name="Objective-Parent">
    <vt:lpwstr>Education Scotland: Authorities: Education Psychological Services (EPS): Action Enquiry Group: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vA33231178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docIndexRef">
    <vt:lpwstr>a2dafe4c-b176-40ee-933e-09acf7aa947c</vt:lpwstr>
  </property>
  <property fmtid="{D5CDD505-2E9C-101B-9397-08002B2CF9AE}" pid="34" name="bjSaver">
    <vt:lpwstr>W+qI3x02owiVQ4Xm9CQ9A4PwS4e+9Zy5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36" name="bjDocumentLabelXML-0">
    <vt:lpwstr>ames.com/2008/01/sie/internal/label"&gt;&lt;element uid="d69a946b-a7de-4dda-87be-dc950cd6e227" value="" /&gt;&lt;element uid="a63034f1-202c-44b6-86a4-bc806f442829" value="" /&gt;&lt;element uid="6a4e5c3a-656a-4e9c-bd20-e36013bcf373" value="" /&gt;&lt;/sisl&gt;</vt:lpwstr>
  </property>
  <property fmtid="{D5CDD505-2E9C-101B-9397-08002B2CF9AE}" pid="37" name="bjDocumentSecurityLabel">
    <vt:lpwstr>OFFICIAL - SENSITIVE: Personal Data</vt:lpwstr>
  </property>
  <property fmtid="{D5CDD505-2E9C-101B-9397-08002B2CF9AE}" pid="38" name="gcc-meta-protectivemarking">
    <vt:lpwstr>[OFFICIAL - SENSITIVE/Personal Data]</vt:lpwstr>
  </property>
  <property fmtid="{D5CDD505-2E9C-101B-9397-08002B2CF9AE}" pid="39" name="bjHeaderBothDocProperty">
    <vt:lpwstr>OFFICIAL - SENSITIVE: Personal Data</vt:lpwstr>
  </property>
  <property fmtid="{D5CDD505-2E9C-101B-9397-08002B2CF9AE}" pid="40" name="bjHeaderEvenPageDocProperty">
    <vt:lpwstr>OFFICIAL - SENSITIVE: Personal Data</vt:lpwstr>
  </property>
  <property fmtid="{D5CDD505-2E9C-101B-9397-08002B2CF9AE}" pid="41" name="bjFooterBothDocProperty">
    <vt:lpwstr>OFFICIAL - SENSITIVE: Personal Data</vt:lpwstr>
  </property>
  <property fmtid="{D5CDD505-2E9C-101B-9397-08002B2CF9AE}" pid="42" name="bjFooterEvenPageDocProperty">
    <vt:lpwstr>OFFICIAL - SENSITIVE: Personal Data</vt:lpwstr>
  </property>
</Properties>
</file>