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24B7" w14:textId="2E4FDB9C" w:rsidR="00327F99" w:rsidRPr="0092072C" w:rsidRDefault="00327F99" w:rsidP="0092072C">
      <w:pPr>
        <w:spacing w:before="100" w:beforeAutospacing="1" w:after="100" w:afterAutospacing="1" w:line="315" w:lineRule="atLeast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val="en" w:eastAsia="en-GB"/>
        </w:rPr>
      </w:pPr>
      <w:r w:rsidRPr="0092072C">
        <w:rPr>
          <w:rFonts w:ascii="Arial" w:eastAsia="Times New Roman" w:hAnsi="Arial" w:cs="Arial"/>
          <w:b/>
          <w:sz w:val="20"/>
          <w:szCs w:val="20"/>
          <w:lang w:val="en" w:eastAsia="en-GB"/>
        </w:rPr>
        <w:t>FUNDED EARLY LEARNING AND CHILDCARE – 2 YEAR OLDS</w:t>
      </w:r>
      <w:r w:rsidR="00CF374F">
        <w:rPr>
          <w:rFonts w:ascii="Arial" w:eastAsia="Times New Roman" w:hAnsi="Arial" w:cs="Arial"/>
          <w:b/>
          <w:sz w:val="20"/>
          <w:szCs w:val="20"/>
          <w:lang w:val="en" w:eastAsia="en-GB"/>
        </w:rPr>
        <w:t xml:space="preserve">  WEF 1 APRIL 202</w:t>
      </w:r>
      <w:r w:rsidR="00941106">
        <w:rPr>
          <w:rFonts w:ascii="Arial" w:eastAsia="Times New Roman" w:hAnsi="Arial" w:cs="Arial"/>
          <w:b/>
          <w:sz w:val="20"/>
          <w:szCs w:val="20"/>
          <w:lang w:val="en" w:eastAsia="en-GB"/>
        </w:rPr>
        <w:t>4</w:t>
      </w:r>
    </w:p>
    <w:p w14:paraId="543324B8" w14:textId="77777777" w:rsidR="0092072C" w:rsidRPr="0092072C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Funded early learning and childcare is free to parents</w:t>
      </w:r>
      <w:r w:rsidR="005D2824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  <w:r w:rsidR="00CE4271">
        <w:rPr>
          <w:rFonts w:ascii="Arial" w:eastAsia="Times New Roman" w:hAnsi="Arial" w:cs="Arial"/>
          <w:sz w:val="20"/>
          <w:szCs w:val="20"/>
          <w:lang w:val="en" w:eastAsia="en-GB"/>
        </w:rPr>
        <w:t xml:space="preserve">as the costs are met </w:t>
      </w:r>
      <w:r w:rsidRPr="0092072C">
        <w:rPr>
          <w:rFonts w:ascii="Arial" w:eastAsia="Times New Roman" w:hAnsi="Arial" w:cs="Arial"/>
          <w:sz w:val="20"/>
          <w:szCs w:val="20"/>
          <w:lang w:val="en" w:eastAsia="en-GB"/>
        </w:rPr>
        <w:t xml:space="preserve">by the Scottish Government.  </w:t>
      </w:r>
    </w:p>
    <w:p w14:paraId="543324B9" w14:textId="77777777" w:rsidR="0092072C" w:rsidRPr="0092072C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324BA" w14:textId="77777777" w:rsidR="0092072C" w:rsidRPr="0092072C" w:rsidRDefault="00EC4CA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Accordance with Scottish Government legislation </w:t>
      </w:r>
      <w:r w:rsidR="0092072C" w:rsidRPr="0092072C">
        <w:rPr>
          <w:rFonts w:ascii="Arial" w:hAnsi="Arial" w:cs="Arial"/>
          <w:sz w:val="20"/>
          <w:szCs w:val="20"/>
        </w:rPr>
        <w:t>from August 202</w:t>
      </w:r>
      <w:r>
        <w:rPr>
          <w:rFonts w:ascii="Arial" w:hAnsi="Arial" w:cs="Arial"/>
          <w:sz w:val="20"/>
          <w:szCs w:val="20"/>
        </w:rPr>
        <w:t>1</w:t>
      </w:r>
      <w:r w:rsidR="0092072C" w:rsidRPr="0092072C">
        <w:rPr>
          <w:rFonts w:ascii="Arial" w:hAnsi="Arial" w:cs="Arial"/>
          <w:sz w:val="20"/>
          <w:szCs w:val="20"/>
        </w:rPr>
        <w:t xml:space="preserve">, eligible 2 year olds </w:t>
      </w:r>
      <w:r w:rsidR="00690AF4">
        <w:rPr>
          <w:rFonts w:ascii="Arial" w:hAnsi="Arial" w:cs="Arial"/>
          <w:sz w:val="20"/>
          <w:szCs w:val="20"/>
        </w:rPr>
        <w:t>will</w:t>
      </w:r>
      <w:r w:rsidR="0092072C" w:rsidRPr="0092072C">
        <w:rPr>
          <w:rFonts w:ascii="Arial" w:hAnsi="Arial" w:cs="Arial"/>
          <w:sz w:val="20"/>
          <w:szCs w:val="20"/>
        </w:rPr>
        <w:t xml:space="preserve"> be able to access up to 1140 hours </w:t>
      </w:r>
      <w:r w:rsidR="00A60EFC">
        <w:rPr>
          <w:rFonts w:ascii="Arial" w:hAnsi="Arial" w:cs="Arial"/>
          <w:sz w:val="20"/>
          <w:szCs w:val="20"/>
        </w:rPr>
        <w:t xml:space="preserve">per year </w:t>
      </w:r>
      <w:r w:rsidR="0092072C" w:rsidRPr="0092072C">
        <w:rPr>
          <w:rFonts w:ascii="Arial" w:hAnsi="Arial" w:cs="Arial"/>
          <w:sz w:val="20"/>
          <w:szCs w:val="20"/>
        </w:rPr>
        <w:t xml:space="preserve">of funded early learning and childcare.  </w:t>
      </w:r>
    </w:p>
    <w:p w14:paraId="543324BB" w14:textId="77777777" w:rsidR="0092072C" w:rsidRPr="0092072C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324BC" w14:textId="77777777" w:rsidR="008B3C25" w:rsidRPr="0092072C" w:rsidRDefault="008B3C25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072C">
        <w:rPr>
          <w:rFonts w:ascii="Arial" w:hAnsi="Arial" w:cs="Arial"/>
          <w:sz w:val="20"/>
          <w:szCs w:val="20"/>
        </w:rPr>
        <w:t>Early Learning and Childcare</w:t>
      </w:r>
      <w:r w:rsidR="005D2824">
        <w:rPr>
          <w:rFonts w:ascii="Arial" w:hAnsi="Arial" w:cs="Arial"/>
          <w:sz w:val="20"/>
          <w:szCs w:val="20"/>
        </w:rPr>
        <w:t xml:space="preserve"> funded places</w:t>
      </w:r>
      <w:r w:rsidRPr="0092072C">
        <w:rPr>
          <w:rFonts w:ascii="Arial" w:hAnsi="Arial" w:cs="Arial"/>
          <w:sz w:val="20"/>
          <w:szCs w:val="20"/>
        </w:rPr>
        <w:t xml:space="preserve"> for </w:t>
      </w:r>
      <w:r w:rsidR="005D2824">
        <w:rPr>
          <w:rFonts w:ascii="Arial" w:hAnsi="Arial" w:cs="Arial"/>
          <w:sz w:val="20"/>
          <w:szCs w:val="20"/>
        </w:rPr>
        <w:t xml:space="preserve">eligible </w:t>
      </w:r>
      <w:r w:rsidRPr="0092072C">
        <w:rPr>
          <w:rFonts w:ascii="Arial" w:hAnsi="Arial" w:cs="Arial"/>
          <w:sz w:val="20"/>
          <w:szCs w:val="20"/>
        </w:rPr>
        <w:t xml:space="preserve">2 Year Olds </w:t>
      </w:r>
      <w:r w:rsidR="005D2824">
        <w:rPr>
          <w:rFonts w:ascii="Arial" w:hAnsi="Arial" w:cs="Arial"/>
          <w:sz w:val="20"/>
          <w:szCs w:val="20"/>
        </w:rPr>
        <w:t xml:space="preserve">are </w:t>
      </w:r>
      <w:r w:rsidRPr="0092072C">
        <w:rPr>
          <w:rFonts w:ascii="Arial" w:hAnsi="Arial" w:cs="Arial"/>
          <w:sz w:val="20"/>
          <w:szCs w:val="20"/>
        </w:rPr>
        <w:t>available withi</w:t>
      </w:r>
      <w:r w:rsidR="006039B3" w:rsidRPr="0092072C">
        <w:rPr>
          <w:rFonts w:ascii="Arial" w:hAnsi="Arial" w:cs="Arial"/>
          <w:sz w:val="20"/>
          <w:szCs w:val="20"/>
        </w:rPr>
        <w:t xml:space="preserve">n </w:t>
      </w:r>
      <w:r w:rsidR="00A60EFC">
        <w:rPr>
          <w:rFonts w:ascii="Arial" w:hAnsi="Arial" w:cs="Arial"/>
          <w:sz w:val="20"/>
          <w:szCs w:val="20"/>
        </w:rPr>
        <w:t xml:space="preserve">some </w:t>
      </w:r>
      <w:r w:rsidR="00690AF4">
        <w:rPr>
          <w:rFonts w:ascii="Arial" w:hAnsi="Arial" w:cs="Arial"/>
          <w:sz w:val="20"/>
          <w:szCs w:val="20"/>
        </w:rPr>
        <w:t>Council nurseries</w:t>
      </w:r>
      <w:r w:rsidR="00A60EFC">
        <w:rPr>
          <w:rFonts w:ascii="Arial" w:hAnsi="Arial" w:cs="Arial"/>
          <w:sz w:val="20"/>
          <w:szCs w:val="20"/>
        </w:rPr>
        <w:t>,</w:t>
      </w:r>
      <w:r w:rsidR="007C3993">
        <w:rPr>
          <w:rFonts w:ascii="Arial" w:hAnsi="Arial" w:cs="Arial"/>
          <w:sz w:val="20"/>
          <w:szCs w:val="20"/>
        </w:rPr>
        <w:t xml:space="preserve"> </w:t>
      </w:r>
      <w:r w:rsidR="006039B3" w:rsidRPr="0092072C">
        <w:rPr>
          <w:rFonts w:ascii="Arial" w:hAnsi="Arial" w:cs="Arial"/>
          <w:sz w:val="20"/>
          <w:szCs w:val="20"/>
        </w:rPr>
        <w:t>some of our funded provider settings</w:t>
      </w:r>
      <w:r w:rsidR="00A60EFC">
        <w:rPr>
          <w:rFonts w:ascii="Arial" w:hAnsi="Arial" w:cs="Arial"/>
          <w:sz w:val="20"/>
          <w:szCs w:val="20"/>
        </w:rPr>
        <w:t xml:space="preserve"> and with </w:t>
      </w:r>
      <w:r w:rsidR="005D2824">
        <w:rPr>
          <w:rFonts w:ascii="Arial" w:hAnsi="Arial" w:cs="Arial"/>
          <w:sz w:val="20"/>
          <w:szCs w:val="20"/>
        </w:rPr>
        <w:t>some registered childminders</w:t>
      </w:r>
      <w:r w:rsidR="006039B3" w:rsidRPr="0092072C">
        <w:rPr>
          <w:rFonts w:ascii="Arial" w:hAnsi="Arial" w:cs="Arial"/>
          <w:sz w:val="20"/>
          <w:szCs w:val="20"/>
        </w:rPr>
        <w:t>.  Information on settings where this provision is available can be found on the Glasgow Family Information Service (</w:t>
      </w:r>
      <w:hyperlink r:id="rId8" w:history="1">
        <w:r w:rsidR="00327F99" w:rsidRPr="0092072C">
          <w:rPr>
            <w:rStyle w:val="Hyperlink"/>
            <w:rFonts w:ascii="Arial" w:hAnsi="Arial" w:cs="Arial"/>
            <w:color w:val="auto"/>
            <w:sz w:val="20"/>
            <w:szCs w:val="20"/>
          </w:rPr>
          <w:t>https://www.gfis.org.uk/</w:t>
        </w:r>
      </w:hyperlink>
      <w:r w:rsidR="006039B3" w:rsidRPr="0092072C">
        <w:rPr>
          <w:rFonts w:ascii="Arial" w:hAnsi="Arial" w:cs="Arial"/>
          <w:sz w:val="20"/>
          <w:szCs w:val="20"/>
        </w:rPr>
        <w:t>)</w:t>
      </w:r>
    </w:p>
    <w:p w14:paraId="543324BD" w14:textId="77777777" w:rsidR="008B3C25" w:rsidRPr="0092072C" w:rsidRDefault="008B3C25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3324BE" w14:textId="77777777" w:rsidR="00A60EFC" w:rsidRPr="0092072C" w:rsidRDefault="008B3C25" w:rsidP="00690AF4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072C">
        <w:rPr>
          <w:rFonts w:ascii="Arial" w:hAnsi="Arial" w:cs="Arial"/>
          <w:b/>
          <w:bCs/>
          <w:sz w:val="20"/>
          <w:szCs w:val="20"/>
        </w:rPr>
        <w:t>Who’s eligible?</w:t>
      </w:r>
      <w:r w:rsidR="00690AF4">
        <w:rPr>
          <w:rFonts w:ascii="Arial" w:hAnsi="Arial" w:cs="Arial"/>
          <w:b/>
          <w:bCs/>
          <w:sz w:val="20"/>
          <w:szCs w:val="20"/>
        </w:rPr>
        <w:tab/>
      </w:r>
    </w:p>
    <w:p w14:paraId="543324BF" w14:textId="77777777" w:rsidR="00327F99" w:rsidRPr="00327F99" w:rsidRDefault="00327F99" w:rsidP="00690A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Funded early learning and childcare is available if your child is </w:t>
      </w:r>
      <w:r w:rsidR="005D2824">
        <w:rPr>
          <w:rFonts w:ascii="Arial" w:eastAsia="Times New Roman" w:hAnsi="Arial" w:cs="Arial"/>
          <w:sz w:val="20"/>
          <w:szCs w:val="20"/>
          <w:lang w:val="en" w:eastAsia="en-GB"/>
        </w:rPr>
        <w:t xml:space="preserve">aged </w:t>
      </w: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2 and is or, since they turned 2, has been: </w:t>
      </w:r>
    </w:p>
    <w:p w14:paraId="543324C0" w14:textId="77777777" w:rsidR="00327F99" w:rsidRPr="00327F99" w:rsidRDefault="00327F99" w:rsidP="0092072C">
      <w:pPr>
        <w:numPr>
          <w:ilvl w:val="0"/>
          <w:numId w:val="1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looked after by a local council</w:t>
      </w:r>
    </w:p>
    <w:p w14:paraId="543324C1" w14:textId="77777777" w:rsidR="00327F99" w:rsidRPr="00327F99" w:rsidRDefault="00327F99" w:rsidP="0092072C">
      <w:pPr>
        <w:numPr>
          <w:ilvl w:val="0"/>
          <w:numId w:val="1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the subject of a kinship care order</w:t>
      </w:r>
    </w:p>
    <w:p w14:paraId="543324C2" w14:textId="77777777" w:rsidR="00327F99" w:rsidRDefault="00327F99" w:rsidP="0092072C">
      <w:pPr>
        <w:numPr>
          <w:ilvl w:val="0"/>
          <w:numId w:val="1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the subject of a guardianship order</w:t>
      </w:r>
    </w:p>
    <w:p w14:paraId="543324C3" w14:textId="77777777" w:rsidR="000E046E" w:rsidRDefault="001E754A" w:rsidP="000E046E">
      <w:pPr>
        <w:spacing w:before="100" w:beforeAutospacing="1" w:after="100" w:afterAutospacing="1" w:line="240" w:lineRule="auto"/>
        <w:jc w:val="both"/>
        <w:textAlignment w:val="top"/>
        <w:rPr>
          <w:rFonts w:eastAsia="Times New Roman" w:cstheme="minorHAnsi"/>
          <w:lang w:val="en" w:eastAsia="en-GB"/>
        </w:rPr>
      </w:pPr>
      <w:r w:rsidRPr="001E754A">
        <w:rPr>
          <w:rFonts w:eastAsia="Times New Roman" w:cstheme="minorHAnsi"/>
          <w:lang w:val="en" w:eastAsia="en-GB"/>
        </w:rPr>
        <w:t xml:space="preserve">Your child can also access funded ELC if they have turned 2 and you were yourself care experienced at any point during your own childhood. You should speak to the nursery if you feel you meet this criteria. </w:t>
      </w:r>
    </w:p>
    <w:p w14:paraId="543324C4" w14:textId="77777777" w:rsidR="00327F99" w:rsidRPr="00327F99" w:rsidRDefault="00327F99" w:rsidP="000E046E">
      <w:p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Your child can also get funded early learning and childcare if they have turned 2 and you get one of these benefits:</w:t>
      </w:r>
    </w:p>
    <w:p w14:paraId="543324C5" w14:textId="77777777" w:rsidR="00327F99" w:rsidRPr="00327F99" w:rsidRDefault="00327F99" w:rsidP="0092072C">
      <w:pPr>
        <w:numPr>
          <w:ilvl w:val="0"/>
          <w:numId w:val="2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Income Support</w:t>
      </w:r>
    </w:p>
    <w:p w14:paraId="543324C6" w14:textId="77777777" w:rsidR="00327F99" w:rsidRPr="00327F99" w:rsidRDefault="00327F99" w:rsidP="0092072C">
      <w:pPr>
        <w:numPr>
          <w:ilvl w:val="0"/>
          <w:numId w:val="2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Job Seeker's Allowance (income based)</w:t>
      </w:r>
    </w:p>
    <w:p w14:paraId="543324C7" w14:textId="77777777" w:rsidR="00327F99" w:rsidRPr="00327F99" w:rsidRDefault="00327F99" w:rsidP="0092072C">
      <w:pPr>
        <w:numPr>
          <w:ilvl w:val="0"/>
          <w:numId w:val="2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any income related element of Employment and Support Allowance</w:t>
      </w:r>
    </w:p>
    <w:p w14:paraId="543324C8" w14:textId="77777777" w:rsidR="00327F99" w:rsidRPr="00327F99" w:rsidRDefault="00327F99" w:rsidP="0092072C">
      <w:pPr>
        <w:numPr>
          <w:ilvl w:val="0"/>
          <w:numId w:val="2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Incapacity or Severe Disablement Allowance</w:t>
      </w:r>
    </w:p>
    <w:p w14:paraId="543324C9" w14:textId="77777777" w:rsidR="00327F99" w:rsidRPr="00327F99" w:rsidRDefault="00327F99" w:rsidP="0092072C">
      <w:pPr>
        <w:numPr>
          <w:ilvl w:val="0"/>
          <w:numId w:val="2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State Pension Credit</w:t>
      </w:r>
    </w:p>
    <w:p w14:paraId="543324CA" w14:textId="77777777" w:rsidR="00327F99" w:rsidRPr="00327F99" w:rsidRDefault="00327F99" w:rsidP="0092072C">
      <w:pPr>
        <w:numPr>
          <w:ilvl w:val="0"/>
          <w:numId w:val="2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support under part VI of the Immigration and Asylum Act 1999 </w:t>
      </w:r>
    </w:p>
    <w:p w14:paraId="543324CB" w14:textId="77777777" w:rsidR="00327F99" w:rsidRPr="00327F99" w:rsidRDefault="00327F99" w:rsidP="0092072C">
      <w:pPr>
        <w:spacing w:before="100" w:beforeAutospacing="1" w:after="100" w:afterAutospacing="1" w:line="315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If you receive tax credits or universal credit, then you can earn a certain amount of money and still be eligible.</w:t>
      </w:r>
    </w:p>
    <w:p w14:paraId="543324CC" w14:textId="77777777" w:rsidR="00327F99" w:rsidRPr="00327F99" w:rsidRDefault="00327F99" w:rsidP="0092072C">
      <w:pPr>
        <w:spacing w:before="100" w:beforeAutospacing="1" w:after="100" w:afterAutospacing="1" w:line="315" w:lineRule="atLeast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If you are on Child Tax Credit:</w:t>
      </w:r>
    </w:p>
    <w:p w14:paraId="543324CD" w14:textId="04408D45" w:rsidR="00327F99" w:rsidRPr="00327F99" w:rsidRDefault="00327F99" w:rsidP="0092072C">
      <w:pPr>
        <w:numPr>
          <w:ilvl w:val="0"/>
          <w:numId w:val="3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but not Working Tax Credit, then your earnings can be </w:t>
      </w:r>
      <w:r w:rsidRPr="007C3993">
        <w:rPr>
          <w:rFonts w:ascii="Arial" w:eastAsia="Times New Roman" w:hAnsi="Arial" w:cs="Arial"/>
          <w:b/>
          <w:sz w:val="20"/>
          <w:szCs w:val="20"/>
          <w:lang w:val="en" w:eastAsia="en-GB"/>
        </w:rPr>
        <w:t>£1</w:t>
      </w:r>
      <w:r w:rsidR="00941106">
        <w:rPr>
          <w:rFonts w:ascii="Arial" w:eastAsia="Times New Roman" w:hAnsi="Arial" w:cs="Arial"/>
          <w:b/>
          <w:sz w:val="20"/>
          <w:szCs w:val="20"/>
          <w:lang w:val="en" w:eastAsia="en-GB"/>
        </w:rPr>
        <w:t>9</w:t>
      </w:r>
      <w:r w:rsidR="00C02D20">
        <w:rPr>
          <w:rFonts w:ascii="Arial" w:eastAsia="Times New Roman" w:hAnsi="Arial" w:cs="Arial"/>
          <w:b/>
          <w:sz w:val="20"/>
          <w:szCs w:val="20"/>
          <w:lang w:val="en" w:eastAsia="en-GB"/>
        </w:rPr>
        <w:t>,</w:t>
      </w:r>
      <w:r w:rsidR="00941106">
        <w:rPr>
          <w:rFonts w:ascii="Arial" w:eastAsia="Times New Roman" w:hAnsi="Arial" w:cs="Arial"/>
          <w:b/>
          <w:sz w:val="20"/>
          <w:szCs w:val="20"/>
          <w:lang w:val="en" w:eastAsia="en-GB"/>
        </w:rPr>
        <w:t>995</w:t>
      </w: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 or less</w:t>
      </w:r>
    </w:p>
    <w:p w14:paraId="543324CE" w14:textId="33233238" w:rsidR="00327F99" w:rsidRPr="00327F99" w:rsidRDefault="00327F99" w:rsidP="0092072C">
      <w:pPr>
        <w:numPr>
          <w:ilvl w:val="0"/>
          <w:numId w:val="3"/>
        </w:numPr>
        <w:spacing w:before="100" w:beforeAutospacing="1" w:after="100" w:afterAutospacing="1" w:line="315" w:lineRule="atLeast"/>
        <w:ind w:left="0" w:firstLine="0"/>
        <w:jc w:val="both"/>
        <w:textAlignment w:val="top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and Working Tax Credit, then your earnings can be </w:t>
      </w:r>
      <w:r w:rsidRPr="007C3993">
        <w:rPr>
          <w:rFonts w:ascii="Arial" w:eastAsia="Times New Roman" w:hAnsi="Arial" w:cs="Arial"/>
          <w:b/>
          <w:sz w:val="20"/>
          <w:szCs w:val="20"/>
          <w:lang w:val="en" w:eastAsia="en-GB"/>
        </w:rPr>
        <w:t>£</w:t>
      </w:r>
      <w:r w:rsidR="00941106">
        <w:rPr>
          <w:rFonts w:ascii="Arial" w:eastAsia="Times New Roman" w:hAnsi="Arial" w:cs="Arial"/>
          <w:b/>
          <w:sz w:val="20"/>
          <w:szCs w:val="20"/>
          <w:lang w:val="en" w:eastAsia="en-GB"/>
        </w:rPr>
        <w:t>9</w:t>
      </w:r>
      <w:r w:rsidRPr="007C3993">
        <w:rPr>
          <w:rFonts w:ascii="Arial" w:eastAsia="Times New Roman" w:hAnsi="Arial" w:cs="Arial"/>
          <w:b/>
          <w:sz w:val="20"/>
          <w:szCs w:val="20"/>
          <w:lang w:val="en" w:eastAsia="en-GB"/>
        </w:rPr>
        <w:t>,</w:t>
      </w:r>
      <w:r w:rsidR="00941106">
        <w:rPr>
          <w:rFonts w:ascii="Arial" w:eastAsia="Times New Roman" w:hAnsi="Arial" w:cs="Arial"/>
          <w:b/>
          <w:sz w:val="20"/>
          <w:szCs w:val="20"/>
          <w:lang w:val="en" w:eastAsia="en-GB"/>
        </w:rPr>
        <w:t>552</w:t>
      </w:r>
      <w:r w:rsidRPr="007C3993">
        <w:rPr>
          <w:rFonts w:ascii="Arial" w:eastAsia="Times New Roman" w:hAnsi="Arial" w:cs="Arial"/>
          <w:b/>
          <w:sz w:val="20"/>
          <w:szCs w:val="20"/>
          <w:lang w:val="en" w:eastAsia="en-GB"/>
        </w:rPr>
        <w:t xml:space="preserve"> </w:t>
      </w: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>a year or less</w:t>
      </w:r>
    </w:p>
    <w:p w14:paraId="543324CF" w14:textId="544378F5" w:rsidR="00A60EFC" w:rsidRDefault="00327F99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If you are on Universal Credit, then your household take-home pay can be </w:t>
      </w:r>
      <w:r w:rsidRPr="007C3993">
        <w:rPr>
          <w:rFonts w:ascii="Arial" w:eastAsia="Times New Roman" w:hAnsi="Arial" w:cs="Arial"/>
          <w:b/>
          <w:sz w:val="20"/>
          <w:szCs w:val="20"/>
          <w:lang w:val="en" w:eastAsia="en-GB"/>
        </w:rPr>
        <w:t>£</w:t>
      </w:r>
      <w:r w:rsidR="00941106">
        <w:rPr>
          <w:rFonts w:ascii="Arial" w:eastAsia="Times New Roman" w:hAnsi="Arial" w:cs="Arial"/>
          <w:b/>
          <w:sz w:val="20"/>
          <w:szCs w:val="20"/>
          <w:lang w:val="en" w:eastAsia="en-GB"/>
        </w:rPr>
        <w:t>796</w:t>
      </w:r>
      <w:r w:rsidRPr="00327F99">
        <w:rPr>
          <w:rFonts w:ascii="Arial" w:eastAsia="Times New Roman" w:hAnsi="Arial" w:cs="Arial"/>
          <w:sz w:val="20"/>
          <w:szCs w:val="20"/>
          <w:lang w:val="en" w:eastAsia="en-GB"/>
        </w:rPr>
        <w:t xml:space="preserve"> a month or less.</w:t>
      </w:r>
    </w:p>
    <w:p w14:paraId="543324D0" w14:textId="77777777" w:rsidR="00A60EFC" w:rsidRDefault="00A60EF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3324D1" w14:textId="77777777" w:rsidR="008B3C25" w:rsidRPr="0092072C" w:rsidRDefault="008B3C25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072C">
        <w:rPr>
          <w:rFonts w:ascii="Arial" w:hAnsi="Arial" w:cs="Arial"/>
          <w:b/>
          <w:bCs/>
          <w:sz w:val="20"/>
          <w:szCs w:val="20"/>
        </w:rPr>
        <w:t>When does entitlement begin and end?</w:t>
      </w:r>
    </w:p>
    <w:p w14:paraId="543324D2" w14:textId="77777777" w:rsidR="0092072C" w:rsidRPr="0092072C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3324D3" w14:textId="77777777" w:rsidR="00941106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072C">
        <w:rPr>
          <w:rFonts w:ascii="Arial" w:hAnsi="Arial" w:cs="Arial"/>
          <w:sz w:val="20"/>
          <w:szCs w:val="20"/>
        </w:rPr>
        <w:t>Two year old children who meet the eligibility criteria as outlined above can access provision from t</w:t>
      </w:r>
      <w:r w:rsidR="008B3C25" w:rsidRPr="0092072C">
        <w:rPr>
          <w:rFonts w:ascii="Arial" w:hAnsi="Arial" w:cs="Arial"/>
          <w:sz w:val="20"/>
          <w:szCs w:val="20"/>
        </w:rPr>
        <w:t>he start of the first t</w:t>
      </w:r>
      <w:r w:rsidRPr="0092072C">
        <w:rPr>
          <w:rFonts w:ascii="Arial" w:hAnsi="Arial" w:cs="Arial"/>
          <w:sz w:val="20"/>
          <w:szCs w:val="20"/>
        </w:rPr>
        <w:t xml:space="preserve">erm AFTER their second birthday </w:t>
      </w:r>
      <w:r w:rsidR="008B3C25" w:rsidRPr="0092072C">
        <w:rPr>
          <w:rFonts w:ascii="Arial" w:hAnsi="Arial" w:cs="Arial"/>
          <w:sz w:val="20"/>
          <w:szCs w:val="20"/>
        </w:rPr>
        <w:t>OR</w:t>
      </w:r>
      <w:r w:rsidRPr="0092072C">
        <w:rPr>
          <w:rFonts w:ascii="Arial" w:hAnsi="Arial" w:cs="Arial"/>
          <w:sz w:val="20"/>
          <w:szCs w:val="20"/>
        </w:rPr>
        <w:t xml:space="preserve"> t</w:t>
      </w:r>
      <w:r w:rsidR="008B3C25" w:rsidRPr="0092072C">
        <w:rPr>
          <w:rFonts w:ascii="Arial" w:hAnsi="Arial" w:cs="Arial"/>
          <w:sz w:val="20"/>
          <w:szCs w:val="20"/>
        </w:rPr>
        <w:t>he start of the first term AFTER the parent starts receiv</w:t>
      </w:r>
      <w:r>
        <w:rPr>
          <w:rFonts w:ascii="Arial" w:hAnsi="Arial" w:cs="Arial"/>
          <w:sz w:val="20"/>
          <w:szCs w:val="20"/>
        </w:rPr>
        <w:t xml:space="preserve">ing those named benefits or tax credits.  </w:t>
      </w:r>
    </w:p>
    <w:p w14:paraId="543324D4" w14:textId="77777777" w:rsidR="0092072C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324D5" w14:textId="77777777" w:rsidR="0092072C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do you apply?</w:t>
      </w:r>
    </w:p>
    <w:p w14:paraId="543324D6" w14:textId="77777777" w:rsidR="00960E28" w:rsidRDefault="00960E28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3324D7" w14:textId="77777777" w:rsidR="0092072C" w:rsidRDefault="00960E28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think you may be eligible to access this provision and wish to apply, you must make an application to the Council</w:t>
      </w:r>
      <w:r w:rsidR="005D2824">
        <w:rPr>
          <w:rFonts w:ascii="Arial" w:hAnsi="Arial" w:cs="Arial"/>
          <w:sz w:val="20"/>
          <w:szCs w:val="20"/>
        </w:rPr>
        <w:t xml:space="preserve"> to check whether you meet the eligibility criteria</w:t>
      </w:r>
      <w:r>
        <w:rPr>
          <w:rFonts w:ascii="Arial" w:hAnsi="Arial" w:cs="Arial"/>
          <w:sz w:val="20"/>
          <w:szCs w:val="20"/>
        </w:rPr>
        <w:t>.  You must also apply to the nursery</w:t>
      </w:r>
      <w:r w:rsidR="00A60EFC">
        <w:rPr>
          <w:rFonts w:ascii="Arial" w:hAnsi="Arial" w:cs="Arial"/>
          <w:sz w:val="20"/>
          <w:szCs w:val="20"/>
        </w:rPr>
        <w:t xml:space="preserve"> or via the Scottish Childminding Association</w:t>
      </w:r>
      <w:r>
        <w:rPr>
          <w:rFonts w:ascii="Arial" w:hAnsi="Arial" w:cs="Arial"/>
          <w:sz w:val="20"/>
          <w:szCs w:val="20"/>
        </w:rPr>
        <w:t xml:space="preserve"> for a place.  Both you, and the nursery you have </w:t>
      </w:r>
      <w:r w:rsidR="005D2824">
        <w:rPr>
          <w:rFonts w:ascii="Arial" w:hAnsi="Arial" w:cs="Arial"/>
          <w:sz w:val="20"/>
          <w:szCs w:val="20"/>
        </w:rPr>
        <w:t xml:space="preserve">chosen </w:t>
      </w:r>
      <w:r w:rsidR="00A60EFC">
        <w:rPr>
          <w:rFonts w:ascii="Arial" w:hAnsi="Arial" w:cs="Arial"/>
          <w:sz w:val="20"/>
          <w:szCs w:val="20"/>
        </w:rPr>
        <w:t xml:space="preserve">or SCMA </w:t>
      </w:r>
      <w:r>
        <w:rPr>
          <w:rFonts w:ascii="Arial" w:hAnsi="Arial" w:cs="Arial"/>
          <w:sz w:val="20"/>
          <w:szCs w:val="20"/>
        </w:rPr>
        <w:t xml:space="preserve">, will receive confirmation of whether you are eligible </w:t>
      </w:r>
      <w:r w:rsidR="005D2824">
        <w:rPr>
          <w:rFonts w:ascii="Arial" w:hAnsi="Arial" w:cs="Arial"/>
          <w:sz w:val="20"/>
          <w:szCs w:val="20"/>
        </w:rPr>
        <w:t xml:space="preserve">for a funded place </w:t>
      </w:r>
      <w:r>
        <w:rPr>
          <w:rFonts w:ascii="Arial" w:hAnsi="Arial" w:cs="Arial"/>
          <w:sz w:val="20"/>
          <w:szCs w:val="20"/>
        </w:rPr>
        <w:t xml:space="preserve">or not.  Places will be allocated in line with </w:t>
      </w:r>
      <w:r w:rsidR="00A60EFC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>appropriate admissions policies. A</w:t>
      </w:r>
      <w:r w:rsidR="0092072C">
        <w:rPr>
          <w:rFonts w:ascii="Arial" w:hAnsi="Arial" w:cs="Arial"/>
          <w:sz w:val="20"/>
          <w:szCs w:val="20"/>
        </w:rPr>
        <w:t xml:space="preserve">pplications </w:t>
      </w:r>
      <w:r w:rsidR="00A60EFC">
        <w:rPr>
          <w:rFonts w:ascii="Arial" w:hAnsi="Arial" w:cs="Arial"/>
          <w:sz w:val="20"/>
          <w:szCs w:val="20"/>
        </w:rPr>
        <w:t xml:space="preserve">to check your </w:t>
      </w:r>
      <w:r w:rsidR="0092072C">
        <w:rPr>
          <w:rFonts w:ascii="Arial" w:hAnsi="Arial" w:cs="Arial"/>
          <w:sz w:val="20"/>
          <w:szCs w:val="20"/>
        </w:rPr>
        <w:t xml:space="preserve"> eligibility can be made online</w:t>
      </w:r>
      <w:r>
        <w:rPr>
          <w:rFonts w:ascii="Arial" w:hAnsi="Arial" w:cs="Arial"/>
          <w:sz w:val="20"/>
          <w:szCs w:val="20"/>
        </w:rPr>
        <w:t xml:space="preserve"> using the following link:</w:t>
      </w:r>
    </w:p>
    <w:p w14:paraId="543324D8" w14:textId="77777777" w:rsidR="00960E28" w:rsidRDefault="00960E28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3324D9" w14:textId="77777777" w:rsidR="00960E28" w:rsidRDefault="00000000" w:rsidP="0092072C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hyperlink r:id="rId9" w:history="1">
        <w:r w:rsidR="00960E28" w:rsidRPr="00502E45">
          <w:rPr>
            <w:rStyle w:val="Hyperlink"/>
            <w:rFonts w:ascii="Arial" w:hAnsi="Arial" w:cs="Arial"/>
            <w:sz w:val="20"/>
            <w:szCs w:val="20"/>
          </w:rPr>
          <w:t>https://www.glasgow.gov.uk/article/17458/Early-Learning--Childcare</w:t>
        </w:r>
      </w:hyperlink>
    </w:p>
    <w:p w14:paraId="543324DA" w14:textId="77777777" w:rsidR="00A60EFC" w:rsidRDefault="00A60EFC" w:rsidP="0092072C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</w:p>
    <w:p w14:paraId="543324DB" w14:textId="77777777" w:rsidR="00A60EFC" w:rsidRDefault="00A60EF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found not to be eligible, you can still take up a place for your two year old but you would have to meet the costs yourself.</w:t>
      </w:r>
    </w:p>
    <w:p w14:paraId="543324DC" w14:textId="77777777" w:rsidR="0092072C" w:rsidRPr="0092072C" w:rsidRDefault="0092072C" w:rsidP="009207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92072C" w:rsidRPr="0092072C" w:rsidSect="00960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6776F" w14:textId="77777777" w:rsidR="00514334" w:rsidRDefault="00514334" w:rsidP="008B3C25">
      <w:pPr>
        <w:spacing w:after="0" w:line="240" w:lineRule="auto"/>
      </w:pPr>
      <w:r>
        <w:separator/>
      </w:r>
    </w:p>
  </w:endnote>
  <w:endnote w:type="continuationSeparator" w:id="0">
    <w:p w14:paraId="640CC89C" w14:textId="77777777" w:rsidR="00514334" w:rsidRDefault="00514334" w:rsidP="008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690E" w14:textId="77777777" w:rsidR="00514334" w:rsidRDefault="00514334" w:rsidP="008B3C25">
      <w:pPr>
        <w:spacing w:after="0" w:line="240" w:lineRule="auto"/>
      </w:pPr>
      <w:r>
        <w:separator/>
      </w:r>
    </w:p>
  </w:footnote>
  <w:footnote w:type="continuationSeparator" w:id="0">
    <w:p w14:paraId="76AC1EA9" w14:textId="77777777" w:rsidR="00514334" w:rsidRDefault="00514334" w:rsidP="008B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C49"/>
    <w:multiLevelType w:val="multilevel"/>
    <w:tmpl w:val="8CA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566E3"/>
    <w:multiLevelType w:val="hybridMultilevel"/>
    <w:tmpl w:val="DEB43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9158C"/>
    <w:multiLevelType w:val="multilevel"/>
    <w:tmpl w:val="B60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11F2E"/>
    <w:multiLevelType w:val="multilevel"/>
    <w:tmpl w:val="BED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254040">
    <w:abstractNumId w:val="3"/>
  </w:num>
  <w:num w:numId="2" w16cid:durableId="1222058726">
    <w:abstractNumId w:val="2"/>
  </w:num>
  <w:num w:numId="3" w16cid:durableId="358942549">
    <w:abstractNumId w:val="0"/>
  </w:num>
  <w:num w:numId="4" w16cid:durableId="111628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25"/>
    <w:rsid w:val="00074ACC"/>
    <w:rsid w:val="000E046E"/>
    <w:rsid w:val="001E754A"/>
    <w:rsid w:val="00327F99"/>
    <w:rsid w:val="00393507"/>
    <w:rsid w:val="00465935"/>
    <w:rsid w:val="00507C8D"/>
    <w:rsid w:val="00514334"/>
    <w:rsid w:val="005C7F19"/>
    <w:rsid w:val="005D2824"/>
    <w:rsid w:val="006039B3"/>
    <w:rsid w:val="00633063"/>
    <w:rsid w:val="00646081"/>
    <w:rsid w:val="00690AF4"/>
    <w:rsid w:val="007C3993"/>
    <w:rsid w:val="00865968"/>
    <w:rsid w:val="008B3C25"/>
    <w:rsid w:val="008D7AA5"/>
    <w:rsid w:val="0092072C"/>
    <w:rsid w:val="00941106"/>
    <w:rsid w:val="00960E28"/>
    <w:rsid w:val="00A60EFC"/>
    <w:rsid w:val="00AC0004"/>
    <w:rsid w:val="00AD0B19"/>
    <w:rsid w:val="00B05DA2"/>
    <w:rsid w:val="00BA0819"/>
    <w:rsid w:val="00C02D20"/>
    <w:rsid w:val="00C04DD0"/>
    <w:rsid w:val="00CE4271"/>
    <w:rsid w:val="00CF374F"/>
    <w:rsid w:val="00DE3872"/>
    <w:rsid w:val="00E03747"/>
    <w:rsid w:val="00EC4CAC"/>
    <w:rsid w:val="00E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324B7"/>
  <w15:chartTrackingRefBased/>
  <w15:docId w15:val="{52CC7362-D55D-4316-B0B3-390B0A4A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C25"/>
  </w:style>
  <w:style w:type="paragraph" w:styleId="Footer">
    <w:name w:val="footer"/>
    <w:basedOn w:val="Normal"/>
    <w:link w:val="FooterChar"/>
    <w:uiPriority w:val="99"/>
    <w:unhideWhenUsed/>
    <w:rsid w:val="008B3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C25"/>
  </w:style>
  <w:style w:type="paragraph" w:styleId="NormalWeb">
    <w:name w:val="Normal (Web)"/>
    <w:basedOn w:val="Normal"/>
    <w:uiPriority w:val="99"/>
    <w:semiHidden/>
    <w:unhideWhenUsed/>
    <w:rsid w:val="0032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27F9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E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FC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86596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865968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0727">
      <w:bodyDiv w:val="1"/>
      <w:marLeft w:val="0"/>
      <w:marRight w:val="0"/>
      <w:marTop w:val="0"/>
      <w:marBottom w:val="64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7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81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39040">
      <w:bodyDiv w:val="1"/>
      <w:marLeft w:val="0"/>
      <w:marRight w:val="0"/>
      <w:marTop w:val="0"/>
      <w:marBottom w:val="64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22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245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fi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lasgow.gov.uk/article/17458/Early-Learning--Chil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5A7266AA-1142-4983-9309-E259852734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Amanda</dc:creator>
  <cp:keywords>[OFFICIAL]</cp:keywords>
  <dc:description/>
  <cp:lastModifiedBy>Banks, Maggie</cp:lastModifiedBy>
  <cp:revision>2</cp:revision>
  <dcterms:created xsi:type="dcterms:W3CDTF">2024-05-29T05:54:00Z</dcterms:created>
  <dcterms:modified xsi:type="dcterms:W3CDTF">2024-05-29T05:54:00Z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e7c824f7-16a2-4d27-9707-5f882e671272</vt:lpwstr>
  </property>
  <property fmtid="{D5CDD505-2E9C-101B-9397-08002B2CF9AE}" pid="3" name="bjSaver">
    <vt:lpwstr>AJKXl5NtAK/IXdGv41I3NFV3WdOY4Nf+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7" name="bjDocumentLabelXML-0">
    <vt:lpwstr>ames.com/2008/01/sie/internal/label"&gt;&lt;element uid="971a7eb4-36b4-4e7d-b804-a07772b8e228" value="" /&gt;&lt;element uid="e3747532-42d1-43b9-8ba8-1bf45779edd5" value="" /&gt;&lt;/sisl&gt;</vt:lpwstr>
  </property>
</Properties>
</file>