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E6189" w14:textId="693AF348" w:rsidR="009273D2" w:rsidRPr="00B9491D" w:rsidRDefault="009273D2" w:rsidP="009273D2">
      <w:pPr>
        <w:pStyle w:val="Title"/>
        <w:rPr>
          <w:sz w:val="40"/>
          <w:szCs w:val="40"/>
        </w:rPr>
      </w:pPr>
      <w:r w:rsidRPr="00B9491D">
        <w:rPr>
          <w:sz w:val="40"/>
          <w:szCs w:val="40"/>
        </w:rPr>
        <w:t xml:space="preserve">Initial contact with school following a </w:t>
      </w:r>
      <w:r w:rsidR="009107B7">
        <w:rPr>
          <w:sz w:val="40"/>
          <w:szCs w:val="40"/>
        </w:rPr>
        <w:t>significant event</w:t>
      </w:r>
      <w:r w:rsidR="00BD0D66">
        <w:rPr>
          <w:sz w:val="40"/>
          <w:szCs w:val="40"/>
        </w:rPr>
        <w:t xml:space="preserve"> </w:t>
      </w:r>
      <w:r w:rsidR="009107B7">
        <w:rPr>
          <w:sz w:val="40"/>
          <w:szCs w:val="40"/>
        </w:rPr>
        <w:t>/</w:t>
      </w:r>
      <w:r w:rsidR="00BD0D66">
        <w:rPr>
          <w:sz w:val="40"/>
          <w:szCs w:val="40"/>
        </w:rPr>
        <w:t xml:space="preserve"> </w:t>
      </w:r>
      <w:r w:rsidRPr="00B9491D">
        <w:rPr>
          <w:sz w:val="40"/>
          <w:szCs w:val="40"/>
        </w:rPr>
        <w:t xml:space="preserve">critical incident </w:t>
      </w:r>
    </w:p>
    <w:p w14:paraId="7F415806" w14:textId="6A8BC826" w:rsidR="009273D2" w:rsidRPr="00B9491D" w:rsidRDefault="009273D2" w:rsidP="00B9491D">
      <w:pPr>
        <w:pStyle w:val="Title"/>
        <w:rPr>
          <w:i/>
          <w:iCs/>
          <w:color w:val="404040" w:themeColor="text1" w:themeTint="BF"/>
          <w:sz w:val="36"/>
          <w:szCs w:val="36"/>
        </w:rPr>
      </w:pPr>
      <w:r w:rsidRPr="00B9491D">
        <w:rPr>
          <w:rStyle w:val="SubtleEmphasis"/>
          <w:sz w:val="36"/>
          <w:szCs w:val="36"/>
        </w:rPr>
        <w:t>Support sheet for EPs</w:t>
      </w:r>
    </w:p>
    <w:p w14:paraId="4CCF6261" w14:textId="4BE55561" w:rsidR="00B9491D" w:rsidRDefault="009273D2" w:rsidP="00B9491D">
      <w:pPr>
        <w:pStyle w:val="Heading1"/>
      </w:pPr>
      <w:r>
        <w:t>Key resources to be aware of</w:t>
      </w:r>
    </w:p>
    <w:p w14:paraId="3809395D" w14:textId="77777777" w:rsidR="00B9491D" w:rsidRPr="00B9491D" w:rsidRDefault="00B9491D" w:rsidP="00B949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9273D2" w14:paraId="65C75AAE" w14:textId="77777777" w:rsidTr="00B9491D">
        <w:tc>
          <w:tcPr>
            <w:tcW w:w="2689" w:type="dxa"/>
          </w:tcPr>
          <w:p w14:paraId="2491DC5A" w14:textId="3E0F6AC0" w:rsidR="009273D2" w:rsidRPr="009D149B" w:rsidRDefault="009273D2" w:rsidP="009273D2">
            <w:pPr>
              <w:rPr>
                <w:b/>
                <w:bCs/>
              </w:rPr>
            </w:pPr>
            <w:r w:rsidRPr="009D149B">
              <w:rPr>
                <w:b/>
                <w:bCs/>
              </w:rPr>
              <w:t xml:space="preserve">What is it? </w:t>
            </w:r>
          </w:p>
        </w:tc>
        <w:tc>
          <w:tcPr>
            <w:tcW w:w="6327" w:type="dxa"/>
          </w:tcPr>
          <w:p w14:paraId="0ABF3E58" w14:textId="24673FB7" w:rsidR="009273D2" w:rsidRPr="009D149B" w:rsidRDefault="009273D2" w:rsidP="009273D2">
            <w:pPr>
              <w:rPr>
                <w:b/>
                <w:bCs/>
              </w:rPr>
            </w:pPr>
            <w:r w:rsidRPr="009D149B">
              <w:rPr>
                <w:b/>
                <w:bCs/>
              </w:rPr>
              <w:t xml:space="preserve">When would I use it? </w:t>
            </w:r>
          </w:p>
        </w:tc>
      </w:tr>
      <w:tr w:rsidR="009273D2" w14:paraId="54AFA2E1" w14:textId="77777777" w:rsidTr="00B9491D">
        <w:tc>
          <w:tcPr>
            <w:tcW w:w="2689" w:type="dxa"/>
          </w:tcPr>
          <w:p w14:paraId="2BEEC591" w14:textId="0A744764" w:rsidR="009273D2" w:rsidRDefault="009273D2" w:rsidP="009273D2">
            <w:hyperlink r:id="rId8" w:history="1">
              <w:r w:rsidRPr="009273D2">
                <w:rPr>
                  <w:rStyle w:val="Hyperlink"/>
                </w:rPr>
                <w:t>Whole school approach to loss, grief, and bereavement</w:t>
              </w:r>
            </w:hyperlink>
            <w:r>
              <w:t xml:space="preserve"> </w:t>
            </w:r>
          </w:p>
        </w:tc>
        <w:tc>
          <w:tcPr>
            <w:tcW w:w="6327" w:type="dxa"/>
          </w:tcPr>
          <w:p w14:paraId="18234986" w14:textId="77777777" w:rsidR="009273D2" w:rsidRDefault="009273D2" w:rsidP="009273D2">
            <w:r>
              <w:t xml:space="preserve">Covers all circumstances involving loss and bereavement. </w:t>
            </w:r>
          </w:p>
          <w:p w14:paraId="49CD376C" w14:textId="77777777" w:rsidR="00BD0D66" w:rsidRDefault="009273D2" w:rsidP="00BD0D66">
            <w:r>
              <w:t>Key areas to highlight include the developmental stages of understanding death</w:t>
            </w:r>
            <w:r w:rsidR="00BD0D66">
              <w:t>;</w:t>
            </w:r>
            <w:r>
              <w:t xml:space="preserve"> a </w:t>
            </w:r>
            <w:r w:rsidR="00BD0D66">
              <w:t>section</w:t>
            </w:r>
            <w:r>
              <w:t xml:space="preserve"> on Additional Support Needs, and a section on traumatic bereavement. </w:t>
            </w:r>
            <w:r w:rsidR="00BD0D66">
              <w:t xml:space="preserve"> </w:t>
            </w:r>
          </w:p>
          <w:p w14:paraId="039BFCE2" w14:textId="55BD5DED" w:rsidR="00BD0D66" w:rsidRPr="004D274B" w:rsidRDefault="00BD0D66" w:rsidP="00BD0D66">
            <w:pPr>
              <w:rPr>
                <w:highlight w:val="green"/>
              </w:rPr>
            </w:pPr>
            <w:r w:rsidRPr="004D274B">
              <w:rPr>
                <w:highlight w:val="green"/>
              </w:rPr>
              <w:t xml:space="preserve">Early Years Online Learning Modules - </w:t>
            </w:r>
            <w:hyperlink r:id="rId9" w:history="1">
              <w:r w:rsidRPr="004D274B">
                <w:rPr>
                  <w:rStyle w:val="Hyperlink"/>
                  <w:highlight w:val="green"/>
                </w:rPr>
                <w:t>Login Early Years Online Modules</w:t>
              </w:r>
            </w:hyperlink>
            <w:r w:rsidRPr="004D274B">
              <w:rPr>
                <w:highlight w:val="green"/>
              </w:rPr>
              <w:t xml:space="preserve"> Password: Early Years</w:t>
            </w:r>
            <w:r w:rsidR="004D274B" w:rsidRPr="004D274B">
              <w:rPr>
                <w:highlight w:val="green"/>
              </w:rPr>
              <w:t xml:space="preserve">  - </w:t>
            </w:r>
          </w:p>
          <w:p w14:paraId="021E04ED" w14:textId="59504AD6" w:rsidR="00BD0D66" w:rsidRDefault="004D274B" w:rsidP="004D274B">
            <w:r w:rsidRPr="004D274B">
              <w:rPr>
                <w:highlight w:val="green"/>
              </w:rPr>
              <w:t>View Early Years Online Learning Modules Map (pdf) – Look for modules on Coping with loss / change / bereavement and follow links</w:t>
            </w:r>
          </w:p>
        </w:tc>
      </w:tr>
      <w:tr w:rsidR="009273D2" w14:paraId="0EAD8E40" w14:textId="77777777" w:rsidTr="00B9491D">
        <w:tc>
          <w:tcPr>
            <w:tcW w:w="2689" w:type="dxa"/>
          </w:tcPr>
          <w:p w14:paraId="06C312F9" w14:textId="70BFDC33" w:rsidR="009273D2" w:rsidRDefault="005E1794" w:rsidP="009273D2">
            <w:hyperlink r:id="rId10" w:history="1">
              <w:r>
                <w:rPr>
                  <w:rStyle w:val="Hyperlink"/>
                </w:rPr>
                <w:t>Managing critical-incidents Guidance</w:t>
              </w:r>
            </w:hyperlink>
          </w:p>
          <w:p w14:paraId="71088713" w14:textId="0F1227EF" w:rsidR="005E1794" w:rsidRDefault="005E1794" w:rsidP="009273D2"/>
        </w:tc>
        <w:tc>
          <w:tcPr>
            <w:tcW w:w="6327" w:type="dxa"/>
          </w:tcPr>
          <w:p w14:paraId="67CB848D" w14:textId="77777777" w:rsidR="009273D2" w:rsidRDefault="009273D2" w:rsidP="009273D2">
            <w:r>
              <w:t xml:space="preserve">For any critical incident. </w:t>
            </w:r>
          </w:p>
          <w:p w14:paraId="6F32E5FA" w14:textId="140B2CD2" w:rsidR="009273D2" w:rsidRDefault="009273D2" w:rsidP="009273D2">
            <w:r>
              <w:t xml:space="preserve">Has checklists and appendixes for schools to use. </w:t>
            </w:r>
          </w:p>
        </w:tc>
      </w:tr>
      <w:tr w:rsidR="009273D2" w14:paraId="0F82D7DC" w14:textId="77777777" w:rsidTr="00B9491D">
        <w:tc>
          <w:tcPr>
            <w:tcW w:w="2689" w:type="dxa"/>
          </w:tcPr>
          <w:p w14:paraId="3336EC6A" w14:textId="7419ACEC" w:rsidR="009273D2" w:rsidRDefault="009273D2" w:rsidP="009273D2">
            <w:r>
              <w:t>Grab and go presentation for EPs</w:t>
            </w:r>
          </w:p>
        </w:tc>
        <w:tc>
          <w:tcPr>
            <w:tcW w:w="6327" w:type="dxa"/>
          </w:tcPr>
          <w:p w14:paraId="5D187D11" w14:textId="2551C1F5" w:rsidR="009273D2" w:rsidRDefault="009273D2" w:rsidP="009273D2">
            <w:r>
              <w:t xml:space="preserve">If delivering an input to the school in the first few days following </w:t>
            </w:r>
            <w:r w:rsidR="00BD0D66">
              <w:t xml:space="preserve">a </w:t>
            </w:r>
            <w:r w:rsidR="00BD0D66" w:rsidRPr="00BD0D66">
              <w:rPr>
                <w:highlight w:val="green"/>
              </w:rPr>
              <w:t>significant event.</w:t>
            </w:r>
            <w:r>
              <w:t xml:space="preserve"> </w:t>
            </w:r>
          </w:p>
        </w:tc>
      </w:tr>
      <w:tr w:rsidR="009273D2" w14:paraId="2AEF5E9B" w14:textId="77777777" w:rsidTr="00B9491D">
        <w:tc>
          <w:tcPr>
            <w:tcW w:w="2689" w:type="dxa"/>
          </w:tcPr>
          <w:p w14:paraId="299FCEDE" w14:textId="41C5E5BC" w:rsidR="009273D2" w:rsidRDefault="009273D2" w:rsidP="009273D2">
            <w:r>
              <w:t>Social stories</w:t>
            </w:r>
          </w:p>
        </w:tc>
        <w:tc>
          <w:tcPr>
            <w:tcW w:w="6327" w:type="dxa"/>
          </w:tcPr>
          <w:p w14:paraId="62248A72" w14:textId="77777777" w:rsidR="009273D2" w:rsidRDefault="009273D2" w:rsidP="009273D2">
            <w:r>
              <w:t xml:space="preserve">To help explain what death and funerals are for young children, children with ASNs, and to help parents. </w:t>
            </w:r>
          </w:p>
          <w:p w14:paraId="72CFDA1C" w14:textId="49D7FEEB" w:rsidR="009273D2" w:rsidRDefault="009273D2" w:rsidP="009273D2">
            <w:r>
              <w:t xml:space="preserve">There are culturally sensitive social stories </w:t>
            </w:r>
            <w:r w:rsidR="00BD0D66">
              <w:t>available,</w:t>
            </w:r>
            <w:r>
              <w:t xml:space="preserve"> and others can be made upon request. </w:t>
            </w:r>
          </w:p>
        </w:tc>
      </w:tr>
    </w:tbl>
    <w:p w14:paraId="34D87929" w14:textId="0C6A813F" w:rsidR="009273D2" w:rsidRDefault="009273D2" w:rsidP="009273D2"/>
    <w:p w14:paraId="0C0563E6" w14:textId="54EA776E" w:rsidR="00B9491D" w:rsidRDefault="001F4166" w:rsidP="00B9491D">
      <w:pPr>
        <w:pStyle w:val="Heading1"/>
      </w:pPr>
      <w:r>
        <w:t xml:space="preserve">Potential inputs to be aware of before initial phone-call </w:t>
      </w:r>
    </w:p>
    <w:p w14:paraId="41F49E36" w14:textId="77777777" w:rsidR="00B9491D" w:rsidRPr="00B9491D" w:rsidRDefault="00B9491D" w:rsidP="00B949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4"/>
        <w:gridCol w:w="1803"/>
        <w:gridCol w:w="5539"/>
      </w:tblGrid>
      <w:tr w:rsidR="001F4166" w14:paraId="60355C0A" w14:textId="77777777" w:rsidTr="00B9491D">
        <w:tc>
          <w:tcPr>
            <w:tcW w:w="2547" w:type="dxa"/>
          </w:tcPr>
          <w:p w14:paraId="07149D48" w14:textId="148F660C" w:rsidR="001F4166" w:rsidRPr="009D149B" w:rsidRDefault="001F4166" w:rsidP="001F4166">
            <w:pPr>
              <w:rPr>
                <w:b/>
                <w:bCs/>
              </w:rPr>
            </w:pPr>
            <w:r w:rsidRPr="009D149B">
              <w:rPr>
                <w:b/>
                <w:bCs/>
              </w:rPr>
              <w:t xml:space="preserve">What is it? </w:t>
            </w:r>
          </w:p>
        </w:tc>
        <w:tc>
          <w:tcPr>
            <w:tcW w:w="2977" w:type="dxa"/>
          </w:tcPr>
          <w:p w14:paraId="3CE28EE0" w14:textId="73BCE48C" w:rsidR="001F4166" w:rsidRPr="009D149B" w:rsidRDefault="001F4166" w:rsidP="001F4166">
            <w:pPr>
              <w:rPr>
                <w:b/>
                <w:bCs/>
              </w:rPr>
            </w:pPr>
            <w:r w:rsidRPr="009D149B">
              <w:rPr>
                <w:b/>
                <w:bCs/>
              </w:rPr>
              <w:t xml:space="preserve">When to use it? </w:t>
            </w:r>
          </w:p>
        </w:tc>
        <w:tc>
          <w:tcPr>
            <w:tcW w:w="3492" w:type="dxa"/>
          </w:tcPr>
          <w:p w14:paraId="5A8FF84C" w14:textId="4D62A0B3" w:rsidR="001F4166" w:rsidRPr="009D149B" w:rsidRDefault="00D957F7" w:rsidP="001F4166">
            <w:pPr>
              <w:rPr>
                <w:b/>
                <w:bCs/>
              </w:rPr>
            </w:pPr>
            <w:r w:rsidRPr="009D149B">
              <w:rPr>
                <w:b/>
                <w:bCs/>
              </w:rPr>
              <w:t>Any other considerations</w:t>
            </w:r>
          </w:p>
        </w:tc>
      </w:tr>
      <w:tr w:rsidR="001F4166" w14:paraId="186D3EEE" w14:textId="77777777" w:rsidTr="00B9491D">
        <w:tc>
          <w:tcPr>
            <w:tcW w:w="2547" w:type="dxa"/>
          </w:tcPr>
          <w:p w14:paraId="7A18E311" w14:textId="78103098" w:rsidR="001F4166" w:rsidRPr="009D149B" w:rsidRDefault="00D957F7" w:rsidP="001F4166">
            <w:pPr>
              <w:rPr>
                <w:b/>
                <w:bCs/>
              </w:rPr>
            </w:pPr>
            <w:r w:rsidRPr="009D149B">
              <w:rPr>
                <w:b/>
                <w:bCs/>
              </w:rPr>
              <w:t>Information session on theories of grief</w:t>
            </w:r>
          </w:p>
        </w:tc>
        <w:tc>
          <w:tcPr>
            <w:tcW w:w="2977" w:type="dxa"/>
          </w:tcPr>
          <w:p w14:paraId="27CBF18C" w14:textId="67A7E502" w:rsidR="001F4166" w:rsidRDefault="00D957F7" w:rsidP="001F4166">
            <w:r>
              <w:t>In the days following an incident</w:t>
            </w:r>
          </w:p>
        </w:tc>
        <w:tc>
          <w:tcPr>
            <w:tcW w:w="3492" w:type="dxa"/>
          </w:tcPr>
          <w:p w14:paraId="55FE50C3" w14:textId="3671CBF8" w:rsidR="001F4166" w:rsidRDefault="00D957F7" w:rsidP="001F4166">
            <w:r>
              <w:t>Timing needs to be flexible dependent on when staff can be released</w:t>
            </w:r>
          </w:p>
        </w:tc>
      </w:tr>
      <w:tr w:rsidR="001F4166" w14:paraId="39FECADD" w14:textId="77777777" w:rsidTr="00B9491D">
        <w:tc>
          <w:tcPr>
            <w:tcW w:w="2547" w:type="dxa"/>
          </w:tcPr>
          <w:p w14:paraId="3213EE21" w14:textId="72798AFD" w:rsidR="001F4166" w:rsidRPr="009D149B" w:rsidRDefault="00B9491D" w:rsidP="001F4166">
            <w:pPr>
              <w:rPr>
                <w:b/>
                <w:bCs/>
              </w:rPr>
            </w:pPr>
            <w:r w:rsidRPr="009D149B">
              <w:rPr>
                <w:b/>
                <w:bCs/>
              </w:rPr>
              <w:t xml:space="preserve">Group crisis interventions </w:t>
            </w:r>
            <w:r w:rsidR="00D957F7" w:rsidRPr="009D149B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41A32E45" w14:textId="74CACBB6" w:rsidR="001F4166" w:rsidRDefault="00B9491D" w:rsidP="001F4166">
            <w:r>
              <w:t>Crisis management briefing, critical incident stress debriefing, and defusing</w:t>
            </w:r>
            <w:r w:rsidR="00D957F7">
              <w:t xml:space="preserve"> </w:t>
            </w:r>
            <w:r>
              <w:t>are available dependent upon circumstances</w:t>
            </w:r>
          </w:p>
        </w:tc>
        <w:tc>
          <w:tcPr>
            <w:tcW w:w="3492" w:type="dxa"/>
          </w:tcPr>
          <w:p w14:paraId="2C32F571" w14:textId="387491D2" w:rsidR="001F4166" w:rsidRDefault="00D957F7" w:rsidP="001F4166">
            <w:r>
              <w:t>Must be discussed with either Danielle, David, Fran, or Lisa before offering to school</w:t>
            </w:r>
            <w:r w:rsidR="00B9491D">
              <w:t xml:space="preserve"> and to assess suitability</w:t>
            </w:r>
          </w:p>
        </w:tc>
      </w:tr>
      <w:tr w:rsidR="001F4166" w14:paraId="61428D60" w14:textId="77777777" w:rsidTr="00B9491D">
        <w:tc>
          <w:tcPr>
            <w:tcW w:w="2547" w:type="dxa"/>
          </w:tcPr>
          <w:p w14:paraId="7EB95FD1" w14:textId="13D3E5C5" w:rsidR="001F4166" w:rsidRPr="009D149B" w:rsidRDefault="00BD0D66" w:rsidP="001F4166">
            <w:pPr>
              <w:rPr>
                <w:b/>
                <w:bCs/>
              </w:rPr>
            </w:pPr>
            <w:r w:rsidRPr="00BD0D66">
              <w:rPr>
                <w:b/>
                <w:bCs/>
                <w:highlight w:val="green"/>
              </w:rPr>
              <w:t>Drop-in</w:t>
            </w:r>
            <w:r w:rsidR="00D957F7" w:rsidRPr="009D149B">
              <w:rPr>
                <w:b/>
                <w:bCs/>
              </w:rPr>
              <w:t xml:space="preserve"> session for parents </w:t>
            </w:r>
          </w:p>
        </w:tc>
        <w:tc>
          <w:tcPr>
            <w:tcW w:w="2977" w:type="dxa"/>
          </w:tcPr>
          <w:p w14:paraId="289DC578" w14:textId="79254D90" w:rsidR="001F4166" w:rsidRDefault="00D957F7" w:rsidP="001F4166">
            <w:r>
              <w:t xml:space="preserve">In the days following an incident </w:t>
            </w:r>
          </w:p>
        </w:tc>
        <w:tc>
          <w:tcPr>
            <w:tcW w:w="3492" w:type="dxa"/>
          </w:tcPr>
          <w:p w14:paraId="47AD5FD7" w14:textId="163C947C" w:rsidR="001F4166" w:rsidRDefault="00D957F7" w:rsidP="001F4166">
            <w:r>
              <w:t>Social stories can be a useful support here</w:t>
            </w:r>
          </w:p>
        </w:tc>
      </w:tr>
      <w:tr w:rsidR="001F4166" w14:paraId="7B684DFF" w14:textId="77777777" w:rsidTr="00B9491D">
        <w:tc>
          <w:tcPr>
            <w:tcW w:w="2547" w:type="dxa"/>
          </w:tcPr>
          <w:p w14:paraId="513686A6" w14:textId="4929B777" w:rsidR="001F4166" w:rsidRPr="009D149B" w:rsidRDefault="00D957F7" w:rsidP="001F4166">
            <w:pPr>
              <w:rPr>
                <w:b/>
                <w:bCs/>
              </w:rPr>
            </w:pPr>
            <w:r w:rsidRPr="009D149B">
              <w:rPr>
                <w:b/>
                <w:bCs/>
              </w:rPr>
              <w:lastRenderedPageBreak/>
              <w:t xml:space="preserve">Support in writing scripts to explain what’s happened to children and staff </w:t>
            </w:r>
          </w:p>
        </w:tc>
        <w:tc>
          <w:tcPr>
            <w:tcW w:w="2977" w:type="dxa"/>
          </w:tcPr>
          <w:p w14:paraId="33D861ED" w14:textId="24F9491A" w:rsidR="001F4166" w:rsidRDefault="00D957F7" w:rsidP="001F4166">
            <w:r>
              <w:t>As required</w:t>
            </w:r>
          </w:p>
        </w:tc>
        <w:tc>
          <w:tcPr>
            <w:tcW w:w="3492" w:type="dxa"/>
          </w:tcPr>
          <w:p w14:paraId="42C729C9" w14:textId="77777777" w:rsidR="00300146" w:rsidRDefault="00D957F7" w:rsidP="001F4166">
            <w:r>
              <w:t xml:space="preserve">Examples can be </w:t>
            </w:r>
            <w:r w:rsidR="00BD0D66">
              <w:t>found on</w:t>
            </w:r>
          </w:p>
          <w:p w14:paraId="33634164" w14:textId="77777777" w:rsidR="00300146" w:rsidRDefault="00D957F7" w:rsidP="00300146">
            <w:pPr>
              <w:spacing w:before="100" w:beforeAutospacing="1" w:after="100" w:afterAutospacing="1"/>
            </w:pPr>
            <w:r>
              <w:t xml:space="preserve"> </w:t>
            </w:r>
            <w:hyperlink r:id="rId11" w:tgtFrame="_blank" w:history="1">
              <w:r w:rsidR="00300146">
                <w:rPr>
                  <w:rStyle w:val="Hyperlink"/>
                  <w:rFonts w:ascii="Arial Narrow" w:hAnsi="Arial Narrow"/>
                </w:rPr>
                <w:t>https://blogs.glowscotland.org.uk/glowblogs/gepswi/</w:t>
              </w:r>
            </w:hyperlink>
          </w:p>
          <w:p w14:paraId="6D100D60" w14:textId="01D077E4" w:rsidR="00BD0D66" w:rsidRDefault="00BD0D66" w:rsidP="001F4166">
            <w:hyperlink r:id="rId12" w:history="1">
              <w:r w:rsidRPr="00DD2FA0">
                <w:rPr>
                  <w:rStyle w:val="Hyperlink"/>
                </w:rPr>
                <w:t>https://blogs.glowscotland.org.uk/glowblogs/gepswi/story-guidance-for-trauma-resolution/</w:t>
              </w:r>
            </w:hyperlink>
            <w:r w:rsidRPr="00BD0D66">
              <w:t xml:space="preserve"> </w:t>
            </w:r>
          </w:p>
          <w:p w14:paraId="0F318FDA" w14:textId="5B5F7188" w:rsidR="001F4166" w:rsidRDefault="00BD0D66" w:rsidP="001F4166">
            <w:r>
              <w:t xml:space="preserve">Or </w:t>
            </w:r>
            <w:r w:rsidR="00D957F7">
              <w:t>Winston’s Wish</w:t>
            </w:r>
            <w:r>
              <w:t xml:space="preserve"> </w:t>
            </w:r>
          </w:p>
        </w:tc>
      </w:tr>
      <w:tr w:rsidR="00D957F7" w14:paraId="47FA3D3B" w14:textId="77777777" w:rsidTr="00B9491D">
        <w:tc>
          <w:tcPr>
            <w:tcW w:w="2547" w:type="dxa"/>
          </w:tcPr>
          <w:p w14:paraId="70FD4914" w14:textId="4E860E75" w:rsidR="00D957F7" w:rsidRPr="009D149B" w:rsidRDefault="00D957F7" w:rsidP="001F4166">
            <w:pPr>
              <w:rPr>
                <w:b/>
                <w:bCs/>
              </w:rPr>
            </w:pPr>
            <w:r w:rsidRPr="009D149B">
              <w:rPr>
                <w:b/>
                <w:bCs/>
              </w:rPr>
              <w:t xml:space="preserve">Scripts for assemblies </w:t>
            </w:r>
          </w:p>
        </w:tc>
        <w:tc>
          <w:tcPr>
            <w:tcW w:w="2977" w:type="dxa"/>
          </w:tcPr>
          <w:p w14:paraId="3FE97C27" w14:textId="7639C3D7" w:rsidR="00D957F7" w:rsidRDefault="00D957F7" w:rsidP="001F4166">
            <w:r>
              <w:t>As required</w:t>
            </w:r>
          </w:p>
        </w:tc>
        <w:tc>
          <w:tcPr>
            <w:tcW w:w="3492" w:type="dxa"/>
          </w:tcPr>
          <w:p w14:paraId="7B4CAF9E" w14:textId="4BACE400" w:rsidR="00D957F7" w:rsidRDefault="00B9491D" w:rsidP="001F4166">
            <w:r>
              <w:t xml:space="preserve">Preference would be that schools lead on this and that the EP can support. Invitations to religious leaders should be extended as appropriate. </w:t>
            </w:r>
          </w:p>
        </w:tc>
      </w:tr>
    </w:tbl>
    <w:p w14:paraId="225D0A51" w14:textId="77777777" w:rsidR="001F4166" w:rsidRPr="001F4166" w:rsidRDefault="001F4166" w:rsidP="001F4166"/>
    <w:p w14:paraId="0147F885" w14:textId="77777777" w:rsidR="001F4166" w:rsidRPr="009273D2" w:rsidRDefault="001F4166" w:rsidP="001F4166">
      <w:pPr>
        <w:pStyle w:val="ListParagraph"/>
      </w:pPr>
    </w:p>
    <w:p w14:paraId="6CED07E1" w14:textId="10E2AC5A" w:rsidR="009273D2" w:rsidRDefault="009273D2" w:rsidP="009273D2">
      <w:pPr>
        <w:pStyle w:val="Heading1"/>
      </w:pPr>
      <w:r>
        <w:t xml:space="preserve">Structure for initial phone-call to school </w:t>
      </w:r>
    </w:p>
    <w:p w14:paraId="0670CACB" w14:textId="4EA02C39" w:rsidR="009273D2" w:rsidRDefault="009273D2" w:rsidP="009273D2">
      <w:pPr>
        <w:pStyle w:val="ListParagraph"/>
        <w:numPr>
          <w:ilvl w:val="0"/>
          <w:numId w:val="1"/>
        </w:numPr>
      </w:pPr>
      <w:r>
        <w:t xml:space="preserve">Offer condolences and check-in with HT around well-being </w:t>
      </w:r>
    </w:p>
    <w:p w14:paraId="71CD5CCC" w14:textId="53953FBC" w:rsidR="009273D2" w:rsidRDefault="001F4166" w:rsidP="009273D2">
      <w:pPr>
        <w:pStyle w:val="ListParagraph"/>
        <w:numPr>
          <w:ilvl w:val="0"/>
          <w:numId w:val="1"/>
        </w:numPr>
      </w:pPr>
      <w:r>
        <w:t xml:space="preserve">Gather information about incident </w:t>
      </w:r>
    </w:p>
    <w:p w14:paraId="71B9525A" w14:textId="0C897F03" w:rsidR="001F4166" w:rsidRDefault="001F4166" w:rsidP="001F4166">
      <w:pPr>
        <w:pStyle w:val="ListParagraph"/>
        <w:numPr>
          <w:ilvl w:val="1"/>
          <w:numId w:val="1"/>
        </w:numPr>
      </w:pPr>
      <w:r>
        <w:t>What happened</w:t>
      </w:r>
      <w:r w:rsidR="009D149B">
        <w:t>?</w:t>
      </w:r>
    </w:p>
    <w:p w14:paraId="158A8A02" w14:textId="11DA5FAC" w:rsidR="001F4166" w:rsidRDefault="001F4166" w:rsidP="001F4166">
      <w:pPr>
        <w:pStyle w:val="ListParagraph"/>
        <w:numPr>
          <w:ilvl w:val="1"/>
          <w:numId w:val="1"/>
        </w:numPr>
      </w:pPr>
      <w:r>
        <w:t>Who was involved</w:t>
      </w:r>
      <w:r w:rsidR="009D149B">
        <w:t>?</w:t>
      </w:r>
    </w:p>
    <w:p w14:paraId="70C7CF1C" w14:textId="01950B33" w:rsidR="001F4166" w:rsidRDefault="001F4166" w:rsidP="001F4166">
      <w:pPr>
        <w:pStyle w:val="ListParagraph"/>
        <w:numPr>
          <w:ilvl w:val="1"/>
          <w:numId w:val="1"/>
        </w:numPr>
      </w:pPr>
      <w:r>
        <w:t>Are there any restrictions from Police or Social Work on what information can be shared</w:t>
      </w:r>
      <w:r w:rsidR="009D149B">
        <w:t>?</w:t>
      </w:r>
    </w:p>
    <w:p w14:paraId="07C71B7D" w14:textId="4DDB6277" w:rsidR="001F4166" w:rsidRDefault="001F4166" w:rsidP="001F4166">
      <w:pPr>
        <w:pStyle w:val="ListParagraph"/>
        <w:numPr>
          <w:ilvl w:val="1"/>
          <w:numId w:val="1"/>
        </w:numPr>
      </w:pPr>
      <w:r>
        <w:t>What has been done so far</w:t>
      </w:r>
      <w:r w:rsidR="009D149B">
        <w:t>?</w:t>
      </w:r>
    </w:p>
    <w:p w14:paraId="2B397220" w14:textId="745D5F3F" w:rsidR="001F4166" w:rsidRDefault="001F4166" w:rsidP="001F4166">
      <w:pPr>
        <w:pStyle w:val="ListParagraph"/>
        <w:numPr>
          <w:ilvl w:val="1"/>
          <w:numId w:val="1"/>
        </w:numPr>
      </w:pPr>
      <w:r>
        <w:t>What input can Educational Psychology offer</w:t>
      </w:r>
      <w:r w:rsidR="009D149B">
        <w:t>?</w:t>
      </w:r>
    </w:p>
    <w:p w14:paraId="5023767A" w14:textId="3F5003F8" w:rsidR="001F4166" w:rsidRDefault="001F4166" w:rsidP="001F4166"/>
    <w:sectPr w:rsidR="001F41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C6884" w14:textId="77777777" w:rsidR="004001DC" w:rsidRDefault="004001DC" w:rsidP="009273D2">
      <w:pPr>
        <w:spacing w:after="0" w:line="240" w:lineRule="auto"/>
      </w:pPr>
      <w:r>
        <w:separator/>
      </w:r>
    </w:p>
  </w:endnote>
  <w:endnote w:type="continuationSeparator" w:id="0">
    <w:p w14:paraId="0C908F06" w14:textId="77777777" w:rsidR="004001DC" w:rsidRDefault="004001DC" w:rsidP="0092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4D7A7" w14:textId="5B5FDD98" w:rsidR="00B9491D" w:rsidRDefault="005E1794" w:rsidP="005E1794">
    <w:pPr>
      <w:pStyle w:val="Footer"/>
      <w:jc w:val="center"/>
    </w:pPr>
    <w:fldSimple w:instr=" DOCPROPERTY bjFooterEvenPageDocProperty \* MERGEFORMAT " w:fldLock="1">
      <w:r w:rsidRPr="005E1794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91BA3" w14:textId="5EE6449C" w:rsidR="00B9491D" w:rsidRDefault="005E1794" w:rsidP="005E1794">
    <w:pPr>
      <w:pStyle w:val="Footer"/>
      <w:jc w:val="center"/>
    </w:pPr>
    <w:fldSimple w:instr=" DOCPROPERTY bjFooterBothDocProperty \* MERGEFORMAT " w:fldLock="1">
      <w:r w:rsidRPr="005E1794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0FBFB" w14:textId="77777777" w:rsidR="005E1794" w:rsidRDefault="005E1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8CF0B" w14:textId="77777777" w:rsidR="004001DC" w:rsidRDefault="004001DC" w:rsidP="009273D2">
      <w:pPr>
        <w:spacing w:after="0" w:line="240" w:lineRule="auto"/>
      </w:pPr>
      <w:r>
        <w:separator/>
      </w:r>
    </w:p>
  </w:footnote>
  <w:footnote w:type="continuationSeparator" w:id="0">
    <w:p w14:paraId="23958A62" w14:textId="77777777" w:rsidR="004001DC" w:rsidRDefault="004001DC" w:rsidP="00927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0A142" w14:textId="32CA5AC3" w:rsidR="00B9491D" w:rsidRDefault="005E1794" w:rsidP="005E1794">
    <w:pPr>
      <w:pStyle w:val="Header"/>
      <w:jc w:val="center"/>
    </w:pPr>
    <w:fldSimple w:instr=" DOCPROPERTY bjHeaderEvenPageDocProperty \* MERGEFORMAT " w:fldLock="1">
      <w:r w:rsidRPr="005E1794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981D" w14:textId="073C95FE" w:rsidR="00B9491D" w:rsidRDefault="005E1794" w:rsidP="005E1794">
    <w:pPr>
      <w:pStyle w:val="Header"/>
      <w:jc w:val="center"/>
    </w:pPr>
    <w:fldSimple w:instr=" DOCPROPERTY bjHeaderBothDocProperty \* MERGEFORMAT " w:fldLock="1">
      <w:r w:rsidRPr="005E1794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8DDFF" w14:textId="77777777" w:rsidR="005E1794" w:rsidRDefault="005E1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7770E"/>
    <w:multiLevelType w:val="hybridMultilevel"/>
    <w:tmpl w:val="D194D1B8"/>
    <w:lvl w:ilvl="0" w:tplc="1DD26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5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D2"/>
    <w:rsid w:val="000A6B98"/>
    <w:rsid w:val="001F4166"/>
    <w:rsid w:val="00300146"/>
    <w:rsid w:val="003D6947"/>
    <w:rsid w:val="004001DC"/>
    <w:rsid w:val="004D274B"/>
    <w:rsid w:val="005E1794"/>
    <w:rsid w:val="006F1AAF"/>
    <w:rsid w:val="00751334"/>
    <w:rsid w:val="009107B7"/>
    <w:rsid w:val="009273D2"/>
    <w:rsid w:val="00931992"/>
    <w:rsid w:val="009D149B"/>
    <w:rsid w:val="00B9491D"/>
    <w:rsid w:val="00BD0D66"/>
    <w:rsid w:val="00C030AA"/>
    <w:rsid w:val="00D957F7"/>
    <w:rsid w:val="00EA5E9F"/>
    <w:rsid w:val="00FD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97752"/>
  <w15:chartTrackingRefBased/>
  <w15:docId w15:val="{14D17BDF-A6A3-4D6F-912C-1DE39036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3D2"/>
  </w:style>
  <w:style w:type="paragraph" w:styleId="Footer">
    <w:name w:val="footer"/>
    <w:basedOn w:val="Normal"/>
    <w:link w:val="FooterChar"/>
    <w:uiPriority w:val="99"/>
    <w:unhideWhenUsed/>
    <w:rsid w:val="00927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3D2"/>
  </w:style>
  <w:style w:type="paragraph" w:styleId="Title">
    <w:name w:val="Title"/>
    <w:basedOn w:val="Normal"/>
    <w:next w:val="Normal"/>
    <w:link w:val="TitleChar"/>
    <w:uiPriority w:val="10"/>
    <w:qFormat/>
    <w:rsid w:val="009273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9273D2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27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2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3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3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73D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17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glowscotland.org.uk/glowblogs/public/glasgowpsychologicalservice/uploads/sites/4587/2022/01/12122302/A-Whole-School-Approach-to-Loss-and-Bereavement-December-2021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ogs.glowscotland.org.uk/glowblogs/gepswi/story-guidance-for-trauma-resolution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s.glowscotland.org.uk/glowblogs/gepsw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logs.glowscotland.org.uk/glowblogs/gepswi/critical-incident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logs.glowscotland.org.uk/glowblogs/glasgowpsychologicalservice/school-staff/early-years-online-learning-modules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92FCB7F5-07FE-4D53-B4EE-308793A486E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Forsyth, Lisa</dc:creator>
  <cp:keywords>[OFFICIAL]</cp:keywords>
  <dc:description/>
  <cp:lastModifiedBy>Murray, David - EP</cp:lastModifiedBy>
  <cp:revision>7</cp:revision>
  <dcterms:created xsi:type="dcterms:W3CDTF">2024-02-23T13:52:00Z</dcterms:created>
  <dcterms:modified xsi:type="dcterms:W3CDTF">2025-03-07T05:46:00Z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04d43764-2650-47f3-b2fa-e4389f6fc4e4</vt:lpwstr>
  </property>
  <property fmtid="{D5CDD505-2E9C-101B-9397-08002B2CF9AE}" pid="3" name="bjSaver">
    <vt:lpwstr>YItFqCys9GP/gTx6tjn782lhcg4xFPEL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