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181F" w14:textId="0BB345EC" w:rsidR="00D70A1A" w:rsidRPr="009D5A91" w:rsidRDefault="009D5A91" w:rsidP="001E03B9">
      <w:pPr>
        <w:jc w:val="center"/>
        <w:rPr>
          <w:sz w:val="24"/>
          <w:szCs w:val="24"/>
        </w:rPr>
      </w:pPr>
      <w:r w:rsidRPr="009D5A91">
        <w:rPr>
          <w:noProof/>
          <w:sz w:val="24"/>
          <w:szCs w:val="24"/>
          <w:lang w:eastAsia="en-GB"/>
        </w:rPr>
        <w:drawing>
          <wp:anchor distT="0" distB="0" distL="114300" distR="114300" simplePos="0" relativeHeight="251658240" behindDoc="0" locked="0" layoutInCell="1" allowOverlap="1" wp14:anchorId="7BE17469" wp14:editId="59EA253C">
            <wp:simplePos x="0" y="0"/>
            <wp:positionH relativeFrom="column">
              <wp:posOffset>-793750</wp:posOffset>
            </wp:positionH>
            <wp:positionV relativeFrom="paragraph">
              <wp:posOffset>1905</wp:posOffset>
            </wp:positionV>
            <wp:extent cx="885825" cy="837565"/>
            <wp:effectExtent l="0" t="0" r="9525" b="635"/>
            <wp:wrapThrough wrapText="bothSides">
              <wp:wrapPolygon edited="0">
                <wp:start x="0" y="0"/>
                <wp:lineTo x="0" y="21125"/>
                <wp:lineTo x="21368" y="21125"/>
                <wp:lineTo x="21368"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37565"/>
                    </a:xfrm>
                    <a:prstGeom prst="rect">
                      <a:avLst/>
                    </a:prstGeom>
                  </pic:spPr>
                </pic:pic>
              </a:graphicData>
            </a:graphic>
            <wp14:sizeRelH relativeFrom="page">
              <wp14:pctWidth>0</wp14:pctWidth>
            </wp14:sizeRelH>
            <wp14:sizeRelV relativeFrom="page">
              <wp14:pctHeight>0</wp14:pctHeight>
            </wp14:sizeRelV>
          </wp:anchor>
        </w:drawing>
      </w:r>
      <w:r w:rsidRPr="009D5A91">
        <w:rPr>
          <w:noProof/>
          <w:sz w:val="24"/>
          <w:szCs w:val="24"/>
          <w:lang w:eastAsia="en-GB"/>
        </w:rPr>
        <w:drawing>
          <wp:anchor distT="0" distB="0" distL="114300" distR="114300" simplePos="0" relativeHeight="251659264" behindDoc="0" locked="0" layoutInCell="1" allowOverlap="1" wp14:anchorId="3A92D89F" wp14:editId="553E3FCC">
            <wp:simplePos x="0" y="0"/>
            <wp:positionH relativeFrom="column">
              <wp:posOffset>5695950</wp:posOffset>
            </wp:positionH>
            <wp:positionV relativeFrom="paragraph">
              <wp:posOffset>5080</wp:posOffset>
            </wp:positionV>
            <wp:extent cx="914400" cy="871855"/>
            <wp:effectExtent l="0" t="0" r="0" b="444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pic:spPr>
                </pic:pic>
              </a:graphicData>
            </a:graphic>
          </wp:anchor>
        </w:drawing>
      </w:r>
      <w:proofErr w:type="spellStart"/>
      <w:r w:rsidR="001E03B9" w:rsidRPr="009D5A91">
        <w:rPr>
          <w:sz w:val="24"/>
          <w:szCs w:val="24"/>
        </w:rPr>
        <w:t>Forth</w:t>
      </w:r>
      <w:proofErr w:type="spellEnd"/>
      <w:r w:rsidR="001E03B9" w:rsidRPr="009D5A91">
        <w:rPr>
          <w:sz w:val="24"/>
          <w:szCs w:val="24"/>
        </w:rPr>
        <w:t xml:space="preserve"> Valley and West Lothian Regional Improvement Collaborative</w:t>
      </w:r>
    </w:p>
    <w:p w14:paraId="40B0B50D" w14:textId="4BAF05A4" w:rsidR="001E03B9" w:rsidRPr="009D5A91" w:rsidRDefault="001E03B9" w:rsidP="001E03B9">
      <w:pPr>
        <w:jc w:val="center"/>
        <w:rPr>
          <w:sz w:val="24"/>
          <w:szCs w:val="24"/>
        </w:rPr>
      </w:pPr>
      <w:r w:rsidRPr="009D5A91">
        <w:rPr>
          <w:sz w:val="24"/>
          <w:szCs w:val="24"/>
        </w:rPr>
        <w:t>Attendance Focus</w:t>
      </w:r>
      <w:r w:rsidR="001F17A0" w:rsidRPr="009D5A91">
        <w:rPr>
          <w:sz w:val="24"/>
          <w:szCs w:val="24"/>
        </w:rPr>
        <w:t>: August -October 2022</w:t>
      </w:r>
    </w:p>
    <w:p w14:paraId="00CCEDD5" w14:textId="04BDC88C" w:rsidR="00713621" w:rsidRPr="009D5A91" w:rsidRDefault="001E03B9" w:rsidP="009D5A91">
      <w:pPr>
        <w:jc w:val="center"/>
        <w:rPr>
          <w:sz w:val="24"/>
          <w:szCs w:val="24"/>
        </w:rPr>
      </w:pPr>
      <w:r w:rsidRPr="009D5A91">
        <w:rPr>
          <w:sz w:val="24"/>
          <w:szCs w:val="24"/>
        </w:rPr>
        <w:t xml:space="preserve">Research Summary </w:t>
      </w:r>
    </w:p>
    <w:tbl>
      <w:tblPr>
        <w:tblStyle w:val="TableGrid"/>
        <w:tblW w:w="0" w:type="auto"/>
        <w:tblLook w:val="04A0" w:firstRow="1" w:lastRow="0" w:firstColumn="1" w:lastColumn="0" w:noHBand="0" w:noVBand="1"/>
      </w:tblPr>
      <w:tblGrid>
        <w:gridCol w:w="9016"/>
      </w:tblGrid>
      <w:tr w:rsidR="001F17A0" w14:paraId="2A482B0E" w14:textId="77777777" w:rsidTr="001F17A0">
        <w:tc>
          <w:tcPr>
            <w:tcW w:w="9016" w:type="dxa"/>
            <w:shd w:val="clear" w:color="auto" w:fill="8EAADB" w:themeFill="accent1" w:themeFillTint="99"/>
          </w:tcPr>
          <w:p w14:paraId="09129E1B" w14:textId="4F796A80" w:rsidR="001F17A0" w:rsidRPr="001F17A0" w:rsidRDefault="001F17A0" w:rsidP="001E03B9">
            <w:pPr>
              <w:jc w:val="center"/>
              <w:rPr>
                <w:b/>
                <w:bCs/>
                <w:sz w:val="24"/>
                <w:szCs w:val="24"/>
              </w:rPr>
            </w:pPr>
            <w:r w:rsidRPr="001F17A0">
              <w:rPr>
                <w:b/>
                <w:bCs/>
                <w:sz w:val="24"/>
                <w:szCs w:val="24"/>
              </w:rPr>
              <w:t xml:space="preserve">Research reference </w:t>
            </w:r>
            <w:r>
              <w:rPr>
                <w:b/>
                <w:bCs/>
                <w:sz w:val="24"/>
                <w:szCs w:val="24"/>
              </w:rPr>
              <w:t>(</w:t>
            </w:r>
            <w:r w:rsidRPr="001F17A0">
              <w:rPr>
                <w:b/>
                <w:bCs/>
                <w:sz w:val="24"/>
                <w:szCs w:val="24"/>
              </w:rPr>
              <w:t>with link</w:t>
            </w:r>
            <w:r>
              <w:rPr>
                <w:b/>
                <w:bCs/>
                <w:sz w:val="24"/>
                <w:szCs w:val="24"/>
              </w:rPr>
              <w:t>)</w:t>
            </w:r>
          </w:p>
        </w:tc>
      </w:tr>
      <w:tr w:rsidR="001F17A0" w14:paraId="35A591C6" w14:textId="77777777" w:rsidTr="00834D31">
        <w:trPr>
          <w:trHeight w:val="847"/>
        </w:trPr>
        <w:tc>
          <w:tcPr>
            <w:tcW w:w="9016" w:type="dxa"/>
          </w:tcPr>
          <w:p w14:paraId="0A8E4304" w14:textId="7FC35EF3" w:rsidR="00834D31" w:rsidRDefault="00834D31" w:rsidP="009D5A91">
            <w:pPr>
              <w:pStyle w:val="Default"/>
              <w:jc w:val="center"/>
              <w:rPr>
                <w:rFonts w:asciiTheme="majorHAnsi" w:hAnsiTheme="majorHAnsi" w:cstheme="majorHAnsi"/>
                <w:sz w:val="22"/>
                <w:szCs w:val="22"/>
              </w:rPr>
            </w:pPr>
            <w:r w:rsidRPr="009D5A91">
              <w:rPr>
                <w:rFonts w:asciiTheme="majorHAnsi" w:hAnsiTheme="majorHAnsi" w:cstheme="majorHAnsi"/>
                <w:b/>
                <w:sz w:val="22"/>
                <w:szCs w:val="22"/>
              </w:rPr>
              <w:t>School A</w:t>
            </w:r>
            <w:r w:rsidRPr="009D5A91">
              <w:rPr>
                <w:rFonts w:asciiTheme="majorHAnsi" w:hAnsiTheme="majorHAnsi" w:cstheme="majorHAnsi"/>
                <w:b/>
                <w:sz w:val="22"/>
                <w:szCs w:val="22"/>
              </w:rPr>
              <w:t>bsenteeism</w:t>
            </w:r>
            <w:r w:rsidRPr="009D5A91">
              <w:rPr>
                <w:rFonts w:asciiTheme="majorHAnsi" w:hAnsiTheme="majorHAnsi" w:cstheme="majorHAnsi"/>
                <w:b/>
                <w:sz w:val="22"/>
                <w:szCs w:val="22"/>
              </w:rPr>
              <w:t xml:space="preserve"> and E</w:t>
            </w:r>
            <w:r w:rsidRPr="009D5A91">
              <w:rPr>
                <w:rFonts w:asciiTheme="majorHAnsi" w:hAnsiTheme="majorHAnsi" w:cstheme="majorHAnsi"/>
                <w:b/>
                <w:sz w:val="22"/>
                <w:szCs w:val="22"/>
              </w:rPr>
              <w:t>ducational</w:t>
            </w:r>
            <w:r w:rsidRPr="009D5A91">
              <w:rPr>
                <w:rFonts w:asciiTheme="majorHAnsi" w:hAnsiTheme="majorHAnsi" w:cstheme="majorHAnsi"/>
                <w:b/>
                <w:sz w:val="22"/>
                <w:szCs w:val="22"/>
              </w:rPr>
              <w:t xml:space="preserve"> A</w:t>
            </w:r>
            <w:r w:rsidRPr="009D5A91">
              <w:rPr>
                <w:rFonts w:asciiTheme="majorHAnsi" w:hAnsiTheme="majorHAnsi" w:cstheme="majorHAnsi"/>
                <w:b/>
                <w:sz w:val="22"/>
                <w:szCs w:val="22"/>
              </w:rPr>
              <w:t>ttainment- Evidence</w:t>
            </w:r>
            <w:r w:rsidRPr="009D5A91">
              <w:rPr>
                <w:rFonts w:asciiTheme="majorHAnsi" w:hAnsiTheme="majorHAnsi" w:cstheme="majorHAnsi"/>
                <w:b/>
                <w:sz w:val="22"/>
                <w:szCs w:val="22"/>
              </w:rPr>
              <w:t xml:space="preserve"> </w:t>
            </w:r>
            <w:r w:rsidRPr="009D5A91">
              <w:rPr>
                <w:rFonts w:asciiTheme="majorHAnsi" w:hAnsiTheme="majorHAnsi" w:cstheme="majorHAnsi"/>
                <w:b/>
                <w:sz w:val="22"/>
                <w:szCs w:val="22"/>
              </w:rPr>
              <w:t>from the Scottish</w:t>
            </w:r>
            <w:r w:rsidRPr="009D5A91">
              <w:rPr>
                <w:rFonts w:asciiTheme="majorHAnsi" w:hAnsiTheme="majorHAnsi" w:cstheme="majorHAnsi"/>
                <w:b/>
                <w:sz w:val="22"/>
                <w:szCs w:val="22"/>
              </w:rPr>
              <w:t xml:space="preserve"> </w:t>
            </w:r>
            <w:r w:rsidRPr="009D5A91">
              <w:rPr>
                <w:rFonts w:asciiTheme="majorHAnsi" w:hAnsiTheme="majorHAnsi" w:cstheme="majorHAnsi"/>
                <w:b/>
                <w:sz w:val="22"/>
                <w:szCs w:val="22"/>
              </w:rPr>
              <w:t>Longitudinal Study</w:t>
            </w:r>
            <w:r w:rsidRPr="009D5A91">
              <w:rPr>
                <w:rFonts w:asciiTheme="majorHAnsi" w:hAnsiTheme="majorHAnsi" w:cstheme="majorHAnsi"/>
                <w:b/>
                <w:sz w:val="22"/>
                <w:szCs w:val="22"/>
              </w:rPr>
              <w:t>,</w:t>
            </w:r>
            <w:r w:rsidRPr="00834D31">
              <w:rPr>
                <w:rFonts w:asciiTheme="majorHAnsi" w:hAnsiTheme="majorHAnsi" w:cstheme="majorHAnsi"/>
                <w:sz w:val="22"/>
                <w:szCs w:val="22"/>
              </w:rPr>
              <w:t xml:space="preserve"> </w:t>
            </w:r>
            <w:r w:rsidRPr="009D5A91">
              <w:rPr>
                <w:rFonts w:asciiTheme="majorHAnsi" w:hAnsiTheme="majorHAnsi" w:cstheme="majorHAnsi"/>
                <w:b/>
                <w:sz w:val="22"/>
                <w:szCs w:val="22"/>
              </w:rPr>
              <w:t>May 2022</w:t>
            </w:r>
            <w:r w:rsidRPr="00834D31">
              <w:rPr>
                <w:rFonts w:asciiTheme="majorHAnsi" w:hAnsiTheme="majorHAnsi" w:cstheme="majorHAnsi"/>
                <w:sz w:val="22"/>
                <w:szCs w:val="22"/>
              </w:rPr>
              <w:t xml:space="preserve">- </w:t>
            </w:r>
            <w:r w:rsidRPr="00834D31">
              <w:rPr>
                <w:rFonts w:asciiTheme="majorHAnsi" w:hAnsiTheme="majorHAnsi" w:cstheme="majorHAnsi"/>
                <w:bCs/>
                <w:color w:val="auto"/>
                <w:sz w:val="22"/>
                <w:szCs w:val="22"/>
              </w:rPr>
              <w:t xml:space="preserve">Authors: Markus Klein, Edward </w:t>
            </w:r>
            <w:proofErr w:type="spellStart"/>
            <w:r w:rsidRPr="00834D31">
              <w:rPr>
                <w:rFonts w:asciiTheme="majorHAnsi" w:hAnsiTheme="majorHAnsi" w:cstheme="majorHAnsi"/>
                <w:bCs/>
                <w:color w:val="auto"/>
                <w:sz w:val="22"/>
                <w:szCs w:val="22"/>
              </w:rPr>
              <w:t>Sosu</w:t>
            </w:r>
            <w:proofErr w:type="spellEnd"/>
            <w:r w:rsidRPr="00834D31">
              <w:rPr>
                <w:rFonts w:asciiTheme="majorHAnsi" w:hAnsiTheme="majorHAnsi" w:cstheme="majorHAnsi"/>
                <w:bCs/>
                <w:color w:val="auto"/>
                <w:sz w:val="22"/>
                <w:szCs w:val="22"/>
              </w:rPr>
              <w:t xml:space="preserve">, Esme </w:t>
            </w:r>
            <w:proofErr w:type="spellStart"/>
            <w:r w:rsidRPr="00834D31">
              <w:rPr>
                <w:rFonts w:asciiTheme="majorHAnsi" w:hAnsiTheme="majorHAnsi" w:cstheme="majorHAnsi"/>
                <w:bCs/>
                <w:color w:val="auto"/>
                <w:sz w:val="22"/>
                <w:szCs w:val="22"/>
              </w:rPr>
              <w:t>Lillywhite</w:t>
            </w:r>
            <w:proofErr w:type="spellEnd"/>
          </w:p>
          <w:p w14:paraId="2DA8893C" w14:textId="4C704830" w:rsidR="00834D31" w:rsidRPr="00834D31" w:rsidRDefault="00834D31" w:rsidP="009D5A91">
            <w:pPr>
              <w:pStyle w:val="Default"/>
              <w:jc w:val="center"/>
              <w:rPr>
                <w:rFonts w:asciiTheme="majorHAnsi" w:hAnsiTheme="majorHAnsi" w:cstheme="majorHAnsi"/>
                <w:sz w:val="22"/>
                <w:szCs w:val="22"/>
              </w:rPr>
            </w:pPr>
            <w:hyperlink r:id="rId10" w:history="1">
              <w:r w:rsidRPr="00834D31">
                <w:rPr>
                  <w:rStyle w:val="Hyperlink"/>
                  <w:rFonts w:asciiTheme="majorHAnsi" w:hAnsiTheme="majorHAnsi" w:cstheme="majorHAnsi"/>
                  <w:sz w:val="22"/>
                  <w:szCs w:val="22"/>
                </w:rPr>
                <w:t>https://doi.org/10.17868/80713</w:t>
              </w:r>
            </w:hyperlink>
          </w:p>
        </w:tc>
      </w:tr>
      <w:tr w:rsidR="001F17A0" w14:paraId="503BE5B5" w14:textId="77777777" w:rsidTr="001F17A0">
        <w:tc>
          <w:tcPr>
            <w:tcW w:w="9016" w:type="dxa"/>
            <w:shd w:val="clear" w:color="auto" w:fill="8EAADB" w:themeFill="accent1" w:themeFillTint="99"/>
          </w:tcPr>
          <w:p w14:paraId="2BD61DA4" w14:textId="19EE7A70" w:rsidR="001F17A0" w:rsidRPr="001F17A0" w:rsidRDefault="001F17A0" w:rsidP="001E03B9">
            <w:pPr>
              <w:jc w:val="center"/>
              <w:rPr>
                <w:b/>
                <w:bCs/>
                <w:sz w:val="24"/>
                <w:szCs w:val="24"/>
              </w:rPr>
            </w:pPr>
            <w:r w:rsidRPr="001F17A0">
              <w:rPr>
                <w:b/>
                <w:bCs/>
                <w:sz w:val="24"/>
                <w:szCs w:val="24"/>
              </w:rPr>
              <w:t>Research methodology / Data Collection methods</w:t>
            </w:r>
          </w:p>
        </w:tc>
      </w:tr>
      <w:tr w:rsidR="001F17A0" w14:paraId="7B54C844" w14:textId="77777777" w:rsidTr="001F17A0">
        <w:tc>
          <w:tcPr>
            <w:tcW w:w="9016" w:type="dxa"/>
          </w:tcPr>
          <w:p w14:paraId="24E83562" w14:textId="3D31E745" w:rsidR="001F17A0" w:rsidRPr="00C7643C" w:rsidRDefault="00E8749F" w:rsidP="00E8749F">
            <w:pPr>
              <w:rPr>
                <w:rFonts w:asciiTheme="majorHAnsi" w:hAnsiTheme="majorHAnsi" w:cstheme="majorHAnsi"/>
                <w:sz w:val="20"/>
                <w:szCs w:val="20"/>
              </w:rPr>
            </w:pPr>
            <w:r w:rsidRPr="00C7643C">
              <w:rPr>
                <w:rFonts w:asciiTheme="majorHAnsi" w:hAnsiTheme="majorHAnsi" w:cstheme="majorHAnsi"/>
                <w:sz w:val="20"/>
                <w:szCs w:val="20"/>
              </w:rPr>
              <w:t xml:space="preserve">The </w:t>
            </w:r>
            <w:r w:rsidR="00834D31" w:rsidRPr="00C7643C">
              <w:rPr>
                <w:rFonts w:asciiTheme="majorHAnsi" w:hAnsiTheme="majorHAnsi" w:cstheme="majorHAnsi"/>
                <w:sz w:val="20"/>
                <w:szCs w:val="20"/>
              </w:rPr>
              <w:t xml:space="preserve">data </w:t>
            </w:r>
            <w:r w:rsidRPr="00C7643C">
              <w:rPr>
                <w:rFonts w:asciiTheme="majorHAnsi" w:hAnsiTheme="majorHAnsi" w:cstheme="majorHAnsi"/>
                <w:sz w:val="20"/>
                <w:szCs w:val="20"/>
              </w:rPr>
              <w:t xml:space="preserve">used in this study </w:t>
            </w:r>
            <w:r w:rsidR="00834D31" w:rsidRPr="00C7643C">
              <w:rPr>
                <w:rFonts w:asciiTheme="majorHAnsi" w:hAnsiTheme="majorHAnsi" w:cstheme="majorHAnsi"/>
                <w:sz w:val="20"/>
                <w:szCs w:val="20"/>
              </w:rPr>
              <w:t>comes from the Scottish Longitudinal Study (SLS), a</w:t>
            </w:r>
            <w:r w:rsidRPr="00C7643C">
              <w:rPr>
                <w:rFonts w:asciiTheme="majorHAnsi" w:hAnsiTheme="majorHAnsi" w:cstheme="majorHAnsi"/>
                <w:sz w:val="20"/>
                <w:szCs w:val="20"/>
              </w:rPr>
              <w:t xml:space="preserve"> </w:t>
            </w:r>
            <w:r w:rsidR="00834D31" w:rsidRPr="00C7643C">
              <w:rPr>
                <w:rFonts w:asciiTheme="majorHAnsi" w:hAnsiTheme="majorHAnsi" w:cstheme="majorHAnsi"/>
                <w:sz w:val="20"/>
                <w:szCs w:val="20"/>
              </w:rPr>
              <w:t>large-scale, anonymised record study linking various</w:t>
            </w:r>
            <w:r w:rsidRPr="00C7643C">
              <w:rPr>
                <w:rFonts w:asciiTheme="majorHAnsi" w:hAnsiTheme="majorHAnsi" w:cstheme="majorHAnsi"/>
                <w:sz w:val="20"/>
                <w:szCs w:val="20"/>
              </w:rPr>
              <w:t xml:space="preserve"> </w:t>
            </w:r>
            <w:r w:rsidR="00834D31" w:rsidRPr="00C7643C">
              <w:rPr>
                <w:rFonts w:asciiTheme="majorHAnsi" w:hAnsiTheme="majorHAnsi" w:cstheme="majorHAnsi"/>
                <w:sz w:val="20"/>
                <w:szCs w:val="20"/>
              </w:rPr>
              <w:t xml:space="preserve">administrative and statistical data in Scotland. </w:t>
            </w:r>
            <w:r w:rsidRPr="00C7643C">
              <w:rPr>
                <w:rFonts w:asciiTheme="majorHAnsi" w:hAnsiTheme="majorHAnsi" w:cstheme="majorHAnsi"/>
                <w:sz w:val="20"/>
                <w:szCs w:val="20"/>
              </w:rPr>
              <w:t>Using semi –random birthdates, the study covers 5.3% of the Scottish population.</w:t>
            </w:r>
            <w:r w:rsidR="00834D31" w:rsidRPr="00C7643C">
              <w:rPr>
                <w:rFonts w:asciiTheme="majorHAnsi" w:hAnsiTheme="majorHAnsi" w:cstheme="majorHAnsi"/>
                <w:sz w:val="20"/>
                <w:szCs w:val="20"/>
              </w:rPr>
              <w:t xml:space="preserve"> </w:t>
            </w:r>
            <w:r w:rsidRPr="00C7643C">
              <w:rPr>
                <w:rFonts w:asciiTheme="majorHAnsi" w:hAnsiTheme="majorHAnsi" w:cstheme="majorHAnsi"/>
                <w:sz w:val="20"/>
                <w:szCs w:val="20"/>
              </w:rPr>
              <w:t>The</w:t>
            </w:r>
            <w:r w:rsidR="00C7643C" w:rsidRPr="00C7643C">
              <w:rPr>
                <w:rFonts w:asciiTheme="majorHAnsi" w:hAnsiTheme="majorHAnsi" w:cstheme="majorHAnsi"/>
                <w:sz w:val="20"/>
                <w:szCs w:val="20"/>
              </w:rPr>
              <w:t xml:space="preserve"> researchers</w:t>
            </w:r>
            <w:r w:rsidR="00834D31" w:rsidRPr="00C7643C">
              <w:rPr>
                <w:rFonts w:asciiTheme="majorHAnsi" w:hAnsiTheme="majorHAnsi" w:cstheme="majorHAnsi"/>
                <w:sz w:val="20"/>
                <w:szCs w:val="20"/>
              </w:rPr>
              <w:t xml:space="preserve"> </w:t>
            </w:r>
            <w:r w:rsidRPr="00C7643C">
              <w:rPr>
                <w:rFonts w:asciiTheme="majorHAnsi" w:hAnsiTheme="majorHAnsi" w:cstheme="majorHAnsi"/>
                <w:sz w:val="20"/>
                <w:szCs w:val="20"/>
              </w:rPr>
              <w:t xml:space="preserve">also </w:t>
            </w:r>
            <w:r w:rsidR="00834D31" w:rsidRPr="00C7643C">
              <w:rPr>
                <w:rFonts w:asciiTheme="majorHAnsi" w:hAnsiTheme="majorHAnsi" w:cstheme="majorHAnsi"/>
                <w:sz w:val="20"/>
                <w:szCs w:val="20"/>
              </w:rPr>
              <w:t>included 2001 census data linked to</w:t>
            </w:r>
            <w:r w:rsidRPr="00C7643C">
              <w:rPr>
                <w:rFonts w:asciiTheme="majorHAnsi" w:hAnsiTheme="majorHAnsi" w:cstheme="majorHAnsi"/>
                <w:sz w:val="20"/>
                <w:szCs w:val="20"/>
              </w:rPr>
              <w:t xml:space="preserve"> </w:t>
            </w:r>
            <w:r w:rsidR="00834D31" w:rsidRPr="00C7643C">
              <w:rPr>
                <w:rFonts w:asciiTheme="majorHAnsi" w:hAnsiTheme="majorHAnsi" w:cstheme="majorHAnsi"/>
                <w:sz w:val="20"/>
                <w:szCs w:val="20"/>
              </w:rPr>
              <w:t>administrative school records and Scottish Qualification</w:t>
            </w:r>
            <w:r w:rsidRPr="00C7643C">
              <w:rPr>
                <w:rFonts w:asciiTheme="majorHAnsi" w:hAnsiTheme="majorHAnsi" w:cstheme="majorHAnsi"/>
                <w:sz w:val="20"/>
                <w:szCs w:val="20"/>
              </w:rPr>
              <w:t xml:space="preserve"> </w:t>
            </w:r>
            <w:r w:rsidR="00834D31" w:rsidRPr="00C7643C">
              <w:rPr>
                <w:rFonts w:asciiTheme="majorHAnsi" w:hAnsiTheme="majorHAnsi" w:cstheme="majorHAnsi"/>
                <w:sz w:val="20"/>
                <w:szCs w:val="20"/>
              </w:rPr>
              <w:t>Authority (SQA) data from 2007 to 2010. The administrative</w:t>
            </w:r>
            <w:r w:rsidRPr="00C7643C">
              <w:rPr>
                <w:rFonts w:asciiTheme="majorHAnsi" w:hAnsiTheme="majorHAnsi" w:cstheme="majorHAnsi"/>
                <w:sz w:val="20"/>
                <w:szCs w:val="20"/>
              </w:rPr>
              <w:t xml:space="preserve"> </w:t>
            </w:r>
            <w:r w:rsidR="00834D31" w:rsidRPr="00C7643C">
              <w:rPr>
                <w:rFonts w:asciiTheme="majorHAnsi" w:hAnsiTheme="majorHAnsi" w:cstheme="majorHAnsi"/>
                <w:sz w:val="20"/>
                <w:szCs w:val="20"/>
              </w:rPr>
              <w:t>school records included reasons for absence, while the SQA</w:t>
            </w:r>
            <w:r w:rsidRPr="00C7643C">
              <w:rPr>
                <w:rFonts w:asciiTheme="majorHAnsi" w:hAnsiTheme="majorHAnsi" w:cstheme="majorHAnsi"/>
                <w:sz w:val="20"/>
                <w:szCs w:val="20"/>
              </w:rPr>
              <w:t xml:space="preserve"> </w:t>
            </w:r>
            <w:r w:rsidR="00834D31" w:rsidRPr="00C7643C">
              <w:rPr>
                <w:rFonts w:asciiTheme="majorHAnsi" w:hAnsiTheme="majorHAnsi" w:cstheme="majorHAnsi"/>
                <w:sz w:val="20"/>
                <w:szCs w:val="20"/>
              </w:rPr>
              <w:t>data provided records of exam grades. The census data</w:t>
            </w:r>
            <w:r w:rsidRPr="00C7643C">
              <w:rPr>
                <w:rFonts w:asciiTheme="majorHAnsi" w:hAnsiTheme="majorHAnsi" w:cstheme="majorHAnsi"/>
                <w:sz w:val="20"/>
                <w:szCs w:val="20"/>
              </w:rPr>
              <w:t xml:space="preserve"> </w:t>
            </w:r>
            <w:r w:rsidR="00834D31" w:rsidRPr="00C7643C">
              <w:rPr>
                <w:rFonts w:asciiTheme="majorHAnsi" w:hAnsiTheme="majorHAnsi" w:cstheme="majorHAnsi"/>
                <w:sz w:val="20"/>
                <w:szCs w:val="20"/>
              </w:rPr>
              <w:t xml:space="preserve">allowed </w:t>
            </w:r>
            <w:r w:rsidRPr="00C7643C">
              <w:rPr>
                <w:rFonts w:asciiTheme="majorHAnsi" w:hAnsiTheme="majorHAnsi" w:cstheme="majorHAnsi"/>
                <w:sz w:val="20"/>
                <w:szCs w:val="20"/>
              </w:rPr>
              <w:t>the researchers to adjust thei</w:t>
            </w:r>
            <w:r w:rsidR="00834D31" w:rsidRPr="00C7643C">
              <w:rPr>
                <w:rFonts w:asciiTheme="majorHAnsi" w:hAnsiTheme="majorHAnsi" w:cstheme="majorHAnsi"/>
                <w:sz w:val="20"/>
                <w:szCs w:val="20"/>
              </w:rPr>
              <w:t>r analyses for key household</w:t>
            </w:r>
            <w:r w:rsidRPr="00C7643C">
              <w:rPr>
                <w:rFonts w:asciiTheme="majorHAnsi" w:hAnsiTheme="majorHAnsi" w:cstheme="majorHAnsi"/>
                <w:sz w:val="20"/>
                <w:szCs w:val="20"/>
              </w:rPr>
              <w:t xml:space="preserve"> </w:t>
            </w:r>
            <w:r w:rsidR="00834D31" w:rsidRPr="00C7643C">
              <w:rPr>
                <w:rFonts w:asciiTheme="majorHAnsi" w:hAnsiTheme="majorHAnsi" w:cstheme="majorHAnsi"/>
                <w:sz w:val="20"/>
                <w:szCs w:val="20"/>
              </w:rPr>
              <w:t>socioeconomic information and background characteristics.</w:t>
            </w:r>
            <w:r w:rsidRPr="00C7643C">
              <w:rPr>
                <w:rFonts w:asciiTheme="majorHAnsi" w:hAnsiTheme="majorHAnsi" w:cstheme="majorHAnsi"/>
                <w:sz w:val="20"/>
                <w:szCs w:val="20"/>
              </w:rPr>
              <w:t xml:space="preserve"> They took into consideration</w:t>
            </w:r>
            <w:r w:rsidR="00834D31" w:rsidRPr="00C7643C">
              <w:rPr>
                <w:rFonts w:asciiTheme="majorHAnsi" w:hAnsiTheme="majorHAnsi" w:cstheme="majorHAnsi"/>
                <w:sz w:val="20"/>
                <w:szCs w:val="20"/>
              </w:rPr>
              <w:t xml:space="preserve"> two student cohorts who were in their last year</w:t>
            </w:r>
            <w:r w:rsidRPr="00C7643C">
              <w:rPr>
                <w:rFonts w:asciiTheme="majorHAnsi" w:hAnsiTheme="majorHAnsi" w:cstheme="majorHAnsi"/>
                <w:sz w:val="20"/>
                <w:szCs w:val="20"/>
              </w:rPr>
              <w:t xml:space="preserve"> </w:t>
            </w:r>
            <w:r w:rsidR="00834D31" w:rsidRPr="00C7643C">
              <w:rPr>
                <w:rFonts w:asciiTheme="majorHAnsi" w:hAnsiTheme="majorHAnsi" w:cstheme="majorHAnsi"/>
                <w:sz w:val="20"/>
                <w:szCs w:val="20"/>
              </w:rPr>
              <w:t>of compulsory schooling (S4) in 2007 and 2008 respectively and</w:t>
            </w:r>
            <w:r w:rsidRPr="00C7643C">
              <w:rPr>
                <w:rFonts w:asciiTheme="majorHAnsi" w:hAnsiTheme="majorHAnsi" w:cstheme="majorHAnsi"/>
                <w:sz w:val="20"/>
                <w:szCs w:val="20"/>
              </w:rPr>
              <w:t xml:space="preserve"> </w:t>
            </w:r>
            <w:r w:rsidR="00834D31" w:rsidRPr="00C7643C">
              <w:rPr>
                <w:rFonts w:asciiTheme="majorHAnsi" w:hAnsiTheme="majorHAnsi" w:cstheme="majorHAnsi"/>
                <w:sz w:val="20"/>
                <w:szCs w:val="20"/>
              </w:rPr>
              <w:t>who were followed into the final year of post-compulsory</w:t>
            </w:r>
            <w:r w:rsidRPr="00C7643C">
              <w:rPr>
                <w:rFonts w:asciiTheme="majorHAnsi" w:hAnsiTheme="majorHAnsi" w:cstheme="majorHAnsi"/>
                <w:sz w:val="20"/>
                <w:szCs w:val="20"/>
              </w:rPr>
              <w:t xml:space="preserve"> </w:t>
            </w:r>
            <w:r w:rsidR="00834D31" w:rsidRPr="00C7643C">
              <w:rPr>
                <w:rFonts w:asciiTheme="majorHAnsi" w:hAnsiTheme="majorHAnsi" w:cstheme="majorHAnsi"/>
                <w:sz w:val="20"/>
                <w:szCs w:val="20"/>
              </w:rPr>
              <w:t>schooling (S6) in 2009 and 2010.</w:t>
            </w:r>
          </w:p>
        </w:tc>
      </w:tr>
      <w:tr w:rsidR="001F17A0" w14:paraId="0631EDD9" w14:textId="77777777" w:rsidTr="001F17A0">
        <w:tc>
          <w:tcPr>
            <w:tcW w:w="9016" w:type="dxa"/>
            <w:shd w:val="clear" w:color="auto" w:fill="8EAADB" w:themeFill="accent1" w:themeFillTint="99"/>
          </w:tcPr>
          <w:p w14:paraId="7E93C678" w14:textId="4AE58E5F" w:rsidR="001F17A0" w:rsidRPr="001F17A0" w:rsidRDefault="001F17A0" w:rsidP="001E03B9">
            <w:pPr>
              <w:jc w:val="center"/>
              <w:rPr>
                <w:b/>
                <w:bCs/>
                <w:sz w:val="24"/>
                <w:szCs w:val="24"/>
              </w:rPr>
            </w:pPr>
            <w:r w:rsidRPr="001F17A0">
              <w:rPr>
                <w:b/>
                <w:bCs/>
                <w:sz w:val="24"/>
                <w:szCs w:val="24"/>
              </w:rPr>
              <w:t xml:space="preserve">Key relevant findings </w:t>
            </w:r>
          </w:p>
        </w:tc>
      </w:tr>
      <w:tr w:rsidR="001F17A0" w14:paraId="3AB1F003" w14:textId="77777777" w:rsidTr="001F17A0">
        <w:tc>
          <w:tcPr>
            <w:tcW w:w="9016" w:type="dxa"/>
          </w:tcPr>
          <w:p w14:paraId="30ADD877" w14:textId="264A6911" w:rsidR="001F17A0" w:rsidRPr="009D5A91" w:rsidRDefault="00E8749F" w:rsidP="00E8749F">
            <w:pPr>
              <w:pStyle w:val="Default"/>
              <w:rPr>
                <w:rFonts w:asciiTheme="majorHAnsi" w:hAnsiTheme="majorHAnsi" w:cstheme="majorHAnsi"/>
                <w:sz w:val="20"/>
                <w:szCs w:val="20"/>
              </w:rPr>
            </w:pPr>
            <w:r w:rsidRPr="009D5A91">
              <w:rPr>
                <w:rFonts w:asciiTheme="majorHAnsi" w:hAnsiTheme="majorHAnsi" w:cstheme="majorHAnsi"/>
                <w:sz w:val="20"/>
                <w:szCs w:val="20"/>
              </w:rPr>
              <w:t>The</w:t>
            </w:r>
            <w:bookmarkStart w:id="0" w:name="_GoBack"/>
            <w:bookmarkEnd w:id="0"/>
            <w:r w:rsidRPr="009D5A91">
              <w:rPr>
                <w:rFonts w:asciiTheme="majorHAnsi" w:hAnsiTheme="majorHAnsi" w:cstheme="majorHAnsi"/>
                <w:sz w:val="20"/>
                <w:szCs w:val="20"/>
              </w:rPr>
              <w:t xml:space="preserve"> study sought to ascertain if absenteeism had an overall link to attainment in national examinations taken at the end of compulsory schooling (S4) and post- compulsory schooling S5/S6 and also to examine whether the link between absenteeism and attainment varies with the reason for absence (truancy, sickness absence, exceptional domestic circumstances, and family holidays).</w:t>
            </w:r>
          </w:p>
          <w:p w14:paraId="385FDAAA" w14:textId="51E1CD58" w:rsidR="001F17A0" w:rsidRPr="009D5A91" w:rsidRDefault="001C2710" w:rsidP="001C2710">
            <w:pPr>
              <w:rPr>
                <w:rFonts w:asciiTheme="majorHAnsi" w:hAnsiTheme="majorHAnsi" w:cstheme="majorHAnsi"/>
                <w:sz w:val="20"/>
                <w:szCs w:val="20"/>
              </w:rPr>
            </w:pPr>
            <w:r w:rsidRPr="009D5A91">
              <w:rPr>
                <w:rFonts w:asciiTheme="majorHAnsi" w:hAnsiTheme="majorHAnsi" w:cstheme="majorHAnsi"/>
                <w:sz w:val="20"/>
                <w:szCs w:val="20"/>
              </w:rPr>
              <w:t>When the researchers focused on S4 they discovered that overall absences negatively impacted on educational attainment. ‘</w:t>
            </w:r>
            <w:r w:rsidRPr="009D5A91">
              <w:rPr>
                <w:rFonts w:asciiTheme="majorHAnsi" w:hAnsiTheme="majorHAnsi" w:cstheme="majorHAnsi"/>
                <w:b/>
                <w:i/>
                <w:sz w:val="20"/>
                <w:szCs w:val="20"/>
              </w:rPr>
              <w:t>A one percentage point increase in days absent was associated with a decrease of 3% of a standard deviation in tariff scores</w:t>
            </w:r>
            <w:r w:rsidR="00BE392E" w:rsidRPr="009D5A91">
              <w:rPr>
                <w:rFonts w:asciiTheme="majorHAnsi" w:hAnsiTheme="majorHAnsi" w:cstheme="majorHAnsi"/>
                <w:sz w:val="20"/>
                <w:szCs w:val="20"/>
              </w:rPr>
              <w:t>*</w:t>
            </w:r>
            <w:r w:rsidRPr="009D5A91">
              <w:rPr>
                <w:rFonts w:asciiTheme="majorHAnsi" w:hAnsiTheme="majorHAnsi" w:cstheme="majorHAnsi"/>
                <w:sz w:val="20"/>
                <w:szCs w:val="20"/>
              </w:rPr>
              <w:t xml:space="preserve">.’ That essentially is a 3% decrease in educational attainment. They also discovered </w:t>
            </w:r>
            <w:r w:rsidRPr="009D5A91">
              <w:rPr>
                <w:rFonts w:asciiTheme="majorHAnsi" w:hAnsiTheme="majorHAnsi" w:cstheme="majorHAnsi"/>
                <w:sz w:val="20"/>
                <w:szCs w:val="20"/>
              </w:rPr>
              <w:t>different types of absence were</w:t>
            </w:r>
            <w:r w:rsidRPr="009D5A91">
              <w:rPr>
                <w:rFonts w:asciiTheme="majorHAnsi" w:hAnsiTheme="majorHAnsi" w:cstheme="majorHAnsi"/>
                <w:sz w:val="20"/>
                <w:szCs w:val="20"/>
              </w:rPr>
              <w:t xml:space="preserve"> </w:t>
            </w:r>
            <w:r w:rsidRPr="009D5A91">
              <w:rPr>
                <w:rFonts w:asciiTheme="majorHAnsi" w:hAnsiTheme="majorHAnsi" w:cstheme="majorHAnsi"/>
                <w:sz w:val="20"/>
                <w:szCs w:val="20"/>
              </w:rPr>
              <w:t>linked with attainment</w:t>
            </w:r>
            <w:r w:rsidRPr="009D5A91">
              <w:rPr>
                <w:rFonts w:asciiTheme="majorHAnsi" w:hAnsiTheme="majorHAnsi" w:cstheme="majorHAnsi"/>
                <w:sz w:val="20"/>
                <w:szCs w:val="20"/>
              </w:rPr>
              <w:t>. For example-</w:t>
            </w:r>
          </w:p>
          <w:p w14:paraId="31F61801" w14:textId="0FAD7FEE" w:rsidR="001C2710" w:rsidRPr="009D5A91" w:rsidRDefault="001C2710" w:rsidP="001C2710">
            <w:pPr>
              <w:rPr>
                <w:rFonts w:asciiTheme="majorHAnsi" w:hAnsiTheme="majorHAnsi" w:cstheme="majorHAnsi"/>
                <w:b/>
                <w:sz w:val="18"/>
                <w:szCs w:val="18"/>
              </w:rPr>
            </w:pPr>
            <w:r w:rsidRPr="009D5A91">
              <w:rPr>
                <w:rFonts w:asciiTheme="majorHAnsi" w:hAnsiTheme="majorHAnsi" w:cstheme="majorHAnsi"/>
                <w:b/>
                <w:sz w:val="18"/>
                <w:szCs w:val="18"/>
              </w:rPr>
              <w:t>Sickness or Truancy Absence- A 1% point increase translated into a 4% standard deviation in academic achievement</w:t>
            </w:r>
          </w:p>
          <w:p w14:paraId="30E6F934" w14:textId="732056FE" w:rsidR="001C2710" w:rsidRPr="009D5A91" w:rsidRDefault="001C2710" w:rsidP="001C2710">
            <w:pPr>
              <w:rPr>
                <w:rFonts w:asciiTheme="majorHAnsi" w:hAnsiTheme="majorHAnsi" w:cstheme="majorHAnsi"/>
                <w:b/>
                <w:sz w:val="18"/>
                <w:szCs w:val="18"/>
              </w:rPr>
            </w:pPr>
            <w:r w:rsidRPr="009D5A91">
              <w:rPr>
                <w:rFonts w:asciiTheme="majorHAnsi" w:hAnsiTheme="majorHAnsi" w:cstheme="majorHAnsi"/>
                <w:b/>
                <w:sz w:val="18"/>
                <w:szCs w:val="18"/>
              </w:rPr>
              <w:t>Family Holidays—A 1% point increase translated into a 3% standard deviation in academic achievement</w:t>
            </w:r>
          </w:p>
          <w:p w14:paraId="3AB64CE7" w14:textId="09ED8F32" w:rsidR="001C2710" w:rsidRPr="009D5A91" w:rsidRDefault="001C2710" w:rsidP="001C2710">
            <w:pPr>
              <w:rPr>
                <w:rFonts w:asciiTheme="majorHAnsi" w:hAnsiTheme="majorHAnsi" w:cstheme="majorHAnsi"/>
                <w:b/>
                <w:sz w:val="18"/>
                <w:szCs w:val="18"/>
              </w:rPr>
            </w:pPr>
            <w:r w:rsidRPr="009D5A91">
              <w:rPr>
                <w:rFonts w:asciiTheme="majorHAnsi" w:hAnsiTheme="majorHAnsi" w:cstheme="majorHAnsi"/>
                <w:b/>
                <w:sz w:val="18"/>
                <w:szCs w:val="18"/>
              </w:rPr>
              <w:t>Exceptional domestic circumstances</w:t>
            </w:r>
            <w:r w:rsidRPr="009D5A91">
              <w:rPr>
                <w:rFonts w:asciiTheme="majorHAnsi" w:hAnsiTheme="majorHAnsi" w:cstheme="majorHAnsi"/>
                <w:b/>
                <w:sz w:val="18"/>
                <w:szCs w:val="18"/>
              </w:rPr>
              <w:t xml:space="preserve">- were associated with a drop of 2% standard deviation in academic achievement </w:t>
            </w:r>
          </w:p>
          <w:p w14:paraId="417AB710" w14:textId="0E117D45" w:rsidR="00212D25" w:rsidRPr="009D5A91" w:rsidRDefault="00212D25" w:rsidP="00212D25">
            <w:pPr>
              <w:pStyle w:val="Default"/>
              <w:rPr>
                <w:rFonts w:asciiTheme="majorHAnsi" w:hAnsiTheme="majorHAnsi" w:cstheme="majorHAnsi"/>
                <w:sz w:val="20"/>
                <w:szCs w:val="20"/>
              </w:rPr>
            </w:pPr>
            <w:r w:rsidRPr="009D5A91">
              <w:rPr>
                <w:rFonts w:asciiTheme="majorHAnsi" w:hAnsiTheme="majorHAnsi" w:cstheme="majorHAnsi"/>
                <w:color w:val="auto"/>
                <w:sz w:val="20"/>
                <w:szCs w:val="20"/>
              </w:rPr>
              <w:t xml:space="preserve">When looking at S5/6 the researchers found again </w:t>
            </w:r>
            <w:r w:rsidRPr="009D5A91">
              <w:rPr>
                <w:rFonts w:asciiTheme="majorHAnsi" w:hAnsiTheme="majorHAnsi" w:cstheme="majorHAnsi"/>
                <w:sz w:val="20"/>
                <w:szCs w:val="20"/>
              </w:rPr>
              <w:t xml:space="preserve">that </w:t>
            </w:r>
            <w:r w:rsidRPr="009D5A91">
              <w:rPr>
                <w:rFonts w:asciiTheme="majorHAnsi" w:hAnsiTheme="majorHAnsi" w:cstheme="majorHAnsi"/>
                <w:iCs/>
                <w:sz w:val="20"/>
                <w:szCs w:val="20"/>
              </w:rPr>
              <w:t>overall absence</w:t>
            </w:r>
            <w:r w:rsidRPr="009D5A91">
              <w:rPr>
                <w:rFonts w:asciiTheme="majorHAnsi" w:hAnsiTheme="majorHAnsi" w:cstheme="majorHAnsi"/>
                <w:iCs/>
                <w:sz w:val="20"/>
                <w:szCs w:val="20"/>
              </w:rPr>
              <w:t>s h</w:t>
            </w:r>
            <w:r w:rsidRPr="009D5A91">
              <w:rPr>
                <w:rFonts w:asciiTheme="majorHAnsi" w:hAnsiTheme="majorHAnsi" w:cstheme="majorHAnsi"/>
                <w:sz w:val="20"/>
                <w:szCs w:val="20"/>
              </w:rPr>
              <w:t>ad a negative in</w:t>
            </w:r>
            <w:r w:rsidRPr="009D5A91">
              <w:rPr>
                <w:rFonts w:asciiTheme="majorHAnsi" w:hAnsiTheme="majorHAnsi" w:cstheme="majorHAnsi"/>
                <w:sz w:val="20"/>
                <w:szCs w:val="20"/>
              </w:rPr>
              <w:t>fluence on academic achievement.</w:t>
            </w:r>
          </w:p>
          <w:p w14:paraId="2E795B4B" w14:textId="77777777" w:rsidR="00212D25" w:rsidRPr="009D5A91" w:rsidRDefault="00212D25" w:rsidP="00212D25">
            <w:pPr>
              <w:rPr>
                <w:sz w:val="20"/>
                <w:szCs w:val="20"/>
              </w:rPr>
            </w:pPr>
            <w:r w:rsidRPr="009D5A91">
              <w:rPr>
                <w:rFonts w:asciiTheme="majorHAnsi" w:hAnsiTheme="majorHAnsi" w:cstheme="majorHAnsi"/>
                <w:sz w:val="20"/>
                <w:szCs w:val="20"/>
              </w:rPr>
              <w:t>In summary the researchers found-</w:t>
            </w:r>
            <w:r w:rsidRPr="009D5A91">
              <w:rPr>
                <w:sz w:val="20"/>
                <w:szCs w:val="20"/>
              </w:rPr>
              <w:t xml:space="preserve"> </w:t>
            </w:r>
          </w:p>
          <w:p w14:paraId="1B8015E9" w14:textId="73FEC68A" w:rsidR="00212D25" w:rsidRPr="009D5A91" w:rsidRDefault="00212D25" w:rsidP="00212D25">
            <w:pPr>
              <w:pStyle w:val="ListParagraph"/>
              <w:numPr>
                <w:ilvl w:val="0"/>
                <w:numId w:val="1"/>
              </w:numPr>
              <w:rPr>
                <w:rFonts w:asciiTheme="majorHAnsi" w:hAnsiTheme="majorHAnsi" w:cstheme="majorHAnsi"/>
                <w:sz w:val="20"/>
                <w:szCs w:val="20"/>
              </w:rPr>
            </w:pPr>
            <w:r w:rsidRPr="009D5A91">
              <w:rPr>
                <w:rFonts w:asciiTheme="majorHAnsi" w:hAnsiTheme="majorHAnsi" w:cstheme="majorHAnsi"/>
                <w:sz w:val="20"/>
                <w:szCs w:val="20"/>
              </w:rPr>
              <w:t>School absences are detrimental to educational attainment in national exams at the end of compulsory (S4) and post-compulsory schooling (S5/S6) in Scotland.</w:t>
            </w:r>
          </w:p>
          <w:p w14:paraId="40C217C2" w14:textId="77777777" w:rsidR="00212D25" w:rsidRPr="009D5A91" w:rsidRDefault="00212D25" w:rsidP="00212D25">
            <w:pPr>
              <w:pStyle w:val="ListParagraph"/>
              <w:numPr>
                <w:ilvl w:val="0"/>
                <w:numId w:val="1"/>
              </w:numPr>
              <w:rPr>
                <w:rFonts w:asciiTheme="majorHAnsi" w:hAnsiTheme="majorHAnsi" w:cstheme="majorHAnsi"/>
                <w:sz w:val="20"/>
                <w:szCs w:val="20"/>
              </w:rPr>
            </w:pPr>
            <w:r w:rsidRPr="009D5A91">
              <w:rPr>
                <w:rFonts w:asciiTheme="majorHAnsi" w:hAnsiTheme="majorHAnsi" w:cstheme="majorHAnsi"/>
                <w:sz w:val="20"/>
                <w:szCs w:val="20"/>
              </w:rPr>
              <w:t xml:space="preserve">Truancy, sickness-related absences, and absences due to exceptional domestic circumstances each have a unique negative impact on educational attainment at both stages. </w:t>
            </w:r>
          </w:p>
          <w:p w14:paraId="20DB04BA" w14:textId="77777777" w:rsidR="00212D25" w:rsidRPr="009D5A91" w:rsidRDefault="00212D25" w:rsidP="00212D25">
            <w:pPr>
              <w:pStyle w:val="ListParagraph"/>
              <w:numPr>
                <w:ilvl w:val="0"/>
                <w:numId w:val="1"/>
              </w:numPr>
              <w:rPr>
                <w:rFonts w:asciiTheme="majorHAnsi" w:hAnsiTheme="majorHAnsi" w:cstheme="majorHAnsi"/>
                <w:sz w:val="20"/>
                <w:szCs w:val="20"/>
              </w:rPr>
            </w:pPr>
            <w:r w:rsidRPr="009D5A91">
              <w:rPr>
                <w:rFonts w:asciiTheme="majorHAnsi" w:hAnsiTheme="majorHAnsi" w:cstheme="majorHAnsi"/>
                <w:sz w:val="20"/>
                <w:szCs w:val="20"/>
              </w:rPr>
              <w:t>The findings suggest three additional pathways through which absence may affect academic achievement: a behavioural pathway, a health pathway, and a psychosocial pathway.</w:t>
            </w:r>
          </w:p>
          <w:p w14:paraId="4089BA77" w14:textId="33DF325E" w:rsidR="00212D25" w:rsidRPr="009D5A91" w:rsidRDefault="00212D25" w:rsidP="00212D25">
            <w:pPr>
              <w:pStyle w:val="ListParagraph"/>
              <w:numPr>
                <w:ilvl w:val="0"/>
                <w:numId w:val="1"/>
              </w:numPr>
              <w:rPr>
                <w:rFonts w:asciiTheme="majorHAnsi" w:hAnsiTheme="majorHAnsi" w:cstheme="majorHAnsi"/>
                <w:sz w:val="20"/>
                <w:szCs w:val="20"/>
              </w:rPr>
            </w:pPr>
            <w:r w:rsidRPr="009D5A91">
              <w:rPr>
                <w:rFonts w:asciiTheme="majorHAnsi" w:hAnsiTheme="majorHAnsi" w:cstheme="majorHAnsi"/>
                <w:sz w:val="20"/>
                <w:szCs w:val="20"/>
              </w:rPr>
              <w:t>The research challenges previous assumptions that unexcused absences are more harmful than excused absences and calls for equal emphasis on tackling all</w:t>
            </w:r>
            <w:r w:rsidR="009D5A91" w:rsidRPr="009D5A91">
              <w:rPr>
                <w:rFonts w:asciiTheme="majorHAnsi" w:hAnsiTheme="majorHAnsi" w:cstheme="majorHAnsi"/>
                <w:sz w:val="20"/>
                <w:szCs w:val="20"/>
              </w:rPr>
              <w:t xml:space="preserve"> </w:t>
            </w:r>
            <w:r w:rsidRPr="009D5A91">
              <w:rPr>
                <w:rFonts w:asciiTheme="majorHAnsi" w:hAnsiTheme="majorHAnsi" w:cstheme="majorHAnsi"/>
                <w:sz w:val="20"/>
                <w:szCs w:val="20"/>
              </w:rPr>
              <w:t xml:space="preserve">forms of school absence. </w:t>
            </w:r>
          </w:p>
          <w:p w14:paraId="447E41DF" w14:textId="649C0A86" w:rsidR="001F17A0" w:rsidRPr="009D5A91" w:rsidRDefault="00212D25" w:rsidP="009D5A91">
            <w:pPr>
              <w:rPr>
                <w:rFonts w:asciiTheme="majorHAnsi" w:hAnsiTheme="majorHAnsi" w:cstheme="majorHAnsi"/>
                <w:sz w:val="20"/>
                <w:szCs w:val="20"/>
              </w:rPr>
            </w:pPr>
            <w:r w:rsidRPr="009D5A91">
              <w:rPr>
                <w:rFonts w:asciiTheme="majorHAnsi" w:hAnsiTheme="majorHAnsi" w:cstheme="majorHAnsi"/>
                <w:sz w:val="20"/>
                <w:szCs w:val="20"/>
              </w:rPr>
              <w:t>Research and interventions need to focus on mitigating</w:t>
            </w:r>
            <w:r w:rsidR="009D5A91" w:rsidRPr="009D5A91">
              <w:rPr>
                <w:rFonts w:asciiTheme="majorHAnsi" w:hAnsiTheme="majorHAnsi" w:cstheme="majorHAnsi"/>
                <w:sz w:val="20"/>
                <w:szCs w:val="20"/>
              </w:rPr>
              <w:t xml:space="preserve"> </w:t>
            </w:r>
            <w:r w:rsidRPr="009D5A91">
              <w:rPr>
                <w:rFonts w:asciiTheme="majorHAnsi" w:hAnsiTheme="majorHAnsi" w:cstheme="majorHAnsi"/>
                <w:sz w:val="20"/>
                <w:szCs w:val="20"/>
              </w:rPr>
              <w:t>the harmful consequences of school absenteeism,</w:t>
            </w:r>
            <w:r w:rsidR="009D5A91" w:rsidRPr="009D5A91">
              <w:rPr>
                <w:rFonts w:asciiTheme="majorHAnsi" w:hAnsiTheme="majorHAnsi" w:cstheme="majorHAnsi"/>
                <w:sz w:val="20"/>
                <w:szCs w:val="20"/>
              </w:rPr>
              <w:t xml:space="preserve"> </w:t>
            </w:r>
            <w:r w:rsidRPr="009D5A91">
              <w:rPr>
                <w:rFonts w:asciiTheme="majorHAnsi" w:hAnsiTheme="majorHAnsi" w:cstheme="majorHAnsi"/>
                <w:sz w:val="20"/>
                <w:szCs w:val="20"/>
              </w:rPr>
              <w:t>considering the reason for absence.</w:t>
            </w:r>
          </w:p>
        </w:tc>
      </w:tr>
      <w:tr w:rsidR="001F17A0" w14:paraId="6CDF005F" w14:textId="77777777" w:rsidTr="001F17A0">
        <w:tc>
          <w:tcPr>
            <w:tcW w:w="9016" w:type="dxa"/>
            <w:shd w:val="clear" w:color="auto" w:fill="8EAADB" w:themeFill="accent1" w:themeFillTint="99"/>
          </w:tcPr>
          <w:p w14:paraId="5751816C" w14:textId="5521059A" w:rsidR="001F17A0" w:rsidRPr="001F17A0" w:rsidRDefault="001F17A0" w:rsidP="001E03B9">
            <w:pPr>
              <w:jc w:val="center"/>
              <w:rPr>
                <w:b/>
                <w:bCs/>
                <w:sz w:val="24"/>
                <w:szCs w:val="24"/>
              </w:rPr>
            </w:pPr>
            <w:r w:rsidRPr="001F17A0">
              <w:rPr>
                <w:b/>
                <w:bCs/>
                <w:sz w:val="24"/>
                <w:szCs w:val="24"/>
              </w:rPr>
              <w:t>Questions research raises</w:t>
            </w:r>
          </w:p>
        </w:tc>
      </w:tr>
      <w:tr w:rsidR="001F17A0" w14:paraId="1A6B687E" w14:textId="77777777" w:rsidTr="009E620F">
        <w:trPr>
          <w:trHeight w:val="1034"/>
        </w:trPr>
        <w:tc>
          <w:tcPr>
            <w:tcW w:w="9016" w:type="dxa"/>
          </w:tcPr>
          <w:p w14:paraId="69D52199" w14:textId="4CC85E2B" w:rsidR="00E8749F" w:rsidRPr="009D5A91" w:rsidRDefault="009D5A91" w:rsidP="009D5A91">
            <w:pPr>
              <w:rPr>
                <w:sz w:val="20"/>
                <w:szCs w:val="20"/>
              </w:rPr>
            </w:pPr>
            <w:r w:rsidRPr="009E620F">
              <w:rPr>
                <w:rFonts w:asciiTheme="majorHAnsi" w:hAnsiTheme="majorHAnsi" w:cstheme="majorHAnsi"/>
                <w:sz w:val="20"/>
                <w:szCs w:val="20"/>
              </w:rPr>
              <w:t>How will you ensure that all</w:t>
            </w:r>
            <w:r w:rsidR="00E8749F" w:rsidRPr="009E620F">
              <w:rPr>
                <w:rFonts w:asciiTheme="majorHAnsi" w:hAnsiTheme="majorHAnsi" w:cstheme="majorHAnsi"/>
                <w:sz w:val="20"/>
                <w:szCs w:val="20"/>
              </w:rPr>
              <w:t xml:space="preserve"> staff have an understanding that any absence</w:t>
            </w:r>
            <w:r w:rsidRPr="009E620F">
              <w:rPr>
                <w:rFonts w:asciiTheme="majorHAnsi" w:hAnsiTheme="majorHAnsi" w:cstheme="majorHAnsi"/>
                <w:sz w:val="20"/>
                <w:szCs w:val="20"/>
              </w:rPr>
              <w:t>,</w:t>
            </w:r>
            <w:r w:rsidR="001C2710" w:rsidRPr="009E620F">
              <w:rPr>
                <w:rFonts w:asciiTheme="majorHAnsi" w:hAnsiTheme="majorHAnsi" w:cstheme="majorHAnsi"/>
                <w:sz w:val="20"/>
                <w:szCs w:val="20"/>
              </w:rPr>
              <w:t xml:space="preserve"> excused or unexcused</w:t>
            </w:r>
            <w:r w:rsidRPr="009E620F">
              <w:rPr>
                <w:rFonts w:asciiTheme="majorHAnsi" w:hAnsiTheme="majorHAnsi" w:cstheme="majorHAnsi"/>
                <w:sz w:val="20"/>
                <w:szCs w:val="20"/>
              </w:rPr>
              <w:t>, has an impact on attainment</w:t>
            </w:r>
            <w:r>
              <w:rPr>
                <w:sz w:val="20"/>
                <w:szCs w:val="20"/>
              </w:rPr>
              <w:t>?</w:t>
            </w:r>
          </w:p>
          <w:p w14:paraId="421E2B2E" w14:textId="0D55AF75" w:rsidR="001F17A0" w:rsidRPr="009E620F" w:rsidRDefault="009D5A91" w:rsidP="009D5A91">
            <w:pPr>
              <w:rPr>
                <w:rFonts w:asciiTheme="majorHAnsi" w:hAnsiTheme="majorHAnsi" w:cstheme="majorHAnsi"/>
                <w:sz w:val="20"/>
                <w:szCs w:val="20"/>
              </w:rPr>
            </w:pPr>
            <w:r w:rsidRPr="009E620F">
              <w:rPr>
                <w:rFonts w:asciiTheme="majorHAnsi" w:hAnsiTheme="majorHAnsi" w:cstheme="majorHAnsi"/>
                <w:sz w:val="20"/>
                <w:szCs w:val="20"/>
              </w:rPr>
              <w:t>How will your establishment use your</w:t>
            </w:r>
            <w:r w:rsidR="00212D25" w:rsidRPr="009E620F">
              <w:rPr>
                <w:rFonts w:asciiTheme="majorHAnsi" w:hAnsiTheme="majorHAnsi" w:cstheme="majorHAnsi"/>
                <w:sz w:val="20"/>
                <w:szCs w:val="20"/>
              </w:rPr>
              <w:t xml:space="preserve"> data on types of absence</w:t>
            </w:r>
            <w:r w:rsidRPr="009E620F">
              <w:rPr>
                <w:rFonts w:asciiTheme="majorHAnsi" w:hAnsiTheme="majorHAnsi" w:cstheme="majorHAnsi"/>
                <w:sz w:val="20"/>
                <w:szCs w:val="20"/>
              </w:rPr>
              <w:t xml:space="preserve"> to provide a considered approach when</w:t>
            </w:r>
            <w:r w:rsidR="00212D25" w:rsidRPr="009E620F">
              <w:rPr>
                <w:rFonts w:asciiTheme="majorHAnsi" w:hAnsiTheme="majorHAnsi" w:cstheme="majorHAnsi"/>
                <w:sz w:val="20"/>
                <w:szCs w:val="20"/>
              </w:rPr>
              <w:t xml:space="preserve"> </w:t>
            </w:r>
            <w:r w:rsidRPr="009E620F">
              <w:rPr>
                <w:rFonts w:asciiTheme="majorHAnsi" w:hAnsiTheme="majorHAnsi" w:cstheme="majorHAnsi"/>
                <w:sz w:val="20"/>
                <w:szCs w:val="20"/>
              </w:rPr>
              <w:t>adopting interventions that are fit for purpose?</w:t>
            </w:r>
          </w:p>
        </w:tc>
      </w:tr>
      <w:tr w:rsidR="001F17A0" w14:paraId="498D7D9E" w14:textId="77777777" w:rsidTr="001F17A0">
        <w:tc>
          <w:tcPr>
            <w:tcW w:w="9016" w:type="dxa"/>
            <w:shd w:val="clear" w:color="auto" w:fill="8EAADB" w:themeFill="accent1" w:themeFillTint="99"/>
          </w:tcPr>
          <w:p w14:paraId="25946904" w14:textId="5A8B9BA1" w:rsidR="001F17A0" w:rsidRPr="001F17A0" w:rsidRDefault="009D5A91" w:rsidP="001E03B9">
            <w:pPr>
              <w:jc w:val="center"/>
              <w:rPr>
                <w:b/>
                <w:bCs/>
                <w:sz w:val="24"/>
                <w:szCs w:val="24"/>
              </w:rPr>
            </w:pPr>
            <w:r>
              <w:rPr>
                <w:b/>
                <w:bCs/>
                <w:sz w:val="24"/>
                <w:szCs w:val="24"/>
              </w:rPr>
              <w:t>Follow up read</w:t>
            </w:r>
            <w:r w:rsidR="001F17A0" w:rsidRPr="001F17A0">
              <w:rPr>
                <w:b/>
                <w:bCs/>
                <w:sz w:val="24"/>
                <w:szCs w:val="24"/>
              </w:rPr>
              <w:t xml:space="preserve">ing suggestions </w:t>
            </w:r>
          </w:p>
        </w:tc>
      </w:tr>
      <w:tr w:rsidR="001F17A0" w14:paraId="5C7A3DAF" w14:textId="77777777" w:rsidTr="009D5A91">
        <w:trPr>
          <w:trHeight w:val="687"/>
        </w:trPr>
        <w:tc>
          <w:tcPr>
            <w:tcW w:w="9016" w:type="dxa"/>
          </w:tcPr>
          <w:p w14:paraId="1F887B0E" w14:textId="37B3A05A" w:rsidR="001F17A0" w:rsidRDefault="009C44E9" w:rsidP="009C44E9">
            <w:pPr>
              <w:rPr>
                <w:rFonts w:asciiTheme="majorHAnsi" w:hAnsiTheme="majorHAnsi" w:cstheme="majorHAnsi"/>
                <w:sz w:val="16"/>
                <w:szCs w:val="16"/>
              </w:rPr>
            </w:pPr>
            <w:r w:rsidRPr="009C44E9">
              <w:rPr>
                <w:rFonts w:asciiTheme="majorHAnsi" w:hAnsiTheme="majorHAnsi" w:cstheme="majorHAnsi"/>
                <w:sz w:val="16"/>
                <w:szCs w:val="16"/>
              </w:rPr>
              <w:t xml:space="preserve">Eaton, D. K., </w:t>
            </w:r>
            <w:proofErr w:type="spellStart"/>
            <w:r w:rsidRPr="009C44E9">
              <w:rPr>
                <w:rFonts w:asciiTheme="majorHAnsi" w:hAnsiTheme="majorHAnsi" w:cstheme="majorHAnsi"/>
                <w:sz w:val="16"/>
                <w:szCs w:val="16"/>
              </w:rPr>
              <w:t>Brener</w:t>
            </w:r>
            <w:proofErr w:type="spellEnd"/>
            <w:r w:rsidRPr="009C44E9">
              <w:rPr>
                <w:rFonts w:asciiTheme="majorHAnsi" w:hAnsiTheme="majorHAnsi" w:cstheme="majorHAnsi"/>
                <w:sz w:val="16"/>
                <w:szCs w:val="16"/>
              </w:rPr>
              <w:t xml:space="preserve">, N., &amp; </w:t>
            </w:r>
            <w:proofErr w:type="spellStart"/>
            <w:r w:rsidRPr="009C44E9">
              <w:rPr>
                <w:rFonts w:asciiTheme="majorHAnsi" w:hAnsiTheme="majorHAnsi" w:cstheme="majorHAnsi"/>
                <w:sz w:val="16"/>
                <w:szCs w:val="16"/>
              </w:rPr>
              <w:t>Kann</w:t>
            </w:r>
            <w:proofErr w:type="spellEnd"/>
            <w:r w:rsidRPr="009C44E9">
              <w:rPr>
                <w:rFonts w:asciiTheme="majorHAnsi" w:hAnsiTheme="majorHAnsi" w:cstheme="majorHAnsi"/>
                <w:sz w:val="16"/>
                <w:szCs w:val="16"/>
              </w:rPr>
              <w:t>, L. K. (2008). Associations of</w:t>
            </w:r>
            <w:r w:rsidR="009E620F">
              <w:rPr>
                <w:rFonts w:asciiTheme="majorHAnsi" w:hAnsiTheme="majorHAnsi" w:cstheme="majorHAnsi"/>
                <w:sz w:val="16"/>
                <w:szCs w:val="16"/>
              </w:rPr>
              <w:t xml:space="preserve"> </w:t>
            </w:r>
            <w:r w:rsidRPr="009C44E9">
              <w:rPr>
                <w:rFonts w:asciiTheme="majorHAnsi" w:hAnsiTheme="majorHAnsi" w:cstheme="majorHAnsi"/>
                <w:sz w:val="16"/>
                <w:szCs w:val="16"/>
              </w:rPr>
              <w:t xml:space="preserve">health risk </w:t>
            </w:r>
            <w:proofErr w:type="spellStart"/>
            <w:r w:rsidRPr="009C44E9">
              <w:rPr>
                <w:rFonts w:asciiTheme="majorHAnsi" w:hAnsiTheme="majorHAnsi" w:cstheme="majorHAnsi"/>
                <w:sz w:val="16"/>
                <w:szCs w:val="16"/>
              </w:rPr>
              <w:t>behaviors</w:t>
            </w:r>
            <w:proofErr w:type="spellEnd"/>
            <w:r w:rsidRPr="009C44E9">
              <w:rPr>
                <w:rFonts w:asciiTheme="majorHAnsi" w:hAnsiTheme="majorHAnsi" w:cstheme="majorHAnsi"/>
                <w:sz w:val="16"/>
                <w:szCs w:val="16"/>
              </w:rPr>
              <w:t xml:space="preserve"> with school absenteeism. Does having</w:t>
            </w:r>
            <w:r w:rsidR="009E620F">
              <w:rPr>
                <w:rFonts w:asciiTheme="majorHAnsi" w:hAnsiTheme="majorHAnsi" w:cstheme="majorHAnsi"/>
                <w:sz w:val="16"/>
                <w:szCs w:val="16"/>
              </w:rPr>
              <w:t xml:space="preserve"> </w:t>
            </w:r>
            <w:r w:rsidRPr="009C44E9">
              <w:rPr>
                <w:rFonts w:asciiTheme="majorHAnsi" w:hAnsiTheme="majorHAnsi" w:cstheme="majorHAnsi"/>
                <w:sz w:val="16"/>
                <w:szCs w:val="16"/>
              </w:rPr>
              <w:t>permission for the absence make a difference? Journal of School</w:t>
            </w:r>
            <w:r w:rsidR="009E620F">
              <w:rPr>
                <w:rFonts w:asciiTheme="majorHAnsi" w:hAnsiTheme="majorHAnsi" w:cstheme="majorHAnsi"/>
                <w:sz w:val="16"/>
                <w:szCs w:val="16"/>
              </w:rPr>
              <w:t xml:space="preserve"> </w:t>
            </w:r>
            <w:r w:rsidRPr="009C44E9">
              <w:rPr>
                <w:rFonts w:asciiTheme="majorHAnsi" w:hAnsiTheme="majorHAnsi" w:cstheme="majorHAnsi"/>
                <w:sz w:val="16"/>
                <w:szCs w:val="16"/>
              </w:rPr>
              <w:t xml:space="preserve">Health, 78(4), 223–229. </w:t>
            </w:r>
            <w:hyperlink r:id="rId11" w:history="1">
              <w:r w:rsidR="009E620F" w:rsidRPr="00F07C54">
                <w:rPr>
                  <w:rStyle w:val="Hyperlink"/>
                  <w:rFonts w:asciiTheme="majorHAnsi" w:hAnsiTheme="majorHAnsi" w:cstheme="majorHAnsi"/>
                  <w:sz w:val="16"/>
                  <w:szCs w:val="16"/>
                </w:rPr>
                <w:t>https://doi.org/10.1111/j.1746-1561.2008.00290.x</w:t>
              </w:r>
            </w:hyperlink>
          </w:p>
          <w:p w14:paraId="5418F4F5" w14:textId="393E4078" w:rsidR="009E620F" w:rsidRPr="009E620F" w:rsidRDefault="009E620F" w:rsidP="009E620F">
            <w:pPr>
              <w:rPr>
                <w:rFonts w:asciiTheme="majorHAnsi" w:hAnsiTheme="majorHAnsi" w:cstheme="majorHAnsi"/>
                <w:sz w:val="16"/>
                <w:szCs w:val="16"/>
              </w:rPr>
            </w:pPr>
            <w:r w:rsidRPr="009E620F">
              <w:rPr>
                <w:rFonts w:asciiTheme="majorHAnsi" w:hAnsiTheme="majorHAnsi" w:cstheme="majorHAnsi"/>
                <w:sz w:val="16"/>
                <w:szCs w:val="16"/>
              </w:rPr>
              <w:t xml:space="preserve">Klein, M., </w:t>
            </w:r>
            <w:proofErr w:type="spellStart"/>
            <w:r w:rsidRPr="009E620F">
              <w:rPr>
                <w:rFonts w:asciiTheme="majorHAnsi" w:hAnsiTheme="majorHAnsi" w:cstheme="majorHAnsi"/>
                <w:sz w:val="16"/>
                <w:szCs w:val="16"/>
              </w:rPr>
              <w:t>Sosu</w:t>
            </w:r>
            <w:proofErr w:type="spellEnd"/>
            <w:r w:rsidRPr="009E620F">
              <w:rPr>
                <w:rFonts w:asciiTheme="majorHAnsi" w:hAnsiTheme="majorHAnsi" w:cstheme="majorHAnsi"/>
                <w:sz w:val="16"/>
                <w:szCs w:val="16"/>
              </w:rPr>
              <w:t>, E. M., &amp; Dare, S. (2022). School Absenteeism and</w:t>
            </w:r>
            <w:r>
              <w:rPr>
                <w:rFonts w:asciiTheme="majorHAnsi" w:hAnsiTheme="majorHAnsi" w:cstheme="majorHAnsi"/>
                <w:sz w:val="16"/>
                <w:szCs w:val="16"/>
              </w:rPr>
              <w:t xml:space="preserve"> </w:t>
            </w:r>
            <w:r w:rsidRPr="009E620F">
              <w:rPr>
                <w:rFonts w:asciiTheme="majorHAnsi" w:hAnsiTheme="majorHAnsi" w:cstheme="majorHAnsi"/>
                <w:sz w:val="16"/>
                <w:szCs w:val="16"/>
              </w:rPr>
              <w:t>Academic Achievement: Does the Reason for Absence Matter?</w:t>
            </w:r>
            <w:r>
              <w:rPr>
                <w:rFonts w:asciiTheme="majorHAnsi" w:hAnsiTheme="majorHAnsi" w:cstheme="majorHAnsi"/>
                <w:sz w:val="16"/>
                <w:szCs w:val="16"/>
              </w:rPr>
              <w:t xml:space="preserve"> </w:t>
            </w:r>
            <w:r w:rsidRPr="009E620F">
              <w:rPr>
                <w:rFonts w:asciiTheme="majorHAnsi" w:hAnsiTheme="majorHAnsi" w:cstheme="majorHAnsi"/>
                <w:i/>
                <w:iCs/>
                <w:sz w:val="16"/>
                <w:szCs w:val="16"/>
              </w:rPr>
              <w:t>AERA Open</w:t>
            </w:r>
            <w:r w:rsidRPr="009E620F">
              <w:rPr>
                <w:rFonts w:asciiTheme="majorHAnsi" w:hAnsiTheme="majorHAnsi" w:cstheme="majorHAnsi"/>
                <w:sz w:val="16"/>
                <w:szCs w:val="16"/>
              </w:rPr>
              <w:t xml:space="preserve">. </w:t>
            </w:r>
            <w:hyperlink r:id="rId12" w:history="1">
              <w:r w:rsidRPr="00F07C54">
                <w:rPr>
                  <w:rStyle w:val="Hyperlink"/>
                  <w:rFonts w:asciiTheme="majorHAnsi" w:hAnsiTheme="majorHAnsi" w:cstheme="majorHAnsi"/>
                  <w:sz w:val="16"/>
                  <w:szCs w:val="16"/>
                </w:rPr>
                <w:t>https://doi.org/10.1177/23328584211071115</w:t>
              </w:r>
            </w:hyperlink>
          </w:p>
        </w:tc>
      </w:tr>
    </w:tbl>
    <w:p w14:paraId="64A22C7A" w14:textId="7304D4F9" w:rsidR="001E03B9" w:rsidRPr="00BE392E" w:rsidRDefault="00BE392E" w:rsidP="00BE392E">
      <w:pPr>
        <w:pStyle w:val="Default"/>
        <w:rPr>
          <w:i/>
        </w:rPr>
      </w:pPr>
      <w:r>
        <w:t>*</w:t>
      </w:r>
      <w:r w:rsidRPr="00BE392E">
        <w:t xml:space="preserve"> </w:t>
      </w:r>
      <w:r w:rsidRPr="00BE392E">
        <w:rPr>
          <w:i/>
          <w:sz w:val="16"/>
          <w:szCs w:val="16"/>
        </w:rPr>
        <w:t>We measured absenteeism by the proportion of days a pupil was absent from school during S4 and S5. The possible reasons for absence were truancy, sickness absence, exceptional domestic circumstances, and family holidays. Educational attainment was measured using grades from the national exams given at the end of S4 and S5/S6. We then converted information on number of subjects taken, level of difficulty, and grades into an extended version of the Universities and Colleges Admissions Service (UCAS) tariff points score (for more details, see section 3.3 in Scottish Government, 2012).</w:t>
      </w:r>
    </w:p>
    <w:sectPr w:rsidR="001E03B9" w:rsidRPr="00BE392E" w:rsidSect="001E03B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5014B"/>
    <w:multiLevelType w:val="hybridMultilevel"/>
    <w:tmpl w:val="EAAC8D96"/>
    <w:lvl w:ilvl="0" w:tplc="441C667A">
      <w:start w:val="1"/>
      <w:numFmt w:val="decimal"/>
      <w:lvlText w:val="%1."/>
      <w:lvlJc w:val="left"/>
      <w:pPr>
        <w:ind w:left="720" w:hanging="360"/>
      </w:pPr>
      <w:rPr>
        <w:rFonts w:asciiTheme="minorHAnsi" w:hAnsi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1A"/>
    <w:rsid w:val="001C2710"/>
    <w:rsid w:val="001E03B9"/>
    <w:rsid w:val="001F17A0"/>
    <w:rsid w:val="00212D25"/>
    <w:rsid w:val="003F6863"/>
    <w:rsid w:val="00713621"/>
    <w:rsid w:val="00834D31"/>
    <w:rsid w:val="009C44E9"/>
    <w:rsid w:val="009D5A91"/>
    <w:rsid w:val="009E620F"/>
    <w:rsid w:val="00BE392E"/>
    <w:rsid w:val="00C7643C"/>
    <w:rsid w:val="00D70A1A"/>
    <w:rsid w:val="00E87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3CFC"/>
  <w15:chartTrackingRefBased/>
  <w15:docId w15:val="{95171615-5811-4CAD-95F5-F33702EB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D31"/>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834D31"/>
    <w:rPr>
      <w:color w:val="0563C1" w:themeColor="hyperlink"/>
      <w:u w:val="single"/>
    </w:rPr>
  </w:style>
  <w:style w:type="paragraph" w:styleId="ListParagraph">
    <w:name w:val="List Paragraph"/>
    <w:basedOn w:val="Normal"/>
    <w:uiPriority w:val="34"/>
    <w:qFormat/>
    <w:rsid w:val="0021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177/233285842110711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11/j.1746-1561.2008.00290.x" TargetMode="External"/><Relationship Id="rId5" Type="http://schemas.openxmlformats.org/officeDocument/2006/relationships/styles" Target="styles.xml"/><Relationship Id="rId10" Type="http://schemas.openxmlformats.org/officeDocument/2006/relationships/hyperlink" Target="https://doi.org/10.17868/80713"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182CAD3CAFA843939076F61ECCD859" ma:contentTypeVersion="15" ma:contentTypeDescription="Create a new document." ma:contentTypeScope="" ma:versionID="ddbfc18a7dfc7112474b6375b6125120">
  <xsd:schema xmlns:xsd="http://www.w3.org/2001/XMLSchema" xmlns:xs="http://www.w3.org/2001/XMLSchema" xmlns:p="http://schemas.microsoft.com/office/2006/metadata/properties" xmlns:ns2="0019df10-278f-4e3e-ada7-c77c16223974" xmlns:ns3="39bff329-a92a-4739-97ac-9b5afc896053" targetNamespace="http://schemas.microsoft.com/office/2006/metadata/properties" ma:root="true" ma:fieldsID="37c673d8fa56d95f0d143c14cdf75dbd" ns2:_="" ns3:_="">
    <xsd:import namespace="0019df10-278f-4e3e-ada7-c77c16223974"/>
    <xsd:import namespace="39bff329-a92a-4739-97ac-9b5afc896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9df10-278f-4e3e-ada7-c77c16223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bff329-a92a-4739-97ac-9b5afc896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e92bc3-c848-4d67-9788-b92d6229f0da}" ma:internalName="TaxCatchAll" ma:showField="CatchAllData" ma:web="39bff329-a92a-4739-97ac-9b5afc896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bff329-a92a-4739-97ac-9b5afc896053" xsi:nil="true"/>
    <lcf76f155ced4ddcb4097134ff3c332f xmlns="0019df10-278f-4e3e-ada7-c77c162239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E714F5-335B-48B3-8A2A-155C22032230}">
  <ds:schemaRefs>
    <ds:schemaRef ds:uri="http://schemas.microsoft.com/sharepoint/v3/contenttype/forms"/>
  </ds:schemaRefs>
</ds:datastoreItem>
</file>

<file path=customXml/itemProps2.xml><?xml version="1.0" encoding="utf-8"?>
<ds:datastoreItem xmlns:ds="http://schemas.openxmlformats.org/officeDocument/2006/customXml" ds:itemID="{AEFBFB4C-27B3-4E8E-910E-C4A61971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9df10-278f-4e3e-ada7-c77c16223974"/>
    <ds:schemaRef ds:uri="39bff329-a92a-4739-97ac-9b5afc896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FC71A-E27C-41E6-BA88-8919C306B469}">
  <ds:schemaRefs>
    <ds:schemaRef ds:uri="http://schemas.microsoft.com/office/2006/metadata/properties"/>
    <ds:schemaRef ds:uri="http://schemas.microsoft.com/office/infopath/2007/PartnerControls"/>
    <ds:schemaRef ds:uri="39bff329-a92a-4739-97ac-9b5afc896053"/>
    <ds:schemaRef ds:uri="0019df10-278f-4e3e-ada7-c77c16223974"/>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Farley</dc:creator>
  <cp:keywords/>
  <dc:description/>
  <cp:lastModifiedBy>Mrs Bell</cp:lastModifiedBy>
  <cp:revision>6</cp:revision>
  <dcterms:created xsi:type="dcterms:W3CDTF">2022-10-13T08:41:00Z</dcterms:created>
  <dcterms:modified xsi:type="dcterms:W3CDTF">2022-10-13T09:14:00Z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0x010100E9182CAD3CAFA843939076F61ECCD859</vt:lpwstr>
  </property>
</Properties>
</file>