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995455"/>
        <w:docPartObj>
          <w:docPartGallery w:val="Cover Pages"/>
          <w:docPartUnique/>
        </w:docPartObj>
      </w:sdtPr>
      <w:sdtContent>
        <w:p w14:paraId="33ED6534" w14:textId="16791754" w:rsidR="009A006F" w:rsidRDefault="00014783">
          <w:r>
            <w:rPr>
              <w:noProof/>
            </w:rPr>
            <w:drawing>
              <wp:inline distT="0" distB="0" distL="0" distR="0" wp14:anchorId="449403AA" wp14:editId="7D5D72D6">
                <wp:extent cx="3048000" cy="2000250"/>
                <wp:effectExtent l="0" t="0" r="0" b="0"/>
                <wp:docPr id="2" name="Picture 1" descr="Falkirk HSCP –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kirk HSCP – 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p>
        <w:p w14:paraId="088E36F7" w14:textId="77777777" w:rsidR="003C4B4A" w:rsidRDefault="003C4B4A"/>
        <w:p w14:paraId="01159FB2" w14:textId="77777777" w:rsidR="006B5435" w:rsidRDefault="009A006F" w:rsidP="009A006F">
          <w:pPr>
            <w:jc w:val="center"/>
            <w:rPr>
              <w:b/>
              <w:bCs/>
              <w:sz w:val="72"/>
              <w:szCs w:val="72"/>
            </w:rPr>
          </w:pPr>
          <w:r w:rsidRPr="006B5435">
            <w:rPr>
              <w:b/>
              <w:bCs/>
              <w:sz w:val="72"/>
              <w:szCs w:val="72"/>
            </w:rPr>
            <w:t xml:space="preserve">Continuing Care </w:t>
          </w:r>
        </w:p>
        <w:p w14:paraId="40CF1B55" w14:textId="77777777" w:rsidR="006B5435" w:rsidRDefault="009A006F" w:rsidP="009A006F">
          <w:pPr>
            <w:jc w:val="center"/>
            <w:rPr>
              <w:b/>
              <w:bCs/>
              <w:sz w:val="72"/>
              <w:szCs w:val="72"/>
            </w:rPr>
          </w:pPr>
          <w:r w:rsidRPr="006B5435">
            <w:rPr>
              <w:b/>
              <w:bCs/>
              <w:sz w:val="72"/>
              <w:szCs w:val="72"/>
            </w:rPr>
            <w:t xml:space="preserve">and </w:t>
          </w:r>
        </w:p>
        <w:p w14:paraId="79741EB7" w14:textId="359C1B46" w:rsidR="009A006F" w:rsidRPr="006B5435" w:rsidRDefault="009A006F" w:rsidP="009A006F">
          <w:pPr>
            <w:jc w:val="center"/>
            <w:rPr>
              <w:b/>
              <w:bCs/>
              <w:sz w:val="72"/>
              <w:szCs w:val="72"/>
            </w:rPr>
          </w:pPr>
          <w:r w:rsidRPr="006B5435">
            <w:rPr>
              <w:b/>
              <w:bCs/>
              <w:sz w:val="72"/>
              <w:szCs w:val="72"/>
            </w:rPr>
            <w:t>Welfare Assessment Guidance</w:t>
          </w:r>
        </w:p>
        <w:p w14:paraId="6ADBB95D" w14:textId="77777777" w:rsidR="00B6293B" w:rsidRDefault="00B6293B" w:rsidP="009A006F">
          <w:pPr>
            <w:jc w:val="center"/>
            <w:rPr>
              <w:rFonts w:cstheme="minorHAnsi"/>
              <w:b/>
              <w:bCs/>
              <w:sz w:val="28"/>
              <w:szCs w:val="28"/>
            </w:rPr>
          </w:pPr>
        </w:p>
        <w:p w14:paraId="3BED73D0" w14:textId="77777777" w:rsidR="001F6ABA" w:rsidRDefault="001F6ABA" w:rsidP="004842F7">
          <w:pPr>
            <w:rPr>
              <w:rFonts w:cstheme="minorHAnsi"/>
              <w:b/>
              <w:bCs/>
              <w:sz w:val="28"/>
              <w:szCs w:val="28"/>
            </w:rPr>
          </w:pPr>
        </w:p>
        <w:p w14:paraId="29A48ECF" w14:textId="77777777" w:rsidR="001F6ABA" w:rsidRDefault="001F6ABA" w:rsidP="004842F7">
          <w:pPr>
            <w:rPr>
              <w:rFonts w:cstheme="minorHAnsi"/>
              <w:b/>
              <w:bCs/>
              <w:sz w:val="28"/>
              <w:szCs w:val="28"/>
            </w:rPr>
          </w:pPr>
        </w:p>
        <w:p w14:paraId="451A5DA5" w14:textId="77777777" w:rsidR="00EA2AF9" w:rsidRDefault="00EA2AF9" w:rsidP="004842F7">
          <w:pPr>
            <w:rPr>
              <w:rFonts w:cstheme="minorHAnsi"/>
              <w:b/>
              <w:bCs/>
              <w:sz w:val="28"/>
              <w:szCs w:val="28"/>
            </w:rPr>
          </w:pPr>
        </w:p>
        <w:p w14:paraId="4182841C" w14:textId="77777777" w:rsidR="00615015" w:rsidRDefault="00615015" w:rsidP="004842F7">
          <w:pPr>
            <w:rPr>
              <w:rFonts w:cstheme="minorHAnsi"/>
              <w:b/>
              <w:bCs/>
              <w:sz w:val="28"/>
              <w:szCs w:val="28"/>
            </w:rPr>
          </w:pPr>
        </w:p>
        <w:p w14:paraId="217D972A" w14:textId="77777777" w:rsidR="00AB5C3C" w:rsidRDefault="00AB5C3C" w:rsidP="004842F7">
          <w:pPr>
            <w:rPr>
              <w:rFonts w:cstheme="minorHAnsi"/>
              <w:b/>
              <w:bCs/>
              <w:sz w:val="28"/>
              <w:szCs w:val="28"/>
            </w:rPr>
          </w:pPr>
        </w:p>
        <w:p w14:paraId="7CA49824" w14:textId="77777777" w:rsidR="00B6293B" w:rsidRDefault="00B6293B" w:rsidP="003C4B4A">
          <w:pPr>
            <w:rPr>
              <w:b/>
              <w:sz w:val="28"/>
              <w:szCs w:val="28"/>
            </w:rPr>
          </w:pPr>
        </w:p>
        <w:p w14:paraId="746E6DF4" w14:textId="70ED8B85" w:rsidR="00B6293B" w:rsidRDefault="00B6293B" w:rsidP="662B5F80">
          <w:pPr>
            <w:rPr>
              <w:b/>
              <w:sz w:val="28"/>
              <w:szCs w:val="28"/>
            </w:rPr>
          </w:pPr>
        </w:p>
        <w:tbl>
          <w:tblPr>
            <w:tblStyle w:val="TableGrid"/>
            <w:tblW w:w="0" w:type="auto"/>
            <w:tblLook w:val="04A0" w:firstRow="1" w:lastRow="0" w:firstColumn="1" w:lastColumn="0" w:noHBand="0" w:noVBand="1"/>
          </w:tblPr>
          <w:tblGrid>
            <w:gridCol w:w="1129"/>
            <w:gridCol w:w="4881"/>
            <w:gridCol w:w="3006"/>
          </w:tblGrid>
          <w:tr w:rsidR="00B70351" w14:paraId="657F6F9C" w14:textId="77777777" w:rsidTr="004F5039">
            <w:trPr>
              <w:trHeight w:val="558"/>
            </w:trPr>
            <w:tc>
              <w:tcPr>
                <w:tcW w:w="1129" w:type="dxa"/>
              </w:tcPr>
              <w:p w14:paraId="086EEF2E" w14:textId="77777777" w:rsidR="00B6293B" w:rsidRDefault="00B6293B" w:rsidP="00EA2AF9">
                <w:pPr>
                  <w:spacing w:line="247" w:lineRule="auto"/>
                  <w:jc w:val="center"/>
                  <w:rPr>
                    <w:sz w:val="20"/>
                    <w:szCs w:val="20"/>
                  </w:rPr>
                </w:pPr>
                <w:r w:rsidRPr="00751F9B">
                  <w:rPr>
                    <w:sz w:val="20"/>
                    <w:szCs w:val="20"/>
                  </w:rPr>
                  <w:t>Version 1</w:t>
                </w:r>
              </w:p>
              <w:p w14:paraId="076E44D1" w14:textId="38F82B75" w:rsidR="004F5039" w:rsidRPr="00751F9B" w:rsidRDefault="004F5039" w:rsidP="00D20A82">
                <w:pPr>
                  <w:spacing w:after="160" w:line="247" w:lineRule="auto"/>
                  <w:jc w:val="center"/>
                  <w:rPr>
                    <w:sz w:val="20"/>
                    <w:szCs w:val="20"/>
                  </w:rPr>
                </w:pPr>
                <w:r>
                  <w:rPr>
                    <w:sz w:val="20"/>
                    <w:szCs w:val="20"/>
                  </w:rPr>
                  <w:t>March 202</w:t>
                </w:r>
                <w:r w:rsidR="001F63F5">
                  <w:rPr>
                    <w:sz w:val="20"/>
                    <w:szCs w:val="20"/>
                  </w:rPr>
                  <w:t>6</w:t>
                </w:r>
              </w:p>
            </w:tc>
            <w:tc>
              <w:tcPr>
                <w:tcW w:w="4881" w:type="dxa"/>
              </w:tcPr>
              <w:p w14:paraId="2C52AA6B" w14:textId="26F90719" w:rsidR="00B6293B" w:rsidRPr="00751F9B" w:rsidRDefault="00B6293B" w:rsidP="00832C28">
                <w:pPr>
                  <w:spacing w:after="160" w:line="247" w:lineRule="auto"/>
                  <w:rPr>
                    <w:sz w:val="20"/>
                    <w:szCs w:val="20"/>
                  </w:rPr>
                </w:pPr>
                <w:r w:rsidRPr="00751F9B">
                  <w:rPr>
                    <w:sz w:val="20"/>
                    <w:szCs w:val="20"/>
                  </w:rPr>
                  <w:t>Created by</w:t>
                </w:r>
                <w:r w:rsidR="00922B18">
                  <w:rPr>
                    <w:sz w:val="20"/>
                    <w:szCs w:val="20"/>
                  </w:rPr>
                  <w:t xml:space="preserve"> Lynne </w:t>
                </w:r>
                <w:r w:rsidR="00F02307">
                  <w:rPr>
                    <w:sz w:val="20"/>
                    <w:szCs w:val="20"/>
                  </w:rPr>
                  <w:t>McKerley, Locality Manager</w:t>
                </w:r>
                <w:r w:rsidR="007157AF">
                  <w:rPr>
                    <w:sz w:val="20"/>
                    <w:szCs w:val="20"/>
                  </w:rPr>
                  <w:t>, Pauline Conne</w:t>
                </w:r>
                <w:r w:rsidR="00222E68">
                  <w:rPr>
                    <w:sz w:val="20"/>
                    <w:szCs w:val="20"/>
                  </w:rPr>
                  <w:t>l</w:t>
                </w:r>
                <w:r w:rsidR="007157AF">
                  <w:rPr>
                    <w:sz w:val="20"/>
                    <w:szCs w:val="20"/>
                  </w:rPr>
                  <w:t>ly Team Manager</w:t>
                </w:r>
                <w:r w:rsidR="003423D2">
                  <w:rPr>
                    <w:sz w:val="20"/>
                    <w:szCs w:val="20"/>
                  </w:rPr>
                  <w:t xml:space="preserve"> </w:t>
                </w:r>
                <w:r w:rsidR="00832C28">
                  <w:rPr>
                    <w:sz w:val="20"/>
                    <w:szCs w:val="20"/>
                  </w:rPr>
                  <w:t>for Residential &amp; Throughcare</w:t>
                </w:r>
                <w:r w:rsidR="00A047B8">
                  <w:rPr>
                    <w:sz w:val="20"/>
                    <w:szCs w:val="20"/>
                  </w:rPr>
                  <w:t>/Aftercare Services</w:t>
                </w:r>
              </w:p>
            </w:tc>
            <w:tc>
              <w:tcPr>
                <w:tcW w:w="3006" w:type="dxa"/>
              </w:tcPr>
              <w:p w14:paraId="7A608FF4" w14:textId="1C6FC5D6" w:rsidR="00B6293B" w:rsidRPr="00751F9B" w:rsidRDefault="00B6293B" w:rsidP="00D20A82">
                <w:pPr>
                  <w:spacing w:after="160" w:line="247" w:lineRule="auto"/>
                  <w:rPr>
                    <w:sz w:val="20"/>
                    <w:szCs w:val="20"/>
                  </w:rPr>
                </w:pPr>
                <w:r w:rsidRPr="00751F9B">
                  <w:rPr>
                    <w:sz w:val="20"/>
                    <w:szCs w:val="20"/>
                  </w:rPr>
                  <w:t>Review Date:</w:t>
                </w:r>
                <w:r w:rsidR="00922B18">
                  <w:rPr>
                    <w:sz w:val="20"/>
                    <w:szCs w:val="20"/>
                  </w:rPr>
                  <w:t xml:space="preserve"> </w:t>
                </w:r>
                <w:r w:rsidR="004F5039">
                  <w:rPr>
                    <w:sz w:val="20"/>
                    <w:szCs w:val="20"/>
                  </w:rPr>
                  <w:t>March</w:t>
                </w:r>
                <w:r w:rsidR="001F6ABA">
                  <w:rPr>
                    <w:sz w:val="20"/>
                    <w:szCs w:val="20"/>
                  </w:rPr>
                  <w:t xml:space="preserve"> </w:t>
                </w:r>
                <w:r w:rsidR="00922B18">
                  <w:rPr>
                    <w:sz w:val="20"/>
                    <w:szCs w:val="20"/>
                  </w:rPr>
                  <w:t xml:space="preserve"> </w:t>
                </w:r>
                <w:r w:rsidR="00922B18" w:rsidRPr="00751F9B">
                  <w:rPr>
                    <w:sz w:val="20"/>
                    <w:szCs w:val="20"/>
                  </w:rPr>
                  <w:t>202</w:t>
                </w:r>
                <w:r w:rsidR="001F6ABA">
                  <w:rPr>
                    <w:sz w:val="20"/>
                    <w:szCs w:val="20"/>
                  </w:rPr>
                  <w:t>8</w:t>
                </w:r>
              </w:p>
            </w:tc>
          </w:tr>
        </w:tbl>
        <w:p w14:paraId="24272C2C" w14:textId="0CBEAA0A" w:rsidR="00B4181B" w:rsidRDefault="00093449" w:rsidP="00093449">
          <w:pPr>
            <w:widowControl w:val="0"/>
            <w:pBdr>
              <w:top w:val="single" w:sz="4" w:space="0" w:color="000000"/>
              <w:left w:val="single" w:sz="4" w:space="4" w:color="000000"/>
              <w:bottom w:val="single" w:sz="4" w:space="0" w:color="000000"/>
              <w:right w:val="single" w:sz="4" w:space="4" w:color="000000"/>
            </w:pBdr>
            <w:shd w:val="clear" w:color="auto" w:fill="DAE9F7" w:themeFill="text2" w:themeFillTint="1A"/>
            <w:spacing w:after="0" w:line="360" w:lineRule="auto"/>
            <w:jc w:val="center"/>
          </w:pPr>
          <w:r>
            <w:rPr>
              <w:sz w:val="32"/>
              <w:szCs w:val="32"/>
            </w:rPr>
            <w:lastRenderedPageBreak/>
            <w:t>Contents</w:t>
          </w:r>
          <w:r w:rsidR="003E7A5D">
            <w:rPr>
              <w:sz w:val="32"/>
              <w:szCs w:val="32"/>
            </w:rPr>
            <w:t xml:space="preserve"> and Page Numbers</w:t>
          </w:r>
        </w:p>
      </w:sdtContent>
    </w:sdt>
    <w:p w14:paraId="7E5BF268" w14:textId="77777777" w:rsidR="00F04A28" w:rsidRDefault="00F04A28" w:rsidP="00F04A28">
      <w:pPr>
        <w:spacing w:line="360" w:lineRule="auto"/>
        <w:rPr>
          <w:rFonts w:ascii="Calibri" w:hAnsi="Calibri" w:cs="Calibri"/>
        </w:rPr>
      </w:pPr>
    </w:p>
    <w:tbl>
      <w:tblPr>
        <w:tblW w:w="9214" w:type="dxa"/>
        <w:tblInd w:w="-34" w:type="dxa"/>
        <w:tblLayout w:type="fixed"/>
        <w:tblCellMar>
          <w:left w:w="10" w:type="dxa"/>
          <w:right w:w="10" w:type="dxa"/>
        </w:tblCellMar>
        <w:tblLook w:val="04A0" w:firstRow="1" w:lastRow="0" w:firstColumn="1" w:lastColumn="0" w:noHBand="0" w:noVBand="1"/>
      </w:tblPr>
      <w:tblGrid>
        <w:gridCol w:w="7797"/>
        <w:gridCol w:w="1417"/>
      </w:tblGrid>
      <w:tr w:rsidR="00F04A28" w14:paraId="40ACD518"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86F6A68" w14:textId="77777777" w:rsidR="00F04A28" w:rsidRDefault="00F04A28" w:rsidP="00D20A82">
            <w:pPr>
              <w:spacing w:line="247" w:lineRule="auto"/>
              <w:jc w:val="center"/>
            </w:pPr>
            <w:r>
              <w:rPr>
                <w:rFonts w:ascii="Calibri" w:hAnsi="Calibri" w:cs="Calibri"/>
              </w:rPr>
              <w:t>Contents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551DD8A" w14:textId="77777777" w:rsidR="00F04A28" w:rsidRDefault="00F04A28" w:rsidP="00D20A82">
            <w:pPr>
              <w:tabs>
                <w:tab w:val="center" w:pos="878"/>
              </w:tabs>
              <w:spacing w:line="247" w:lineRule="auto"/>
              <w:jc w:val="center"/>
            </w:pPr>
            <w:r>
              <w:rPr>
                <w:rFonts w:ascii="Calibri" w:hAnsi="Calibri" w:cs="Calibri"/>
              </w:rPr>
              <w:t>Page Number</w:t>
            </w:r>
          </w:p>
        </w:tc>
      </w:tr>
      <w:tr w:rsidR="00F04A28" w14:paraId="3B70139E"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177CB04" w14:textId="5026B128" w:rsidR="00F04A28" w:rsidRDefault="00F04A28" w:rsidP="00D20A82">
            <w:pPr>
              <w:spacing w:line="247" w:lineRule="auto"/>
            </w:pPr>
            <w:r w:rsidRPr="7AD69D5D">
              <w:rPr>
                <w:rFonts w:ascii="Calibri" w:hAnsi="Calibri" w:cs="Calibri"/>
              </w:rPr>
              <w:t xml:space="preserve">1. </w:t>
            </w:r>
            <w:r w:rsidR="00CB4BE4">
              <w:rPr>
                <w:rFonts w:ascii="Calibri" w:hAnsi="Calibri" w:cs="Calibri"/>
              </w:rPr>
              <w:t>Introduction</w:t>
            </w:r>
            <w:r w:rsidRPr="7AD69D5D">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BB4355E" w14:textId="78BC3020" w:rsidR="00F04A28" w:rsidRDefault="00CB4BE4" w:rsidP="00D20A82">
            <w:pPr>
              <w:tabs>
                <w:tab w:val="center" w:pos="878"/>
              </w:tabs>
              <w:spacing w:line="247" w:lineRule="auto"/>
              <w:jc w:val="center"/>
              <w:rPr>
                <w:rFonts w:ascii="Calibri" w:hAnsi="Calibri" w:cs="Calibri"/>
              </w:rPr>
            </w:pPr>
            <w:r>
              <w:rPr>
                <w:rFonts w:ascii="Calibri" w:hAnsi="Calibri" w:cs="Calibri"/>
              </w:rPr>
              <w:t>2</w:t>
            </w:r>
            <w:r w:rsidR="00791EE8">
              <w:rPr>
                <w:rFonts w:ascii="Calibri" w:hAnsi="Calibri" w:cs="Calibri"/>
              </w:rPr>
              <w:t>-</w:t>
            </w:r>
            <w:r w:rsidR="006D5B9A">
              <w:rPr>
                <w:rFonts w:ascii="Calibri" w:hAnsi="Calibri" w:cs="Calibri"/>
              </w:rPr>
              <w:t>3</w:t>
            </w:r>
          </w:p>
        </w:tc>
      </w:tr>
      <w:tr w:rsidR="00692B12" w14:paraId="210AD1F0" w14:textId="77777777" w:rsidTr="00134737">
        <w:trPr>
          <w:trHeight w:val="461"/>
        </w:trPr>
        <w:tc>
          <w:tcPr>
            <w:tcW w:w="921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top w:w="0" w:type="dxa"/>
              <w:left w:w="108" w:type="dxa"/>
              <w:bottom w:w="0" w:type="dxa"/>
              <w:right w:w="108" w:type="dxa"/>
            </w:tcMar>
          </w:tcPr>
          <w:p w14:paraId="52ABB9FC" w14:textId="7787A9EB" w:rsidR="00692B12" w:rsidRPr="0034481A" w:rsidRDefault="00692B12" w:rsidP="00134737">
            <w:pPr>
              <w:spacing w:after="0" w:line="247" w:lineRule="auto"/>
              <w:jc w:val="center"/>
              <w:rPr>
                <w:rFonts w:ascii="Calibri" w:hAnsi="Calibri" w:cs="Calibri"/>
                <w:sz w:val="32"/>
                <w:szCs w:val="32"/>
              </w:rPr>
            </w:pPr>
            <w:r w:rsidRPr="0034481A">
              <w:rPr>
                <w:rFonts w:ascii="Calibri" w:hAnsi="Calibri" w:cs="Calibri"/>
                <w:sz w:val="32"/>
                <w:szCs w:val="32"/>
              </w:rPr>
              <w:t>Part One Continuing Care.</w:t>
            </w:r>
          </w:p>
        </w:tc>
      </w:tr>
      <w:tr w:rsidR="00F04A28" w14:paraId="5550090E"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5AD5E47" w14:textId="3A77CA46" w:rsidR="00F04A28" w:rsidRDefault="005743E7" w:rsidP="00D20A82">
            <w:pPr>
              <w:spacing w:line="247" w:lineRule="auto"/>
            </w:pPr>
            <w:r>
              <w:rPr>
                <w:rFonts w:ascii="Calibri" w:hAnsi="Calibri" w:cs="Calibri"/>
              </w:rPr>
              <w:t>`</w:t>
            </w:r>
            <w:r w:rsidR="00CB0978">
              <w:rPr>
                <w:rFonts w:ascii="Calibri" w:hAnsi="Calibri" w:cs="Calibri"/>
              </w:rPr>
              <w:t>Section 1</w:t>
            </w:r>
            <w:r w:rsidR="00DB6D3F">
              <w:rPr>
                <w:rFonts w:ascii="Calibri" w:hAnsi="Calibri" w:cs="Calibri"/>
              </w:rPr>
              <w:t xml:space="preserve"> – </w:t>
            </w:r>
            <w:r w:rsidR="00186988">
              <w:rPr>
                <w:rFonts w:ascii="Calibri" w:hAnsi="Calibri" w:cs="Calibri"/>
              </w:rPr>
              <w:t>Eligibility</w:t>
            </w:r>
            <w:r w:rsidR="00DB6D3F">
              <w:rPr>
                <w:rFonts w:ascii="Calibri" w:hAnsi="Calibri" w:cs="Calibri"/>
              </w:rPr>
              <w:t xml:space="preserve"> for Continuin</w:t>
            </w:r>
            <w:r w:rsidR="00186988">
              <w:rPr>
                <w:rFonts w:ascii="Calibri" w:hAnsi="Calibri" w:cs="Calibri"/>
              </w:rPr>
              <w:t>g Care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706A760" w14:textId="0A3AD9EB" w:rsidR="00F04A28" w:rsidRDefault="00F04A28" w:rsidP="00D20A82">
            <w:pPr>
              <w:spacing w:line="247" w:lineRule="auto"/>
              <w:jc w:val="center"/>
              <w:rPr>
                <w:rFonts w:ascii="Calibri" w:hAnsi="Calibri" w:cs="Calibri"/>
              </w:rPr>
            </w:pPr>
            <w:r>
              <w:rPr>
                <w:rFonts w:ascii="Calibri" w:hAnsi="Calibri" w:cs="Calibri"/>
              </w:rPr>
              <w:t>4</w:t>
            </w:r>
          </w:p>
        </w:tc>
      </w:tr>
      <w:tr w:rsidR="00F04A28" w14:paraId="3940248E"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A784F99" w14:textId="2C14B447" w:rsidR="00F04A28" w:rsidRDefault="00F04A28" w:rsidP="00D20A82">
            <w:pPr>
              <w:spacing w:line="247" w:lineRule="auto"/>
            </w:pPr>
            <w:r>
              <w:rPr>
                <w:rFonts w:ascii="Calibri" w:hAnsi="Calibri" w:cs="Calibri"/>
              </w:rPr>
              <w:t xml:space="preserve">3. </w:t>
            </w:r>
            <w:r w:rsidR="0058532E">
              <w:rPr>
                <w:rFonts w:ascii="Calibri" w:hAnsi="Calibri" w:cs="Calibri"/>
              </w:rPr>
              <w:t>Section</w:t>
            </w:r>
            <w:r w:rsidR="00D54921">
              <w:rPr>
                <w:rFonts w:ascii="Calibri" w:hAnsi="Calibri" w:cs="Calibri"/>
              </w:rPr>
              <w:t xml:space="preserve"> 2</w:t>
            </w:r>
            <w:r w:rsidR="00FD67D1">
              <w:rPr>
                <w:rFonts w:ascii="Calibri" w:hAnsi="Calibri" w:cs="Calibri"/>
              </w:rPr>
              <w:t xml:space="preserve"> - </w:t>
            </w:r>
            <w:r w:rsidR="006B1F0A">
              <w:rPr>
                <w:rFonts w:ascii="Calibri" w:hAnsi="Calibri" w:cs="Calibri"/>
              </w:rPr>
              <w:t>Exceptions to provi</w:t>
            </w:r>
            <w:r w:rsidR="00273FA1">
              <w:rPr>
                <w:rFonts w:ascii="Calibri" w:hAnsi="Calibri" w:cs="Calibri"/>
              </w:rPr>
              <w:t>ding Con</w:t>
            </w:r>
            <w:r w:rsidR="000C6D53">
              <w:rPr>
                <w:rFonts w:ascii="Calibri" w:hAnsi="Calibri" w:cs="Calibri"/>
              </w:rPr>
              <w:t>tinuing Care</w:t>
            </w:r>
            <w:r>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492A7E6" w14:textId="3B04B9FF" w:rsidR="00F04A28" w:rsidRDefault="000C6D53" w:rsidP="00D20A82">
            <w:pPr>
              <w:spacing w:line="247" w:lineRule="auto"/>
              <w:jc w:val="center"/>
              <w:rPr>
                <w:rFonts w:ascii="Calibri" w:hAnsi="Calibri" w:cs="Calibri"/>
              </w:rPr>
            </w:pPr>
            <w:r>
              <w:rPr>
                <w:rFonts w:ascii="Calibri" w:hAnsi="Calibri" w:cs="Calibri"/>
              </w:rPr>
              <w:t>5</w:t>
            </w:r>
          </w:p>
        </w:tc>
      </w:tr>
      <w:tr w:rsidR="00F04A28" w14:paraId="0AE9684D"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CC73B1E" w14:textId="62655064" w:rsidR="00F04A28" w:rsidRDefault="00F04A28" w:rsidP="00D20A82">
            <w:pPr>
              <w:spacing w:line="247" w:lineRule="auto"/>
            </w:pPr>
            <w:r>
              <w:rPr>
                <w:rFonts w:ascii="Calibri" w:hAnsi="Calibri" w:cs="Calibri"/>
              </w:rPr>
              <w:t xml:space="preserve">4. </w:t>
            </w:r>
            <w:r w:rsidR="00FD67D1">
              <w:rPr>
                <w:rFonts w:ascii="Calibri" w:hAnsi="Calibri" w:cs="Calibri"/>
              </w:rPr>
              <w:t>Section 3</w:t>
            </w:r>
            <w:r>
              <w:rPr>
                <w:rFonts w:ascii="Calibri" w:hAnsi="Calibri" w:cs="Calibri"/>
              </w:rPr>
              <w:t xml:space="preserve"> </w:t>
            </w:r>
            <w:r w:rsidR="00FD67D1">
              <w:rPr>
                <w:rFonts w:ascii="Calibri" w:hAnsi="Calibri" w:cs="Calibri"/>
              </w:rPr>
              <w:t xml:space="preserve">- </w:t>
            </w:r>
            <w:r w:rsidR="00B302AA">
              <w:rPr>
                <w:rFonts w:ascii="Calibri" w:hAnsi="Calibri" w:cs="Calibri"/>
              </w:rPr>
              <w:t>Principle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233DE71" w14:textId="62926FAC" w:rsidR="00F04A28" w:rsidRDefault="00FD67D1" w:rsidP="00D20A82">
            <w:pPr>
              <w:spacing w:line="247" w:lineRule="auto"/>
              <w:jc w:val="center"/>
            </w:pPr>
            <w:r>
              <w:rPr>
                <w:rFonts w:ascii="Calibri" w:hAnsi="Calibri" w:cs="Calibri"/>
              </w:rPr>
              <w:t>6</w:t>
            </w:r>
          </w:p>
        </w:tc>
      </w:tr>
      <w:tr w:rsidR="00F04A28" w14:paraId="5F0EF435"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52FDE2" w14:textId="749138DD" w:rsidR="00F04A28" w:rsidRDefault="00F04A28" w:rsidP="00D20A82">
            <w:pPr>
              <w:spacing w:line="247" w:lineRule="auto"/>
            </w:pPr>
            <w:r>
              <w:rPr>
                <w:rFonts w:ascii="Calibri" w:hAnsi="Calibri" w:cs="Calibri"/>
              </w:rPr>
              <w:t xml:space="preserve">5. </w:t>
            </w:r>
            <w:r w:rsidR="00B302AA">
              <w:rPr>
                <w:rFonts w:ascii="Calibri" w:hAnsi="Calibri" w:cs="Calibri"/>
              </w:rPr>
              <w:t>Section</w:t>
            </w:r>
            <w:r w:rsidR="00153496">
              <w:rPr>
                <w:rFonts w:ascii="Calibri" w:hAnsi="Calibri" w:cs="Calibri"/>
              </w:rPr>
              <w:t xml:space="preserve"> </w:t>
            </w:r>
            <w:r w:rsidR="00B302AA">
              <w:rPr>
                <w:rFonts w:ascii="Calibri" w:hAnsi="Calibri" w:cs="Calibri"/>
              </w:rPr>
              <w:t>4 – Legal and Practice Consideration</w:t>
            </w:r>
            <w:r>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5E28B84" w14:textId="2E1D251E" w:rsidR="00F04A28" w:rsidRDefault="00F04A28" w:rsidP="00D20A82">
            <w:pPr>
              <w:spacing w:line="247" w:lineRule="auto"/>
              <w:jc w:val="center"/>
            </w:pPr>
            <w:r>
              <w:rPr>
                <w:rFonts w:ascii="Calibri" w:hAnsi="Calibri" w:cs="Calibri"/>
              </w:rPr>
              <w:t>7</w:t>
            </w:r>
          </w:p>
        </w:tc>
      </w:tr>
      <w:tr w:rsidR="00F04A28" w14:paraId="640A0EEB"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BBB8A5E" w14:textId="744FA295" w:rsidR="00F04A28" w:rsidRDefault="00F04A28" w:rsidP="00D20A82">
            <w:pPr>
              <w:spacing w:line="247" w:lineRule="auto"/>
            </w:pPr>
            <w:r>
              <w:rPr>
                <w:rFonts w:ascii="Calibri" w:hAnsi="Calibri" w:cs="Calibri"/>
              </w:rPr>
              <w:t xml:space="preserve">6. </w:t>
            </w:r>
            <w:r w:rsidR="00153496">
              <w:rPr>
                <w:rFonts w:ascii="Calibri" w:hAnsi="Calibri" w:cs="Calibri"/>
              </w:rPr>
              <w:t>Section 5</w:t>
            </w:r>
            <w:r>
              <w:rPr>
                <w:rFonts w:ascii="Calibri" w:hAnsi="Calibri" w:cs="Calibri"/>
              </w:rPr>
              <w:t xml:space="preserve"> </w:t>
            </w:r>
            <w:r w:rsidR="00153496">
              <w:rPr>
                <w:rFonts w:ascii="Calibri" w:hAnsi="Calibri" w:cs="Calibri"/>
              </w:rPr>
              <w:t>– Raising Awareness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4B80E51" w14:textId="5488CE0F" w:rsidR="00F04A28" w:rsidRDefault="00F04A28" w:rsidP="00D20A82">
            <w:pPr>
              <w:spacing w:line="247" w:lineRule="auto"/>
              <w:jc w:val="center"/>
              <w:rPr>
                <w:rFonts w:ascii="Calibri" w:hAnsi="Calibri" w:cs="Calibri"/>
              </w:rPr>
            </w:pPr>
            <w:r>
              <w:rPr>
                <w:rFonts w:ascii="Calibri" w:hAnsi="Calibri" w:cs="Calibri"/>
              </w:rPr>
              <w:t>8</w:t>
            </w:r>
          </w:p>
        </w:tc>
      </w:tr>
      <w:tr w:rsidR="00F04A28" w14:paraId="7B2E903D"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0EB30E0" w14:textId="3313F37A" w:rsidR="00F04A28" w:rsidRDefault="00F04A28" w:rsidP="00D20A82">
            <w:pPr>
              <w:spacing w:line="247" w:lineRule="auto"/>
            </w:pPr>
            <w:r>
              <w:rPr>
                <w:rFonts w:ascii="Calibri" w:hAnsi="Calibri" w:cs="Calibri"/>
              </w:rPr>
              <w:t xml:space="preserve">7. </w:t>
            </w:r>
            <w:r w:rsidR="00CA0598">
              <w:rPr>
                <w:rFonts w:ascii="Calibri" w:hAnsi="Calibri" w:cs="Calibri"/>
              </w:rPr>
              <w:t xml:space="preserve">Section 6 </w:t>
            </w:r>
            <w:r w:rsidR="00324CFA">
              <w:rPr>
                <w:rFonts w:ascii="Calibri" w:hAnsi="Calibri" w:cs="Calibri"/>
              </w:rPr>
              <w:t xml:space="preserve">- </w:t>
            </w:r>
            <w:r w:rsidR="00CA0598">
              <w:rPr>
                <w:rFonts w:ascii="Calibri" w:hAnsi="Calibri" w:cs="Calibri"/>
              </w:rPr>
              <w:t>Plannin</w:t>
            </w:r>
            <w:r w:rsidR="00324CFA">
              <w:rPr>
                <w:rFonts w:ascii="Calibri" w:hAnsi="Calibri" w:cs="Calibri"/>
              </w:rPr>
              <w:t>g</w:t>
            </w:r>
            <w:r>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BEE39C" w14:textId="557EE043" w:rsidR="00F04A28" w:rsidRDefault="00324CFA" w:rsidP="00D20A82">
            <w:pPr>
              <w:spacing w:line="247" w:lineRule="auto"/>
              <w:jc w:val="center"/>
              <w:rPr>
                <w:rFonts w:ascii="Calibri" w:hAnsi="Calibri" w:cs="Calibri"/>
              </w:rPr>
            </w:pPr>
            <w:r>
              <w:rPr>
                <w:rFonts w:ascii="Calibri" w:hAnsi="Calibri" w:cs="Calibri"/>
              </w:rPr>
              <w:t>9-11</w:t>
            </w:r>
          </w:p>
        </w:tc>
      </w:tr>
      <w:tr w:rsidR="00F04A28" w14:paraId="7368B0DE"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46079AF" w14:textId="1D16F567" w:rsidR="00F04A28" w:rsidRDefault="00F04A28" w:rsidP="00D20A82">
            <w:pPr>
              <w:spacing w:line="247" w:lineRule="auto"/>
            </w:pPr>
            <w:r>
              <w:rPr>
                <w:rFonts w:ascii="Calibri" w:hAnsi="Calibri" w:cs="Calibri"/>
              </w:rPr>
              <w:t xml:space="preserve">8. </w:t>
            </w:r>
            <w:r w:rsidR="0030458D">
              <w:rPr>
                <w:rFonts w:ascii="Calibri" w:hAnsi="Calibri" w:cs="Calibri"/>
              </w:rPr>
              <w:t>Section 7 – Case responsibility</w:t>
            </w:r>
            <w:r>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428FC6D" w14:textId="6CD5867F" w:rsidR="00F04A28" w:rsidRDefault="00D03604" w:rsidP="00D20A82">
            <w:pPr>
              <w:spacing w:line="247" w:lineRule="auto"/>
              <w:jc w:val="center"/>
              <w:rPr>
                <w:rFonts w:ascii="Calibri" w:hAnsi="Calibri" w:cs="Calibri"/>
              </w:rPr>
            </w:pPr>
            <w:r>
              <w:rPr>
                <w:rFonts w:ascii="Calibri" w:hAnsi="Calibri" w:cs="Calibri"/>
              </w:rPr>
              <w:t>12</w:t>
            </w:r>
          </w:p>
        </w:tc>
      </w:tr>
      <w:tr w:rsidR="00F04A28" w14:paraId="55F31811"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2563B99" w14:textId="11206A31" w:rsidR="00F04A28" w:rsidRDefault="00F04A28" w:rsidP="00D20A82">
            <w:pPr>
              <w:spacing w:line="247" w:lineRule="auto"/>
            </w:pPr>
            <w:r>
              <w:rPr>
                <w:rFonts w:ascii="Calibri" w:hAnsi="Calibri" w:cs="Calibri"/>
              </w:rPr>
              <w:t xml:space="preserve">9. </w:t>
            </w:r>
            <w:r w:rsidR="00D03604">
              <w:rPr>
                <w:rFonts w:ascii="Calibri" w:hAnsi="Calibri" w:cs="Calibri"/>
              </w:rPr>
              <w:t>Section 8 – Reviewing Continuing Care</w:t>
            </w:r>
            <w:r>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139154E" w14:textId="78E5FF54" w:rsidR="00F04A28" w:rsidRDefault="00D03604" w:rsidP="00D20A82">
            <w:pPr>
              <w:spacing w:line="247" w:lineRule="auto"/>
              <w:jc w:val="center"/>
              <w:rPr>
                <w:rFonts w:ascii="Calibri" w:hAnsi="Calibri" w:cs="Calibri"/>
              </w:rPr>
            </w:pPr>
            <w:r>
              <w:rPr>
                <w:rFonts w:ascii="Calibri" w:hAnsi="Calibri" w:cs="Calibri"/>
              </w:rPr>
              <w:t>13</w:t>
            </w:r>
          </w:p>
        </w:tc>
      </w:tr>
      <w:tr w:rsidR="00F04A28" w14:paraId="66BB57C6"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9EF2FFF" w14:textId="1DD9E5C0" w:rsidR="00F04A28" w:rsidRDefault="00F04A28" w:rsidP="00D20A82">
            <w:pPr>
              <w:spacing w:line="247" w:lineRule="auto"/>
            </w:pPr>
            <w:r>
              <w:rPr>
                <w:rFonts w:ascii="Calibri" w:hAnsi="Calibri" w:cs="Calibri"/>
              </w:rPr>
              <w:t xml:space="preserve">10. </w:t>
            </w:r>
            <w:r w:rsidR="00D03604">
              <w:rPr>
                <w:rFonts w:ascii="Calibri" w:hAnsi="Calibri" w:cs="Calibri"/>
              </w:rPr>
              <w:t>Section 9 – Continuing Care Allowance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8113217" w14:textId="4E0DD908" w:rsidR="00F04A28" w:rsidRDefault="00F04A28" w:rsidP="00D20A82">
            <w:pPr>
              <w:spacing w:line="247" w:lineRule="auto"/>
              <w:jc w:val="center"/>
            </w:pPr>
            <w:r>
              <w:rPr>
                <w:rFonts w:ascii="Calibri" w:hAnsi="Calibri" w:cs="Calibri"/>
              </w:rPr>
              <w:t>1</w:t>
            </w:r>
            <w:r w:rsidR="00D03604">
              <w:rPr>
                <w:rFonts w:ascii="Calibri" w:hAnsi="Calibri" w:cs="Calibri"/>
              </w:rPr>
              <w:t>4</w:t>
            </w:r>
          </w:p>
        </w:tc>
      </w:tr>
      <w:tr w:rsidR="00F04A28" w14:paraId="545C6841" w14:textId="77777777" w:rsidTr="00D20A82">
        <w:trPr>
          <w:trHeight w:val="497"/>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C232258" w14:textId="067348E2" w:rsidR="00F04A28" w:rsidRDefault="00F04A28" w:rsidP="00D20A82">
            <w:pPr>
              <w:spacing w:line="247" w:lineRule="auto"/>
              <w:rPr>
                <w:rFonts w:ascii="Calibri" w:hAnsi="Calibri" w:cs="Calibri"/>
              </w:rPr>
            </w:pPr>
            <w:r>
              <w:rPr>
                <w:rFonts w:ascii="Calibri" w:hAnsi="Calibri" w:cs="Calibri"/>
              </w:rPr>
              <w:t xml:space="preserve">11. </w:t>
            </w:r>
            <w:r w:rsidR="00D03604">
              <w:rPr>
                <w:rFonts w:ascii="Calibri" w:hAnsi="Calibri" w:cs="Calibri"/>
              </w:rPr>
              <w:t>Section 10 – Managing the ending of Con</w:t>
            </w:r>
            <w:r w:rsidR="00FA5981">
              <w:rPr>
                <w:rFonts w:ascii="Calibri" w:hAnsi="Calibri" w:cs="Calibri"/>
              </w:rPr>
              <w:t>tinuing Care Placement</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AE95486" w14:textId="41D0695E" w:rsidR="00F04A28" w:rsidRDefault="003E072C" w:rsidP="00D20A82">
            <w:pPr>
              <w:spacing w:line="247" w:lineRule="auto"/>
              <w:jc w:val="center"/>
            </w:pPr>
            <w:r>
              <w:rPr>
                <w:rFonts w:ascii="Calibri" w:hAnsi="Calibri" w:cs="Calibri"/>
              </w:rPr>
              <w:t>15</w:t>
            </w:r>
          </w:p>
        </w:tc>
      </w:tr>
      <w:tr w:rsidR="00F04A28" w14:paraId="113B746C"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8185BB4" w14:textId="367871D7" w:rsidR="00F04A28" w:rsidRDefault="00F04A28" w:rsidP="00D20A82">
            <w:pPr>
              <w:spacing w:line="247" w:lineRule="auto"/>
            </w:pPr>
            <w:r>
              <w:rPr>
                <w:rFonts w:ascii="Calibri" w:hAnsi="Calibri" w:cs="Calibri"/>
              </w:rPr>
              <w:t xml:space="preserve">12. </w:t>
            </w:r>
            <w:r w:rsidR="003E072C">
              <w:rPr>
                <w:rFonts w:ascii="Calibri" w:hAnsi="Calibri" w:cs="Calibri"/>
              </w:rPr>
              <w:t>Section 11 - Aftercare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982FD47" w14:textId="77777777" w:rsidR="00F04A28" w:rsidRDefault="00F04A28" w:rsidP="00D20A82">
            <w:pPr>
              <w:spacing w:line="247" w:lineRule="auto"/>
              <w:jc w:val="center"/>
              <w:rPr>
                <w:rFonts w:ascii="Calibri" w:hAnsi="Calibri" w:cs="Calibri"/>
              </w:rPr>
            </w:pPr>
            <w:r w:rsidRPr="5F49691D">
              <w:rPr>
                <w:rFonts w:ascii="Calibri" w:hAnsi="Calibri" w:cs="Calibri"/>
              </w:rPr>
              <w:t>1</w:t>
            </w:r>
            <w:r>
              <w:rPr>
                <w:rFonts w:ascii="Calibri" w:hAnsi="Calibri" w:cs="Calibri"/>
              </w:rPr>
              <w:t>5</w:t>
            </w:r>
          </w:p>
        </w:tc>
      </w:tr>
      <w:tr w:rsidR="00F04A28" w14:paraId="22E47213"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0EE0EBB" w14:textId="35B90690" w:rsidR="00F04A28" w:rsidRDefault="00F04A28" w:rsidP="00D20A82">
            <w:pPr>
              <w:spacing w:line="247" w:lineRule="auto"/>
            </w:pPr>
            <w:r>
              <w:rPr>
                <w:rFonts w:ascii="Calibri" w:hAnsi="Calibri" w:cs="Calibri"/>
              </w:rPr>
              <w:t xml:space="preserve">13. </w:t>
            </w:r>
            <w:r w:rsidR="00205B3A">
              <w:rPr>
                <w:rFonts w:ascii="Calibri" w:hAnsi="Calibri" w:cs="Calibri"/>
              </w:rPr>
              <w:t>Section 12 – Information Sharing and Consent</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B7D7F4" w14:textId="77777777" w:rsidR="00F04A28" w:rsidRDefault="00F04A28" w:rsidP="00D20A82">
            <w:pPr>
              <w:spacing w:line="247" w:lineRule="auto"/>
              <w:jc w:val="center"/>
              <w:rPr>
                <w:rFonts w:ascii="Calibri" w:hAnsi="Calibri" w:cs="Calibri"/>
              </w:rPr>
            </w:pPr>
            <w:r w:rsidRPr="5F49691D">
              <w:rPr>
                <w:rFonts w:ascii="Calibri" w:hAnsi="Calibri" w:cs="Calibri"/>
              </w:rPr>
              <w:t>1</w:t>
            </w:r>
            <w:r>
              <w:rPr>
                <w:rFonts w:ascii="Calibri" w:hAnsi="Calibri" w:cs="Calibri"/>
              </w:rPr>
              <w:t>6</w:t>
            </w:r>
          </w:p>
        </w:tc>
      </w:tr>
      <w:tr w:rsidR="00F04A28" w14:paraId="7F17CA7C"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0F912DA" w14:textId="78EC3FBD" w:rsidR="00F04A28" w:rsidRDefault="00F04A28" w:rsidP="00D20A82">
            <w:pPr>
              <w:spacing w:line="247" w:lineRule="auto"/>
            </w:pPr>
            <w:r w:rsidRPr="5F49691D">
              <w:rPr>
                <w:rFonts w:ascii="Calibri" w:hAnsi="Calibri" w:cs="Calibri"/>
              </w:rPr>
              <w:t xml:space="preserve">14. </w:t>
            </w:r>
            <w:r w:rsidR="00205B3A">
              <w:rPr>
                <w:rFonts w:ascii="Calibri" w:hAnsi="Calibri" w:cs="Calibri"/>
              </w:rPr>
              <w:t>Section 13 – Disclosure Checks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E5507C4" w14:textId="77777777" w:rsidR="00F04A28" w:rsidRDefault="00F04A28" w:rsidP="00D20A82">
            <w:pPr>
              <w:spacing w:line="247" w:lineRule="auto"/>
              <w:jc w:val="center"/>
            </w:pPr>
            <w:r>
              <w:rPr>
                <w:rFonts w:ascii="Calibri" w:hAnsi="Calibri" w:cs="Calibri"/>
              </w:rPr>
              <w:t>16</w:t>
            </w:r>
          </w:p>
        </w:tc>
      </w:tr>
      <w:tr w:rsidR="00F04A28" w14:paraId="17809941"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EBFE08C" w14:textId="1C1069E8" w:rsidR="00F04A28" w:rsidRDefault="00F04A28" w:rsidP="00D20A82">
            <w:pPr>
              <w:spacing w:line="247" w:lineRule="auto"/>
            </w:pPr>
            <w:r>
              <w:rPr>
                <w:rFonts w:ascii="Calibri" w:hAnsi="Calibri" w:cs="Calibri"/>
              </w:rPr>
              <w:t xml:space="preserve">15. </w:t>
            </w:r>
            <w:r w:rsidR="00205B3A">
              <w:rPr>
                <w:rFonts w:ascii="Calibri" w:hAnsi="Calibri" w:cs="Calibri"/>
              </w:rPr>
              <w:t>Section 14 - Registration</w:t>
            </w:r>
            <w:r>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2162B1C" w14:textId="79ECBF21" w:rsidR="00F04A28" w:rsidRDefault="00F04A28" w:rsidP="00D20A82">
            <w:pPr>
              <w:spacing w:line="247" w:lineRule="auto"/>
              <w:jc w:val="center"/>
              <w:rPr>
                <w:rFonts w:ascii="Calibri" w:hAnsi="Calibri" w:cs="Calibri"/>
              </w:rPr>
            </w:pPr>
            <w:r w:rsidRPr="5F49691D">
              <w:rPr>
                <w:rFonts w:ascii="Calibri" w:hAnsi="Calibri" w:cs="Calibri"/>
              </w:rPr>
              <w:t>1</w:t>
            </w:r>
            <w:r w:rsidR="00205B3A">
              <w:rPr>
                <w:rFonts w:ascii="Calibri" w:hAnsi="Calibri" w:cs="Calibri"/>
              </w:rPr>
              <w:t>6</w:t>
            </w:r>
          </w:p>
        </w:tc>
      </w:tr>
      <w:tr w:rsidR="00F04A28" w14:paraId="5B1DAA9A"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B84226A" w14:textId="7C798942" w:rsidR="00F04A28" w:rsidRDefault="00F04A28" w:rsidP="00D20A82">
            <w:pPr>
              <w:spacing w:line="247" w:lineRule="auto"/>
            </w:pPr>
            <w:r>
              <w:rPr>
                <w:rFonts w:ascii="Calibri" w:hAnsi="Calibri" w:cs="Calibri"/>
              </w:rPr>
              <w:t xml:space="preserve">16. </w:t>
            </w:r>
            <w:r w:rsidR="00BB073F">
              <w:rPr>
                <w:rFonts w:ascii="Calibri" w:hAnsi="Calibri" w:cs="Calibri"/>
              </w:rPr>
              <w:t>Section 15 - Complaints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7290124" w14:textId="05975269" w:rsidR="00F04A28" w:rsidRDefault="00F04A28" w:rsidP="00D20A82">
            <w:pPr>
              <w:spacing w:line="247" w:lineRule="auto"/>
              <w:jc w:val="center"/>
              <w:rPr>
                <w:rFonts w:ascii="Calibri" w:hAnsi="Calibri" w:cs="Calibri"/>
              </w:rPr>
            </w:pPr>
            <w:r w:rsidRPr="5F49691D">
              <w:rPr>
                <w:rFonts w:ascii="Calibri" w:hAnsi="Calibri" w:cs="Calibri"/>
              </w:rPr>
              <w:t>1</w:t>
            </w:r>
            <w:r w:rsidR="00BB073F">
              <w:rPr>
                <w:rFonts w:ascii="Calibri" w:hAnsi="Calibri" w:cs="Calibri"/>
              </w:rPr>
              <w:t>7</w:t>
            </w:r>
          </w:p>
        </w:tc>
      </w:tr>
      <w:tr w:rsidR="00F04A28" w14:paraId="4CAF46EF"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C26BEB3" w14:textId="2A95FF97" w:rsidR="00F04A28" w:rsidRDefault="00F04A28" w:rsidP="00D20A82">
            <w:pPr>
              <w:spacing w:line="247" w:lineRule="auto"/>
            </w:pPr>
            <w:r>
              <w:rPr>
                <w:rFonts w:ascii="Calibri" w:hAnsi="Calibri" w:cs="Calibri"/>
              </w:rPr>
              <w:t xml:space="preserve">17. </w:t>
            </w:r>
            <w:r w:rsidR="00BB073F">
              <w:rPr>
                <w:rFonts w:ascii="Calibri" w:hAnsi="Calibri" w:cs="Calibri"/>
              </w:rPr>
              <w:t>Section 16 – Death of a young person in Continuing Care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56E89F5" w14:textId="26FBA0B0" w:rsidR="00F04A28" w:rsidRDefault="00F04A28" w:rsidP="00D20A82">
            <w:pPr>
              <w:spacing w:line="247" w:lineRule="auto"/>
              <w:jc w:val="center"/>
              <w:rPr>
                <w:rFonts w:ascii="Calibri" w:hAnsi="Calibri" w:cs="Calibri"/>
              </w:rPr>
            </w:pPr>
            <w:r w:rsidRPr="5F49691D">
              <w:rPr>
                <w:rFonts w:ascii="Calibri" w:hAnsi="Calibri" w:cs="Calibri"/>
              </w:rPr>
              <w:t>1</w:t>
            </w:r>
            <w:r w:rsidR="00BB073F">
              <w:rPr>
                <w:rFonts w:ascii="Calibri" w:hAnsi="Calibri" w:cs="Calibri"/>
              </w:rPr>
              <w:t>7</w:t>
            </w:r>
          </w:p>
        </w:tc>
      </w:tr>
      <w:tr w:rsidR="00134737" w14:paraId="2160509F" w14:textId="77777777" w:rsidTr="00134737">
        <w:trPr>
          <w:trHeight w:val="300"/>
        </w:trPr>
        <w:tc>
          <w:tcPr>
            <w:tcW w:w="921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top w:w="0" w:type="dxa"/>
              <w:left w:w="108" w:type="dxa"/>
              <w:bottom w:w="0" w:type="dxa"/>
              <w:right w:w="108" w:type="dxa"/>
            </w:tcMar>
          </w:tcPr>
          <w:p w14:paraId="094B1B3B" w14:textId="14322BCA" w:rsidR="00134737" w:rsidRPr="00134737" w:rsidRDefault="00134737" w:rsidP="00134737">
            <w:pPr>
              <w:suppressAutoHyphens/>
              <w:autoSpaceDN w:val="0"/>
              <w:spacing w:after="0" w:line="247" w:lineRule="auto"/>
              <w:jc w:val="center"/>
              <w:rPr>
                <w:rFonts w:ascii="Calibri" w:hAnsi="Calibri" w:cs="Calibri"/>
                <w:sz w:val="32"/>
                <w:szCs w:val="32"/>
              </w:rPr>
            </w:pPr>
            <w:r w:rsidRPr="00134737">
              <w:rPr>
                <w:rFonts w:ascii="Calibri" w:hAnsi="Calibri" w:cs="Calibri"/>
                <w:sz w:val="32"/>
                <w:szCs w:val="32"/>
              </w:rPr>
              <w:t>Part Two Falkirk Council Welfare Assessment Guidance</w:t>
            </w:r>
          </w:p>
        </w:tc>
      </w:tr>
      <w:tr w:rsidR="00F04A28" w14:paraId="31612C02"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701A15B" w14:textId="4DD16B0C" w:rsidR="00F04A28" w:rsidRPr="00F137B1" w:rsidRDefault="00F137B1" w:rsidP="00F137B1">
            <w:pPr>
              <w:suppressAutoHyphens/>
              <w:autoSpaceDN w:val="0"/>
              <w:spacing w:after="0" w:line="247" w:lineRule="auto"/>
              <w:rPr>
                <w:rFonts w:ascii="Calibri" w:hAnsi="Calibri" w:cs="Calibri"/>
              </w:rPr>
            </w:pPr>
            <w:r>
              <w:rPr>
                <w:rFonts w:ascii="Calibri" w:hAnsi="Calibri" w:cs="Calibri"/>
              </w:rPr>
              <w:t>18. Key Considerations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497DF5F" w14:textId="36F5E317" w:rsidR="00F04A28" w:rsidRDefault="00F137B1" w:rsidP="00D20A82">
            <w:pPr>
              <w:spacing w:line="247" w:lineRule="auto"/>
              <w:jc w:val="center"/>
              <w:rPr>
                <w:rFonts w:ascii="Calibri" w:hAnsi="Calibri" w:cs="Calibri"/>
              </w:rPr>
            </w:pPr>
            <w:r>
              <w:rPr>
                <w:rFonts w:ascii="Calibri" w:hAnsi="Calibri" w:cs="Calibri"/>
              </w:rPr>
              <w:t>18</w:t>
            </w:r>
          </w:p>
        </w:tc>
      </w:tr>
      <w:tr w:rsidR="00F04A28" w14:paraId="7B490CFE"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7E22329" w14:textId="7F1F1BF1" w:rsidR="00F04A28" w:rsidRPr="006629CF" w:rsidRDefault="006629CF" w:rsidP="006629CF">
            <w:pPr>
              <w:suppressAutoHyphens/>
              <w:autoSpaceDN w:val="0"/>
              <w:spacing w:after="0" w:line="247" w:lineRule="auto"/>
              <w:rPr>
                <w:rFonts w:ascii="Calibri" w:hAnsi="Calibri" w:cs="Calibri"/>
              </w:rPr>
            </w:pPr>
            <w:r>
              <w:rPr>
                <w:rFonts w:ascii="Calibri" w:hAnsi="Calibri" w:cs="Calibri"/>
              </w:rPr>
              <w:t xml:space="preserve">19. </w:t>
            </w:r>
            <w:r w:rsidR="005E5A86">
              <w:rPr>
                <w:rFonts w:ascii="Calibri" w:hAnsi="Calibri" w:cs="Calibri"/>
              </w:rPr>
              <w:t>What the Welfare Assessment should cover</w:t>
            </w:r>
            <w:r w:rsidR="00F04A28" w:rsidRPr="006629CF">
              <w:rPr>
                <w:rFonts w:ascii="Calibri" w:hAnsi="Calibri" w:cs="Calibri"/>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96BE550" w14:textId="0B1EFD3C" w:rsidR="00F04A28" w:rsidRDefault="005E5A86" w:rsidP="00D20A82">
            <w:pPr>
              <w:spacing w:line="247" w:lineRule="auto"/>
              <w:jc w:val="center"/>
              <w:rPr>
                <w:rFonts w:ascii="Calibri" w:hAnsi="Calibri" w:cs="Calibri"/>
              </w:rPr>
            </w:pPr>
            <w:r>
              <w:rPr>
                <w:rFonts w:ascii="Calibri" w:hAnsi="Calibri" w:cs="Calibri"/>
              </w:rPr>
              <w:t>19</w:t>
            </w:r>
          </w:p>
        </w:tc>
      </w:tr>
      <w:tr w:rsidR="00F04A28" w14:paraId="0476E8A5"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C8471CC" w14:textId="38442019" w:rsidR="00F04A28" w:rsidRPr="00C457ED" w:rsidRDefault="00C457ED" w:rsidP="00C457ED">
            <w:pPr>
              <w:suppressAutoHyphens/>
              <w:autoSpaceDN w:val="0"/>
              <w:spacing w:after="0" w:line="247" w:lineRule="auto"/>
              <w:rPr>
                <w:rFonts w:ascii="Calibri" w:hAnsi="Calibri" w:cs="Calibri"/>
              </w:rPr>
            </w:pPr>
            <w:r>
              <w:rPr>
                <w:rFonts w:ascii="Calibri" w:hAnsi="Calibri" w:cs="Calibri"/>
              </w:rPr>
              <w:t>20. Falkirk’s Process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00E6CF6" w14:textId="516BCECE" w:rsidR="00F04A28" w:rsidRDefault="00F04A28" w:rsidP="00D20A82">
            <w:pPr>
              <w:spacing w:line="247" w:lineRule="auto"/>
              <w:jc w:val="center"/>
              <w:rPr>
                <w:rFonts w:ascii="Calibri" w:hAnsi="Calibri" w:cs="Calibri"/>
              </w:rPr>
            </w:pPr>
            <w:r w:rsidRPr="5F49691D">
              <w:rPr>
                <w:rFonts w:ascii="Calibri" w:hAnsi="Calibri" w:cs="Calibri"/>
              </w:rPr>
              <w:t>2</w:t>
            </w:r>
            <w:r w:rsidR="007B7770">
              <w:rPr>
                <w:rFonts w:ascii="Calibri" w:hAnsi="Calibri" w:cs="Calibri"/>
              </w:rPr>
              <w:t>0</w:t>
            </w:r>
            <w:r w:rsidRPr="5F49691D">
              <w:rPr>
                <w:rFonts w:ascii="Calibri" w:hAnsi="Calibri" w:cs="Calibri"/>
              </w:rPr>
              <w:t>-2</w:t>
            </w:r>
            <w:r w:rsidR="007B7770">
              <w:rPr>
                <w:rFonts w:ascii="Calibri" w:hAnsi="Calibri" w:cs="Calibri"/>
              </w:rPr>
              <w:t>1</w:t>
            </w:r>
          </w:p>
        </w:tc>
      </w:tr>
      <w:tr w:rsidR="00F04A28" w14:paraId="7A28370B" w14:textId="77777777" w:rsidTr="00D20A82">
        <w:trPr>
          <w:trHeight w:val="300"/>
        </w:trPr>
        <w:tc>
          <w:tcPr>
            <w:tcW w:w="7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0C7BC29" w14:textId="2BD22281" w:rsidR="00F04A28" w:rsidRPr="00417667" w:rsidRDefault="00D261B5" w:rsidP="00417667">
            <w:pPr>
              <w:suppressAutoHyphens/>
              <w:autoSpaceDN w:val="0"/>
              <w:spacing w:after="0" w:line="247" w:lineRule="auto"/>
              <w:rPr>
                <w:rFonts w:ascii="Calibri" w:hAnsi="Calibri" w:cs="Calibri"/>
              </w:rPr>
            </w:pPr>
            <w:r>
              <w:rPr>
                <w:rFonts w:ascii="Calibri" w:hAnsi="Calibri" w:cs="Calibri"/>
              </w:rPr>
              <w:t xml:space="preserve">21. </w:t>
            </w:r>
            <w:r w:rsidR="00B15D5C">
              <w:rPr>
                <w:rFonts w:ascii="Calibri" w:hAnsi="Calibri" w:cs="Calibri"/>
              </w:rPr>
              <w:t>Useful Contacts and Ap</w:t>
            </w:r>
            <w:r>
              <w:rPr>
                <w:rFonts w:ascii="Calibri" w:hAnsi="Calibri" w:cs="Calibri"/>
              </w:rPr>
              <w:t>pendices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98A4FE7" w14:textId="5F77249F" w:rsidR="00F04A28" w:rsidRDefault="00D261B5" w:rsidP="00D20A82">
            <w:pPr>
              <w:spacing w:line="247" w:lineRule="auto"/>
              <w:jc w:val="center"/>
              <w:rPr>
                <w:rFonts w:ascii="Calibri" w:hAnsi="Calibri" w:cs="Calibri"/>
              </w:rPr>
            </w:pPr>
            <w:r>
              <w:rPr>
                <w:rFonts w:ascii="Calibri" w:hAnsi="Calibri" w:cs="Calibri"/>
              </w:rPr>
              <w:t>22</w:t>
            </w:r>
          </w:p>
        </w:tc>
      </w:tr>
    </w:tbl>
    <w:p w14:paraId="7FF7EE83" w14:textId="092CF140" w:rsidR="004C458F" w:rsidRDefault="004C458F" w:rsidP="004C458F"/>
    <w:p w14:paraId="53DF266C" w14:textId="77777777" w:rsidR="004C458F" w:rsidRPr="001860B5" w:rsidRDefault="004C458F" w:rsidP="004C458F">
      <w:pPr>
        <w:rPr>
          <w:sz w:val="14"/>
        </w:rPr>
      </w:pPr>
    </w:p>
    <w:p w14:paraId="173A165B" w14:textId="77777777" w:rsidR="00A37EBC" w:rsidRPr="0091553B" w:rsidRDefault="00A37EBC" w:rsidP="004C458F">
      <w:pPr>
        <w:rPr>
          <w:rFonts w:cstheme="minorHAnsi"/>
          <w:b/>
          <w:bCs/>
          <w:u w:val="single"/>
        </w:rPr>
      </w:pPr>
      <w:r w:rsidRPr="0091553B">
        <w:rPr>
          <w:rFonts w:cstheme="minorHAnsi"/>
          <w:b/>
          <w:bCs/>
          <w:u w:val="single"/>
        </w:rPr>
        <w:lastRenderedPageBreak/>
        <w:t>Introduction</w:t>
      </w:r>
    </w:p>
    <w:p w14:paraId="649AC596" w14:textId="77777777" w:rsidR="00A37EBC" w:rsidRPr="0091553B" w:rsidRDefault="00A37EBC" w:rsidP="004C458F">
      <w:pPr>
        <w:rPr>
          <w:rFonts w:cstheme="minorHAnsi"/>
        </w:rPr>
      </w:pPr>
    </w:p>
    <w:p w14:paraId="32D1EB15" w14:textId="7EDE28B9" w:rsidR="004C458F" w:rsidRPr="00D65ACC" w:rsidRDefault="004C458F" w:rsidP="004C458F">
      <w:pPr>
        <w:rPr>
          <w:rFonts w:cstheme="minorHAnsi"/>
          <w:b/>
          <w:bCs/>
        </w:rPr>
      </w:pPr>
      <w:r w:rsidRPr="0091553B">
        <w:rPr>
          <w:rFonts w:cstheme="minorHAnsi"/>
        </w:rPr>
        <w:t xml:space="preserve">This guidance </w:t>
      </w:r>
      <w:r w:rsidR="00190C41">
        <w:rPr>
          <w:rFonts w:cstheme="minorHAnsi"/>
        </w:rPr>
        <w:t>is aligned with</w:t>
      </w:r>
      <w:r w:rsidR="00D65ACC">
        <w:rPr>
          <w:rFonts w:cstheme="minorHAnsi"/>
        </w:rPr>
        <w:t xml:space="preserve"> </w:t>
      </w:r>
      <w:r w:rsidR="00D65ACC" w:rsidRPr="00D65ACC">
        <w:rPr>
          <w:rFonts w:cstheme="minorHAnsi"/>
        </w:rPr>
        <w:t>Part 11 of the Children and Young People (Scotland) Act 2014)</w:t>
      </w:r>
      <w:r w:rsidR="00EC56FF">
        <w:rPr>
          <w:rFonts w:cstheme="minorHAnsi"/>
        </w:rPr>
        <w:t xml:space="preserve"> and </w:t>
      </w:r>
      <w:r w:rsidRPr="0091553B">
        <w:rPr>
          <w:rFonts w:cstheme="minorHAnsi"/>
        </w:rPr>
        <w:t>explains how Falkirk Council meets its duties under Part 11</w:t>
      </w:r>
      <w:r w:rsidR="00C37F9E">
        <w:rPr>
          <w:rFonts w:cstheme="minorHAnsi"/>
        </w:rPr>
        <w:t xml:space="preserve">. </w:t>
      </w:r>
      <w:r w:rsidRPr="0091553B">
        <w:rPr>
          <w:rFonts w:cstheme="minorHAnsi"/>
        </w:rPr>
        <w:t>The content reflects the Scottish Government Guidance and Staying Put Scotland</w:t>
      </w:r>
      <w:r w:rsidR="0046195B" w:rsidRPr="0091553B">
        <w:rPr>
          <w:rFonts w:cstheme="minorHAnsi"/>
        </w:rPr>
        <w:t>. (See appendices 1 &amp; 2)</w:t>
      </w:r>
    </w:p>
    <w:p w14:paraId="6D3B7C7B" w14:textId="77777777" w:rsidR="00FC655E" w:rsidRPr="0091553B" w:rsidRDefault="00FC655E" w:rsidP="004C458F">
      <w:pPr>
        <w:rPr>
          <w:rFonts w:cstheme="minorHAnsi"/>
        </w:rPr>
      </w:pPr>
    </w:p>
    <w:p w14:paraId="38585DCE" w14:textId="77777777" w:rsidR="00FC655E" w:rsidRPr="0091553B" w:rsidRDefault="00FC655E" w:rsidP="00FC655E">
      <w:pPr>
        <w:rPr>
          <w:b/>
          <w:bCs/>
          <w:u w:val="single"/>
        </w:rPr>
      </w:pPr>
      <w:r w:rsidRPr="0091553B">
        <w:t xml:space="preserve">The National Continuing Care Guidance emphasises the crucial importance of continuity of relationships and the expectation that ‘staying put’ in positive continuing care arrangements becomes the default position for Scotland’s looked after children and young people where it is assessed to be in their best interest. </w:t>
      </w:r>
    </w:p>
    <w:p w14:paraId="31137457" w14:textId="77777777" w:rsidR="00FC655E" w:rsidRPr="0091553B" w:rsidRDefault="00FC655E" w:rsidP="00FC655E"/>
    <w:p w14:paraId="5262F28A" w14:textId="77777777" w:rsidR="00FC655E" w:rsidRPr="0091553B" w:rsidRDefault="00FC655E" w:rsidP="00FC655E">
      <w:r w:rsidRPr="0091553B">
        <w:t>Continuing Care refers to a local authority’s duty, where possible, to provide young people, with the same accommodation and other assistance as was being provided by the local authority, immediately before the young person ceased to be looked after.</w:t>
      </w:r>
    </w:p>
    <w:p w14:paraId="38FF762B" w14:textId="77777777" w:rsidR="00FC655E" w:rsidRPr="0091553B" w:rsidRDefault="00FC655E" w:rsidP="00FC655E"/>
    <w:p w14:paraId="3B6527E3" w14:textId="77777777" w:rsidR="00FC655E" w:rsidRPr="0091553B" w:rsidRDefault="00FC655E" w:rsidP="00FC655E">
      <w:r w:rsidRPr="0091553B">
        <w:t xml:space="preserve">Continuing Care enables a young person to remain in the same placement they were in </w:t>
      </w:r>
    </w:p>
    <w:p w14:paraId="32B80842" w14:textId="77777777" w:rsidR="00FC655E" w:rsidRPr="0091553B" w:rsidRDefault="00FC655E" w:rsidP="00FC655E">
      <w:r w:rsidRPr="0091553B">
        <w:t xml:space="preserve">when they were looked after. It should not be used as an alternative to remaining looked </w:t>
      </w:r>
    </w:p>
    <w:p w14:paraId="592188D1" w14:textId="77777777" w:rsidR="00FC655E" w:rsidRPr="0091553B" w:rsidRDefault="00FC655E" w:rsidP="00FC655E">
      <w:r w:rsidRPr="0091553B">
        <w:t xml:space="preserve">after under the Children (Scotland) Act 1995 if it is in the best interest of the young person. </w:t>
      </w:r>
    </w:p>
    <w:p w14:paraId="768AA6A5" w14:textId="77777777" w:rsidR="00FC655E" w:rsidRPr="0091553B" w:rsidRDefault="00FC655E" w:rsidP="00FC655E"/>
    <w:p w14:paraId="4027F749" w14:textId="77777777" w:rsidR="00FC655E" w:rsidRPr="0091553B" w:rsidRDefault="00FC655E" w:rsidP="00FC655E">
      <w:r w:rsidRPr="0091553B">
        <w:t>The Care Inspectorate has produced guidance on admission to care services and Continuing Care to support young people remaining in their placement beyond the age of 16 years.</w:t>
      </w:r>
    </w:p>
    <w:p w14:paraId="5846825C" w14:textId="77777777" w:rsidR="00FC655E" w:rsidRPr="0091553B" w:rsidRDefault="00FC655E" w:rsidP="00FC655E">
      <w:r w:rsidRPr="0091553B">
        <w:t xml:space="preserve">The aim of the guidance is to ensure there is no ‘cliff edge’ out of care at 18 years old and that young people are supported to transition to independent living in a timescale suitable to their individual needs. </w:t>
      </w:r>
    </w:p>
    <w:p w14:paraId="2403F145" w14:textId="77777777" w:rsidR="00FC655E" w:rsidRPr="0091553B" w:rsidRDefault="00FC655E" w:rsidP="00FC655E"/>
    <w:p w14:paraId="464BA27B" w14:textId="77777777" w:rsidR="00FC655E" w:rsidRPr="0091553B" w:rsidRDefault="00FC655E" w:rsidP="00FC655E">
      <w:r w:rsidRPr="0091553B">
        <w:t xml:space="preserve">Continuing Care is available to all eligible young people who were looked after in foster care, </w:t>
      </w:r>
    </w:p>
    <w:p w14:paraId="5EA52E49" w14:textId="77777777" w:rsidR="00FC655E" w:rsidRPr="0091553B" w:rsidRDefault="00FC655E" w:rsidP="00FC655E">
      <w:r w:rsidRPr="0091553B">
        <w:t>in formal kinship care and in residential care.</w:t>
      </w:r>
    </w:p>
    <w:p w14:paraId="01ED8C0D" w14:textId="77777777" w:rsidR="00FC655E" w:rsidRPr="0091553B" w:rsidRDefault="00FC655E" w:rsidP="00FC655E"/>
    <w:p w14:paraId="112286EC" w14:textId="77777777" w:rsidR="00FC655E" w:rsidRPr="0091553B" w:rsidRDefault="00FC655E" w:rsidP="00FC655E">
      <w:r w:rsidRPr="0091553B">
        <w:lastRenderedPageBreak/>
        <w:t>There are certain caveats alongside key processes and considerations, and the aim of this paper is to help to bring greater clarity and understanding, and to support implementation of Continuing Care in practice.</w:t>
      </w:r>
    </w:p>
    <w:p w14:paraId="749EC80D" w14:textId="77777777" w:rsidR="00FC655E" w:rsidRPr="0091553B" w:rsidRDefault="00FC655E" w:rsidP="00FC655E"/>
    <w:p w14:paraId="0A6D9409" w14:textId="77777777" w:rsidR="00FC655E" w:rsidRPr="0091553B" w:rsidRDefault="00FC655E" w:rsidP="00FC655E">
      <w:r w:rsidRPr="0091553B">
        <w:t xml:space="preserve">There are three circumstances where a local authority does not have a duty to provide </w:t>
      </w:r>
    </w:p>
    <w:p w14:paraId="28D4D3BF" w14:textId="77777777" w:rsidR="00FC655E" w:rsidRPr="0091553B" w:rsidRDefault="00FC655E" w:rsidP="00FC655E">
      <w:r w:rsidRPr="0091553B">
        <w:t>Continuing Care to an eligible young person:</w:t>
      </w:r>
    </w:p>
    <w:p w14:paraId="07CBFBE4" w14:textId="77777777" w:rsidR="00FC655E" w:rsidRPr="0091553B" w:rsidRDefault="00FC655E" w:rsidP="00FC655E"/>
    <w:p w14:paraId="378B0177" w14:textId="77777777" w:rsidR="00FC655E" w:rsidRPr="0091553B" w:rsidRDefault="00FC655E" w:rsidP="00FC655E">
      <w:r w:rsidRPr="0091553B">
        <w:t xml:space="preserve">a) If the young person was accommodated in secure care immediately before ceasing </w:t>
      </w:r>
    </w:p>
    <w:p w14:paraId="6AC40F70" w14:textId="77777777" w:rsidR="00FC655E" w:rsidRPr="0091553B" w:rsidRDefault="00FC655E" w:rsidP="00FC655E">
      <w:r w:rsidRPr="0091553B">
        <w:t xml:space="preserve">to be looked </w:t>
      </w:r>
      <w:proofErr w:type="gramStart"/>
      <w:r w:rsidRPr="0091553B">
        <w:t>after;</w:t>
      </w:r>
      <w:proofErr w:type="gramEnd"/>
    </w:p>
    <w:p w14:paraId="7E913A63" w14:textId="77777777" w:rsidR="00FC655E" w:rsidRPr="0091553B" w:rsidRDefault="00FC655E" w:rsidP="00FC655E">
      <w:r w:rsidRPr="0091553B">
        <w:t xml:space="preserve">b) If the young person was in a care placement where the carer/provider has </w:t>
      </w:r>
    </w:p>
    <w:p w14:paraId="2479EE17" w14:textId="77777777" w:rsidR="00FC655E" w:rsidRPr="0091553B" w:rsidRDefault="00FC655E" w:rsidP="00FC655E">
      <w:r w:rsidRPr="0091553B">
        <w:t>indicated that they are unable or unwilling to continue to provide the placement; or</w:t>
      </w:r>
    </w:p>
    <w:p w14:paraId="74AFA139" w14:textId="77777777" w:rsidR="00FC655E" w:rsidRPr="0091553B" w:rsidRDefault="00FC655E" w:rsidP="00FC655E">
      <w:r w:rsidRPr="0091553B">
        <w:t xml:space="preserve">c) If the local authority considers that providing the care would significantly adversely </w:t>
      </w:r>
    </w:p>
    <w:p w14:paraId="10C902BE" w14:textId="77777777" w:rsidR="00FC655E" w:rsidRPr="0091553B" w:rsidRDefault="00FC655E" w:rsidP="00FC655E">
      <w:r w:rsidRPr="0091553B">
        <w:t>affect the welfare of the person.</w:t>
      </w:r>
    </w:p>
    <w:p w14:paraId="0A7AF065" w14:textId="77777777" w:rsidR="00FC655E" w:rsidRPr="0091553B" w:rsidRDefault="00FC655E" w:rsidP="00FC655E"/>
    <w:p w14:paraId="2964FD1A" w14:textId="77777777" w:rsidR="00FC655E" w:rsidRPr="0091553B" w:rsidRDefault="00FC655E" w:rsidP="00FC655E">
      <w:r w:rsidRPr="0091553B">
        <w:t xml:space="preserve">Any young person in continuing care should have a welfare assessment undertaken which will then require to be reviewed annually. This is to ensure that the placement continues to meet their needs and is in their best interest. </w:t>
      </w:r>
    </w:p>
    <w:p w14:paraId="5D8DED1C" w14:textId="77777777" w:rsidR="004C458F" w:rsidRPr="0091553B" w:rsidRDefault="004C458F" w:rsidP="004C458F">
      <w:pPr>
        <w:rPr>
          <w:rFonts w:cstheme="minorHAnsi"/>
        </w:rPr>
      </w:pPr>
    </w:p>
    <w:p w14:paraId="1A79D61A" w14:textId="77777777" w:rsidR="00AE604E" w:rsidRPr="0091553B" w:rsidRDefault="00AE604E" w:rsidP="004C458F">
      <w:pPr>
        <w:rPr>
          <w:rFonts w:cstheme="minorHAnsi"/>
        </w:rPr>
      </w:pPr>
    </w:p>
    <w:p w14:paraId="519E9D2B" w14:textId="77777777" w:rsidR="00AE604E" w:rsidRPr="0091553B" w:rsidRDefault="00AE604E" w:rsidP="004C458F">
      <w:pPr>
        <w:rPr>
          <w:rFonts w:cstheme="minorHAnsi"/>
        </w:rPr>
      </w:pPr>
    </w:p>
    <w:p w14:paraId="203F29D8" w14:textId="77777777" w:rsidR="00AE604E" w:rsidRPr="0091553B" w:rsidRDefault="00AE604E" w:rsidP="004C458F">
      <w:pPr>
        <w:rPr>
          <w:rFonts w:cstheme="minorHAnsi"/>
        </w:rPr>
      </w:pPr>
    </w:p>
    <w:p w14:paraId="37343998" w14:textId="77777777" w:rsidR="00AE604E" w:rsidRPr="0091553B" w:rsidRDefault="00AE604E" w:rsidP="004C458F">
      <w:pPr>
        <w:rPr>
          <w:rFonts w:cstheme="minorHAnsi"/>
        </w:rPr>
      </w:pPr>
    </w:p>
    <w:p w14:paraId="2A841716" w14:textId="77777777" w:rsidR="00AE604E" w:rsidRPr="0091553B" w:rsidRDefault="00AE604E" w:rsidP="004C458F">
      <w:pPr>
        <w:rPr>
          <w:rFonts w:cstheme="minorHAnsi"/>
        </w:rPr>
      </w:pPr>
    </w:p>
    <w:p w14:paraId="6084D33D" w14:textId="77777777" w:rsidR="00AE604E" w:rsidRPr="0091553B" w:rsidRDefault="00AE604E" w:rsidP="004C458F">
      <w:pPr>
        <w:rPr>
          <w:rFonts w:cstheme="minorHAnsi"/>
        </w:rPr>
      </w:pPr>
    </w:p>
    <w:p w14:paraId="7ACBE2CC" w14:textId="77777777" w:rsidR="00AE604E" w:rsidRPr="0091553B" w:rsidRDefault="00AE604E" w:rsidP="004C458F">
      <w:pPr>
        <w:rPr>
          <w:rFonts w:cstheme="minorHAnsi"/>
        </w:rPr>
      </w:pPr>
    </w:p>
    <w:p w14:paraId="00142467" w14:textId="77777777" w:rsidR="00AE604E" w:rsidRPr="0091553B" w:rsidRDefault="00AE604E" w:rsidP="004C458F">
      <w:pPr>
        <w:rPr>
          <w:rFonts w:cstheme="minorHAnsi"/>
        </w:rPr>
      </w:pPr>
    </w:p>
    <w:p w14:paraId="6A4552F8" w14:textId="77777777" w:rsidR="00AE604E" w:rsidRPr="0091553B" w:rsidRDefault="00AE604E" w:rsidP="004C458F">
      <w:pPr>
        <w:rPr>
          <w:rFonts w:cstheme="minorHAnsi"/>
        </w:rPr>
      </w:pPr>
    </w:p>
    <w:p w14:paraId="36F88226" w14:textId="77777777" w:rsidR="00AE604E" w:rsidRPr="0091553B" w:rsidRDefault="00AE604E" w:rsidP="004C458F">
      <w:pPr>
        <w:rPr>
          <w:rFonts w:cstheme="minorHAnsi"/>
        </w:rPr>
      </w:pPr>
    </w:p>
    <w:p w14:paraId="44C78212" w14:textId="77777777" w:rsidR="00AE604E" w:rsidRPr="0091553B" w:rsidRDefault="00AE604E" w:rsidP="004C458F">
      <w:pPr>
        <w:rPr>
          <w:rFonts w:cstheme="minorHAnsi"/>
        </w:rPr>
      </w:pPr>
    </w:p>
    <w:p w14:paraId="534EB6F5" w14:textId="77777777" w:rsidR="0091553B" w:rsidRPr="0091553B" w:rsidRDefault="0091553B" w:rsidP="004C458F">
      <w:pPr>
        <w:rPr>
          <w:rFonts w:cstheme="minorHAnsi"/>
          <w:b/>
        </w:rPr>
      </w:pPr>
      <w:r w:rsidRPr="0091553B">
        <w:rPr>
          <w:rFonts w:cstheme="minorHAnsi"/>
          <w:b/>
        </w:rPr>
        <w:lastRenderedPageBreak/>
        <w:t>Part One Continuing Care</w:t>
      </w:r>
    </w:p>
    <w:p w14:paraId="25F30F11" w14:textId="77777777" w:rsidR="0091553B" w:rsidRPr="0091553B" w:rsidRDefault="0091553B" w:rsidP="004C458F">
      <w:pPr>
        <w:rPr>
          <w:rFonts w:cstheme="minorHAnsi"/>
          <w:b/>
        </w:rPr>
      </w:pPr>
    </w:p>
    <w:p w14:paraId="28CE29BC" w14:textId="0DCDA9AD" w:rsidR="004C458F" w:rsidRPr="0091553B" w:rsidRDefault="004C458F" w:rsidP="004C458F">
      <w:pPr>
        <w:rPr>
          <w:rFonts w:cstheme="minorHAnsi"/>
          <w:b/>
        </w:rPr>
      </w:pPr>
      <w:r w:rsidRPr="0091553B">
        <w:rPr>
          <w:rFonts w:cstheme="minorHAnsi"/>
          <w:b/>
        </w:rPr>
        <w:t>Section 1 - Eligibility for Continuing Care</w:t>
      </w:r>
    </w:p>
    <w:p w14:paraId="0823E49F" w14:textId="77777777" w:rsidR="004C458F" w:rsidRPr="0091553B" w:rsidRDefault="004C458F" w:rsidP="004C458F">
      <w:pPr>
        <w:rPr>
          <w:rFonts w:cstheme="minorHAnsi"/>
          <w:b/>
        </w:rPr>
      </w:pPr>
      <w:r w:rsidRPr="0091553B">
        <w:rPr>
          <w:rFonts w:cstheme="minorHAnsi"/>
          <w:b/>
        </w:rPr>
        <w:t>Looked After Young Person</w:t>
      </w:r>
    </w:p>
    <w:p w14:paraId="64065AA3" w14:textId="77777777" w:rsidR="004C458F" w:rsidRPr="0091553B" w:rsidRDefault="004C458F" w:rsidP="004C458F">
      <w:pPr>
        <w:rPr>
          <w:rFonts w:cstheme="minorHAnsi"/>
        </w:rPr>
      </w:pPr>
      <w:r w:rsidRPr="0091553B">
        <w:rPr>
          <w:rFonts w:cstheme="minorHAnsi"/>
        </w:rPr>
        <w:t>The definition of a looked after child is set out in s17 (6) of the Children (Scotland) Act 1995, as amended by the Adoption and Children (Scotland) Act 2007 and Children’s Hearings (Scotland) Act 2011). A looked after child is:</w:t>
      </w:r>
    </w:p>
    <w:p w14:paraId="62D005DD" w14:textId="77777777" w:rsidR="004C458F" w:rsidRPr="0091553B" w:rsidRDefault="004C458F" w:rsidP="004C458F">
      <w:pPr>
        <w:pStyle w:val="ListParagraph"/>
        <w:numPr>
          <w:ilvl w:val="0"/>
          <w:numId w:val="1"/>
        </w:numPr>
        <w:spacing w:after="0" w:line="240" w:lineRule="auto"/>
        <w:rPr>
          <w:rFonts w:cstheme="minorHAnsi"/>
        </w:rPr>
      </w:pPr>
      <w:r w:rsidRPr="0091553B">
        <w:rPr>
          <w:rFonts w:cstheme="minorHAnsi"/>
        </w:rPr>
        <w:t>Provided with accommodation by a local authority under s25 of the 1995 Act: or</w:t>
      </w:r>
    </w:p>
    <w:p w14:paraId="617DE9A4" w14:textId="77777777" w:rsidR="004C458F" w:rsidRPr="0091553B" w:rsidRDefault="004C458F" w:rsidP="004C458F">
      <w:pPr>
        <w:pStyle w:val="ListParagraph"/>
        <w:numPr>
          <w:ilvl w:val="0"/>
          <w:numId w:val="1"/>
        </w:numPr>
        <w:spacing w:after="0" w:line="240" w:lineRule="auto"/>
        <w:rPr>
          <w:rFonts w:cstheme="minorHAnsi"/>
        </w:rPr>
      </w:pPr>
      <w:r w:rsidRPr="0091553B">
        <w:rPr>
          <w:rFonts w:cstheme="minorHAnsi"/>
        </w:rPr>
        <w:t xml:space="preserve">subject to a Compulsory Supervision Order or an Interim Compulsory Supervision Order made by a Children’s Hearing </w:t>
      </w:r>
    </w:p>
    <w:p w14:paraId="36792A2C" w14:textId="77777777" w:rsidR="004C458F" w:rsidRPr="0091553B" w:rsidRDefault="004C458F" w:rsidP="004C458F">
      <w:pPr>
        <w:pStyle w:val="ListParagraph"/>
        <w:numPr>
          <w:ilvl w:val="0"/>
          <w:numId w:val="1"/>
        </w:numPr>
        <w:spacing w:after="0" w:line="240" w:lineRule="auto"/>
        <w:rPr>
          <w:rFonts w:cstheme="minorHAnsi"/>
        </w:rPr>
      </w:pPr>
      <w:r w:rsidRPr="0091553B">
        <w:rPr>
          <w:rFonts w:cstheme="minorHAnsi"/>
        </w:rPr>
        <w:t xml:space="preserve">Living in Scotland and subject to an order in respect of whom a Scottish local authority has accepted responsibilities, </w:t>
      </w:r>
      <w:proofErr w:type="gramStart"/>
      <w:r w:rsidRPr="0091553B">
        <w:rPr>
          <w:rFonts w:cstheme="minorHAnsi"/>
        </w:rPr>
        <w:t>as a result of</w:t>
      </w:r>
      <w:proofErr w:type="gramEnd"/>
      <w:r w:rsidRPr="0091553B">
        <w:rPr>
          <w:rFonts w:cstheme="minorHAnsi"/>
        </w:rPr>
        <w:t xml:space="preserve"> a transfer of an order (regulations under s33 of the 1995 Act/section or 190 of the 2011 Act)</w:t>
      </w:r>
    </w:p>
    <w:p w14:paraId="61539B8C" w14:textId="77777777" w:rsidR="004C458F" w:rsidRPr="0091553B" w:rsidRDefault="004C458F" w:rsidP="004C458F">
      <w:pPr>
        <w:pStyle w:val="ListParagraph"/>
        <w:numPr>
          <w:ilvl w:val="0"/>
          <w:numId w:val="1"/>
        </w:numPr>
        <w:spacing w:after="0" w:line="240" w:lineRule="auto"/>
        <w:rPr>
          <w:rFonts w:cstheme="minorHAnsi"/>
        </w:rPr>
      </w:pPr>
      <w:r w:rsidRPr="0091553B">
        <w:rPr>
          <w:rFonts w:cstheme="minorHAnsi"/>
        </w:rPr>
        <w:t>Subject to a Permanence Order under Section 80 of the Adoption and Children (Scotland) Act 2007 (3)</w:t>
      </w:r>
    </w:p>
    <w:p w14:paraId="5F832139" w14:textId="77777777" w:rsidR="004C458F" w:rsidRPr="0091553B" w:rsidRDefault="004C458F" w:rsidP="004C458F">
      <w:pPr>
        <w:rPr>
          <w:rFonts w:cstheme="minorHAnsi"/>
        </w:rPr>
      </w:pPr>
    </w:p>
    <w:p w14:paraId="449E7FF8" w14:textId="77777777" w:rsidR="004C458F" w:rsidRPr="0091553B" w:rsidRDefault="004C458F" w:rsidP="004C458F">
      <w:pPr>
        <w:rPr>
          <w:rFonts w:cstheme="minorHAnsi"/>
        </w:rPr>
      </w:pPr>
      <w:r w:rsidRPr="0091553B">
        <w:rPr>
          <w:rFonts w:cstheme="minorHAnsi"/>
        </w:rPr>
        <w:t>Continuing Care is a local authority’s duty under section 26 (a) of The Children (Scotland) Act 1995 to provide young people looked after away from home</w:t>
      </w:r>
      <w:r w:rsidRPr="0091553B">
        <w:rPr>
          <w:rFonts w:cstheme="minorHAnsi"/>
          <w:color w:val="FF0000"/>
        </w:rPr>
        <w:t xml:space="preserve"> </w:t>
      </w:r>
      <w:r w:rsidRPr="0091553B">
        <w:rPr>
          <w:rFonts w:cstheme="minorHAnsi"/>
        </w:rPr>
        <w:t xml:space="preserve">who are at least 16 years of age, with the same accommodation or other assistance as was being provided by the local authority immediately before the young person ceased to be looked after. </w:t>
      </w:r>
    </w:p>
    <w:p w14:paraId="0FA01507" w14:textId="77777777" w:rsidR="004C458F" w:rsidRPr="0091553B" w:rsidRDefault="004C458F" w:rsidP="004C458F">
      <w:pPr>
        <w:rPr>
          <w:rFonts w:cstheme="minorHAnsi"/>
        </w:rPr>
      </w:pPr>
      <w:r w:rsidRPr="0091553B">
        <w:rPr>
          <w:rFonts w:cstheme="minorHAnsi"/>
        </w:rPr>
        <w:t>The aim is to provide young people with a consistent level of support until they are ready to leave their placements.</w:t>
      </w:r>
    </w:p>
    <w:p w14:paraId="0B536F69" w14:textId="77777777" w:rsidR="004C458F" w:rsidRPr="0091553B" w:rsidRDefault="004C458F" w:rsidP="004C458F">
      <w:pPr>
        <w:rPr>
          <w:rFonts w:cstheme="minorHAnsi"/>
        </w:rPr>
      </w:pPr>
      <w:r w:rsidRPr="0091553B">
        <w:rPr>
          <w:rFonts w:cstheme="minorHAnsi"/>
        </w:rPr>
        <w:t>Continuing Care may continue until a young person reaches the age of 21. Continuing Care is available to all young people looked after away from home on their 16</w:t>
      </w:r>
      <w:r w:rsidRPr="0091553B">
        <w:rPr>
          <w:rFonts w:cstheme="minorHAnsi"/>
          <w:vertAlign w:val="superscript"/>
        </w:rPr>
        <w:t>th</w:t>
      </w:r>
      <w:r w:rsidRPr="0091553B">
        <w:rPr>
          <w:rFonts w:cstheme="minorHAnsi"/>
        </w:rPr>
        <w:t xml:space="preserve"> birthday.</w:t>
      </w:r>
    </w:p>
    <w:p w14:paraId="1AE5B5A9" w14:textId="77777777" w:rsidR="004C458F" w:rsidRPr="0091553B" w:rsidRDefault="004C458F" w:rsidP="004C458F">
      <w:pPr>
        <w:rPr>
          <w:rFonts w:eastAsia="Times New Roman" w:cstheme="minorHAnsi"/>
          <w:lang w:eastAsia="en-GB"/>
        </w:rPr>
      </w:pPr>
      <w:r w:rsidRPr="0091553B">
        <w:rPr>
          <w:rFonts w:eastAsia="Times New Roman" w:cstheme="minorHAnsi"/>
          <w:lang w:eastAsia="en-GB"/>
        </w:rPr>
        <w:t>A young person who is looked after at home is not eligible for Continuing Care.</w:t>
      </w:r>
    </w:p>
    <w:p w14:paraId="5CBF7218" w14:textId="77777777" w:rsidR="00AE604E" w:rsidRPr="0091553B" w:rsidRDefault="00AE604E" w:rsidP="004C458F">
      <w:pPr>
        <w:rPr>
          <w:rFonts w:eastAsia="Times New Roman" w:cstheme="minorHAnsi"/>
          <w:lang w:eastAsia="en-GB"/>
        </w:rPr>
      </w:pPr>
    </w:p>
    <w:p w14:paraId="18A4AA12" w14:textId="77777777" w:rsidR="00AE604E" w:rsidRPr="0091553B" w:rsidRDefault="00AE604E" w:rsidP="004C458F">
      <w:pPr>
        <w:rPr>
          <w:rFonts w:eastAsia="Times New Roman" w:cstheme="minorHAnsi"/>
          <w:lang w:eastAsia="en-GB"/>
        </w:rPr>
      </w:pPr>
    </w:p>
    <w:p w14:paraId="7D9A04D3" w14:textId="77777777" w:rsidR="00AE604E" w:rsidRPr="0091553B" w:rsidRDefault="00AE604E" w:rsidP="004C458F">
      <w:pPr>
        <w:rPr>
          <w:rFonts w:eastAsia="Times New Roman" w:cstheme="minorHAnsi"/>
          <w:lang w:eastAsia="en-GB"/>
        </w:rPr>
      </w:pPr>
    </w:p>
    <w:p w14:paraId="66065ABA" w14:textId="77777777" w:rsidR="00AE604E" w:rsidRPr="0091553B" w:rsidRDefault="00AE604E" w:rsidP="004C458F">
      <w:pPr>
        <w:rPr>
          <w:rFonts w:eastAsia="Times New Roman" w:cstheme="minorHAnsi"/>
          <w:lang w:eastAsia="en-GB"/>
        </w:rPr>
      </w:pPr>
    </w:p>
    <w:p w14:paraId="7A8C561C" w14:textId="77777777" w:rsidR="00AE604E" w:rsidRPr="0091553B" w:rsidRDefault="00AE604E" w:rsidP="004C458F">
      <w:pPr>
        <w:rPr>
          <w:rFonts w:eastAsia="Times New Roman" w:cstheme="minorHAnsi"/>
          <w:lang w:eastAsia="en-GB"/>
        </w:rPr>
      </w:pPr>
    </w:p>
    <w:p w14:paraId="78DBE26B" w14:textId="77777777" w:rsidR="00AE604E" w:rsidRPr="0091553B" w:rsidRDefault="00AE604E" w:rsidP="004C458F">
      <w:pPr>
        <w:rPr>
          <w:rFonts w:eastAsia="Times New Roman" w:cstheme="minorHAnsi"/>
          <w:lang w:eastAsia="en-GB"/>
        </w:rPr>
      </w:pPr>
    </w:p>
    <w:p w14:paraId="1B50EE96" w14:textId="77777777" w:rsidR="00AE604E" w:rsidRPr="0091553B" w:rsidRDefault="00AE604E" w:rsidP="004C458F">
      <w:pPr>
        <w:rPr>
          <w:rFonts w:eastAsia="Times New Roman" w:cstheme="minorHAnsi"/>
          <w:lang w:eastAsia="en-GB"/>
        </w:rPr>
      </w:pPr>
    </w:p>
    <w:p w14:paraId="7366D895" w14:textId="77777777" w:rsidR="00AE604E" w:rsidRPr="0091553B" w:rsidRDefault="00AE604E" w:rsidP="004C458F">
      <w:pPr>
        <w:rPr>
          <w:rFonts w:eastAsia="Times New Roman" w:cstheme="minorHAnsi"/>
          <w:lang w:eastAsia="en-GB"/>
        </w:rPr>
      </w:pPr>
    </w:p>
    <w:p w14:paraId="65991651" w14:textId="77777777" w:rsidR="00AE604E" w:rsidRPr="0091553B" w:rsidRDefault="00AE604E" w:rsidP="004C458F">
      <w:pPr>
        <w:rPr>
          <w:rFonts w:eastAsia="Times New Roman" w:cstheme="minorHAnsi"/>
          <w:lang w:eastAsia="en-GB"/>
        </w:rPr>
      </w:pPr>
    </w:p>
    <w:p w14:paraId="7976D5CE" w14:textId="77777777" w:rsidR="004C458F" w:rsidRPr="0091553B" w:rsidRDefault="004C458F" w:rsidP="004C458F">
      <w:pPr>
        <w:rPr>
          <w:rFonts w:eastAsia="Times New Roman" w:cstheme="minorHAnsi"/>
          <w:lang w:eastAsia="en-GB"/>
        </w:rPr>
      </w:pPr>
    </w:p>
    <w:p w14:paraId="5EF52FA1" w14:textId="77777777" w:rsidR="004C458F" w:rsidRPr="0091553B" w:rsidRDefault="004C458F" w:rsidP="004C458F">
      <w:pPr>
        <w:rPr>
          <w:rFonts w:eastAsia="Times New Roman" w:cstheme="minorHAnsi"/>
          <w:b/>
          <w:lang w:eastAsia="en-GB"/>
        </w:rPr>
      </w:pPr>
      <w:r w:rsidRPr="0091553B">
        <w:rPr>
          <w:rFonts w:eastAsia="Times New Roman" w:cstheme="minorHAnsi"/>
          <w:b/>
          <w:lang w:eastAsia="en-GB"/>
        </w:rPr>
        <w:t xml:space="preserve">Section 2 – Exceptions to providing Continuing Care    </w:t>
      </w:r>
    </w:p>
    <w:p w14:paraId="7F310DA0" w14:textId="77777777" w:rsidR="004C458F" w:rsidRPr="0091553B" w:rsidRDefault="004C458F" w:rsidP="004C458F">
      <w:pPr>
        <w:rPr>
          <w:rFonts w:cstheme="minorHAnsi"/>
        </w:rPr>
      </w:pPr>
      <w:r w:rsidRPr="0091553B">
        <w:rPr>
          <w:rFonts w:cstheme="minorHAnsi"/>
        </w:rPr>
        <w:t>Continuing Care is not available in the following circumstances:</w:t>
      </w:r>
    </w:p>
    <w:p w14:paraId="17E4A0AC" w14:textId="77777777" w:rsidR="004C458F" w:rsidRPr="0091553B" w:rsidRDefault="004C458F" w:rsidP="004C458F">
      <w:pPr>
        <w:pStyle w:val="ListParagraph"/>
        <w:numPr>
          <w:ilvl w:val="0"/>
          <w:numId w:val="2"/>
        </w:numPr>
        <w:spacing w:after="0" w:line="240" w:lineRule="auto"/>
        <w:rPr>
          <w:rFonts w:cstheme="minorHAnsi"/>
        </w:rPr>
      </w:pPr>
      <w:r w:rsidRPr="0091553B">
        <w:rPr>
          <w:rFonts w:cstheme="minorHAnsi"/>
        </w:rPr>
        <w:t>If a young person is accommodated in secure care</w:t>
      </w:r>
      <w:r w:rsidRPr="0091553B">
        <w:rPr>
          <w:rFonts w:cstheme="minorHAnsi"/>
          <w:color w:val="C00000"/>
        </w:rPr>
        <w:t xml:space="preserve"> </w:t>
      </w:r>
      <w:r w:rsidRPr="0091553B">
        <w:rPr>
          <w:rFonts w:cstheme="minorHAnsi"/>
        </w:rPr>
        <w:t xml:space="preserve">immediately before ceasing to be looked after and accommodated </w:t>
      </w:r>
    </w:p>
    <w:p w14:paraId="38F4AF8A" w14:textId="77777777" w:rsidR="004C458F" w:rsidRPr="0091553B" w:rsidRDefault="004C458F" w:rsidP="004C458F">
      <w:pPr>
        <w:pStyle w:val="ListParagraph"/>
        <w:numPr>
          <w:ilvl w:val="0"/>
          <w:numId w:val="2"/>
        </w:numPr>
        <w:spacing w:after="0" w:line="240" w:lineRule="auto"/>
        <w:rPr>
          <w:rFonts w:cstheme="minorHAnsi"/>
        </w:rPr>
      </w:pPr>
      <w:r w:rsidRPr="0091553B">
        <w:rPr>
          <w:rFonts w:cstheme="minorHAnsi"/>
        </w:rPr>
        <w:t>If the young person was in a care placement where the carer/provider has indicated that they are unable or unwilling to continue to provide the placement; or</w:t>
      </w:r>
    </w:p>
    <w:p w14:paraId="1DFF1ECC" w14:textId="77777777" w:rsidR="004C458F" w:rsidRPr="0091553B" w:rsidRDefault="004C458F" w:rsidP="004C458F">
      <w:pPr>
        <w:pStyle w:val="ListParagraph"/>
        <w:numPr>
          <w:ilvl w:val="0"/>
          <w:numId w:val="2"/>
        </w:numPr>
        <w:spacing w:after="0" w:line="240" w:lineRule="auto"/>
        <w:rPr>
          <w:rFonts w:cstheme="minorHAnsi"/>
          <w:b/>
        </w:rPr>
      </w:pPr>
      <w:r w:rsidRPr="0091553B">
        <w:rPr>
          <w:rFonts w:cstheme="minorHAnsi"/>
        </w:rPr>
        <w:t xml:space="preserve">If the local authority considers that providing the care would </w:t>
      </w:r>
      <w:r w:rsidRPr="0091553B">
        <w:rPr>
          <w:rFonts w:cstheme="minorHAnsi"/>
          <w:b/>
        </w:rPr>
        <w:t>significantly adversely affect the welfare of the young person</w:t>
      </w:r>
    </w:p>
    <w:p w14:paraId="5F4D2D88" w14:textId="77777777" w:rsidR="004C458F" w:rsidRPr="0091553B" w:rsidRDefault="004C458F" w:rsidP="004C458F">
      <w:pPr>
        <w:pStyle w:val="ListParagraph"/>
        <w:numPr>
          <w:ilvl w:val="0"/>
          <w:numId w:val="2"/>
        </w:numPr>
        <w:spacing w:after="0" w:line="240" w:lineRule="auto"/>
        <w:rPr>
          <w:rFonts w:cstheme="minorHAnsi"/>
          <w:b/>
        </w:rPr>
      </w:pPr>
      <w:r w:rsidRPr="0091553B">
        <w:rPr>
          <w:rFonts w:cstheme="minorHAnsi"/>
        </w:rPr>
        <w:t>If the young person is placed in kinship care and not subject to a supervision requirement at their 16</w:t>
      </w:r>
      <w:r w:rsidRPr="0091553B">
        <w:rPr>
          <w:rFonts w:cstheme="minorHAnsi"/>
          <w:vertAlign w:val="superscript"/>
        </w:rPr>
        <w:t>th</w:t>
      </w:r>
      <w:r w:rsidRPr="0091553B">
        <w:rPr>
          <w:rFonts w:cstheme="minorHAnsi"/>
        </w:rPr>
        <w:t xml:space="preserve"> birthday</w:t>
      </w:r>
    </w:p>
    <w:p w14:paraId="2ED8A7CE" w14:textId="77777777" w:rsidR="004C458F" w:rsidRPr="0091553B" w:rsidRDefault="004C458F" w:rsidP="004C458F">
      <w:pPr>
        <w:rPr>
          <w:rFonts w:cstheme="minorHAnsi"/>
          <w:b/>
        </w:rPr>
      </w:pPr>
    </w:p>
    <w:p w14:paraId="48AA44CE" w14:textId="77777777" w:rsidR="004C458F" w:rsidRPr="0091553B" w:rsidRDefault="004C458F" w:rsidP="004C458F">
      <w:pPr>
        <w:rPr>
          <w:rFonts w:cstheme="minorHAnsi"/>
        </w:rPr>
      </w:pPr>
      <w:r w:rsidRPr="0091553B">
        <w:rPr>
          <w:rFonts w:cstheme="minorHAnsi"/>
        </w:rPr>
        <w:t xml:space="preserve">The consideration for 3 is that provision of care must significantly and adversely affect the welfare of the young person requesting Continuing Care, </w:t>
      </w:r>
      <w:r w:rsidRPr="0091553B">
        <w:rPr>
          <w:rFonts w:cstheme="minorHAnsi"/>
          <w:b/>
        </w:rPr>
        <w:t>not</w:t>
      </w:r>
      <w:r w:rsidRPr="0091553B">
        <w:rPr>
          <w:rFonts w:cstheme="minorHAnsi"/>
        </w:rPr>
        <w:t xml:space="preserve"> whether this young person affects anyone else’s welfare.  A comprehensive welfare assessment specifying significant risk to the young person is required to support this decision.</w:t>
      </w:r>
    </w:p>
    <w:p w14:paraId="471E6ACD" w14:textId="77777777" w:rsidR="004C458F" w:rsidRPr="0091553B" w:rsidRDefault="004C458F" w:rsidP="004C458F">
      <w:pPr>
        <w:rPr>
          <w:rFonts w:cstheme="minorHAnsi"/>
        </w:rPr>
      </w:pPr>
      <w:r w:rsidRPr="0091553B">
        <w:rPr>
          <w:rFonts w:cstheme="minorHAnsi"/>
        </w:rPr>
        <w:t>If Continuing Care is not available, then accommodation and practical and financial support should be offered to the young person to reflect what would have been offered had their care placement been available. (More detail is available in s72 and s73 of Scottish Government Guidance)</w:t>
      </w:r>
    </w:p>
    <w:p w14:paraId="74F41DC0" w14:textId="77777777" w:rsidR="004C458F" w:rsidRPr="0091553B" w:rsidRDefault="004C458F" w:rsidP="004C458F">
      <w:pPr>
        <w:rPr>
          <w:rFonts w:cstheme="minorHAnsi"/>
        </w:rPr>
      </w:pPr>
    </w:p>
    <w:p w14:paraId="618D1ECF" w14:textId="77777777" w:rsidR="00AE604E" w:rsidRPr="0091553B" w:rsidRDefault="00AE604E" w:rsidP="004C458F">
      <w:pPr>
        <w:rPr>
          <w:rFonts w:cstheme="minorHAnsi"/>
          <w:b/>
        </w:rPr>
      </w:pPr>
    </w:p>
    <w:p w14:paraId="25F6C336" w14:textId="77777777" w:rsidR="00AE604E" w:rsidRPr="0091553B" w:rsidRDefault="00AE604E" w:rsidP="004C458F">
      <w:pPr>
        <w:rPr>
          <w:rFonts w:cstheme="minorHAnsi"/>
          <w:b/>
        </w:rPr>
      </w:pPr>
    </w:p>
    <w:p w14:paraId="05BA9340" w14:textId="77777777" w:rsidR="00AE604E" w:rsidRPr="0091553B" w:rsidRDefault="00AE604E" w:rsidP="004C458F">
      <w:pPr>
        <w:rPr>
          <w:rFonts w:cstheme="minorHAnsi"/>
          <w:b/>
        </w:rPr>
      </w:pPr>
    </w:p>
    <w:p w14:paraId="2D39331F" w14:textId="77777777" w:rsidR="00AE604E" w:rsidRPr="0091553B" w:rsidRDefault="00AE604E" w:rsidP="004C458F">
      <w:pPr>
        <w:rPr>
          <w:rFonts w:cstheme="minorHAnsi"/>
          <w:b/>
        </w:rPr>
      </w:pPr>
    </w:p>
    <w:p w14:paraId="5165F5AC" w14:textId="77777777" w:rsidR="00AE604E" w:rsidRPr="0091553B" w:rsidRDefault="00AE604E" w:rsidP="004C458F">
      <w:pPr>
        <w:rPr>
          <w:rFonts w:cstheme="minorHAnsi"/>
          <w:b/>
        </w:rPr>
      </w:pPr>
    </w:p>
    <w:p w14:paraId="2C4E9028" w14:textId="77777777" w:rsidR="00AE604E" w:rsidRPr="0091553B" w:rsidRDefault="00AE604E" w:rsidP="004C458F">
      <w:pPr>
        <w:rPr>
          <w:rFonts w:cstheme="minorHAnsi"/>
          <w:b/>
        </w:rPr>
      </w:pPr>
    </w:p>
    <w:p w14:paraId="73763F0C" w14:textId="77777777" w:rsidR="00AE604E" w:rsidRPr="0091553B" w:rsidRDefault="00AE604E" w:rsidP="004C458F">
      <w:pPr>
        <w:rPr>
          <w:rFonts w:cstheme="minorHAnsi"/>
          <w:b/>
        </w:rPr>
      </w:pPr>
    </w:p>
    <w:p w14:paraId="16C33D76" w14:textId="77777777" w:rsidR="00AE604E" w:rsidRPr="0091553B" w:rsidRDefault="00AE604E" w:rsidP="004C458F">
      <w:pPr>
        <w:rPr>
          <w:rFonts w:cstheme="minorHAnsi"/>
          <w:b/>
        </w:rPr>
      </w:pPr>
    </w:p>
    <w:p w14:paraId="7CFDEC68" w14:textId="77777777" w:rsidR="00AE604E" w:rsidRPr="0091553B" w:rsidRDefault="00AE604E" w:rsidP="004C458F">
      <w:pPr>
        <w:rPr>
          <w:rFonts w:cstheme="minorHAnsi"/>
          <w:b/>
        </w:rPr>
      </w:pPr>
    </w:p>
    <w:p w14:paraId="5FF13204" w14:textId="77777777" w:rsidR="00AE604E" w:rsidRPr="0091553B" w:rsidRDefault="00AE604E" w:rsidP="004C458F">
      <w:pPr>
        <w:rPr>
          <w:rFonts w:cstheme="minorHAnsi"/>
          <w:b/>
        </w:rPr>
      </w:pPr>
    </w:p>
    <w:p w14:paraId="2BF82433" w14:textId="77777777" w:rsidR="0091553B" w:rsidRDefault="0091553B" w:rsidP="004C458F">
      <w:pPr>
        <w:rPr>
          <w:rFonts w:cstheme="minorHAnsi"/>
          <w:b/>
        </w:rPr>
      </w:pPr>
    </w:p>
    <w:p w14:paraId="54264270" w14:textId="527D4CCD" w:rsidR="004C458F" w:rsidRPr="0091553B" w:rsidRDefault="004C458F" w:rsidP="004C458F">
      <w:pPr>
        <w:rPr>
          <w:rFonts w:cstheme="minorHAnsi"/>
          <w:b/>
          <w:u w:val="single"/>
        </w:rPr>
      </w:pPr>
      <w:r w:rsidRPr="0091553B">
        <w:rPr>
          <w:rFonts w:cstheme="minorHAnsi"/>
          <w:b/>
        </w:rPr>
        <w:lastRenderedPageBreak/>
        <w:t>Section 3 - Principle</w:t>
      </w:r>
    </w:p>
    <w:p w14:paraId="5ACFADE9" w14:textId="77777777" w:rsidR="004C458F" w:rsidRPr="0091553B" w:rsidRDefault="004C458F" w:rsidP="004C458F">
      <w:pPr>
        <w:rPr>
          <w:rFonts w:cstheme="minorHAnsi"/>
        </w:rPr>
      </w:pPr>
      <w:r w:rsidRPr="0091553B">
        <w:rPr>
          <w:rFonts w:cstheme="minorHAnsi"/>
        </w:rPr>
        <w:t xml:space="preserve">The aim of Continuing Care is to prevent the ‘cliff edge’ out of care at 16 and to offer young people a more gradual transition from care, supporting independent skills, reducing the risk of multiple disruptions in their lives and maintaining supportive relationships. </w:t>
      </w:r>
    </w:p>
    <w:p w14:paraId="6C4F9AB5" w14:textId="77777777" w:rsidR="004C458F" w:rsidRPr="0091553B" w:rsidRDefault="004C458F" w:rsidP="004C458F">
      <w:pPr>
        <w:rPr>
          <w:rFonts w:cstheme="minorHAnsi"/>
        </w:rPr>
      </w:pPr>
      <w:r w:rsidRPr="0091553B">
        <w:rPr>
          <w:rFonts w:cstheme="minorHAnsi"/>
        </w:rPr>
        <w:t>Continuing Care aims to:</w:t>
      </w:r>
    </w:p>
    <w:p w14:paraId="44EF1481" w14:textId="77777777" w:rsidR="004C458F" w:rsidRPr="0091553B" w:rsidRDefault="004C458F" w:rsidP="004C458F">
      <w:pPr>
        <w:pStyle w:val="ListParagraph"/>
        <w:numPr>
          <w:ilvl w:val="0"/>
          <w:numId w:val="9"/>
        </w:numPr>
        <w:spacing w:after="0" w:line="240" w:lineRule="auto"/>
        <w:rPr>
          <w:rFonts w:cstheme="minorHAnsi"/>
        </w:rPr>
      </w:pPr>
      <w:r w:rsidRPr="0091553B">
        <w:rPr>
          <w:rFonts w:cstheme="minorHAnsi"/>
        </w:rPr>
        <w:t>Address the inequalities between looked after children and their non-looked after peers by providing a stable home and ensuring they are not discharged from care until they are prepared and ready to move on positively</w:t>
      </w:r>
    </w:p>
    <w:p w14:paraId="22F2715B" w14:textId="77777777" w:rsidR="004C458F" w:rsidRPr="0091553B" w:rsidRDefault="004C458F" w:rsidP="004C458F">
      <w:pPr>
        <w:pStyle w:val="ListParagraph"/>
        <w:numPr>
          <w:ilvl w:val="0"/>
          <w:numId w:val="4"/>
        </w:numPr>
        <w:spacing w:after="0" w:line="240" w:lineRule="auto"/>
        <w:rPr>
          <w:rFonts w:cstheme="minorHAnsi"/>
        </w:rPr>
      </w:pPr>
      <w:r w:rsidRPr="0091553B">
        <w:rPr>
          <w:rFonts w:cstheme="minorHAnsi"/>
        </w:rPr>
        <w:t>Improve assessment, preparation for independence and planning for young people leaving care</w:t>
      </w:r>
    </w:p>
    <w:p w14:paraId="49F37764" w14:textId="77777777" w:rsidR="004C458F" w:rsidRPr="0091553B" w:rsidRDefault="004C458F" w:rsidP="004C458F">
      <w:pPr>
        <w:numPr>
          <w:ilvl w:val="0"/>
          <w:numId w:val="3"/>
        </w:numPr>
        <w:spacing w:line="259" w:lineRule="auto"/>
        <w:rPr>
          <w:rFonts w:cstheme="minorHAnsi"/>
        </w:rPr>
      </w:pPr>
      <w:r w:rsidRPr="0091553B">
        <w:rPr>
          <w:rFonts w:cstheme="minorHAnsi"/>
        </w:rPr>
        <w:t>Provide looked after young people with better personal support after leaving care</w:t>
      </w:r>
    </w:p>
    <w:p w14:paraId="1C380E2C" w14:textId="77777777" w:rsidR="004C458F" w:rsidRPr="0091553B" w:rsidRDefault="004C458F" w:rsidP="004C458F">
      <w:pPr>
        <w:rPr>
          <w:rFonts w:cstheme="minorHAnsi"/>
        </w:rPr>
      </w:pPr>
      <w:r w:rsidRPr="0091553B">
        <w:rPr>
          <w:rFonts w:cstheme="minorHAnsi"/>
        </w:rPr>
        <w:t>It is important the continuing care does not shift the ‘cliff edge’ to 18 or 21. Social work staff need to ensure robust pathway and transition planning is undertaken with young people aged 16 plus to ensure they reach a positive destination.</w:t>
      </w:r>
    </w:p>
    <w:p w14:paraId="2D847578" w14:textId="77777777" w:rsidR="004C458F" w:rsidRPr="0091553B" w:rsidRDefault="004C458F" w:rsidP="004C458F">
      <w:pPr>
        <w:rPr>
          <w:rFonts w:cstheme="minorHAnsi"/>
        </w:rPr>
      </w:pPr>
    </w:p>
    <w:p w14:paraId="0EB0A366" w14:textId="77777777" w:rsidR="00AE604E" w:rsidRPr="0091553B" w:rsidRDefault="00AE604E" w:rsidP="004C458F">
      <w:pPr>
        <w:rPr>
          <w:rFonts w:cstheme="minorHAnsi"/>
          <w:b/>
        </w:rPr>
      </w:pPr>
    </w:p>
    <w:p w14:paraId="2AF40BFC" w14:textId="77777777" w:rsidR="00AE604E" w:rsidRPr="0091553B" w:rsidRDefault="00AE604E" w:rsidP="004C458F">
      <w:pPr>
        <w:rPr>
          <w:rFonts w:cstheme="minorHAnsi"/>
          <w:b/>
        </w:rPr>
      </w:pPr>
    </w:p>
    <w:p w14:paraId="1663A35C" w14:textId="77777777" w:rsidR="00AE604E" w:rsidRPr="0091553B" w:rsidRDefault="00AE604E" w:rsidP="004C458F">
      <w:pPr>
        <w:rPr>
          <w:rFonts w:cstheme="minorHAnsi"/>
          <w:b/>
        </w:rPr>
      </w:pPr>
    </w:p>
    <w:p w14:paraId="2665E696" w14:textId="77777777" w:rsidR="00AE604E" w:rsidRPr="0091553B" w:rsidRDefault="00AE604E" w:rsidP="004C458F">
      <w:pPr>
        <w:rPr>
          <w:rFonts w:cstheme="minorHAnsi"/>
          <w:b/>
        </w:rPr>
      </w:pPr>
    </w:p>
    <w:p w14:paraId="2CC15062" w14:textId="77777777" w:rsidR="00AE604E" w:rsidRPr="0091553B" w:rsidRDefault="00AE604E" w:rsidP="004C458F">
      <w:pPr>
        <w:rPr>
          <w:rFonts w:cstheme="minorHAnsi"/>
          <w:b/>
        </w:rPr>
      </w:pPr>
    </w:p>
    <w:p w14:paraId="16B990D0" w14:textId="77777777" w:rsidR="00AE604E" w:rsidRPr="0091553B" w:rsidRDefault="00AE604E" w:rsidP="004C458F">
      <w:pPr>
        <w:rPr>
          <w:rFonts w:cstheme="minorHAnsi"/>
          <w:b/>
        </w:rPr>
      </w:pPr>
    </w:p>
    <w:p w14:paraId="43906A83" w14:textId="77777777" w:rsidR="00AE604E" w:rsidRPr="0091553B" w:rsidRDefault="00AE604E" w:rsidP="004C458F">
      <w:pPr>
        <w:rPr>
          <w:rFonts w:cstheme="minorHAnsi"/>
          <w:b/>
        </w:rPr>
      </w:pPr>
    </w:p>
    <w:p w14:paraId="09A5ED11" w14:textId="77777777" w:rsidR="00AE604E" w:rsidRPr="0091553B" w:rsidRDefault="00AE604E" w:rsidP="004C458F">
      <w:pPr>
        <w:rPr>
          <w:rFonts w:cstheme="minorHAnsi"/>
          <w:b/>
        </w:rPr>
      </w:pPr>
    </w:p>
    <w:p w14:paraId="19834DC2" w14:textId="77777777" w:rsidR="00AE604E" w:rsidRPr="0091553B" w:rsidRDefault="00AE604E" w:rsidP="004C458F">
      <w:pPr>
        <w:rPr>
          <w:rFonts w:cstheme="minorHAnsi"/>
          <w:b/>
        </w:rPr>
      </w:pPr>
    </w:p>
    <w:p w14:paraId="16A0B2EC" w14:textId="77777777" w:rsidR="00AE604E" w:rsidRPr="0091553B" w:rsidRDefault="00AE604E" w:rsidP="004C458F">
      <w:pPr>
        <w:rPr>
          <w:rFonts w:cstheme="minorHAnsi"/>
          <w:b/>
        </w:rPr>
      </w:pPr>
    </w:p>
    <w:p w14:paraId="527BE5BD" w14:textId="77777777" w:rsidR="00AE604E" w:rsidRPr="0091553B" w:rsidRDefault="00AE604E" w:rsidP="004C458F">
      <w:pPr>
        <w:rPr>
          <w:rFonts w:cstheme="minorHAnsi"/>
          <w:b/>
        </w:rPr>
      </w:pPr>
    </w:p>
    <w:p w14:paraId="2CE07E92" w14:textId="77777777" w:rsidR="00AE604E" w:rsidRPr="0091553B" w:rsidRDefault="00AE604E" w:rsidP="004C458F">
      <w:pPr>
        <w:rPr>
          <w:rFonts w:cstheme="minorHAnsi"/>
          <w:b/>
        </w:rPr>
      </w:pPr>
    </w:p>
    <w:p w14:paraId="14F9BFBB" w14:textId="77777777" w:rsidR="00AE604E" w:rsidRPr="0091553B" w:rsidRDefault="00AE604E" w:rsidP="004C458F">
      <w:pPr>
        <w:rPr>
          <w:rFonts w:cstheme="minorHAnsi"/>
          <w:b/>
        </w:rPr>
      </w:pPr>
    </w:p>
    <w:p w14:paraId="6012F2D5" w14:textId="77777777" w:rsidR="00AE604E" w:rsidRPr="0091553B" w:rsidRDefault="00AE604E" w:rsidP="004C458F">
      <w:pPr>
        <w:rPr>
          <w:rFonts w:cstheme="minorHAnsi"/>
          <w:b/>
        </w:rPr>
      </w:pPr>
    </w:p>
    <w:p w14:paraId="044F3936" w14:textId="77777777" w:rsidR="0091553B" w:rsidRDefault="0091553B" w:rsidP="004C458F">
      <w:pPr>
        <w:rPr>
          <w:rFonts w:cstheme="minorHAnsi"/>
          <w:b/>
        </w:rPr>
      </w:pPr>
    </w:p>
    <w:p w14:paraId="4D9B3B02" w14:textId="70944CB2" w:rsidR="004C458F" w:rsidRPr="0091553B" w:rsidRDefault="004C458F" w:rsidP="004C458F">
      <w:pPr>
        <w:rPr>
          <w:rFonts w:cstheme="minorHAnsi"/>
          <w:b/>
        </w:rPr>
      </w:pPr>
      <w:r w:rsidRPr="0091553B">
        <w:rPr>
          <w:rFonts w:cstheme="minorHAnsi"/>
          <w:b/>
        </w:rPr>
        <w:lastRenderedPageBreak/>
        <w:t>Section 4 – Legal and Practice Considerations</w:t>
      </w:r>
    </w:p>
    <w:p w14:paraId="5733A154" w14:textId="77777777" w:rsidR="004C458F" w:rsidRPr="0091553B" w:rsidRDefault="004C458F" w:rsidP="004C458F">
      <w:pPr>
        <w:spacing w:after="200" w:line="276" w:lineRule="auto"/>
        <w:rPr>
          <w:rFonts w:eastAsia="Calibri" w:cstheme="minorHAnsi"/>
        </w:rPr>
      </w:pPr>
      <w:r w:rsidRPr="0091553B">
        <w:rPr>
          <w:rFonts w:eastAsia="Calibri" w:cstheme="minorHAnsi"/>
        </w:rPr>
        <w:t xml:space="preserve">An eligible young person who opts into a Continuing Care arrangement is requesting to remain with the same carers and to receive the support, detailed in their plan, which meets their assessed needs. </w:t>
      </w:r>
    </w:p>
    <w:p w14:paraId="72C0F90A" w14:textId="77777777" w:rsidR="004C458F" w:rsidRPr="0091553B" w:rsidRDefault="004C458F" w:rsidP="004C458F">
      <w:pPr>
        <w:spacing w:after="200" w:line="276" w:lineRule="auto"/>
        <w:rPr>
          <w:rFonts w:eastAsia="Calibri" w:cstheme="minorHAnsi"/>
        </w:rPr>
      </w:pPr>
      <w:r w:rsidRPr="0091553B">
        <w:rPr>
          <w:rFonts w:eastAsia="Calibri" w:cstheme="minorHAnsi"/>
        </w:rPr>
        <w:t>The Continuing Care (Scotland) Order 2015 specifies that a young person can opt into a Continuing Care arrangement from the date they cease to be looked after. This could be at the point of termination of their Compulsory Supervision Order under Section 83 of the Children’s Hearings (Scotland) Act or at the point of their 16</w:t>
      </w:r>
      <w:r w:rsidRPr="0091553B">
        <w:rPr>
          <w:rFonts w:eastAsia="Calibri" w:cstheme="minorHAnsi"/>
          <w:vertAlign w:val="superscript"/>
        </w:rPr>
        <w:t>th</w:t>
      </w:r>
      <w:r w:rsidRPr="0091553B">
        <w:rPr>
          <w:rFonts w:eastAsia="Calibri" w:cstheme="minorHAnsi"/>
        </w:rPr>
        <w:t xml:space="preserve"> Birthday when voluntary arrangements under Section 25 of the Children (Scotland) Act cease to apply.</w:t>
      </w:r>
      <w:r w:rsidRPr="0091553B">
        <w:rPr>
          <w:rFonts w:eastAsia="Calibri" w:cstheme="minorHAnsi"/>
          <w:color w:val="FF0000"/>
        </w:rPr>
        <w:t xml:space="preserve"> </w:t>
      </w:r>
      <w:r w:rsidRPr="0091553B">
        <w:rPr>
          <w:rFonts w:eastAsia="Calibri" w:cstheme="minorHAnsi"/>
        </w:rPr>
        <w:t>For this reason, a placement under Section 25 cannot be used as a Continuing Care arrangement. Likewise, whilst Permanence orders remain in place to 18 years, any measure of residence is only in force until 16 years</w:t>
      </w:r>
      <w:r w:rsidRPr="0091553B">
        <w:rPr>
          <w:rFonts w:eastAsia="Calibri" w:cstheme="minorHAnsi"/>
          <w:color w:val="FF0000"/>
        </w:rPr>
        <w:t xml:space="preserve">. </w:t>
      </w:r>
    </w:p>
    <w:p w14:paraId="701EF98E" w14:textId="77777777" w:rsidR="004C458F" w:rsidRPr="0091553B" w:rsidRDefault="004C458F" w:rsidP="004C458F">
      <w:pPr>
        <w:spacing w:after="200" w:line="276" w:lineRule="auto"/>
        <w:rPr>
          <w:rFonts w:eastAsia="Calibri" w:cstheme="minorHAnsi"/>
        </w:rPr>
      </w:pPr>
      <w:r w:rsidRPr="0091553B">
        <w:rPr>
          <w:rFonts w:eastAsia="Calibri" w:cstheme="minorHAnsi"/>
        </w:rPr>
        <w:t>The opt-in to a Continuing Care arrangement should be agreed with the full participation of the young person</w:t>
      </w:r>
      <w:r w:rsidRPr="0091553B">
        <w:t xml:space="preserve"> and </w:t>
      </w:r>
      <w:r w:rsidRPr="0091553B">
        <w:rPr>
          <w:rFonts w:eastAsia="Calibri" w:cstheme="minorHAnsi"/>
        </w:rPr>
        <w:t xml:space="preserve">the plan should confirm the opt-in to Continuing Care under Section 26(a) of the Children (Scotland) Act 1995. Practitioners should support a young person in their placement up to the age of 18 years and not seek to remove any compulsory supervision order where this is necessary to manage any conditions related to their care. </w:t>
      </w:r>
    </w:p>
    <w:p w14:paraId="6F589F6A" w14:textId="77777777" w:rsidR="004C458F" w:rsidRPr="0091553B" w:rsidRDefault="004C458F" w:rsidP="004C458F">
      <w:pPr>
        <w:spacing w:after="200" w:line="276" w:lineRule="auto"/>
        <w:rPr>
          <w:rFonts w:eastAsia="Calibri" w:cstheme="minorHAnsi"/>
        </w:rPr>
      </w:pPr>
      <w:r w:rsidRPr="0091553B">
        <w:rPr>
          <w:rFonts w:eastAsia="Calibri" w:cstheme="minorHAnsi"/>
        </w:rPr>
        <w:t>Continuing Care should be one of the options considered and pathway planning should start before the young person’s 16</w:t>
      </w:r>
      <w:r w:rsidRPr="0091553B">
        <w:rPr>
          <w:rFonts w:eastAsia="Calibri" w:cstheme="minorHAnsi"/>
          <w:vertAlign w:val="superscript"/>
        </w:rPr>
        <w:t>th</w:t>
      </w:r>
      <w:r w:rsidRPr="0091553B">
        <w:rPr>
          <w:rFonts w:eastAsia="Calibri" w:cstheme="minorHAnsi"/>
        </w:rPr>
        <w:t xml:space="preserve"> birthday regardless of legal status. It should be noted that if the young person ceases to be looked after prior to their 16</w:t>
      </w:r>
      <w:r w:rsidRPr="0091553B">
        <w:rPr>
          <w:rFonts w:eastAsia="Calibri" w:cstheme="minorHAnsi"/>
          <w:vertAlign w:val="superscript"/>
        </w:rPr>
        <w:t>th</w:t>
      </w:r>
      <w:r w:rsidRPr="0091553B">
        <w:rPr>
          <w:rFonts w:eastAsia="Calibri" w:cstheme="minorHAnsi"/>
        </w:rPr>
        <w:t xml:space="preserve"> birthday, they are not eligible for Continuing Care or Aftercare.</w:t>
      </w:r>
    </w:p>
    <w:p w14:paraId="35E895D4" w14:textId="77777777" w:rsidR="004C458F" w:rsidRPr="0091553B" w:rsidRDefault="004C458F" w:rsidP="004C458F">
      <w:pPr>
        <w:rPr>
          <w:rFonts w:cstheme="minorHAnsi"/>
          <w:b/>
        </w:rPr>
      </w:pPr>
    </w:p>
    <w:p w14:paraId="518662DE" w14:textId="77777777" w:rsidR="00AE604E" w:rsidRPr="0091553B" w:rsidRDefault="00AE604E" w:rsidP="004C458F">
      <w:pPr>
        <w:rPr>
          <w:rFonts w:cstheme="minorHAnsi"/>
          <w:b/>
        </w:rPr>
      </w:pPr>
    </w:p>
    <w:p w14:paraId="2973AD9F" w14:textId="77777777" w:rsidR="00AE604E" w:rsidRPr="0091553B" w:rsidRDefault="00AE604E" w:rsidP="004C458F">
      <w:pPr>
        <w:rPr>
          <w:rFonts w:cstheme="minorHAnsi"/>
          <w:b/>
        </w:rPr>
      </w:pPr>
    </w:p>
    <w:p w14:paraId="6963D0A8" w14:textId="77777777" w:rsidR="00AE604E" w:rsidRPr="0091553B" w:rsidRDefault="00AE604E" w:rsidP="004C458F">
      <w:pPr>
        <w:rPr>
          <w:rFonts w:cstheme="minorHAnsi"/>
          <w:b/>
        </w:rPr>
      </w:pPr>
    </w:p>
    <w:p w14:paraId="40CA4CE7" w14:textId="77777777" w:rsidR="00AE604E" w:rsidRPr="0091553B" w:rsidRDefault="00AE604E" w:rsidP="004C458F">
      <w:pPr>
        <w:rPr>
          <w:rFonts w:cstheme="minorHAnsi"/>
          <w:b/>
        </w:rPr>
      </w:pPr>
    </w:p>
    <w:p w14:paraId="73CA4DBB" w14:textId="77777777" w:rsidR="00AE604E" w:rsidRPr="0091553B" w:rsidRDefault="00AE604E" w:rsidP="004C458F">
      <w:pPr>
        <w:rPr>
          <w:rFonts w:cstheme="minorHAnsi"/>
          <w:b/>
        </w:rPr>
      </w:pPr>
    </w:p>
    <w:p w14:paraId="4855EA69" w14:textId="77777777" w:rsidR="00AE604E" w:rsidRPr="0091553B" w:rsidRDefault="00AE604E" w:rsidP="004C458F">
      <w:pPr>
        <w:rPr>
          <w:rFonts w:cstheme="minorHAnsi"/>
          <w:b/>
        </w:rPr>
      </w:pPr>
    </w:p>
    <w:p w14:paraId="7FE6E75D" w14:textId="77777777" w:rsidR="00AE604E" w:rsidRPr="0091553B" w:rsidRDefault="00AE604E" w:rsidP="004C458F">
      <w:pPr>
        <w:rPr>
          <w:rFonts w:cstheme="minorHAnsi"/>
          <w:b/>
        </w:rPr>
      </w:pPr>
    </w:p>
    <w:p w14:paraId="328AFF61" w14:textId="77777777" w:rsidR="00AE604E" w:rsidRPr="0091553B" w:rsidRDefault="00AE604E" w:rsidP="004C458F">
      <w:pPr>
        <w:rPr>
          <w:rFonts w:cstheme="minorHAnsi"/>
          <w:b/>
        </w:rPr>
      </w:pPr>
    </w:p>
    <w:p w14:paraId="0FCFC4D5" w14:textId="77777777" w:rsidR="00AE604E" w:rsidRPr="0091553B" w:rsidRDefault="00AE604E" w:rsidP="004C458F">
      <w:pPr>
        <w:rPr>
          <w:rFonts w:cstheme="minorHAnsi"/>
          <w:b/>
        </w:rPr>
      </w:pPr>
    </w:p>
    <w:p w14:paraId="26552E95" w14:textId="77777777" w:rsidR="00AE604E" w:rsidRPr="0091553B" w:rsidRDefault="00AE604E" w:rsidP="004C458F">
      <w:pPr>
        <w:rPr>
          <w:rFonts w:cstheme="minorHAnsi"/>
          <w:b/>
        </w:rPr>
      </w:pPr>
    </w:p>
    <w:p w14:paraId="36C8A448" w14:textId="30BEE49D" w:rsidR="004C458F" w:rsidRPr="0091553B" w:rsidRDefault="004C458F" w:rsidP="004C458F">
      <w:pPr>
        <w:rPr>
          <w:rFonts w:cstheme="minorHAnsi"/>
          <w:b/>
        </w:rPr>
      </w:pPr>
      <w:r w:rsidRPr="0091553B">
        <w:rPr>
          <w:rFonts w:cstheme="minorHAnsi"/>
          <w:b/>
        </w:rPr>
        <w:lastRenderedPageBreak/>
        <w:t>Section 5 – Raising Awareness</w:t>
      </w:r>
    </w:p>
    <w:p w14:paraId="4A5335D2" w14:textId="77777777" w:rsidR="004C458F" w:rsidRPr="0091553B" w:rsidRDefault="004C458F" w:rsidP="004C458F">
      <w:pPr>
        <w:rPr>
          <w:rFonts w:cstheme="minorHAnsi"/>
        </w:rPr>
      </w:pPr>
      <w:r w:rsidRPr="0091553B">
        <w:rPr>
          <w:rFonts w:cstheme="minorHAnsi"/>
        </w:rPr>
        <w:t xml:space="preserve">It is the lead professional’s responsibility, in partnership with the Team Around the Young Person, to ensure that all eligible young people are aware of their right to choose Continuing Care as one of the options open to them in their care journey. </w:t>
      </w:r>
    </w:p>
    <w:p w14:paraId="7544A70E" w14:textId="77777777" w:rsidR="004C458F" w:rsidRPr="0091553B" w:rsidRDefault="004C458F" w:rsidP="004C458F">
      <w:pPr>
        <w:rPr>
          <w:rFonts w:cstheme="minorHAnsi"/>
        </w:rPr>
      </w:pPr>
      <w:r w:rsidRPr="0091553B">
        <w:rPr>
          <w:rFonts w:cstheme="minorHAnsi"/>
        </w:rPr>
        <w:t>All eligible young people should know about their right to stay where they are to receive the support they need as they transition toward independence.</w:t>
      </w:r>
    </w:p>
    <w:p w14:paraId="65C9C842" w14:textId="0F7D59F4" w:rsidR="004C458F" w:rsidRPr="0091553B" w:rsidRDefault="004C458F" w:rsidP="004C458F">
      <w:pPr>
        <w:rPr>
          <w:rFonts w:cstheme="minorHAnsi"/>
        </w:rPr>
      </w:pPr>
      <w:r w:rsidRPr="0091553B">
        <w:rPr>
          <w:rFonts w:cstheme="minorHAnsi"/>
        </w:rPr>
        <w:t>Advocacy is available for young people via Who Cares? Scotland and they can be signposted to online resources</w:t>
      </w:r>
      <w:r w:rsidR="00B943E2" w:rsidRPr="0091553B">
        <w:rPr>
          <w:rFonts w:cstheme="minorHAnsi"/>
        </w:rPr>
        <w:t xml:space="preserve"> </w:t>
      </w:r>
      <w:r w:rsidR="00B1441F" w:rsidRPr="0091553B">
        <w:rPr>
          <w:rFonts w:cstheme="minorHAnsi"/>
        </w:rPr>
        <w:t>(</w:t>
      </w:r>
      <w:r w:rsidR="00B943E2" w:rsidRPr="0091553B">
        <w:rPr>
          <w:rFonts w:cstheme="minorHAnsi"/>
        </w:rPr>
        <w:t xml:space="preserve">as detailed </w:t>
      </w:r>
      <w:r w:rsidR="002E66D2" w:rsidRPr="0091553B">
        <w:rPr>
          <w:rFonts w:cstheme="minorHAnsi"/>
        </w:rPr>
        <w:t>in Appendices 4 &amp; 5</w:t>
      </w:r>
      <w:r w:rsidR="00B1441F" w:rsidRPr="0091553B">
        <w:rPr>
          <w:rFonts w:cstheme="minorHAnsi"/>
        </w:rPr>
        <w:t>)</w:t>
      </w:r>
    </w:p>
    <w:p w14:paraId="64427BCA" w14:textId="02719A76" w:rsidR="004C458F" w:rsidRPr="0091553B" w:rsidRDefault="004C458F" w:rsidP="004C458F">
      <w:pPr>
        <w:rPr>
          <w:rFonts w:cstheme="minorHAnsi"/>
          <w:bCs/>
        </w:rPr>
      </w:pPr>
      <w:r w:rsidRPr="0091553B">
        <w:rPr>
          <w:rFonts w:cstheme="minorHAnsi"/>
          <w:bCs/>
        </w:rPr>
        <w:t xml:space="preserve">Information is </w:t>
      </w:r>
      <w:r w:rsidR="00B1441F" w:rsidRPr="0091553B">
        <w:rPr>
          <w:rFonts w:cstheme="minorHAnsi"/>
          <w:bCs/>
        </w:rPr>
        <w:t xml:space="preserve">also </w:t>
      </w:r>
      <w:r w:rsidRPr="0091553B">
        <w:rPr>
          <w:rFonts w:cstheme="minorHAnsi"/>
          <w:bCs/>
        </w:rPr>
        <w:t xml:space="preserve">available for foster carers </w:t>
      </w:r>
      <w:r w:rsidR="00B1441F" w:rsidRPr="0091553B">
        <w:rPr>
          <w:rFonts w:cstheme="minorHAnsi"/>
          <w:bCs/>
        </w:rPr>
        <w:t>(appendix 6)</w:t>
      </w:r>
    </w:p>
    <w:p w14:paraId="76C7BF6C" w14:textId="77777777" w:rsidR="004C458F" w:rsidRPr="0091553B" w:rsidRDefault="004C458F" w:rsidP="004C458F">
      <w:pPr>
        <w:rPr>
          <w:rFonts w:cstheme="minorHAnsi"/>
          <w:b/>
        </w:rPr>
      </w:pPr>
    </w:p>
    <w:p w14:paraId="7AC9B1EE" w14:textId="77777777" w:rsidR="00AE604E" w:rsidRPr="0091553B" w:rsidRDefault="00AE604E" w:rsidP="004C458F">
      <w:pPr>
        <w:rPr>
          <w:rFonts w:cstheme="minorHAnsi"/>
          <w:b/>
        </w:rPr>
      </w:pPr>
    </w:p>
    <w:p w14:paraId="1363EE95" w14:textId="77777777" w:rsidR="00AE604E" w:rsidRPr="0091553B" w:rsidRDefault="00AE604E" w:rsidP="004C458F">
      <w:pPr>
        <w:rPr>
          <w:rFonts w:cstheme="minorHAnsi"/>
          <w:b/>
        </w:rPr>
      </w:pPr>
    </w:p>
    <w:p w14:paraId="3AAC2526" w14:textId="77777777" w:rsidR="00AE604E" w:rsidRPr="0091553B" w:rsidRDefault="00AE604E" w:rsidP="004C458F">
      <w:pPr>
        <w:rPr>
          <w:rFonts w:cstheme="minorHAnsi"/>
          <w:b/>
        </w:rPr>
      </w:pPr>
    </w:p>
    <w:p w14:paraId="71A57E26" w14:textId="77777777" w:rsidR="00AE604E" w:rsidRPr="0091553B" w:rsidRDefault="00AE604E" w:rsidP="004C458F">
      <w:pPr>
        <w:rPr>
          <w:rFonts w:cstheme="minorHAnsi"/>
          <w:b/>
        </w:rPr>
      </w:pPr>
    </w:p>
    <w:p w14:paraId="2239B67A" w14:textId="77777777" w:rsidR="00AE604E" w:rsidRPr="0091553B" w:rsidRDefault="00AE604E" w:rsidP="004C458F">
      <w:pPr>
        <w:rPr>
          <w:rFonts w:cstheme="minorHAnsi"/>
          <w:b/>
        </w:rPr>
      </w:pPr>
    </w:p>
    <w:p w14:paraId="54596D66" w14:textId="77777777" w:rsidR="00AE604E" w:rsidRPr="0091553B" w:rsidRDefault="00AE604E" w:rsidP="004C458F">
      <w:pPr>
        <w:rPr>
          <w:rFonts w:cstheme="minorHAnsi"/>
          <w:b/>
        </w:rPr>
      </w:pPr>
    </w:p>
    <w:p w14:paraId="3736AE6E" w14:textId="77777777" w:rsidR="00AE604E" w:rsidRPr="0091553B" w:rsidRDefault="00AE604E" w:rsidP="004C458F">
      <w:pPr>
        <w:rPr>
          <w:rFonts w:cstheme="minorHAnsi"/>
          <w:b/>
        </w:rPr>
      </w:pPr>
    </w:p>
    <w:p w14:paraId="5746A6A1" w14:textId="77777777" w:rsidR="00AE604E" w:rsidRPr="0091553B" w:rsidRDefault="00AE604E" w:rsidP="004C458F">
      <w:pPr>
        <w:rPr>
          <w:rFonts w:cstheme="minorHAnsi"/>
          <w:b/>
        </w:rPr>
      </w:pPr>
    </w:p>
    <w:p w14:paraId="006DB061" w14:textId="77777777" w:rsidR="00AE604E" w:rsidRPr="0091553B" w:rsidRDefault="00AE604E" w:rsidP="004C458F">
      <w:pPr>
        <w:rPr>
          <w:rFonts w:cstheme="minorHAnsi"/>
          <w:b/>
        </w:rPr>
      </w:pPr>
    </w:p>
    <w:p w14:paraId="1D805720" w14:textId="77777777" w:rsidR="00AE604E" w:rsidRPr="0091553B" w:rsidRDefault="00AE604E" w:rsidP="004C458F">
      <w:pPr>
        <w:rPr>
          <w:rFonts w:cstheme="minorHAnsi"/>
          <w:b/>
        </w:rPr>
      </w:pPr>
    </w:p>
    <w:p w14:paraId="5E4921E7" w14:textId="77777777" w:rsidR="00AE604E" w:rsidRPr="0091553B" w:rsidRDefault="00AE604E" w:rsidP="004C458F">
      <w:pPr>
        <w:rPr>
          <w:rFonts w:cstheme="minorHAnsi"/>
          <w:b/>
        </w:rPr>
      </w:pPr>
    </w:p>
    <w:p w14:paraId="2C07DA92" w14:textId="77777777" w:rsidR="00AE604E" w:rsidRPr="0091553B" w:rsidRDefault="00AE604E" w:rsidP="004C458F">
      <w:pPr>
        <w:rPr>
          <w:rFonts w:cstheme="minorHAnsi"/>
          <w:b/>
        </w:rPr>
      </w:pPr>
    </w:p>
    <w:p w14:paraId="20D7F8AF" w14:textId="77777777" w:rsidR="00AE604E" w:rsidRPr="0091553B" w:rsidRDefault="00AE604E" w:rsidP="004C458F">
      <w:pPr>
        <w:rPr>
          <w:rFonts w:cstheme="minorHAnsi"/>
          <w:b/>
        </w:rPr>
      </w:pPr>
    </w:p>
    <w:p w14:paraId="0301F5C9" w14:textId="77777777" w:rsidR="00AE604E" w:rsidRPr="0091553B" w:rsidRDefault="00AE604E" w:rsidP="004C458F">
      <w:pPr>
        <w:rPr>
          <w:rFonts w:cstheme="minorHAnsi"/>
          <w:b/>
        </w:rPr>
      </w:pPr>
    </w:p>
    <w:p w14:paraId="700D8C3F" w14:textId="77777777" w:rsidR="00AE604E" w:rsidRPr="0091553B" w:rsidRDefault="00AE604E" w:rsidP="004C458F">
      <w:pPr>
        <w:rPr>
          <w:rFonts w:cstheme="minorHAnsi"/>
          <w:b/>
        </w:rPr>
      </w:pPr>
    </w:p>
    <w:p w14:paraId="3327DDB2" w14:textId="77777777" w:rsidR="00AE604E" w:rsidRPr="0091553B" w:rsidRDefault="00AE604E" w:rsidP="004C458F">
      <w:pPr>
        <w:rPr>
          <w:rFonts w:cstheme="minorHAnsi"/>
          <w:b/>
        </w:rPr>
      </w:pPr>
    </w:p>
    <w:p w14:paraId="4D772BD8" w14:textId="77777777" w:rsidR="00AE604E" w:rsidRPr="0091553B" w:rsidRDefault="00AE604E" w:rsidP="004C458F">
      <w:pPr>
        <w:rPr>
          <w:rFonts w:cstheme="minorHAnsi"/>
          <w:b/>
        </w:rPr>
      </w:pPr>
    </w:p>
    <w:p w14:paraId="2BB7EB3D" w14:textId="77777777" w:rsidR="00B1441F" w:rsidRPr="0091553B" w:rsidRDefault="00B1441F" w:rsidP="004C458F">
      <w:pPr>
        <w:rPr>
          <w:rFonts w:cstheme="minorHAnsi"/>
          <w:b/>
        </w:rPr>
      </w:pPr>
    </w:p>
    <w:p w14:paraId="6D0BF5C5" w14:textId="77777777" w:rsidR="0091553B" w:rsidRDefault="0091553B" w:rsidP="004C458F">
      <w:pPr>
        <w:rPr>
          <w:rFonts w:cstheme="minorHAnsi"/>
          <w:b/>
        </w:rPr>
      </w:pPr>
    </w:p>
    <w:p w14:paraId="6807858C" w14:textId="6E52797F" w:rsidR="004C458F" w:rsidRPr="0091553B" w:rsidRDefault="004C458F" w:rsidP="004C458F">
      <w:pPr>
        <w:rPr>
          <w:rFonts w:cstheme="minorHAnsi"/>
          <w:b/>
        </w:rPr>
      </w:pPr>
      <w:r w:rsidRPr="0091553B">
        <w:rPr>
          <w:rFonts w:cstheme="minorHAnsi"/>
          <w:b/>
        </w:rPr>
        <w:lastRenderedPageBreak/>
        <w:t xml:space="preserve">Section 6 – Planning </w:t>
      </w:r>
    </w:p>
    <w:p w14:paraId="039B3AAF" w14:textId="77777777" w:rsidR="004C458F" w:rsidRPr="0091553B" w:rsidRDefault="004C458F" w:rsidP="004C458F">
      <w:pPr>
        <w:rPr>
          <w:rFonts w:cstheme="minorHAnsi"/>
          <w:b/>
        </w:rPr>
      </w:pPr>
    </w:p>
    <w:p w14:paraId="7526F17C" w14:textId="77777777" w:rsidR="004C458F" w:rsidRPr="0091553B" w:rsidRDefault="004C458F" w:rsidP="004C458F">
      <w:pPr>
        <w:rPr>
          <w:rFonts w:cs="Calibri"/>
        </w:rPr>
      </w:pPr>
      <w:r w:rsidRPr="0091553B">
        <w:rPr>
          <w:rFonts w:cs="Calibri"/>
        </w:rPr>
        <w:t xml:space="preserve">When a young person reaches their 16th birthday their social worker will complete a Pathway – Initial Assessment which will identify the young person’s needs as they move towards adulthood. </w:t>
      </w:r>
    </w:p>
    <w:p w14:paraId="720B1ECD" w14:textId="77777777" w:rsidR="004C458F" w:rsidRPr="0091553B" w:rsidRDefault="004C458F" w:rsidP="004C458F">
      <w:pPr>
        <w:rPr>
          <w:rFonts w:cs="Calibri"/>
        </w:rPr>
      </w:pPr>
      <w:r w:rsidRPr="0091553B">
        <w:rPr>
          <w:rFonts w:cs="Calibri"/>
        </w:rPr>
        <w:t xml:space="preserve">This assessment will be completed in partnership with the young person and other important people in the young person’s life. This assessment must ensure that this would not significant adversely affect their welfare.  </w:t>
      </w:r>
    </w:p>
    <w:p w14:paraId="2FA988F2" w14:textId="77777777" w:rsidR="004C458F" w:rsidRPr="0091553B" w:rsidRDefault="004C458F" w:rsidP="004C458F">
      <w:pPr>
        <w:spacing w:after="200" w:line="276" w:lineRule="auto"/>
        <w:rPr>
          <w:rFonts w:eastAsia="Calibri" w:cstheme="minorHAnsi"/>
        </w:rPr>
      </w:pPr>
      <w:r w:rsidRPr="0091553B">
        <w:rPr>
          <w:rFonts w:eastAsia="Calibri" w:cstheme="minorHAnsi"/>
        </w:rPr>
        <w:t xml:space="preserve">Children and young people should be encouraged to learn skills that will help them mature naturally while living with their </w:t>
      </w:r>
      <w:proofErr w:type="spellStart"/>
      <w:r w:rsidRPr="0091553B">
        <w:rPr>
          <w:rFonts w:eastAsia="Calibri" w:cstheme="minorHAnsi"/>
        </w:rPr>
        <w:t>carers</w:t>
      </w:r>
      <w:proofErr w:type="spellEnd"/>
      <w:r w:rsidRPr="0091553B">
        <w:rPr>
          <w:rFonts w:eastAsia="Calibri" w:cstheme="minorHAnsi"/>
        </w:rPr>
        <w:t xml:space="preserve">. </w:t>
      </w:r>
    </w:p>
    <w:p w14:paraId="15F78A1A" w14:textId="77777777" w:rsidR="004C458F" w:rsidRPr="0091553B" w:rsidRDefault="004C458F" w:rsidP="004C458F">
      <w:pPr>
        <w:rPr>
          <w:rFonts w:eastAsia="Calibri" w:cstheme="minorHAnsi"/>
        </w:rPr>
      </w:pPr>
      <w:r w:rsidRPr="0091553B">
        <w:rPr>
          <w:rFonts w:eastAsia="Calibri" w:cstheme="minorHAnsi"/>
        </w:rPr>
        <w:t xml:space="preserve">Falkirk Council have several programmes and tools which help with this, including the Independent Living Plan (ILP) for foster carers, the Continuing Care and Life Skills Programme for residential carers and the Care Leavers Housing and Support Needs Matrix which identifies the areas the young person needs support in to help them prepare for their own tenancy. </w:t>
      </w:r>
    </w:p>
    <w:p w14:paraId="5479C749" w14:textId="77777777" w:rsidR="004C458F" w:rsidRPr="0091553B" w:rsidRDefault="004C458F" w:rsidP="004C458F">
      <w:pPr>
        <w:rPr>
          <w:rFonts w:cs="Calibri"/>
        </w:rPr>
      </w:pPr>
      <w:r w:rsidRPr="0091553B">
        <w:rPr>
          <w:rFonts w:eastAsia="Calibri" w:cstheme="minorHAnsi"/>
        </w:rPr>
        <w:t>Communication and planning with the carers, and their role in supporting independence needs to be clear and stated in care plans.</w:t>
      </w:r>
    </w:p>
    <w:p w14:paraId="5EDF0C11" w14:textId="77777777" w:rsidR="004C458F" w:rsidRPr="0091553B" w:rsidRDefault="004C458F" w:rsidP="004C458F">
      <w:pPr>
        <w:rPr>
          <w:rFonts w:cs="Calibri"/>
        </w:rPr>
      </w:pPr>
      <w:r w:rsidRPr="0091553B">
        <w:rPr>
          <w:rFonts w:cs="Calibri"/>
        </w:rPr>
        <w:t>The outcome of the initial assessment will be to identify what the young person’s plans are following their 16th birthday and where they see themselves living. If the young person chooses to continue in their current placement, then a welfare assessment is required. The completion of a welfare assessment is a legal duty, and this must be completed and updated annually.</w:t>
      </w:r>
    </w:p>
    <w:p w14:paraId="2DDECC22" w14:textId="77777777" w:rsidR="004C458F" w:rsidRPr="0091553B" w:rsidRDefault="004C458F" w:rsidP="004C458F">
      <w:pPr>
        <w:rPr>
          <w:rFonts w:cs="Calibri"/>
        </w:rPr>
      </w:pPr>
      <w:r w:rsidRPr="0091553B">
        <w:rPr>
          <w:rFonts w:cs="Calibri"/>
        </w:rPr>
        <w:t xml:space="preserve">The assessment must also consider the support needs of the young person as they move into adulthood and how these will be best met. </w:t>
      </w:r>
    </w:p>
    <w:p w14:paraId="5749F3AA" w14:textId="77777777" w:rsidR="004C458F" w:rsidRPr="0091553B" w:rsidRDefault="004C458F" w:rsidP="004C458F">
      <w:pPr>
        <w:spacing w:after="200" w:line="276" w:lineRule="auto"/>
        <w:rPr>
          <w:rFonts w:eastAsia="Calibri"/>
        </w:rPr>
      </w:pPr>
      <w:r w:rsidRPr="0091553B">
        <w:rPr>
          <w:rFonts w:eastAsia="Calibri"/>
        </w:rPr>
        <w:t>When Continuing Care is agreed then this should be confirmed at their Looked After Away from Home Review and recorded in The Future Plan.  A change of circumstances form should be complete by the allocated worker at this time.</w:t>
      </w:r>
    </w:p>
    <w:p w14:paraId="4B15AD41" w14:textId="77777777" w:rsidR="004C458F" w:rsidRPr="0091553B" w:rsidRDefault="004C458F" w:rsidP="004C458F">
      <w:pPr>
        <w:spacing w:after="200" w:line="276" w:lineRule="auto"/>
        <w:rPr>
          <w:rFonts w:eastAsia="Calibri" w:cstheme="minorHAnsi"/>
        </w:rPr>
      </w:pPr>
      <w:r w:rsidRPr="0091553B">
        <w:rPr>
          <w:rFonts w:eastAsia="Calibri" w:cstheme="minorHAnsi"/>
        </w:rPr>
        <w:t>Prior to the review the allocated social worker will have:</w:t>
      </w:r>
    </w:p>
    <w:p w14:paraId="19A4710E" w14:textId="77777777" w:rsidR="004C458F" w:rsidRPr="0091553B" w:rsidRDefault="004C458F" w:rsidP="004C458F">
      <w:pPr>
        <w:numPr>
          <w:ilvl w:val="0"/>
          <w:numId w:val="5"/>
        </w:numPr>
        <w:spacing w:after="0" w:line="240" w:lineRule="auto"/>
        <w:contextualSpacing/>
        <w:rPr>
          <w:rFonts w:eastAsia="Times New Roman" w:cstheme="minorHAnsi"/>
          <w:lang w:eastAsia="en-GB"/>
        </w:rPr>
      </w:pPr>
      <w:r w:rsidRPr="0091553B">
        <w:rPr>
          <w:rFonts w:eastAsia="Times New Roman" w:cstheme="minorHAnsi"/>
          <w:lang w:eastAsia="en-GB"/>
        </w:rPr>
        <w:t>Confirmed whether the carer is willing and able to have the young person remain living with them</w:t>
      </w:r>
    </w:p>
    <w:p w14:paraId="5491E2C7" w14:textId="77777777" w:rsidR="004C458F" w:rsidRPr="0091553B" w:rsidRDefault="004C458F" w:rsidP="004C458F">
      <w:pPr>
        <w:numPr>
          <w:ilvl w:val="0"/>
          <w:numId w:val="5"/>
        </w:numPr>
        <w:spacing w:after="0" w:line="240" w:lineRule="auto"/>
        <w:contextualSpacing/>
        <w:rPr>
          <w:rFonts w:eastAsia="Times New Roman" w:cstheme="minorHAnsi"/>
          <w:lang w:eastAsia="en-GB"/>
        </w:rPr>
      </w:pPr>
      <w:r w:rsidRPr="0091553B">
        <w:rPr>
          <w:rFonts w:eastAsia="Times New Roman" w:cstheme="minorHAnsi"/>
          <w:lang w:eastAsia="en-GB"/>
        </w:rPr>
        <w:t>Confirmed whether the young person wishes to stay beyond the looked after period</w:t>
      </w:r>
    </w:p>
    <w:p w14:paraId="7BB5CB13" w14:textId="77777777" w:rsidR="004C458F" w:rsidRPr="0091553B" w:rsidRDefault="004C458F" w:rsidP="004C458F">
      <w:pPr>
        <w:numPr>
          <w:ilvl w:val="0"/>
          <w:numId w:val="5"/>
        </w:numPr>
        <w:spacing w:after="0" w:line="240" w:lineRule="auto"/>
        <w:contextualSpacing/>
        <w:rPr>
          <w:rFonts w:eastAsia="Times New Roman" w:cstheme="minorHAnsi"/>
          <w:lang w:eastAsia="en-GB"/>
        </w:rPr>
      </w:pPr>
      <w:r w:rsidRPr="0091553B">
        <w:rPr>
          <w:rFonts w:eastAsia="Times New Roman" w:cstheme="minorHAnsi"/>
          <w:lang w:eastAsia="en-GB"/>
        </w:rPr>
        <w:t>Confirmed that the continuation of the placement will not be detrimental to the young person</w:t>
      </w:r>
    </w:p>
    <w:p w14:paraId="083C8F7E" w14:textId="77777777" w:rsidR="004C458F" w:rsidRPr="0091553B" w:rsidRDefault="004C458F" w:rsidP="004C458F">
      <w:pPr>
        <w:rPr>
          <w:rFonts w:cs="Calibri"/>
        </w:rPr>
      </w:pPr>
    </w:p>
    <w:p w14:paraId="1659845B" w14:textId="77777777" w:rsidR="004C458F" w:rsidRPr="0091553B" w:rsidRDefault="004C458F" w:rsidP="004C458F">
      <w:pPr>
        <w:rPr>
          <w:rFonts w:cs="Calibri"/>
        </w:rPr>
      </w:pPr>
      <w:r w:rsidRPr="0091553B">
        <w:rPr>
          <w:rFonts w:cs="Calibri"/>
        </w:rPr>
        <w:lastRenderedPageBreak/>
        <w:t xml:space="preserve">At the care experienced review, it will be identified whether an additional/specialist assessment is required to assist the process of transition to adulthood. This will, although not exclusively, usually relate to young people with additional support needs such as complex medical health needs, a learning disability, mental health or emotional wellbeing needs and those young people who present with challenging behaviour and who, as they become young adults, may struggle to manage with a more independent lifestyle. </w:t>
      </w:r>
    </w:p>
    <w:p w14:paraId="033757A7" w14:textId="77777777" w:rsidR="004C458F" w:rsidRPr="0091553B" w:rsidRDefault="004C458F" w:rsidP="004C458F">
      <w:pPr>
        <w:spacing w:after="200" w:line="276" w:lineRule="auto"/>
        <w:rPr>
          <w:rFonts w:eastAsia="Calibri" w:cstheme="minorHAnsi"/>
        </w:rPr>
      </w:pPr>
      <w:r w:rsidRPr="0091553B">
        <w:rPr>
          <w:rFonts w:eastAsia="Calibri" w:cstheme="minorHAnsi"/>
        </w:rPr>
        <w:t>Continuing Care planning for young people with a disability and/or diagnosis which may require ongoing social work support into adulthood which will begin prior to the young person reaching their 16</w:t>
      </w:r>
      <w:r w:rsidRPr="0091553B">
        <w:rPr>
          <w:rFonts w:eastAsia="Calibri" w:cstheme="minorHAnsi"/>
          <w:vertAlign w:val="superscript"/>
        </w:rPr>
        <w:t>th</w:t>
      </w:r>
      <w:r w:rsidRPr="0091553B">
        <w:rPr>
          <w:rFonts w:eastAsia="Calibri" w:cstheme="minorHAnsi"/>
        </w:rPr>
        <w:t xml:space="preserve"> birthday. Transitions arrangements to Adult Social Work Services will start at this point to determine whether transition and ongoing support will be led by Adult Social Work Services or the Leaving Care Team. Work is ongoing to develop a flow chart to assist practitioners in this area. </w:t>
      </w:r>
    </w:p>
    <w:p w14:paraId="7D2A44CE" w14:textId="77777777" w:rsidR="004C458F" w:rsidRPr="0091553B" w:rsidRDefault="004C458F" w:rsidP="004C458F">
      <w:pPr>
        <w:spacing w:after="200" w:line="276" w:lineRule="auto"/>
        <w:rPr>
          <w:rFonts w:eastAsia="Calibri" w:cstheme="minorHAnsi"/>
        </w:rPr>
      </w:pPr>
      <w:r w:rsidRPr="0091553B">
        <w:rPr>
          <w:rFonts w:eastAsia="Calibri" w:cstheme="minorHAnsi"/>
        </w:rPr>
        <w:t>The care experienced review will document that the placement will continue and is in the young person’s best interest. They young person will receive a signed and dated minute to confirm their placement is now a continuing care placement.</w:t>
      </w:r>
    </w:p>
    <w:p w14:paraId="599E9A4F" w14:textId="77777777" w:rsidR="004C458F" w:rsidRPr="0091553B" w:rsidRDefault="004C458F" w:rsidP="004C458F">
      <w:pPr>
        <w:rPr>
          <w:rFonts w:cs="Calibri"/>
          <w:b/>
          <w:bCs/>
        </w:rPr>
      </w:pPr>
    </w:p>
    <w:p w14:paraId="3492A2D7" w14:textId="77777777" w:rsidR="004C458F" w:rsidRPr="0091553B" w:rsidRDefault="004C458F" w:rsidP="004C458F">
      <w:pPr>
        <w:rPr>
          <w:rFonts w:cs="Calibri"/>
          <w:b/>
          <w:bCs/>
        </w:rPr>
      </w:pPr>
      <w:r w:rsidRPr="0091553B">
        <w:rPr>
          <w:rFonts w:cs="Calibri"/>
          <w:b/>
          <w:bCs/>
        </w:rPr>
        <w:t xml:space="preserve">Potential Outcomes and Actions following the completion of a Pathway – Initial Assessment </w:t>
      </w:r>
    </w:p>
    <w:p w14:paraId="787DD949" w14:textId="77777777" w:rsidR="004C458F" w:rsidRPr="0091553B" w:rsidRDefault="004C458F" w:rsidP="004C458F">
      <w:pPr>
        <w:rPr>
          <w:rFonts w:cs="Calibri"/>
        </w:rPr>
      </w:pPr>
      <w:r w:rsidRPr="0091553B">
        <w:rPr>
          <w:rFonts w:cs="Calibri"/>
        </w:rPr>
        <w:t>When the outcome of the Pathway – Initial Assessment is that a young person has decided that they wish to stay in their current care setting, potentially up to their 21st Birthday under Continuing Care then a full Pathway Assessment will be completed.</w:t>
      </w:r>
    </w:p>
    <w:p w14:paraId="0F05B4CB" w14:textId="77777777" w:rsidR="004C458F" w:rsidRPr="0091553B" w:rsidRDefault="004C458F" w:rsidP="004C458F">
      <w:pPr>
        <w:rPr>
          <w:rFonts w:cs="Calibri"/>
        </w:rPr>
      </w:pPr>
      <w:r w:rsidRPr="0091553B">
        <w:rPr>
          <w:rFonts w:cs="Calibri"/>
        </w:rPr>
        <w:t xml:space="preserve">This assessment should not be carried out until nearer the young person’s 17th birthday to progress the conversion of their placement to that of a Continuing Care placement. Please note: the date of this full Pathway and Welfare Assessment may need to be earlier if the young person is requesting Continuing Care begins between their 16th and 18th birthday. </w:t>
      </w:r>
    </w:p>
    <w:p w14:paraId="68F5792E" w14:textId="77777777" w:rsidR="004C458F" w:rsidRPr="0091553B" w:rsidRDefault="004C458F" w:rsidP="004C458F">
      <w:pPr>
        <w:rPr>
          <w:rFonts w:cs="Calibri"/>
        </w:rPr>
      </w:pPr>
      <w:r w:rsidRPr="0091553B">
        <w:rPr>
          <w:rFonts w:cs="Calibri"/>
        </w:rPr>
        <w:t xml:space="preserve">When the outcome of the Pathway Assessment is that a young person sees themselves only staying within their placement until their 18th birthday and is not requesting Continuing Care then a full Pathway Assessment will need to be completed following a young person’s 16th birthday. A Leaving Care team worker will take the lead in coordinating this assessment. </w:t>
      </w:r>
    </w:p>
    <w:p w14:paraId="2C36C4B6" w14:textId="77777777" w:rsidR="004C458F" w:rsidRPr="0091553B" w:rsidRDefault="004C458F" w:rsidP="004C458F">
      <w:pPr>
        <w:rPr>
          <w:rFonts w:cstheme="minorHAnsi"/>
          <w:b/>
        </w:rPr>
      </w:pPr>
      <w:r w:rsidRPr="0091553B">
        <w:rPr>
          <w:rFonts w:cs="Calibri"/>
        </w:rPr>
        <w:t xml:space="preserve">When the outcome of a Pathway Assessment is that a young person sees themselves leaving their placement at the age of 16, then a Leaving care team worker will be allocated to a young </w:t>
      </w:r>
      <w:proofErr w:type="gramStart"/>
      <w:r w:rsidRPr="0091553B">
        <w:rPr>
          <w:rFonts w:cs="Calibri"/>
        </w:rPr>
        <w:t>person</w:t>
      </w:r>
      <w:proofErr w:type="gramEnd"/>
      <w:r w:rsidRPr="0091553B">
        <w:rPr>
          <w:rFonts w:cs="Calibri"/>
        </w:rPr>
        <w:t xml:space="preserve"> and a full Pathway Assessment is to be completed to support the young person with their </w:t>
      </w:r>
      <w:proofErr w:type="gramStart"/>
      <w:r w:rsidRPr="0091553B">
        <w:rPr>
          <w:rFonts w:cs="Calibri"/>
        </w:rPr>
        <w:t>future</w:t>
      </w:r>
      <w:r w:rsidRPr="0091553B">
        <w:rPr>
          <w:rFonts w:cstheme="minorHAnsi"/>
          <w:b/>
        </w:rPr>
        <w:t xml:space="preserve"> </w:t>
      </w:r>
      <w:r w:rsidRPr="0091553B">
        <w:rPr>
          <w:rFonts w:eastAsia="Calibri" w:cstheme="minorHAnsi"/>
        </w:rPr>
        <w:t>plans</w:t>
      </w:r>
      <w:proofErr w:type="gramEnd"/>
      <w:r w:rsidRPr="0091553B">
        <w:rPr>
          <w:rFonts w:eastAsia="Calibri" w:cstheme="minorHAnsi"/>
        </w:rPr>
        <w:t>.</w:t>
      </w:r>
    </w:p>
    <w:p w14:paraId="4C253C47" w14:textId="77777777" w:rsidR="004C458F" w:rsidRPr="0091553B" w:rsidRDefault="004C458F" w:rsidP="004C458F">
      <w:pPr>
        <w:spacing w:after="0" w:line="240" w:lineRule="auto"/>
        <w:contextualSpacing/>
        <w:rPr>
          <w:rFonts w:eastAsia="Times New Roman" w:cstheme="minorHAnsi"/>
          <w:lang w:eastAsia="en-GB"/>
        </w:rPr>
      </w:pPr>
      <w:r w:rsidRPr="0091553B">
        <w:rPr>
          <w:rFonts w:eastAsia="Calibri" w:cstheme="minorHAnsi"/>
        </w:rPr>
        <w:lastRenderedPageBreak/>
        <w:t xml:space="preserve">The lead professional, young person and the carer will meet to draft a Continuing Care Placement Agreement. </w:t>
      </w:r>
    </w:p>
    <w:p w14:paraId="4B86588B" w14:textId="77777777" w:rsidR="004C458F" w:rsidRPr="0091553B" w:rsidRDefault="004C458F" w:rsidP="004C458F">
      <w:pPr>
        <w:spacing w:after="0" w:line="240" w:lineRule="auto"/>
        <w:contextualSpacing/>
        <w:rPr>
          <w:rFonts w:eastAsia="Times New Roman" w:cstheme="minorHAnsi"/>
          <w:lang w:eastAsia="en-GB"/>
        </w:rPr>
      </w:pPr>
    </w:p>
    <w:p w14:paraId="7BFFA3C9" w14:textId="77777777" w:rsidR="004C458F" w:rsidRPr="0091553B" w:rsidRDefault="004C458F" w:rsidP="004C458F">
      <w:pPr>
        <w:spacing w:after="200" w:line="276" w:lineRule="auto"/>
        <w:rPr>
          <w:rFonts w:eastAsia="Calibri" w:cstheme="minorHAnsi"/>
        </w:rPr>
      </w:pPr>
      <w:r w:rsidRPr="0091553B">
        <w:rPr>
          <w:rFonts w:eastAsia="Calibri" w:cstheme="minorHAnsi"/>
        </w:rPr>
        <w:t>The next scheduled looked after review will confirm the transfer to Continuing Care and having consideration of the full pathway assessment will schedule reviews annually thereafter.</w:t>
      </w:r>
    </w:p>
    <w:p w14:paraId="193B4750" w14:textId="752B7A13" w:rsidR="004C458F" w:rsidRPr="0091553B" w:rsidRDefault="004C458F" w:rsidP="004C458F">
      <w:pPr>
        <w:spacing w:after="200" w:line="276" w:lineRule="auto"/>
        <w:rPr>
          <w:rFonts w:eastAsia="Calibri" w:cstheme="minorHAnsi"/>
        </w:rPr>
      </w:pPr>
      <w:r w:rsidRPr="0091553B">
        <w:rPr>
          <w:rFonts w:eastAsia="Calibri" w:cstheme="minorHAnsi"/>
        </w:rPr>
        <w:t>CELCIS published an easy-to-follow flowchart aimed at practitioners and young people. It's a useful guide through the various processes that are followed as a young person begins to think about supported transition from care towards more independent living and young adulthood</w:t>
      </w:r>
      <w:r w:rsidR="00B943E2" w:rsidRPr="0091553B">
        <w:rPr>
          <w:rFonts w:eastAsia="Calibri" w:cstheme="minorHAnsi"/>
        </w:rPr>
        <w:t xml:space="preserve"> (see appendix 3)</w:t>
      </w:r>
    </w:p>
    <w:p w14:paraId="2CDE0463" w14:textId="77777777" w:rsidR="004C458F" w:rsidRPr="0091553B" w:rsidRDefault="004C458F" w:rsidP="004C458F">
      <w:pPr>
        <w:spacing w:after="200" w:line="276" w:lineRule="auto"/>
        <w:rPr>
          <w:rFonts w:eastAsia="Calibri" w:cstheme="minorHAnsi"/>
        </w:rPr>
      </w:pPr>
    </w:p>
    <w:p w14:paraId="22186F0D" w14:textId="77777777" w:rsidR="00B1441F" w:rsidRPr="0091553B" w:rsidRDefault="00B1441F" w:rsidP="004C458F">
      <w:pPr>
        <w:rPr>
          <w:rFonts w:cstheme="minorHAnsi"/>
          <w:b/>
        </w:rPr>
      </w:pPr>
    </w:p>
    <w:p w14:paraId="3F042A7B" w14:textId="77777777" w:rsidR="00B1441F" w:rsidRPr="0091553B" w:rsidRDefault="00B1441F" w:rsidP="004C458F">
      <w:pPr>
        <w:rPr>
          <w:rFonts w:cstheme="minorHAnsi"/>
          <w:b/>
        </w:rPr>
      </w:pPr>
    </w:p>
    <w:p w14:paraId="7C5E34E5" w14:textId="77777777" w:rsidR="00B1441F" w:rsidRPr="0091553B" w:rsidRDefault="00B1441F" w:rsidP="004C458F">
      <w:pPr>
        <w:rPr>
          <w:rFonts w:cstheme="minorHAnsi"/>
          <w:b/>
        </w:rPr>
      </w:pPr>
    </w:p>
    <w:p w14:paraId="7C463C8C" w14:textId="77777777" w:rsidR="00B1441F" w:rsidRPr="0091553B" w:rsidRDefault="00B1441F" w:rsidP="004C458F">
      <w:pPr>
        <w:rPr>
          <w:rFonts w:cstheme="minorHAnsi"/>
          <w:b/>
        </w:rPr>
      </w:pPr>
    </w:p>
    <w:p w14:paraId="30714149" w14:textId="77777777" w:rsidR="00B1441F" w:rsidRPr="0091553B" w:rsidRDefault="00B1441F" w:rsidP="004C458F">
      <w:pPr>
        <w:rPr>
          <w:rFonts w:cstheme="minorHAnsi"/>
          <w:b/>
        </w:rPr>
      </w:pPr>
    </w:p>
    <w:p w14:paraId="1E8D32A4" w14:textId="77777777" w:rsidR="00B1441F" w:rsidRPr="0091553B" w:rsidRDefault="00B1441F" w:rsidP="004C458F">
      <w:pPr>
        <w:rPr>
          <w:rFonts w:cstheme="minorHAnsi"/>
          <w:b/>
        </w:rPr>
      </w:pPr>
    </w:p>
    <w:p w14:paraId="0B42BCBB" w14:textId="77777777" w:rsidR="00B1441F" w:rsidRPr="0091553B" w:rsidRDefault="00B1441F" w:rsidP="004C458F">
      <w:pPr>
        <w:rPr>
          <w:rFonts w:cstheme="minorHAnsi"/>
          <w:b/>
        </w:rPr>
      </w:pPr>
    </w:p>
    <w:p w14:paraId="67A5DB40" w14:textId="77777777" w:rsidR="00B1441F" w:rsidRPr="0091553B" w:rsidRDefault="00B1441F" w:rsidP="004C458F">
      <w:pPr>
        <w:rPr>
          <w:rFonts w:cstheme="minorHAnsi"/>
          <w:b/>
        </w:rPr>
      </w:pPr>
    </w:p>
    <w:p w14:paraId="0277866A" w14:textId="77777777" w:rsidR="00B1441F" w:rsidRPr="0091553B" w:rsidRDefault="00B1441F" w:rsidP="004C458F">
      <w:pPr>
        <w:rPr>
          <w:rFonts w:cstheme="minorHAnsi"/>
          <w:b/>
        </w:rPr>
      </w:pPr>
    </w:p>
    <w:p w14:paraId="5CB4F27C" w14:textId="77777777" w:rsidR="00B1441F" w:rsidRPr="0091553B" w:rsidRDefault="00B1441F" w:rsidP="004C458F">
      <w:pPr>
        <w:rPr>
          <w:rFonts w:cstheme="minorHAnsi"/>
          <w:b/>
        </w:rPr>
      </w:pPr>
    </w:p>
    <w:p w14:paraId="0FE0402C" w14:textId="77777777" w:rsidR="00B1441F" w:rsidRPr="0091553B" w:rsidRDefault="00B1441F" w:rsidP="004C458F">
      <w:pPr>
        <w:rPr>
          <w:rFonts w:cstheme="minorHAnsi"/>
          <w:b/>
        </w:rPr>
      </w:pPr>
    </w:p>
    <w:p w14:paraId="16CE25EF" w14:textId="77777777" w:rsidR="00B1441F" w:rsidRPr="0091553B" w:rsidRDefault="00B1441F" w:rsidP="004C458F">
      <w:pPr>
        <w:rPr>
          <w:rFonts w:cstheme="minorHAnsi"/>
          <w:b/>
        </w:rPr>
      </w:pPr>
    </w:p>
    <w:p w14:paraId="679E2D0D" w14:textId="77777777" w:rsidR="00B1441F" w:rsidRPr="0091553B" w:rsidRDefault="00B1441F" w:rsidP="004C458F">
      <w:pPr>
        <w:rPr>
          <w:rFonts w:cstheme="minorHAnsi"/>
          <w:b/>
        </w:rPr>
      </w:pPr>
    </w:p>
    <w:p w14:paraId="59DB3876" w14:textId="77777777" w:rsidR="00B1441F" w:rsidRPr="0091553B" w:rsidRDefault="00B1441F" w:rsidP="004C458F">
      <w:pPr>
        <w:rPr>
          <w:rFonts w:cstheme="minorHAnsi"/>
          <w:b/>
        </w:rPr>
      </w:pPr>
    </w:p>
    <w:p w14:paraId="2E8F6744" w14:textId="77777777" w:rsidR="00B1441F" w:rsidRPr="0091553B" w:rsidRDefault="00B1441F" w:rsidP="004C458F">
      <w:pPr>
        <w:rPr>
          <w:rFonts w:cstheme="minorHAnsi"/>
          <w:b/>
        </w:rPr>
      </w:pPr>
    </w:p>
    <w:p w14:paraId="2471293D" w14:textId="77777777" w:rsidR="00B1441F" w:rsidRPr="0091553B" w:rsidRDefault="00B1441F" w:rsidP="004C458F">
      <w:pPr>
        <w:rPr>
          <w:rFonts w:cstheme="minorHAnsi"/>
          <w:b/>
        </w:rPr>
      </w:pPr>
    </w:p>
    <w:p w14:paraId="732D1C11" w14:textId="77777777" w:rsidR="00B1441F" w:rsidRPr="0091553B" w:rsidRDefault="00B1441F" w:rsidP="004C458F">
      <w:pPr>
        <w:rPr>
          <w:rFonts w:cstheme="minorHAnsi"/>
          <w:b/>
        </w:rPr>
      </w:pPr>
    </w:p>
    <w:p w14:paraId="5F35AC42" w14:textId="77777777" w:rsidR="00B1441F" w:rsidRPr="0091553B" w:rsidRDefault="00B1441F" w:rsidP="004C458F">
      <w:pPr>
        <w:rPr>
          <w:rFonts w:cstheme="minorHAnsi"/>
          <w:b/>
        </w:rPr>
      </w:pPr>
    </w:p>
    <w:p w14:paraId="0AF851EF" w14:textId="77777777" w:rsidR="00B1441F" w:rsidRPr="0091553B" w:rsidRDefault="00B1441F" w:rsidP="004C458F">
      <w:pPr>
        <w:rPr>
          <w:rFonts w:cstheme="minorHAnsi"/>
          <w:b/>
        </w:rPr>
      </w:pPr>
    </w:p>
    <w:p w14:paraId="0D925388" w14:textId="77777777" w:rsidR="0091553B" w:rsidRDefault="0091553B" w:rsidP="004C458F">
      <w:pPr>
        <w:rPr>
          <w:rFonts w:cstheme="minorHAnsi"/>
          <w:b/>
        </w:rPr>
      </w:pPr>
    </w:p>
    <w:p w14:paraId="5C5B1A5D" w14:textId="561F65D4" w:rsidR="004C458F" w:rsidRPr="0091553B" w:rsidRDefault="004C458F" w:rsidP="004C458F">
      <w:pPr>
        <w:rPr>
          <w:rFonts w:cstheme="minorHAnsi"/>
          <w:b/>
        </w:rPr>
      </w:pPr>
      <w:r w:rsidRPr="0091553B">
        <w:rPr>
          <w:rFonts w:cstheme="minorHAnsi"/>
          <w:b/>
        </w:rPr>
        <w:lastRenderedPageBreak/>
        <w:t>Section 7 – Case Responsibility</w:t>
      </w:r>
    </w:p>
    <w:p w14:paraId="2E0F37CE" w14:textId="77777777" w:rsidR="004C458F" w:rsidRPr="0091553B" w:rsidRDefault="004C458F" w:rsidP="004C458F">
      <w:pPr>
        <w:rPr>
          <w:rFonts w:cstheme="minorHAnsi"/>
        </w:rPr>
      </w:pPr>
      <w:r w:rsidRPr="0091553B">
        <w:rPr>
          <w:rFonts w:cstheme="minorHAnsi"/>
        </w:rPr>
        <w:t>Whilst a young person remains on a Compulsory Supervision Order, the Children &amp; Families social worker will be the lead professional.</w:t>
      </w:r>
    </w:p>
    <w:p w14:paraId="18DCA165" w14:textId="77777777" w:rsidR="004C458F" w:rsidRPr="0091553B" w:rsidRDefault="004C458F" w:rsidP="004C458F">
      <w:pPr>
        <w:rPr>
          <w:rFonts w:cstheme="minorHAnsi"/>
        </w:rPr>
      </w:pPr>
      <w:r w:rsidRPr="0091553B">
        <w:rPr>
          <w:rFonts w:cstheme="minorHAnsi"/>
        </w:rPr>
        <w:t>Young people subject to Permanence Orders and Section 25 will have their Children and Families social worker as lead Professional until they move into Continuing Care. The date of change will be confirmed by the Looked After Review.</w:t>
      </w:r>
    </w:p>
    <w:p w14:paraId="63286513" w14:textId="77777777" w:rsidR="004C458F" w:rsidRPr="0091553B" w:rsidRDefault="004C458F" w:rsidP="004C458F">
      <w:pPr>
        <w:rPr>
          <w:rFonts w:cstheme="minorHAnsi"/>
        </w:rPr>
      </w:pPr>
      <w:r w:rsidRPr="0091553B">
        <w:rPr>
          <w:rFonts w:cstheme="minorHAnsi"/>
        </w:rPr>
        <w:t xml:space="preserve">Within 6 weeks of the Looked After Review where Continuing Care was confirmed, the lead professional role will transfer to a worker in the Leaving Care Team (the young person will already be known to the Leaving Care Team and will have an allocated worker) and a case transfer meeting will take place with the young person. </w:t>
      </w:r>
    </w:p>
    <w:p w14:paraId="1FBA6B63" w14:textId="77777777" w:rsidR="004C458F" w:rsidRPr="0091553B" w:rsidRDefault="004C458F" w:rsidP="004C458F">
      <w:r w:rsidRPr="0091553B">
        <w:t xml:space="preserve">If the young person is subject to a Criminal Justice Order or an Adult Support and Protection Plan is in place, the social worker will continue to be the lead professional with support from the Leaving Care Team. </w:t>
      </w:r>
    </w:p>
    <w:p w14:paraId="4DB67481" w14:textId="77777777" w:rsidR="004C458F" w:rsidRPr="0091553B" w:rsidRDefault="004C458F" w:rsidP="004C458F"/>
    <w:p w14:paraId="6BA053E6" w14:textId="77777777" w:rsidR="004C458F" w:rsidRPr="0091553B" w:rsidRDefault="004C458F" w:rsidP="004C458F">
      <w:pPr>
        <w:rPr>
          <w:rFonts w:cstheme="minorHAnsi"/>
        </w:rPr>
      </w:pPr>
      <w:r w:rsidRPr="0091553B">
        <w:rPr>
          <w:rFonts w:cstheme="minorHAnsi"/>
        </w:rPr>
        <w:t>Young people who meet the eligibility criteria for SW Adult Services will remain within the Children and Families Service up to 18 years of age, and transition into Adult Social Work Services directly where adult eligibility criteria is met. If the assessment to determine eligibility and the suitable pathway is ongoing beyond the young person’s 18</w:t>
      </w:r>
      <w:r w:rsidRPr="0091553B">
        <w:rPr>
          <w:rFonts w:cstheme="minorHAnsi"/>
          <w:vertAlign w:val="superscript"/>
        </w:rPr>
        <w:t>th</w:t>
      </w:r>
      <w:r w:rsidRPr="0091553B">
        <w:rPr>
          <w:rFonts w:cstheme="minorHAnsi"/>
        </w:rPr>
        <w:t xml:space="preserve"> birthday, the lead professional role will not transfer from the Children and Families Service until the pathway is confirmed.  </w:t>
      </w:r>
    </w:p>
    <w:p w14:paraId="00BF92FF" w14:textId="77777777" w:rsidR="004C458F" w:rsidRPr="0091553B" w:rsidRDefault="004C458F" w:rsidP="004C458F">
      <w:pPr>
        <w:rPr>
          <w:rFonts w:cstheme="minorHAnsi"/>
        </w:rPr>
      </w:pPr>
    </w:p>
    <w:p w14:paraId="5076FE9A" w14:textId="77777777" w:rsidR="004C458F" w:rsidRPr="0091553B" w:rsidRDefault="004C458F" w:rsidP="004C458F">
      <w:pPr>
        <w:rPr>
          <w:rFonts w:cstheme="minorHAnsi"/>
          <w:b/>
        </w:rPr>
      </w:pPr>
    </w:p>
    <w:p w14:paraId="1D5DB2C3" w14:textId="77777777" w:rsidR="00B1441F" w:rsidRPr="0091553B" w:rsidRDefault="00B1441F" w:rsidP="004C458F">
      <w:pPr>
        <w:rPr>
          <w:rFonts w:cstheme="minorHAnsi"/>
          <w:b/>
        </w:rPr>
      </w:pPr>
    </w:p>
    <w:p w14:paraId="400DBCC8" w14:textId="77777777" w:rsidR="00B1441F" w:rsidRPr="0091553B" w:rsidRDefault="00B1441F" w:rsidP="004C458F">
      <w:pPr>
        <w:rPr>
          <w:rFonts w:cstheme="minorHAnsi"/>
          <w:b/>
        </w:rPr>
      </w:pPr>
    </w:p>
    <w:p w14:paraId="06B10859" w14:textId="77777777" w:rsidR="00B1441F" w:rsidRPr="0091553B" w:rsidRDefault="00B1441F" w:rsidP="004C458F">
      <w:pPr>
        <w:rPr>
          <w:rFonts w:cstheme="minorHAnsi"/>
          <w:b/>
        </w:rPr>
      </w:pPr>
    </w:p>
    <w:p w14:paraId="3D515EB3" w14:textId="77777777" w:rsidR="00B1441F" w:rsidRPr="0091553B" w:rsidRDefault="00B1441F" w:rsidP="004C458F">
      <w:pPr>
        <w:rPr>
          <w:rFonts w:cstheme="minorHAnsi"/>
          <w:b/>
        </w:rPr>
      </w:pPr>
    </w:p>
    <w:p w14:paraId="33A234C1" w14:textId="77777777" w:rsidR="00B1441F" w:rsidRPr="0091553B" w:rsidRDefault="00B1441F" w:rsidP="004C458F">
      <w:pPr>
        <w:rPr>
          <w:rFonts w:cstheme="minorHAnsi"/>
          <w:b/>
        </w:rPr>
      </w:pPr>
    </w:p>
    <w:p w14:paraId="432149E6" w14:textId="77777777" w:rsidR="00B1441F" w:rsidRPr="0091553B" w:rsidRDefault="00B1441F" w:rsidP="004C458F">
      <w:pPr>
        <w:rPr>
          <w:rFonts w:cstheme="minorHAnsi"/>
          <w:b/>
        </w:rPr>
      </w:pPr>
    </w:p>
    <w:p w14:paraId="4128A90D" w14:textId="77777777" w:rsidR="00B1441F" w:rsidRPr="0091553B" w:rsidRDefault="00B1441F" w:rsidP="004C458F">
      <w:pPr>
        <w:rPr>
          <w:rFonts w:cstheme="minorHAnsi"/>
          <w:b/>
        </w:rPr>
      </w:pPr>
    </w:p>
    <w:p w14:paraId="67F7A1E9" w14:textId="77777777" w:rsidR="00B1441F" w:rsidRPr="0091553B" w:rsidRDefault="00B1441F" w:rsidP="004C458F">
      <w:pPr>
        <w:rPr>
          <w:rFonts w:cstheme="minorHAnsi"/>
          <w:b/>
        </w:rPr>
      </w:pPr>
    </w:p>
    <w:p w14:paraId="29820E2E" w14:textId="77777777" w:rsidR="00B1441F" w:rsidRPr="0091553B" w:rsidRDefault="00B1441F" w:rsidP="004C458F">
      <w:pPr>
        <w:rPr>
          <w:rFonts w:cstheme="minorHAnsi"/>
          <w:b/>
        </w:rPr>
      </w:pPr>
    </w:p>
    <w:p w14:paraId="35E4BADB" w14:textId="77777777" w:rsidR="00B1441F" w:rsidRPr="0091553B" w:rsidRDefault="00B1441F" w:rsidP="004C458F">
      <w:pPr>
        <w:rPr>
          <w:rFonts w:cstheme="minorHAnsi"/>
          <w:b/>
        </w:rPr>
      </w:pPr>
    </w:p>
    <w:p w14:paraId="00123C1B" w14:textId="5AD8453A" w:rsidR="004C458F" w:rsidRPr="0091553B" w:rsidRDefault="004C458F" w:rsidP="004C458F">
      <w:pPr>
        <w:rPr>
          <w:rFonts w:cstheme="minorHAnsi"/>
          <w:b/>
        </w:rPr>
      </w:pPr>
      <w:r w:rsidRPr="0091553B">
        <w:rPr>
          <w:rFonts w:cstheme="minorHAnsi"/>
          <w:b/>
        </w:rPr>
        <w:lastRenderedPageBreak/>
        <w:t>Section 8 – Reviewing Continuing Care</w:t>
      </w:r>
    </w:p>
    <w:p w14:paraId="569894CD" w14:textId="77777777" w:rsidR="004C458F" w:rsidRPr="0091553B" w:rsidRDefault="004C458F" w:rsidP="004C458F">
      <w:pPr>
        <w:rPr>
          <w:rFonts w:cstheme="minorHAnsi"/>
        </w:rPr>
      </w:pPr>
      <w:r w:rsidRPr="0091553B">
        <w:rPr>
          <w:rFonts w:cstheme="minorHAnsi"/>
        </w:rPr>
        <w:t>To ensure consistency, a young person’s Continuing Care placement will be reviewed annually for the duration of their placement, with Team Around the Young Person meetings as required in between.</w:t>
      </w:r>
    </w:p>
    <w:p w14:paraId="369150C5" w14:textId="77777777" w:rsidR="004C458F" w:rsidRPr="0091553B" w:rsidRDefault="004C458F" w:rsidP="004C458F">
      <w:pPr>
        <w:rPr>
          <w:rFonts w:cstheme="minorHAnsi"/>
        </w:rPr>
      </w:pPr>
      <w:r w:rsidRPr="0091553B">
        <w:rPr>
          <w:rFonts w:cstheme="minorHAnsi"/>
        </w:rPr>
        <w:t>Continuing Care Reviews should only take place when the young person is present.</w:t>
      </w:r>
    </w:p>
    <w:p w14:paraId="7FD463F0" w14:textId="77777777" w:rsidR="004C458F" w:rsidRPr="0091553B" w:rsidRDefault="004C458F" w:rsidP="004C458F">
      <w:pPr>
        <w:rPr>
          <w:rFonts w:cstheme="minorHAnsi"/>
        </w:rPr>
      </w:pPr>
      <w:r w:rsidRPr="0091553B">
        <w:rPr>
          <w:rFonts w:cstheme="minorHAnsi"/>
        </w:rPr>
        <w:t>Continuing Care Reviews will be:</w:t>
      </w:r>
    </w:p>
    <w:p w14:paraId="120AEE3E" w14:textId="77777777" w:rsidR="004C458F" w:rsidRPr="0091553B" w:rsidRDefault="004C458F" w:rsidP="004C458F">
      <w:pPr>
        <w:pStyle w:val="ListParagraph"/>
        <w:numPr>
          <w:ilvl w:val="0"/>
          <w:numId w:val="8"/>
        </w:numPr>
        <w:spacing w:after="0" w:line="240" w:lineRule="auto"/>
        <w:rPr>
          <w:rFonts w:cstheme="minorHAnsi"/>
        </w:rPr>
      </w:pPr>
      <w:r w:rsidRPr="0091553B">
        <w:rPr>
          <w:rFonts w:cstheme="minorHAnsi"/>
        </w:rPr>
        <w:t>Held at least annually but more frequently if the plan and placement is complex</w:t>
      </w:r>
    </w:p>
    <w:p w14:paraId="48628455" w14:textId="77777777" w:rsidR="004C458F" w:rsidRPr="0091553B" w:rsidRDefault="004C458F" w:rsidP="004C458F">
      <w:pPr>
        <w:pStyle w:val="ListParagraph"/>
        <w:numPr>
          <w:ilvl w:val="0"/>
          <w:numId w:val="7"/>
        </w:numPr>
        <w:spacing w:after="0" w:line="240" w:lineRule="auto"/>
        <w:rPr>
          <w:rFonts w:cstheme="minorHAnsi"/>
        </w:rPr>
      </w:pPr>
      <w:r w:rsidRPr="0091553B">
        <w:rPr>
          <w:rFonts w:cstheme="minorHAnsi"/>
        </w:rPr>
        <w:t>Co-ordinated by the Leaving Care Team</w:t>
      </w:r>
    </w:p>
    <w:p w14:paraId="067B997C" w14:textId="77777777" w:rsidR="004C458F" w:rsidRPr="0091553B" w:rsidRDefault="004C458F" w:rsidP="004C458F">
      <w:pPr>
        <w:pStyle w:val="ListParagraph"/>
        <w:numPr>
          <w:ilvl w:val="0"/>
          <w:numId w:val="7"/>
        </w:numPr>
        <w:spacing w:after="0" w:line="240" w:lineRule="auto"/>
        <w:rPr>
          <w:rFonts w:cstheme="minorHAnsi"/>
        </w:rPr>
      </w:pPr>
      <w:r w:rsidRPr="0091553B">
        <w:rPr>
          <w:rFonts w:cstheme="minorHAnsi"/>
        </w:rPr>
        <w:t xml:space="preserve">Chaired by a Child Care Review Coordinator </w:t>
      </w:r>
    </w:p>
    <w:p w14:paraId="4EBBCD0A" w14:textId="77777777" w:rsidR="004C458F" w:rsidRPr="0091553B" w:rsidRDefault="004C458F" w:rsidP="004C458F">
      <w:pPr>
        <w:pStyle w:val="ListParagraph"/>
        <w:numPr>
          <w:ilvl w:val="0"/>
          <w:numId w:val="7"/>
        </w:numPr>
        <w:spacing w:after="0" w:line="240" w:lineRule="auto"/>
        <w:rPr>
          <w:rFonts w:cstheme="minorHAnsi"/>
        </w:rPr>
      </w:pPr>
      <w:r w:rsidRPr="0091553B">
        <w:rPr>
          <w:rFonts w:cstheme="minorHAnsi"/>
        </w:rPr>
        <w:t xml:space="preserve">Informed by pathways assessment and </w:t>
      </w:r>
      <w:proofErr w:type="gramStart"/>
      <w:r w:rsidRPr="0091553B">
        <w:rPr>
          <w:rFonts w:cstheme="minorHAnsi"/>
        </w:rPr>
        <w:t>future plan</w:t>
      </w:r>
      <w:proofErr w:type="gramEnd"/>
    </w:p>
    <w:p w14:paraId="15B5CBCE" w14:textId="77777777" w:rsidR="004C458F" w:rsidRPr="0091553B" w:rsidRDefault="004C458F" w:rsidP="004C458F">
      <w:pPr>
        <w:pStyle w:val="ListParagraph"/>
        <w:numPr>
          <w:ilvl w:val="0"/>
          <w:numId w:val="7"/>
        </w:numPr>
        <w:spacing w:after="0" w:line="240" w:lineRule="auto"/>
        <w:rPr>
          <w:rFonts w:cstheme="minorHAnsi"/>
        </w:rPr>
      </w:pPr>
      <w:r w:rsidRPr="0091553B">
        <w:rPr>
          <w:rFonts w:cstheme="minorHAnsi"/>
        </w:rPr>
        <w:t>Attended by all people considered relevant by the young person</w:t>
      </w:r>
    </w:p>
    <w:p w14:paraId="7A586923" w14:textId="77777777" w:rsidR="004C458F" w:rsidRPr="0091553B" w:rsidRDefault="004C458F" w:rsidP="004C458F">
      <w:pPr>
        <w:pStyle w:val="ListParagraph"/>
        <w:rPr>
          <w:rFonts w:cstheme="minorHAnsi"/>
        </w:rPr>
      </w:pPr>
    </w:p>
    <w:p w14:paraId="2CC6529C" w14:textId="77777777" w:rsidR="004C458F" w:rsidRPr="0091553B" w:rsidRDefault="004C458F" w:rsidP="004C458F">
      <w:pPr>
        <w:rPr>
          <w:rFonts w:cstheme="minorHAnsi"/>
        </w:rPr>
      </w:pPr>
      <w:r w:rsidRPr="0091553B">
        <w:rPr>
          <w:rFonts w:cstheme="minorHAnsi"/>
        </w:rPr>
        <w:t>The pathways assessment and plan will be completed by the allocated worker and should describe the following:</w:t>
      </w:r>
    </w:p>
    <w:p w14:paraId="4F5BFDEB" w14:textId="77777777" w:rsidR="004C458F" w:rsidRPr="0091553B" w:rsidRDefault="004C458F" w:rsidP="004C458F">
      <w:pPr>
        <w:pStyle w:val="ListParagraph"/>
        <w:numPr>
          <w:ilvl w:val="0"/>
          <w:numId w:val="6"/>
        </w:numPr>
        <w:spacing w:after="0" w:line="240" w:lineRule="auto"/>
        <w:rPr>
          <w:rFonts w:cstheme="minorHAnsi"/>
        </w:rPr>
      </w:pPr>
      <w:r w:rsidRPr="0091553B">
        <w:rPr>
          <w:rFonts w:cstheme="minorHAnsi"/>
        </w:rPr>
        <w:t>Whether and how the Continuing Care Agreement is meeting the needs of the young person in relation to the 8 wellbeing indicators</w:t>
      </w:r>
    </w:p>
    <w:p w14:paraId="1728F2A5" w14:textId="77777777" w:rsidR="004C458F" w:rsidRPr="0091553B" w:rsidRDefault="004C458F" w:rsidP="004C458F">
      <w:pPr>
        <w:pStyle w:val="ListParagraph"/>
        <w:numPr>
          <w:ilvl w:val="0"/>
          <w:numId w:val="6"/>
        </w:numPr>
        <w:spacing w:after="0" w:line="240" w:lineRule="auto"/>
        <w:rPr>
          <w:rFonts w:cstheme="minorHAnsi"/>
        </w:rPr>
      </w:pPr>
      <w:r w:rsidRPr="0091553B">
        <w:rPr>
          <w:rFonts w:cstheme="minorHAnsi"/>
        </w:rPr>
        <w:t>If a placement is at risk, a detailed contingency plan and what actions can be taken to safeguard the placement</w:t>
      </w:r>
    </w:p>
    <w:p w14:paraId="18F1685B" w14:textId="77777777" w:rsidR="004C458F" w:rsidRPr="0091553B" w:rsidRDefault="004C458F" w:rsidP="004C458F">
      <w:pPr>
        <w:pStyle w:val="ListParagraph"/>
        <w:numPr>
          <w:ilvl w:val="0"/>
          <w:numId w:val="6"/>
        </w:numPr>
        <w:spacing w:after="0" w:line="240" w:lineRule="auto"/>
        <w:rPr>
          <w:rFonts w:cstheme="minorHAnsi"/>
        </w:rPr>
      </w:pPr>
      <w:r w:rsidRPr="0091553B">
        <w:rPr>
          <w:rFonts w:cstheme="minorHAnsi"/>
        </w:rPr>
        <w:t>The young person’s views and involvement in the pathways assessment and review</w:t>
      </w:r>
    </w:p>
    <w:p w14:paraId="003D1852" w14:textId="77777777" w:rsidR="004C458F" w:rsidRPr="0091553B" w:rsidRDefault="004C458F" w:rsidP="004C458F">
      <w:pPr>
        <w:pStyle w:val="ListParagraph"/>
        <w:numPr>
          <w:ilvl w:val="0"/>
          <w:numId w:val="6"/>
        </w:numPr>
        <w:spacing w:after="0" w:line="240" w:lineRule="auto"/>
        <w:rPr>
          <w:rFonts w:cstheme="minorHAnsi"/>
        </w:rPr>
      </w:pPr>
      <w:r w:rsidRPr="0091553B">
        <w:rPr>
          <w:rFonts w:cstheme="minorHAnsi"/>
        </w:rPr>
        <w:t>How independent skills are being developed and agreed outcomes are being met</w:t>
      </w:r>
    </w:p>
    <w:p w14:paraId="42DAAA2D" w14:textId="77777777" w:rsidR="004C458F" w:rsidRPr="0091553B" w:rsidRDefault="004C458F" w:rsidP="004C458F">
      <w:pPr>
        <w:ind w:left="360"/>
        <w:rPr>
          <w:rFonts w:cstheme="minorHAnsi"/>
          <w:color w:val="FF0000"/>
        </w:rPr>
      </w:pPr>
      <w:r w:rsidRPr="0091553B">
        <w:rPr>
          <w:rFonts w:cstheme="minorHAnsi"/>
          <w:color w:val="FF0000"/>
        </w:rPr>
        <w:t xml:space="preserve"> </w:t>
      </w:r>
    </w:p>
    <w:p w14:paraId="59BF5684" w14:textId="77777777" w:rsidR="004C458F" w:rsidRPr="0091553B" w:rsidRDefault="004C458F" w:rsidP="004C458F">
      <w:pPr>
        <w:rPr>
          <w:rFonts w:cstheme="minorHAnsi"/>
        </w:rPr>
      </w:pPr>
      <w:r w:rsidRPr="0091553B">
        <w:rPr>
          <w:rFonts w:cstheme="minorHAnsi"/>
        </w:rPr>
        <w:t>Young people in Continuing Care should be at the centre of their Review. The lead professional must work with the young person to ensure the review meets their needs and wishes.</w:t>
      </w:r>
    </w:p>
    <w:p w14:paraId="1C66E9D6" w14:textId="77777777" w:rsidR="004C458F" w:rsidRPr="0091553B" w:rsidRDefault="004C458F" w:rsidP="004C458F">
      <w:pPr>
        <w:rPr>
          <w:rFonts w:cstheme="minorHAnsi"/>
        </w:rPr>
      </w:pPr>
      <w:r w:rsidRPr="0091553B">
        <w:rPr>
          <w:rFonts w:cstheme="minorHAnsi"/>
        </w:rPr>
        <w:t>The Continuing Care Review will amend the Continuing Care and Welfare assessment to ensure that the young person is encouraged, enabled and empowered to develop their readiness and willingness to move onto independent living.</w:t>
      </w:r>
    </w:p>
    <w:p w14:paraId="33256F17" w14:textId="77777777" w:rsidR="004C458F" w:rsidRPr="0091553B" w:rsidRDefault="004C458F" w:rsidP="004C458F">
      <w:pPr>
        <w:rPr>
          <w:rFonts w:cstheme="minorHAnsi"/>
          <w:i/>
        </w:rPr>
      </w:pPr>
    </w:p>
    <w:p w14:paraId="34DDD0A9" w14:textId="77777777" w:rsidR="00B1441F" w:rsidRPr="0091553B" w:rsidRDefault="00B1441F" w:rsidP="004C458F">
      <w:pPr>
        <w:rPr>
          <w:rFonts w:cstheme="minorHAnsi"/>
          <w:b/>
        </w:rPr>
      </w:pPr>
    </w:p>
    <w:p w14:paraId="15CDCA52" w14:textId="77777777" w:rsidR="00B1441F" w:rsidRPr="0091553B" w:rsidRDefault="00B1441F" w:rsidP="004C458F">
      <w:pPr>
        <w:rPr>
          <w:rFonts w:cstheme="minorHAnsi"/>
          <w:b/>
        </w:rPr>
      </w:pPr>
    </w:p>
    <w:p w14:paraId="6A5A91CA" w14:textId="77777777" w:rsidR="00B1441F" w:rsidRPr="0091553B" w:rsidRDefault="00B1441F" w:rsidP="004C458F">
      <w:pPr>
        <w:rPr>
          <w:rFonts w:cstheme="minorHAnsi"/>
          <w:b/>
        </w:rPr>
      </w:pPr>
    </w:p>
    <w:p w14:paraId="6F3D2476" w14:textId="77777777" w:rsidR="00B1441F" w:rsidRPr="0091553B" w:rsidRDefault="00B1441F" w:rsidP="004C458F">
      <w:pPr>
        <w:rPr>
          <w:rFonts w:cstheme="minorHAnsi"/>
          <w:b/>
        </w:rPr>
      </w:pPr>
    </w:p>
    <w:p w14:paraId="56940003" w14:textId="77777777" w:rsidR="00B1441F" w:rsidRPr="0091553B" w:rsidRDefault="00B1441F" w:rsidP="004C458F">
      <w:pPr>
        <w:rPr>
          <w:rFonts w:cstheme="minorHAnsi"/>
          <w:b/>
        </w:rPr>
      </w:pPr>
    </w:p>
    <w:p w14:paraId="5E04F617" w14:textId="77777777" w:rsidR="0091553B" w:rsidRDefault="0091553B" w:rsidP="004C458F">
      <w:pPr>
        <w:rPr>
          <w:rFonts w:cstheme="minorHAnsi"/>
          <w:b/>
        </w:rPr>
      </w:pPr>
    </w:p>
    <w:p w14:paraId="3E238F9C" w14:textId="1DE4650A" w:rsidR="004C458F" w:rsidRPr="0091553B" w:rsidRDefault="00B1441F" w:rsidP="004C458F">
      <w:pPr>
        <w:rPr>
          <w:rFonts w:cstheme="minorHAnsi"/>
          <w:b/>
        </w:rPr>
      </w:pPr>
      <w:r w:rsidRPr="0091553B">
        <w:rPr>
          <w:rFonts w:cstheme="minorHAnsi"/>
          <w:b/>
        </w:rPr>
        <w:lastRenderedPageBreak/>
        <w:t xml:space="preserve">Section 9 </w:t>
      </w:r>
      <w:r w:rsidR="004C458F" w:rsidRPr="0091553B">
        <w:rPr>
          <w:rFonts w:cstheme="minorHAnsi"/>
          <w:b/>
        </w:rPr>
        <w:t>Continuing Care allowances</w:t>
      </w:r>
    </w:p>
    <w:p w14:paraId="75492DBC" w14:textId="77777777" w:rsidR="004C458F" w:rsidRPr="0091553B" w:rsidRDefault="004C458F" w:rsidP="004C458F">
      <w:r w:rsidRPr="0091553B">
        <w:t xml:space="preserve">Young people over the age of 18 will be in a receipt of an income from work, training/ education or benefits.  How much they contribute towards their care will depend on their individual circumstances and will be included within the Continuing Care Placement Agreement.   </w:t>
      </w:r>
    </w:p>
    <w:p w14:paraId="4CEF9958" w14:textId="77777777" w:rsidR="004C458F" w:rsidRPr="0091553B" w:rsidRDefault="004C458F" w:rsidP="004C458F">
      <w:r w:rsidRPr="0091553B">
        <w:t xml:space="preserve">There are financial procedures in place for young people aged 16 plus which staff should familiarise themselves with. </w:t>
      </w:r>
    </w:p>
    <w:p w14:paraId="41733D7A" w14:textId="47A7747E" w:rsidR="004C458F" w:rsidRPr="0091553B" w:rsidRDefault="004C458F" w:rsidP="004C458F">
      <w:pPr>
        <w:rPr>
          <w:color w:val="FF0000"/>
        </w:rPr>
      </w:pPr>
      <w:r w:rsidRPr="0091553B">
        <w:t>There are ongoing allowances for foster carers and kinship carers when a young person moves into continuing care.</w:t>
      </w:r>
      <w:r w:rsidRPr="0091553B">
        <w:rPr>
          <w:color w:val="FF0000"/>
        </w:rPr>
        <w:t xml:space="preserve"> </w:t>
      </w:r>
    </w:p>
    <w:p w14:paraId="7D0A47A2" w14:textId="77777777" w:rsidR="004C458F" w:rsidRPr="0091553B" w:rsidRDefault="004C458F" w:rsidP="004C458F">
      <w:pPr>
        <w:tabs>
          <w:tab w:val="left" w:pos="5970"/>
        </w:tabs>
        <w:rPr>
          <w:rFonts w:cstheme="minorHAnsi"/>
        </w:rPr>
      </w:pPr>
    </w:p>
    <w:p w14:paraId="6D3D8924" w14:textId="77777777" w:rsidR="00B1441F" w:rsidRPr="0091553B" w:rsidRDefault="00B1441F" w:rsidP="004C458F">
      <w:pPr>
        <w:rPr>
          <w:rFonts w:cstheme="minorHAnsi"/>
          <w:b/>
        </w:rPr>
      </w:pPr>
    </w:p>
    <w:p w14:paraId="157666B3" w14:textId="77777777" w:rsidR="00B1441F" w:rsidRPr="0091553B" w:rsidRDefault="00B1441F" w:rsidP="004C458F">
      <w:pPr>
        <w:rPr>
          <w:rFonts w:cstheme="minorHAnsi"/>
          <w:b/>
        </w:rPr>
      </w:pPr>
    </w:p>
    <w:p w14:paraId="36614AFB" w14:textId="77777777" w:rsidR="00B1441F" w:rsidRPr="0091553B" w:rsidRDefault="00B1441F" w:rsidP="004C458F">
      <w:pPr>
        <w:rPr>
          <w:rFonts w:cstheme="minorHAnsi"/>
          <w:b/>
        </w:rPr>
      </w:pPr>
    </w:p>
    <w:p w14:paraId="34D01B56" w14:textId="77777777" w:rsidR="00B1441F" w:rsidRPr="0091553B" w:rsidRDefault="00B1441F" w:rsidP="004C458F">
      <w:pPr>
        <w:rPr>
          <w:rFonts w:cstheme="minorHAnsi"/>
          <w:b/>
        </w:rPr>
      </w:pPr>
    </w:p>
    <w:p w14:paraId="05E89203" w14:textId="77777777" w:rsidR="00B1441F" w:rsidRPr="0091553B" w:rsidRDefault="00B1441F" w:rsidP="004C458F">
      <w:pPr>
        <w:rPr>
          <w:rFonts w:cstheme="minorHAnsi"/>
          <w:b/>
        </w:rPr>
      </w:pPr>
    </w:p>
    <w:p w14:paraId="2773820A" w14:textId="77777777" w:rsidR="00B1441F" w:rsidRPr="0091553B" w:rsidRDefault="00B1441F" w:rsidP="004C458F">
      <w:pPr>
        <w:rPr>
          <w:rFonts w:cstheme="minorHAnsi"/>
          <w:b/>
        </w:rPr>
      </w:pPr>
    </w:p>
    <w:p w14:paraId="4D92AD83" w14:textId="77777777" w:rsidR="00B1441F" w:rsidRPr="0091553B" w:rsidRDefault="00B1441F" w:rsidP="004C458F">
      <w:pPr>
        <w:rPr>
          <w:rFonts w:cstheme="minorHAnsi"/>
          <w:b/>
        </w:rPr>
      </w:pPr>
    </w:p>
    <w:p w14:paraId="0B2BE75D" w14:textId="77777777" w:rsidR="00B1441F" w:rsidRPr="0091553B" w:rsidRDefault="00B1441F" w:rsidP="004C458F">
      <w:pPr>
        <w:rPr>
          <w:rFonts w:cstheme="minorHAnsi"/>
          <w:b/>
        </w:rPr>
      </w:pPr>
    </w:p>
    <w:p w14:paraId="702D2FAE" w14:textId="77777777" w:rsidR="00B1441F" w:rsidRPr="0091553B" w:rsidRDefault="00B1441F" w:rsidP="004C458F">
      <w:pPr>
        <w:rPr>
          <w:rFonts w:cstheme="minorHAnsi"/>
          <w:b/>
        </w:rPr>
      </w:pPr>
    </w:p>
    <w:p w14:paraId="459DFEA2" w14:textId="77777777" w:rsidR="00B1441F" w:rsidRPr="0091553B" w:rsidRDefault="00B1441F" w:rsidP="004C458F">
      <w:pPr>
        <w:rPr>
          <w:rFonts w:cstheme="minorHAnsi"/>
          <w:b/>
        </w:rPr>
      </w:pPr>
    </w:p>
    <w:p w14:paraId="4AE4FB3D" w14:textId="77777777" w:rsidR="00B1441F" w:rsidRPr="0091553B" w:rsidRDefault="00B1441F" w:rsidP="004C458F">
      <w:pPr>
        <w:rPr>
          <w:rFonts w:cstheme="minorHAnsi"/>
          <w:b/>
        </w:rPr>
      </w:pPr>
    </w:p>
    <w:p w14:paraId="564085E3" w14:textId="77777777" w:rsidR="00B1441F" w:rsidRPr="0091553B" w:rsidRDefault="00B1441F" w:rsidP="004C458F">
      <w:pPr>
        <w:rPr>
          <w:rFonts w:cstheme="minorHAnsi"/>
          <w:b/>
        </w:rPr>
      </w:pPr>
    </w:p>
    <w:p w14:paraId="0600B41B" w14:textId="77777777" w:rsidR="00B1441F" w:rsidRPr="0091553B" w:rsidRDefault="00B1441F" w:rsidP="004C458F">
      <w:pPr>
        <w:rPr>
          <w:rFonts w:cstheme="minorHAnsi"/>
          <w:b/>
        </w:rPr>
      </w:pPr>
    </w:p>
    <w:p w14:paraId="7554498A" w14:textId="77777777" w:rsidR="00B1441F" w:rsidRPr="0091553B" w:rsidRDefault="00B1441F" w:rsidP="004C458F">
      <w:pPr>
        <w:rPr>
          <w:rFonts w:cstheme="minorHAnsi"/>
          <w:b/>
        </w:rPr>
      </w:pPr>
    </w:p>
    <w:p w14:paraId="462DDCB6" w14:textId="77777777" w:rsidR="00B1441F" w:rsidRPr="0091553B" w:rsidRDefault="00B1441F" w:rsidP="004C458F">
      <w:pPr>
        <w:rPr>
          <w:rFonts w:cstheme="minorHAnsi"/>
          <w:b/>
        </w:rPr>
      </w:pPr>
    </w:p>
    <w:p w14:paraId="0628AF0D" w14:textId="77777777" w:rsidR="00B1441F" w:rsidRPr="0091553B" w:rsidRDefault="00B1441F" w:rsidP="004C458F">
      <w:pPr>
        <w:rPr>
          <w:rFonts w:cstheme="minorHAnsi"/>
          <w:b/>
        </w:rPr>
      </w:pPr>
    </w:p>
    <w:p w14:paraId="0CD303D5" w14:textId="77777777" w:rsidR="00B1441F" w:rsidRPr="0091553B" w:rsidRDefault="00B1441F" w:rsidP="004C458F">
      <w:pPr>
        <w:rPr>
          <w:rFonts w:cstheme="minorHAnsi"/>
          <w:b/>
        </w:rPr>
      </w:pPr>
    </w:p>
    <w:p w14:paraId="30F50D28" w14:textId="77777777" w:rsidR="00B1441F" w:rsidRPr="0091553B" w:rsidRDefault="00B1441F" w:rsidP="004C458F">
      <w:pPr>
        <w:rPr>
          <w:rFonts w:cstheme="minorHAnsi"/>
          <w:b/>
        </w:rPr>
      </w:pPr>
    </w:p>
    <w:p w14:paraId="479142E3" w14:textId="77777777" w:rsidR="00B1441F" w:rsidRPr="0091553B" w:rsidRDefault="00B1441F" w:rsidP="004C458F">
      <w:pPr>
        <w:rPr>
          <w:rFonts w:cstheme="minorHAnsi"/>
          <w:b/>
        </w:rPr>
      </w:pPr>
    </w:p>
    <w:p w14:paraId="0E6B1BA6" w14:textId="44067A5E" w:rsidR="004C458F" w:rsidRPr="0091553B" w:rsidRDefault="004C458F" w:rsidP="004C458F">
      <w:pPr>
        <w:rPr>
          <w:rFonts w:cs="Calibri"/>
          <w:b/>
          <w:bCs/>
        </w:rPr>
      </w:pPr>
      <w:r w:rsidRPr="0091553B">
        <w:rPr>
          <w:rFonts w:cstheme="minorHAnsi"/>
          <w:b/>
        </w:rPr>
        <w:lastRenderedPageBreak/>
        <w:t xml:space="preserve">Section </w:t>
      </w:r>
      <w:r w:rsidR="00B1441F" w:rsidRPr="0091553B">
        <w:rPr>
          <w:rFonts w:cstheme="minorHAnsi"/>
          <w:b/>
        </w:rPr>
        <w:t>10</w:t>
      </w:r>
      <w:r w:rsidRPr="0091553B">
        <w:rPr>
          <w:rFonts w:cstheme="minorHAnsi"/>
          <w:b/>
        </w:rPr>
        <w:t xml:space="preserve"> – Managing the </w:t>
      </w:r>
      <w:r w:rsidRPr="0091553B">
        <w:rPr>
          <w:rFonts w:cs="Calibri"/>
          <w:b/>
          <w:bCs/>
        </w:rPr>
        <w:t xml:space="preserve">ending of a Continuing Care placement </w:t>
      </w:r>
    </w:p>
    <w:p w14:paraId="3E106448" w14:textId="77777777" w:rsidR="004C458F" w:rsidRPr="0091553B" w:rsidRDefault="004C458F" w:rsidP="004C458F">
      <w:pPr>
        <w:tabs>
          <w:tab w:val="left" w:pos="5970"/>
        </w:tabs>
        <w:rPr>
          <w:rFonts w:cstheme="minorHAnsi"/>
          <w:b/>
        </w:rPr>
      </w:pPr>
    </w:p>
    <w:p w14:paraId="15E3E1BF" w14:textId="77777777" w:rsidR="004C458F" w:rsidRPr="0091553B" w:rsidRDefault="004C458F" w:rsidP="004C458F">
      <w:pPr>
        <w:rPr>
          <w:rFonts w:cs="Calibri"/>
        </w:rPr>
      </w:pPr>
      <w:r w:rsidRPr="0091553B">
        <w:rPr>
          <w:rFonts w:cs="Calibri"/>
        </w:rPr>
        <w:t xml:space="preserve">The placement will end if: </w:t>
      </w:r>
    </w:p>
    <w:p w14:paraId="625809B7" w14:textId="77777777" w:rsidR="004C458F" w:rsidRPr="0091553B" w:rsidRDefault="004C458F" w:rsidP="004C458F">
      <w:pPr>
        <w:rPr>
          <w:rFonts w:cs="Calibri"/>
        </w:rPr>
      </w:pPr>
      <w:r w:rsidRPr="0091553B">
        <w:rPr>
          <w:rFonts w:cs="Calibri"/>
        </w:rPr>
        <w:t xml:space="preserve">1. the young person chooses to leave the placement </w:t>
      </w:r>
    </w:p>
    <w:p w14:paraId="6679AD8F" w14:textId="77777777" w:rsidR="004C458F" w:rsidRPr="0091553B" w:rsidRDefault="004C458F" w:rsidP="004C458F">
      <w:pPr>
        <w:rPr>
          <w:rFonts w:cs="Calibri"/>
        </w:rPr>
      </w:pPr>
      <w:r w:rsidRPr="0091553B">
        <w:rPr>
          <w:rFonts w:cs="Calibri"/>
        </w:rPr>
        <w:t xml:space="preserve">2. the accommodation ceases to be available </w:t>
      </w:r>
    </w:p>
    <w:p w14:paraId="65043F5B" w14:textId="77777777" w:rsidR="004C458F" w:rsidRPr="0091553B" w:rsidRDefault="004C458F" w:rsidP="004C458F">
      <w:pPr>
        <w:rPr>
          <w:rFonts w:cs="Calibri"/>
        </w:rPr>
      </w:pPr>
      <w:r w:rsidRPr="0091553B">
        <w:rPr>
          <w:rFonts w:cs="Calibri"/>
        </w:rPr>
        <w:t xml:space="preserve">3. the LA consider that providing the care would significantly adversely affect the welfare of the person. </w:t>
      </w:r>
    </w:p>
    <w:p w14:paraId="6EFF824A" w14:textId="77777777" w:rsidR="004C458F" w:rsidRPr="0091553B" w:rsidRDefault="004C458F" w:rsidP="004C458F">
      <w:pPr>
        <w:rPr>
          <w:rFonts w:cs="Calibri"/>
        </w:rPr>
      </w:pPr>
      <w:r w:rsidRPr="0091553B">
        <w:rPr>
          <w:rFonts w:cs="Calibri"/>
        </w:rPr>
        <w:t>4. The young person reaches the age of 21 and remains within their continuing care placement</w:t>
      </w:r>
      <w:r w:rsidRPr="0091553B">
        <w:rPr>
          <w:rFonts w:cstheme="minorHAnsi"/>
        </w:rPr>
        <w:t xml:space="preserve"> in line with S26 (a) (7) of the Children (Scotland) Act 1995</w:t>
      </w:r>
      <w:r w:rsidRPr="0091553B">
        <w:rPr>
          <w:rFonts w:cs="Calibri"/>
        </w:rPr>
        <w:t xml:space="preserve">. </w:t>
      </w:r>
    </w:p>
    <w:p w14:paraId="5B3630DD" w14:textId="77777777" w:rsidR="004C458F" w:rsidRPr="0091553B" w:rsidRDefault="004C458F" w:rsidP="004C458F">
      <w:pPr>
        <w:rPr>
          <w:rFonts w:cs="Calibri"/>
        </w:rPr>
      </w:pPr>
    </w:p>
    <w:p w14:paraId="48FD8259" w14:textId="77777777" w:rsidR="004C458F" w:rsidRPr="0091553B" w:rsidRDefault="004C458F" w:rsidP="004C458F">
      <w:pPr>
        <w:rPr>
          <w:rFonts w:cs="Calibri"/>
        </w:rPr>
      </w:pPr>
      <w:r w:rsidRPr="0091553B">
        <w:rPr>
          <w:rFonts w:cs="Calibri"/>
        </w:rPr>
        <w:t xml:space="preserve">This should be agreed </w:t>
      </w:r>
      <w:r w:rsidRPr="0091553B">
        <w:rPr>
          <w:rFonts w:cstheme="minorHAnsi"/>
        </w:rPr>
        <w:t>formally via a continuing care review.</w:t>
      </w:r>
    </w:p>
    <w:p w14:paraId="407E7808" w14:textId="77777777" w:rsidR="004C458F" w:rsidRPr="0091553B" w:rsidRDefault="004C458F" w:rsidP="004C458F">
      <w:pPr>
        <w:rPr>
          <w:rFonts w:cs="Calibri"/>
        </w:rPr>
      </w:pPr>
      <w:r w:rsidRPr="0091553B">
        <w:rPr>
          <w:rFonts w:cs="Calibri"/>
        </w:rPr>
        <w:t>The transition out of a continuing care placement will be carried out in as planned a way as possible. Planning for the young person’s future will be an ongoing conversation but, following the young person’s 20th birthday, significant focus should be on what needs to happen to ensure a smooth transition from the Continuing Care placement.</w:t>
      </w:r>
    </w:p>
    <w:p w14:paraId="4ECFB3BB" w14:textId="77777777" w:rsidR="004C458F" w:rsidRPr="0091553B" w:rsidRDefault="004C458F" w:rsidP="004C458F">
      <w:pPr>
        <w:rPr>
          <w:rFonts w:cstheme="minorHAnsi"/>
        </w:rPr>
      </w:pPr>
      <w:r w:rsidRPr="0091553B">
        <w:rPr>
          <w:rFonts w:cstheme="minorHAnsi"/>
        </w:rPr>
        <w:t>Where a young person leaves Continuing Care, a change of placement/ statute form will be submitted.</w:t>
      </w:r>
    </w:p>
    <w:p w14:paraId="112EEB32" w14:textId="77777777" w:rsidR="004C458F" w:rsidRPr="0091553B" w:rsidRDefault="004C458F" w:rsidP="004C458F">
      <w:pPr>
        <w:rPr>
          <w:rFonts w:cs="Calibri"/>
        </w:rPr>
      </w:pPr>
    </w:p>
    <w:p w14:paraId="5001A3F8" w14:textId="3E826BDC" w:rsidR="004C458F" w:rsidRPr="0091553B" w:rsidRDefault="004C458F" w:rsidP="004C458F">
      <w:pPr>
        <w:rPr>
          <w:rFonts w:cs="Calibri"/>
          <w:b/>
          <w:bCs/>
        </w:rPr>
      </w:pPr>
      <w:r w:rsidRPr="0091553B">
        <w:rPr>
          <w:rFonts w:cs="Calibri"/>
          <w:b/>
          <w:bCs/>
        </w:rPr>
        <w:t>Section 1</w:t>
      </w:r>
      <w:r w:rsidR="00896155">
        <w:rPr>
          <w:rFonts w:cs="Calibri"/>
          <w:b/>
          <w:bCs/>
        </w:rPr>
        <w:t>1</w:t>
      </w:r>
      <w:r w:rsidRPr="0091553B">
        <w:rPr>
          <w:rFonts w:cs="Calibri"/>
          <w:b/>
          <w:bCs/>
        </w:rPr>
        <w:t xml:space="preserve"> - Aftercare</w:t>
      </w:r>
    </w:p>
    <w:p w14:paraId="69FC53E2" w14:textId="297B72EF" w:rsidR="004C458F" w:rsidRPr="0091553B" w:rsidRDefault="004C458F" w:rsidP="004C458F">
      <w:pPr>
        <w:rPr>
          <w:rFonts w:cstheme="minorHAnsi"/>
        </w:rPr>
      </w:pPr>
      <w:r w:rsidRPr="0091553B">
        <w:rPr>
          <w:rFonts w:cstheme="minorHAnsi"/>
        </w:rPr>
        <w:t>Once a young person has left their Continuing Care placement, they are entitled to Aftercare support until their 26</w:t>
      </w:r>
      <w:r w:rsidRPr="0091553B">
        <w:rPr>
          <w:rFonts w:cstheme="minorHAnsi"/>
          <w:vertAlign w:val="superscript"/>
        </w:rPr>
        <w:t>th</w:t>
      </w:r>
      <w:r w:rsidRPr="0091553B">
        <w:rPr>
          <w:rFonts w:cstheme="minorHAnsi"/>
        </w:rPr>
        <w:t xml:space="preserve"> birthday. </w:t>
      </w:r>
      <w:r w:rsidR="005C4CCD" w:rsidRPr="0091553B">
        <w:rPr>
          <w:rFonts w:cstheme="minorHAnsi"/>
        </w:rPr>
        <w:t xml:space="preserve"> This support</w:t>
      </w:r>
      <w:r w:rsidR="00D91577" w:rsidRPr="0091553B">
        <w:rPr>
          <w:rFonts w:cstheme="minorHAnsi"/>
        </w:rPr>
        <w:t xml:space="preserve"> is </w:t>
      </w:r>
      <w:proofErr w:type="gramStart"/>
      <w:r w:rsidR="00D91577" w:rsidRPr="0091553B">
        <w:rPr>
          <w:rFonts w:cstheme="minorHAnsi"/>
        </w:rPr>
        <w:t>on the basis of</w:t>
      </w:r>
      <w:proofErr w:type="gramEnd"/>
      <w:r w:rsidR="00D91577" w:rsidRPr="0091553B">
        <w:rPr>
          <w:rFonts w:cstheme="minorHAnsi"/>
        </w:rPr>
        <w:t xml:space="preserve"> assessed need and</w:t>
      </w:r>
      <w:r w:rsidR="005C4CCD" w:rsidRPr="0091553B">
        <w:rPr>
          <w:rFonts w:cstheme="minorHAnsi"/>
        </w:rPr>
        <w:t xml:space="preserve"> will be provided by the ?? team</w:t>
      </w:r>
      <w:r w:rsidR="00CA7930" w:rsidRPr="0091553B">
        <w:rPr>
          <w:rFonts w:cstheme="minorHAnsi"/>
        </w:rPr>
        <w:t>.</w:t>
      </w:r>
    </w:p>
    <w:p w14:paraId="102AE96F" w14:textId="77777777" w:rsidR="004C458F" w:rsidRPr="0091553B" w:rsidRDefault="004C458F" w:rsidP="004C458F">
      <w:pPr>
        <w:rPr>
          <w:rFonts w:cstheme="minorHAnsi"/>
        </w:rPr>
      </w:pPr>
    </w:p>
    <w:p w14:paraId="69ED8172" w14:textId="77777777" w:rsidR="005C4CCD" w:rsidRPr="0091553B" w:rsidRDefault="005C4CCD" w:rsidP="004C458F">
      <w:pPr>
        <w:rPr>
          <w:rFonts w:cstheme="minorHAnsi"/>
          <w:b/>
        </w:rPr>
      </w:pPr>
    </w:p>
    <w:p w14:paraId="2B890FDF" w14:textId="77777777" w:rsidR="005C4CCD" w:rsidRPr="0091553B" w:rsidRDefault="005C4CCD" w:rsidP="004C458F">
      <w:pPr>
        <w:rPr>
          <w:rFonts w:cstheme="minorHAnsi"/>
          <w:b/>
        </w:rPr>
      </w:pPr>
    </w:p>
    <w:p w14:paraId="64406BDB" w14:textId="77777777" w:rsidR="005C4CCD" w:rsidRPr="0091553B" w:rsidRDefault="005C4CCD" w:rsidP="004C458F">
      <w:pPr>
        <w:rPr>
          <w:rFonts w:cstheme="minorHAnsi"/>
          <w:b/>
        </w:rPr>
      </w:pPr>
    </w:p>
    <w:p w14:paraId="5DA53158" w14:textId="77777777" w:rsidR="005C4CCD" w:rsidRPr="0091553B" w:rsidRDefault="005C4CCD" w:rsidP="004C458F">
      <w:pPr>
        <w:rPr>
          <w:rFonts w:cstheme="minorHAnsi"/>
          <w:b/>
        </w:rPr>
      </w:pPr>
    </w:p>
    <w:p w14:paraId="5EEB316F" w14:textId="77777777" w:rsidR="005C4CCD" w:rsidRPr="0091553B" w:rsidRDefault="005C4CCD" w:rsidP="004C458F">
      <w:pPr>
        <w:rPr>
          <w:rFonts w:cstheme="minorHAnsi"/>
          <w:b/>
        </w:rPr>
      </w:pPr>
    </w:p>
    <w:p w14:paraId="1137FD34" w14:textId="77777777" w:rsidR="005C4CCD" w:rsidRPr="0091553B" w:rsidRDefault="005C4CCD" w:rsidP="004C458F">
      <w:pPr>
        <w:rPr>
          <w:rFonts w:cstheme="minorHAnsi"/>
          <w:b/>
        </w:rPr>
      </w:pPr>
    </w:p>
    <w:p w14:paraId="1CC832C0" w14:textId="77777777" w:rsidR="005C4CCD" w:rsidRPr="0091553B" w:rsidRDefault="005C4CCD" w:rsidP="004C458F">
      <w:pPr>
        <w:rPr>
          <w:rFonts w:cstheme="minorHAnsi"/>
          <w:b/>
        </w:rPr>
      </w:pPr>
    </w:p>
    <w:p w14:paraId="573562B9" w14:textId="77777777" w:rsidR="005C4CCD" w:rsidRPr="0091553B" w:rsidRDefault="005C4CCD" w:rsidP="004C458F">
      <w:pPr>
        <w:rPr>
          <w:rFonts w:cstheme="minorHAnsi"/>
          <w:b/>
        </w:rPr>
      </w:pPr>
    </w:p>
    <w:p w14:paraId="594A031E" w14:textId="7AE9529F" w:rsidR="004C458F" w:rsidRPr="0091553B" w:rsidRDefault="004C458F" w:rsidP="004C458F">
      <w:pPr>
        <w:rPr>
          <w:rFonts w:cstheme="minorHAnsi"/>
          <w:b/>
        </w:rPr>
      </w:pPr>
      <w:r w:rsidRPr="0091553B">
        <w:rPr>
          <w:rFonts w:cstheme="minorHAnsi"/>
          <w:b/>
        </w:rPr>
        <w:t>Section 1</w:t>
      </w:r>
      <w:r w:rsidR="00896155">
        <w:rPr>
          <w:rFonts w:cstheme="minorHAnsi"/>
          <w:b/>
        </w:rPr>
        <w:t>2</w:t>
      </w:r>
      <w:r w:rsidRPr="0091553B">
        <w:rPr>
          <w:rFonts w:cstheme="minorHAnsi"/>
          <w:b/>
        </w:rPr>
        <w:t xml:space="preserve"> – Information sharing and consent</w:t>
      </w:r>
    </w:p>
    <w:p w14:paraId="07666DCB" w14:textId="77777777" w:rsidR="004C458F" w:rsidRPr="0091553B" w:rsidRDefault="004C458F" w:rsidP="004C458F">
      <w:pPr>
        <w:rPr>
          <w:rFonts w:cstheme="minorHAnsi"/>
        </w:rPr>
      </w:pPr>
      <w:r w:rsidRPr="0091553B">
        <w:rPr>
          <w:rFonts w:cstheme="minorHAnsi"/>
        </w:rPr>
        <w:t>At the point a young person moves into Continuing Care they will be asked to sign an information sharing consent form to reflect, for example, consent to share information with family members if they are part of the young person’s support or safety plan (page 2 of placement agreement).</w:t>
      </w:r>
    </w:p>
    <w:p w14:paraId="7F8EBAB1" w14:textId="77777777" w:rsidR="004C458F" w:rsidRPr="0091553B" w:rsidRDefault="004C458F" w:rsidP="004C458F">
      <w:pPr>
        <w:rPr>
          <w:rFonts w:cstheme="minorHAnsi"/>
        </w:rPr>
      </w:pPr>
      <w:r w:rsidRPr="0091553B">
        <w:rPr>
          <w:rFonts w:cstheme="minorHAnsi"/>
        </w:rPr>
        <w:t>Young people in Continuing Care continue to have the same rights regarding their information being shared appropriately and proportionately. Local authorities and the allocated Social Worker will be kept informed of the young person’s placement. Whether information should be shared with others will require the consent of the young person.</w:t>
      </w:r>
    </w:p>
    <w:p w14:paraId="219D101D" w14:textId="77777777" w:rsidR="004C458F" w:rsidRPr="0091553B" w:rsidRDefault="004C458F" w:rsidP="004C458F">
      <w:pPr>
        <w:rPr>
          <w:rFonts w:cstheme="minorHAnsi"/>
        </w:rPr>
      </w:pPr>
      <w:r w:rsidRPr="0091553B">
        <w:rPr>
          <w:rFonts w:cstheme="minorHAnsi"/>
        </w:rPr>
        <w:t xml:space="preserve">If information is regarding a risk of significant harm to the young </w:t>
      </w:r>
      <w:proofErr w:type="gramStart"/>
      <w:r w:rsidRPr="0091553B">
        <w:rPr>
          <w:rFonts w:cstheme="minorHAnsi"/>
        </w:rPr>
        <w:t>person</w:t>
      </w:r>
      <w:proofErr w:type="gramEnd"/>
      <w:r w:rsidRPr="0091553B">
        <w:rPr>
          <w:rFonts w:cstheme="minorHAnsi"/>
        </w:rPr>
        <w:t xml:space="preserve"> this must be shared.</w:t>
      </w:r>
    </w:p>
    <w:p w14:paraId="217FED19" w14:textId="77777777" w:rsidR="004C458F" w:rsidRPr="0091553B" w:rsidRDefault="004C458F" w:rsidP="004C458F">
      <w:pPr>
        <w:rPr>
          <w:rFonts w:cstheme="minorHAnsi"/>
        </w:rPr>
      </w:pPr>
      <w:r w:rsidRPr="0091553B">
        <w:rPr>
          <w:rFonts w:cstheme="minorHAnsi"/>
        </w:rPr>
        <w:t xml:space="preserve"> </w:t>
      </w:r>
    </w:p>
    <w:p w14:paraId="43B79347" w14:textId="5C6123ED" w:rsidR="004C458F" w:rsidRPr="0091553B" w:rsidRDefault="004C458F" w:rsidP="004C458F">
      <w:pPr>
        <w:tabs>
          <w:tab w:val="left" w:pos="5970"/>
        </w:tabs>
        <w:rPr>
          <w:rFonts w:cstheme="minorHAnsi"/>
          <w:b/>
        </w:rPr>
      </w:pPr>
      <w:r w:rsidRPr="0091553B">
        <w:rPr>
          <w:rFonts w:cstheme="minorHAnsi"/>
          <w:b/>
        </w:rPr>
        <w:t>Section 1</w:t>
      </w:r>
      <w:r w:rsidR="00896155">
        <w:rPr>
          <w:rFonts w:cstheme="minorHAnsi"/>
          <w:b/>
        </w:rPr>
        <w:t>3</w:t>
      </w:r>
      <w:r w:rsidRPr="0091553B">
        <w:rPr>
          <w:rFonts w:cstheme="minorHAnsi"/>
          <w:b/>
        </w:rPr>
        <w:t xml:space="preserve"> – Disclosure Checks</w:t>
      </w:r>
    </w:p>
    <w:p w14:paraId="7499D14C" w14:textId="77777777" w:rsidR="004C458F" w:rsidRPr="0091553B" w:rsidRDefault="004C458F" w:rsidP="004C458F">
      <w:pPr>
        <w:tabs>
          <w:tab w:val="left" w:pos="5970"/>
        </w:tabs>
        <w:rPr>
          <w:b/>
          <w:bCs/>
          <w:color w:val="FF0000"/>
        </w:rPr>
      </w:pPr>
      <w:r w:rsidRPr="0091553B">
        <w:t>A young person over 16 years in Continuing Care may need to have a Disclosure check depending on their specific circumstances. For example, where there are unrelated children in the same household. The Disclosure check is unlikely to reveal unknown information. In any case of uncertainty please seek advice from the Care Inspectorate</w:t>
      </w:r>
      <w:r w:rsidRPr="0091553B">
        <w:rPr>
          <w:b/>
          <w:bCs/>
        </w:rPr>
        <w:t>.</w:t>
      </w:r>
    </w:p>
    <w:p w14:paraId="4BFF4DE4" w14:textId="77777777" w:rsidR="004C458F" w:rsidRPr="0091553B" w:rsidRDefault="004C458F" w:rsidP="004C458F">
      <w:pPr>
        <w:tabs>
          <w:tab w:val="left" w:pos="5970"/>
        </w:tabs>
        <w:rPr>
          <w:rFonts w:cstheme="minorHAnsi"/>
          <w:b/>
        </w:rPr>
      </w:pPr>
    </w:p>
    <w:p w14:paraId="1C5BF248" w14:textId="07F3929C" w:rsidR="004C458F" w:rsidRPr="0091553B" w:rsidRDefault="004C458F" w:rsidP="004C458F">
      <w:pPr>
        <w:tabs>
          <w:tab w:val="left" w:pos="5970"/>
        </w:tabs>
        <w:rPr>
          <w:rFonts w:cstheme="minorHAnsi"/>
          <w:b/>
        </w:rPr>
      </w:pPr>
      <w:r w:rsidRPr="0091553B">
        <w:rPr>
          <w:rFonts w:cstheme="minorHAnsi"/>
          <w:b/>
        </w:rPr>
        <w:t>Section 1</w:t>
      </w:r>
      <w:r w:rsidR="00896155">
        <w:rPr>
          <w:rFonts w:cstheme="minorHAnsi"/>
          <w:b/>
        </w:rPr>
        <w:t>4</w:t>
      </w:r>
      <w:r w:rsidRPr="0091553B">
        <w:rPr>
          <w:rFonts w:cstheme="minorHAnsi"/>
          <w:b/>
        </w:rPr>
        <w:t xml:space="preserve"> – Registration</w:t>
      </w:r>
    </w:p>
    <w:p w14:paraId="0E6A6E74" w14:textId="77777777" w:rsidR="004C458F" w:rsidRPr="0091553B" w:rsidRDefault="004C458F" w:rsidP="004C458F">
      <w:pPr>
        <w:rPr>
          <w:rFonts w:cstheme="minorHAnsi"/>
        </w:rPr>
      </w:pPr>
      <w:r w:rsidRPr="0091553B">
        <w:rPr>
          <w:rFonts w:cstheme="minorHAnsi"/>
        </w:rPr>
        <w:t>SSSC and the Care Inspectorate have agreed that there will be no registration changes to either residential services registered by the Care Inspectorate, or individual residential workers registered with SSSC. Care homes for children and young people and school care accommodation services will continue to be registered with the Care Inspectorate as residential childcare services. There will be no changes to the SSSC register for childcare and residential school care.</w:t>
      </w:r>
    </w:p>
    <w:p w14:paraId="64C8291E" w14:textId="059338C6" w:rsidR="004C458F" w:rsidRPr="0091553B" w:rsidRDefault="004C458F" w:rsidP="004C458F">
      <w:pPr>
        <w:rPr>
          <w:rStyle w:val="Hyperlink"/>
          <w:rFonts w:cstheme="minorHAnsi"/>
          <w:color w:val="auto"/>
          <w:u w:val="none"/>
        </w:rPr>
      </w:pPr>
      <w:r w:rsidRPr="0091553B">
        <w:rPr>
          <w:rFonts w:cstheme="minorHAnsi"/>
        </w:rPr>
        <w:t>Falkirk Council Foster Carers transferring to supported carers status need to be dual registered. The Fo</w:t>
      </w:r>
      <w:r w:rsidR="007F708B" w:rsidRPr="0091553B">
        <w:rPr>
          <w:rFonts w:cstheme="minorHAnsi"/>
        </w:rPr>
        <w:t>stering team are</w:t>
      </w:r>
      <w:r w:rsidRPr="0091553B">
        <w:rPr>
          <w:rFonts w:cstheme="minorHAnsi"/>
        </w:rPr>
        <w:t xml:space="preserve"> registered as an adult support service and have in place a process for foster carers becoming dual registered. </w:t>
      </w:r>
    </w:p>
    <w:p w14:paraId="6DDE5437" w14:textId="77777777" w:rsidR="004C458F" w:rsidRPr="0091553B" w:rsidRDefault="004C458F" w:rsidP="004C458F">
      <w:pPr>
        <w:tabs>
          <w:tab w:val="left" w:pos="5970"/>
        </w:tabs>
        <w:rPr>
          <w:rFonts w:cstheme="minorHAnsi"/>
          <w:b/>
        </w:rPr>
      </w:pPr>
    </w:p>
    <w:p w14:paraId="59490E0D" w14:textId="77777777" w:rsidR="006B506F" w:rsidRPr="0091553B" w:rsidRDefault="006B506F" w:rsidP="004C458F">
      <w:pPr>
        <w:tabs>
          <w:tab w:val="left" w:pos="5970"/>
        </w:tabs>
        <w:rPr>
          <w:rFonts w:cstheme="minorHAnsi"/>
          <w:b/>
        </w:rPr>
      </w:pPr>
    </w:p>
    <w:p w14:paraId="201761FC" w14:textId="77777777" w:rsidR="006B506F" w:rsidRPr="0091553B" w:rsidRDefault="006B506F" w:rsidP="004C458F">
      <w:pPr>
        <w:tabs>
          <w:tab w:val="left" w:pos="5970"/>
        </w:tabs>
        <w:rPr>
          <w:rFonts w:cstheme="minorHAnsi"/>
          <w:b/>
        </w:rPr>
      </w:pPr>
    </w:p>
    <w:p w14:paraId="1AB55789" w14:textId="77777777" w:rsidR="007F708B" w:rsidRPr="0091553B" w:rsidRDefault="007F708B" w:rsidP="004C458F">
      <w:pPr>
        <w:tabs>
          <w:tab w:val="left" w:pos="5970"/>
        </w:tabs>
        <w:rPr>
          <w:rFonts w:cstheme="minorHAnsi"/>
          <w:b/>
        </w:rPr>
      </w:pPr>
    </w:p>
    <w:p w14:paraId="2A66DF74" w14:textId="77777777" w:rsidR="007F708B" w:rsidRPr="0091553B" w:rsidRDefault="007F708B" w:rsidP="004C458F">
      <w:pPr>
        <w:tabs>
          <w:tab w:val="left" w:pos="5970"/>
        </w:tabs>
        <w:rPr>
          <w:rFonts w:cstheme="minorHAnsi"/>
          <w:b/>
        </w:rPr>
      </w:pPr>
    </w:p>
    <w:p w14:paraId="0D66D6BE" w14:textId="77777777" w:rsidR="007F708B" w:rsidRPr="0091553B" w:rsidRDefault="007F708B" w:rsidP="004C458F">
      <w:pPr>
        <w:tabs>
          <w:tab w:val="left" w:pos="5970"/>
        </w:tabs>
        <w:rPr>
          <w:rFonts w:cstheme="minorHAnsi"/>
          <w:b/>
        </w:rPr>
      </w:pPr>
    </w:p>
    <w:p w14:paraId="0551A68A" w14:textId="5238BD73" w:rsidR="004C458F" w:rsidRPr="0091553B" w:rsidRDefault="004C458F" w:rsidP="004C458F">
      <w:pPr>
        <w:tabs>
          <w:tab w:val="left" w:pos="5970"/>
        </w:tabs>
        <w:rPr>
          <w:rFonts w:cstheme="minorHAnsi"/>
          <w:b/>
        </w:rPr>
      </w:pPr>
      <w:r w:rsidRPr="0091553B">
        <w:rPr>
          <w:rFonts w:cstheme="minorHAnsi"/>
          <w:b/>
        </w:rPr>
        <w:t>Section 1</w:t>
      </w:r>
      <w:r w:rsidR="00896155">
        <w:rPr>
          <w:rFonts w:cstheme="minorHAnsi"/>
          <w:b/>
        </w:rPr>
        <w:t>5</w:t>
      </w:r>
      <w:r w:rsidRPr="0091553B">
        <w:rPr>
          <w:rFonts w:cstheme="minorHAnsi"/>
          <w:b/>
        </w:rPr>
        <w:t xml:space="preserve"> – Complaints</w:t>
      </w:r>
    </w:p>
    <w:p w14:paraId="589B21E9" w14:textId="77777777" w:rsidR="00945289" w:rsidRPr="0091553B" w:rsidRDefault="004C458F" w:rsidP="004C458F">
      <w:pPr>
        <w:tabs>
          <w:tab w:val="left" w:pos="5970"/>
        </w:tabs>
        <w:rPr>
          <w:rFonts w:cstheme="minorHAnsi"/>
        </w:rPr>
      </w:pPr>
      <w:r w:rsidRPr="0091553B">
        <w:rPr>
          <w:rFonts w:cstheme="minorHAnsi"/>
        </w:rPr>
        <w:t xml:space="preserve">A young person may make a complaint to the local authority about the service they receive or how any dispute has been handled. Complaints should be made through Falkirk Council’s complaints procedures </w:t>
      </w:r>
      <w:r w:rsidR="00945289" w:rsidRPr="0091553B">
        <w:rPr>
          <w:rFonts w:cstheme="minorHAnsi"/>
        </w:rPr>
        <w:t>(Appendix 7)</w:t>
      </w:r>
    </w:p>
    <w:p w14:paraId="37FAD4DD" w14:textId="77777777" w:rsidR="004C458F" w:rsidRPr="0091553B" w:rsidRDefault="004C458F" w:rsidP="004C458F">
      <w:pPr>
        <w:rPr>
          <w:rFonts w:cstheme="minorHAnsi"/>
        </w:rPr>
      </w:pPr>
      <w:r w:rsidRPr="0091553B">
        <w:rPr>
          <w:rFonts w:cstheme="minorHAnsi"/>
        </w:rPr>
        <w:t xml:space="preserve">Young people with disabilities may require additional support to pursue a complaint. </w:t>
      </w:r>
    </w:p>
    <w:p w14:paraId="2CC4F77B" w14:textId="2A2AC8B0" w:rsidR="004C458F" w:rsidRPr="0091553B" w:rsidRDefault="004C458F" w:rsidP="004C458F">
      <w:pPr>
        <w:rPr>
          <w:rFonts w:cstheme="minorHAnsi"/>
        </w:rPr>
      </w:pPr>
      <w:r w:rsidRPr="0091553B">
        <w:rPr>
          <w:rFonts w:cstheme="minorHAnsi"/>
        </w:rPr>
        <w:t>Children’s Rights Service and Advocacy can support young people to express their view and or complain.</w:t>
      </w:r>
      <w:r w:rsidR="00945289" w:rsidRPr="0091553B">
        <w:rPr>
          <w:rFonts w:cstheme="minorHAnsi"/>
        </w:rPr>
        <w:t xml:space="preserve"> Contact details for supporting organisations are detailed at end of document.</w:t>
      </w:r>
    </w:p>
    <w:p w14:paraId="220FF194" w14:textId="77777777" w:rsidR="004C458F" w:rsidRPr="0091553B" w:rsidRDefault="004C458F" w:rsidP="004C458F">
      <w:pPr>
        <w:tabs>
          <w:tab w:val="left" w:pos="5970"/>
        </w:tabs>
        <w:rPr>
          <w:rFonts w:cstheme="minorHAnsi"/>
          <w:b/>
        </w:rPr>
      </w:pPr>
    </w:p>
    <w:p w14:paraId="58B37B47" w14:textId="6142A533" w:rsidR="004C458F" w:rsidRPr="0091553B" w:rsidRDefault="004C458F" w:rsidP="004C458F">
      <w:pPr>
        <w:tabs>
          <w:tab w:val="left" w:pos="5970"/>
        </w:tabs>
        <w:rPr>
          <w:rFonts w:cstheme="minorHAnsi"/>
          <w:b/>
        </w:rPr>
      </w:pPr>
      <w:r w:rsidRPr="0091553B">
        <w:rPr>
          <w:rFonts w:cstheme="minorHAnsi"/>
          <w:b/>
        </w:rPr>
        <w:t>Section 1</w:t>
      </w:r>
      <w:r w:rsidR="00896155">
        <w:rPr>
          <w:rFonts w:cstheme="minorHAnsi"/>
          <w:b/>
        </w:rPr>
        <w:t>6</w:t>
      </w:r>
      <w:r w:rsidRPr="0091553B">
        <w:rPr>
          <w:rFonts w:cstheme="minorHAnsi"/>
          <w:b/>
        </w:rPr>
        <w:t xml:space="preserve"> – Death of a young person in Continuing Care</w:t>
      </w:r>
    </w:p>
    <w:p w14:paraId="788D3BB0" w14:textId="77777777" w:rsidR="004C458F" w:rsidRDefault="004C458F" w:rsidP="004C458F">
      <w:pPr>
        <w:tabs>
          <w:tab w:val="left" w:pos="5970"/>
        </w:tabs>
        <w:rPr>
          <w:rFonts w:cstheme="minorHAnsi"/>
        </w:rPr>
      </w:pPr>
      <w:r w:rsidRPr="0091553B">
        <w:rPr>
          <w:rFonts w:cstheme="minorHAnsi"/>
        </w:rPr>
        <w:t>Local authorities are required to report the death of a young person in a Continuing Care placement to the Scottish Ministers and Care Inspectorate under Section 26A (10) of the Children’s Hearing (Scotland) Act 1995 and section 67 of the Children and Young People (Scotland) Act 2014.</w:t>
      </w:r>
    </w:p>
    <w:p w14:paraId="0FB797CA" w14:textId="4C7DD3D9" w:rsidR="00AD73A4" w:rsidRPr="0091553B" w:rsidRDefault="00AD73A4" w:rsidP="004C458F">
      <w:pPr>
        <w:tabs>
          <w:tab w:val="left" w:pos="5970"/>
        </w:tabs>
        <w:rPr>
          <w:rFonts w:cstheme="minorHAnsi"/>
        </w:rPr>
      </w:pPr>
      <w:r>
        <w:rPr>
          <w:rFonts w:cstheme="minorHAnsi"/>
        </w:rPr>
        <w:t>Should a young person in continuing care die then the locality manager must be notified immediately.</w:t>
      </w:r>
    </w:p>
    <w:p w14:paraId="5D37DA87" w14:textId="77777777" w:rsidR="004C458F" w:rsidRPr="0091553B" w:rsidRDefault="004C458F" w:rsidP="004C458F">
      <w:pPr>
        <w:tabs>
          <w:tab w:val="left" w:pos="5970"/>
        </w:tabs>
        <w:rPr>
          <w:rFonts w:cstheme="minorHAnsi"/>
        </w:rPr>
      </w:pPr>
    </w:p>
    <w:p w14:paraId="48D0448E" w14:textId="77777777" w:rsidR="004C458F" w:rsidRPr="0091553B" w:rsidRDefault="004C458F"/>
    <w:p w14:paraId="2FD26388" w14:textId="77777777" w:rsidR="004C458F" w:rsidRPr="0091553B" w:rsidRDefault="004C458F"/>
    <w:p w14:paraId="1F516229" w14:textId="77777777" w:rsidR="004C458F" w:rsidRPr="0091553B" w:rsidRDefault="004C458F"/>
    <w:p w14:paraId="06D91CF9" w14:textId="77777777" w:rsidR="004C458F" w:rsidRPr="0091553B" w:rsidRDefault="004C458F"/>
    <w:p w14:paraId="76BA17F3" w14:textId="77777777" w:rsidR="004C458F" w:rsidRPr="0091553B" w:rsidRDefault="004C458F"/>
    <w:p w14:paraId="1610EF91" w14:textId="77777777" w:rsidR="004C458F" w:rsidRPr="0091553B" w:rsidRDefault="004C458F"/>
    <w:p w14:paraId="3BE8B5D3" w14:textId="77777777" w:rsidR="004C458F" w:rsidRPr="0091553B" w:rsidRDefault="004C458F"/>
    <w:p w14:paraId="7803B635" w14:textId="77777777" w:rsidR="004C458F" w:rsidRPr="0091553B" w:rsidRDefault="004C458F"/>
    <w:p w14:paraId="4EDEF7CD" w14:textId="77777777" w:rsidR="004C458F" w:rsidRPr="0091553B" w:rsidRDefault="004C458F"/>
    <w:p w14:paraId="4451643E" w14:textId="77777777" w:rsidR="004C458F" w:rsidRPr="0091553B" w:rsidRDefault="004C458F"/>
    <w:p w14:paraId="711B5728" w14:textId="77777777" w:rsidR="00387E86" w:rsidRPr="0091553B" w:rsidRDefault="00387E86" w:rsidP="004C458F">
      <w:pPr>
        <w:rPr>
          <w:b/>
          <w:bCs/>
          <w:u w:val="single"/>
        </w:rPr>
      </w:pPr>
    </w:p>
    <w:p w14:paraId="0975B8FE" w14:textId="7823BA1F" w:rsidR="004C458F" w:rsidRPr="0091553B" w:rsidRDefault="004C458F" w:rsidP="004C458F">
      <w:r w:rsidRPr="0091553B">
        <w:rPr>
          <w:b/>
          <w:bCs/>
          <w:u w:val="single"/>
        </w:rPr>
        <w:lastRenderedPageBreak/>
        <w:t xml:space="preserve">Part 2 Falkirk Council Welfare Assessment Guidance </w:t>
      </w:r>
    </w:p>
    <w:p w14:paraId="57A7B9A3" w14:textId="59BD3D29" w:rsidR="0091553B" w:rsidRPr="0091553B" w:rsidRDefault="00387E86" w:rsidP="004C458F">
      <w:r w:rsidRPr="0091553B">
        <w:t>The p</w:t>
      </w:r>
      <w:r w:rsidR="004C458F" w:rsidRPr="0091553B">
        <w:t>rocess for carrying out welfare assessments for all young people eligible for continuing care</w:t>
      </w:r>
      <w:r w:rsidRPr="0091553B">
        <w:t xml:space="preserve"> is detailed below.</w:t>
      </w:r>
      <w:r w:rsidR="0091553B" w:rsidRPr="0091553B">
        <w:t xml:space="preserve"> </w:t>
      </w:r>
    </w:p>
    <w:p w14:paraId="26BD44CD" w14:textId="26FF47E8" w:rsidR="004C458F" w:rsidRDefault="0091553B" w:rsidP="004C458F">
      <w:r w:rsidRPr="0091553B">
        <w:t>The lead professional is responsible for completion of the Welfare Assessment.</w:t>
      </w:r>
    </w:p>
    <w:p w14:paraId="1744CEA2" w14:textId="77777777" w:rsidR="00A42CD5" w:rsidRPr="0091553B" w:rsidRDefault="00A42CD5" w:rsidP="004C458F"/>
    <w:p w14:paraId="66365C3C" w14:textId="77777777" w:rsidR="004C458F" w:rsidRPr="0091553B" w:rsidRDefault="004C458F" w:rsidP="004C458F">
      <w:pPr>
        <w:rPr>
          <w:b/>
          <w:bCs/>
          <w:u w:val="single"/>
        </w:rPr>
      </w:pPr>
      <w:r w:rsidRPr="0091553B">
        <w:rPr>
          <w:b/>
          <w:bCs/>
          <w:u w:val="single"/>
        </w:rPr>
        <w:t>Key considerations</w:t>
      </w:r>
    </w:p>
    <w:p w14:paraId="4E7D4848" w14:textId="77777777" w:rsidR="004C458F" w:rsidRPr="0091553B" w:rsidRDefault="004C458F" w:rsidP="004C458F">
      <w:r w:rsidRPr="0091553B">
        <w:t xml:space="preserve">• There is a legal duty on all local authorities to complete a Welfare Assessment for all   </w:t>
      </w:r>
    </w:p>
    <w:p w14:paraId="28A3E9AF" w14:textId="77777777" w:rsidR="00BC125D" w:rsidRDefault="004C458F" w:rsidP="004C458F">
      <w:r w:rsidRPr="0091553B">
        <w:t xml:space="preserve">    prospective care leavers.  A Welfare Assessment must be carried out; it is not </w:t>
      </w:r>
    </w:p>
    <w:p w14:paraId="4BC8A413" w14:textId="5A8EA89A" w:rsidR="004C458F" w:rsidRDefault="00BC125D" w:rsidP="004C458F">
      <w:r>
        <w:t xml:space="preserve">    </w:t>
      </w:r>
      <w:r w:rsidR="004C458F" w:rsidRPr="0091553B">
        <w:t>optional.</w:t>
      </w:r>
    </w:p>
    <w:p w14:paraId="136C8F4B" w14:textId="77777777" w:rsidR="00BC125D" w:rsidRPr="0091553B" w:rsidRDefault="00BC125D" w:rsidP="004C458F"/>
    <w:p w14:paraId="6B4B525A" w14:textId="77777777" w:rsidR="004C458F" w:rsidRPr="0091553B" w:rsidRDefault="004C458F" w:rsidP="004C458F">
      <w:r w:rsidRPr="0091553B">
        <w:t xml:space="preserve">• The welfare assessment does not need to be a stand-alone assessment and can be </w:t>
      </w:r>
    </w:p>
    <w:p w14:paraId="43A344A6" w14:textId="77777777" w:rsidR="004C458F" w:rsidRPr="0091553B" w:rsidRDefault="004C458F" w:rsidP="004C458F">
      <w:r w:rsidRPr="0091553B">
        <w:t xml:space="preserve">    incorporated into any existing young person’s care plan/Looked After plan/Pathways </w:t>
      </w:r>
    </w:p>
    <w:p w14:paraId="76969417" w14:textId="77777777" w:rsidR="00A42CD5" w:rsidRDefault="004C458F" w:rsidP="004C458F">
      <w:r w:rsidRPr="0091553B">
        <w:t xml:space="preserve">    Assessment and Plan. However, it must be explicit that the welfare assessment has</w:t>
      </w:r>
    </w:p>
    <w:p w14:paraId="7AA851E6" w14:textId="58F96EBB" w:rsidR="004C458F" w:rsidRDefault="00BC125D" w:rsidP="004C458F">
      <w:r>
        <w:t xml:space="preserve">    </w:t>
      </w:r>
      <w:r w:rsidRPr="0091553B">
        <w:t>been complete</w:t>
      </w:r>
      <w:r w:rsidR="004C458F" w:rsidRPr="0091553B">
        <w:t>.</w:t>
      </w:r>
    </w:p>
    <w:p w14:paraId="19AB6677" w14:textId="77777777" w:rsidR="00BC125D" w:rsidRPr="0091553B" w:rsidRDefault="00BC125D" w:rsidP="004C458F"/>
    <w:p w14:paraId="265ACDAE" w14:textId="77777777" w:rsidR="004C458F" w:rsidRPr="0091553B" w:rsidRDefault="004C458F" w:rsidP="004C458F">
      <w:r w:rsidRPr="0091553B">
        <w:t xml:space="preserve">• The assessment must be carried out within a reasonable time before the young person </w:t>
      </w:r>
    </w:p>
    <w:p w14:paraId="33072ED4" w14:textId="0A09E97D" w:rsidR="004C458F" w:rsidRDefault="004C458F" w:rsidP="004C458F">
      <w:r w:rsidRPr="0091553B">
        <w:t xml:space="preserve">    leaves care.</w:t>
      </w:r>
    </w:p>
    <w:p w14:paraId="4A8CA133" w14:textId="77777777" w:rsidR="00BC125D" w:rsidRPr="0091553B" w:rsidRDefault="00BC125D" w:rsidP="004C458F"/>
    <w:p w14:paraId="359C51A2" w14:textId="77777777" w:rsidR="004C458F" w:rsidRPr="0091553B" w:rsidRDefault="004C458F" w:rsidP="004C458F">
      <w:r w:rsidRPr="0091553B">
        <w:t xml:space="preserve">• The views of the young person must be considered and the views of family, </w:t>
      </w:r>
    </w:p>
    <w:p w14:paraId="48F48CCB" w14:textId="77777777" w:rsidR="004C458F" w:rsidRPr="0091553B" w:rsidRDefault="004C458F" w:rsidP="004C458F">
      <w:r w:rsidRPr="0091553B">
        <w:t xml:space="preserve">   anyone with parental responsibilities, carers and accommodation providers, school, </w:t>
      </w:r>
    </w:p>
    <w:p w14:paraId="68CA1286" w14:textId="77777777" w:rsidR="004C458F" w:rsidRPr="0091553B" w:rsidRDefault="004C458F" w:rsidP="004C458F">
      <w:r w:rsidRPr="0091553B">
        <w:t xml:space="preserve">   college or university and health professionals can be sought and, when sought, must </w:t>
      </w:r>
    </w:p>
    <w:p w14:paraId="2B358329" w14:textId="77777777" w:rsidR="004C458F" w:rsidRPr="0091553B" w:rsidRDefault="004C458F" w:rsidP="004C458F">
      <w:r w:rsidRPr="0091553B">
        <w:t xml:space="preserve">   be considered.</w:t>
      </w:r>
    </w:p>
    <w:p w14:paraId="3EF585A0" w14:textId="77777777" w:rsidR="004C458F" w:rsidRPr="0091553B" w:rsidRDefault="004C458F" w:rsidP="004C458F"/>
    <w:p w14:paraId="6C141AC5" w14:textId="77777777" w:rsidR="004C458F" w:rsidRPr="0091553B" w:rsidRDefault="004C458F" w:rsidP="004C458F">
      <w:r w:rsidRPr="0091553B">
        <w:t xml:space="preserve">• The local authority must record these views in a written record and make that </w:t>
      </w:r>
    </w:p>
    <w:p w14:paraId="5A53FAFD" w14:textId="77777777" w:rsidR="004C458F" w:rsidRPr="0091553B" w:rsidRDefault="004C458F" w:rsidP="004C458F">
      <w:r w:rsidRPr="0091553B">
        <w:t xml:space="preserve">   record available to the young person again ‘as soon as reasonably practicable’.</w:t>
      </w:r>
    </w:p>
    <w:p w14:paraId="62D0ACD3" w14:textId="77777777" w:rsidR="004C458F" w:rsidRPr="0091553B" w:rsidRDefault="004C458F" w:rsidP="004C458F">
      <w:r w:rsidRPr="0091553B">
        <w:t xml:space="preserve"> </w:t>
      </w:r>
    </w:p>
    <w:p w14:paraId="7A831096" w14:textId="77777777" w:rsidR="004C458F" w:rsidRPr="0091553B" w:rsidRDefault="004C458F" w:rsidP="004C458F">
      <w:r w:rsidRPr="0091553B">
        <w:t xml:space="preserve">• There is a legal requirement to make a separate decision about welfare and to provide </w:t>
      </w:r>
    </w:p>
    <w:p w14:paraId="11986212" w14:textId="77777777" w:rsidR="00B70351" w:rsidRDefault="004C458F" w:rsidP="004C458F">
      <w:r w:rsidRPr="0091553B">
        <w:t xml:space="preserve">    that decision in writing to the young person and to have it explained to them.</w:t>
      </w:r>
    </w:p>
    <w:p w14:paraId="183E80D5" w14:textId="31BF43CA" w:rsidR="004C458F" w:rsidRPr="00B70351" w:rsidRDefault="004C458F" w:rsidP="004C458F">
      <w:r w:rsidRPr="0091553B">
        <w:rPr>
          <w:b/>
          <w:bCs/>
          <w:u w:val="single"/>
        </w:rPr>
        <w:lastRenderedPageBreak/>
        <w:t>What the Welfare Assessment should cover:</w:t>
      </w:r>
    </w:p>
    <w:p w14:paraId="30E127C6" w14:textId="77777777" w:rsidR="004C458F" w:rsidRPr="0091553B" w:rsidRDefault="004C458F" w:rsidP="004C458F">
      <w:pPr>
        <w:rPr>
          <w:b/>
          <w:bCs/>
        </w:rPr>
      </w:pPr>
    </w:p>
    <w:p w14:paraId="48BF99D7" w14:textId="77777777" w:rsidR="004C458F" w:rsidRPr="0091553B" w:rsidRDefault="004C458F" w:rsidP="004C458F">
      <w:r w:rsidRPr="0091553B">
        <w:t xml:space="preserve">• The young person’s emotional state, day-to-day activities, personal safety, influences </w:t>
      </w:r>
    </w:p>
    <w:p w14:paraId="797DAECF" w14:textId="77777777" w:rsidR="004C458F" w:rsidRPr="0091553B" w:rsidRDefault="004C458F" w:rsidP="004C458F">
      <w:r w:rsidRPr="0091553B">
        <w:t xml:space="preserve">   and identity.</w:t>
      </w:r>
    </w:p>
    <w:p w14:paraId="65A83601" w14:textId="77777777" w:rsidR="004C458F" w:rsidRPr="0091553B" w:rsidRDefault="004C458F" w:rsidP="004C458F"/>
    <w:p w14:paraId="012CB97B" w14:textId="77777777" w:rsidR="004C458F" w:rsidRPr="0091553B" w:rsidRDefault="004C458F" w:rsidP="004C458F">
      <w:r w:rsidRPr="0091553B">
        <w:t xml:space="preserve">• Family relationships, children, other caring responsibilities, life story, friends and </w:t>
      </w:r>
    </w:p>
    <w:p w14:paraId="2BD4537D" w14:textId="77777777" w:rsidR="004C458F" w:rsidRPr="0091553B" w:rsidRDefault="004C458F" w:rsidP="004C458F">
      <w:r w:rsidRPr="0091553B">
        <w:t xml:space="preserve">    relationships with other significant people including carers.</w:t>
      </w:r>
    </w:p>
    <w:p w14:paraId="0B93B7E8" w14:textId="77777777" w:rsidR="004C458F" w:rsidRPr="0091553B" w:rsidRDefault="004C458F" w:rsidP="004C458F"/>
    <w:p w14:paraId="3D0307ED" w14:textId="77777777" w:rsidR="004C458F" w:rsidRPr="0091553B" w:rsidRDefault="004C458F" w:rsidP="004C458F">
      <w:r w:rsidRPr="0091553B">
        <w:t xml:space="preserve">• General health (including any mental health needs), contact with health services, </w:t>
      </w:r>
    </w:p>
    <w:p w14:paraId="3853D99D" w14:textId="77777777" w:rsidR="004C458F" w:rsidRPr="0091553B" w:rsidRDefault="004C458F" w:rsidP="004C458F">
      <w:r w:rsidRPr="0091553B">
        <w:t xml:space="preserve">   medical conditions and disabilities and emotional and mental wellbeing.</w:t>
      </w:r>
    </w:p>
    <w:p w14:paraId="03D03B59" w14:textId="77777777" w:rsidR="004C458F" w:rsidRPr="0091553B" w:rsidRDefault="004C458F" w:rsidP="004C458F"/>
    <w:p w14:paraId="66817A9B" w14:textId="77777777" w:rsidR="004C458F" w:rsidRPr="0091553B" w:rsidRDefault="004C458F" w:rsidP="004C458F">
      <w:r w:rsidRPr="0091553B">
        <w:t>• Schooling, skills and experience, qualifications and certificates, training and work.</w:t>
      </w:r>
    </w:p>
    <w:p w14:paraId="10496BC5" w14:textId="77777777" w:rsidR="004C458F" w:rsidRPr="0091553B" w:rsidRDefault="004C458F" w:rsidP="004C458F"/>
    <w:p w14:paraId="6BB827C6" w14:textId="77777777" w:rsidR="004C458F" w:rsidRPr="0091553B" w:rsidRDefault="004C458F" w:rsidP="004C458F">
      <w:r w:rsidRPr="0091553B">
        <w:t xml:space="preserve">• </w:t>
      </w:r>
      <w:proofErr w:type="gramStart"/>
      <w:r w:rsidRPr="0091553B">
        <w:t>Future plans</w:t>
      </w:r>
      <w:proofErr w:type="gramEnd"/>
      <w:r w:rsidRPr="0091553B">
        <w:t xml:space="preserve"> for study, training or work.</w:t>
      </w:r>
    </w:p>
    <w:p w14:paraId="12DAD483" w14:textId="77777777" w:rsidR="004C458F" w:rsidRPr="0091553B" w:rsidRDefault="004C458F" w:rsidP="004C458F"/>
    <w:p w14:paraId="7017698C" w14:textId="77777777" w:rsidR="004C458F" w:rsidRPr="0091553B" w:rsidRDefault="004C458F" w:rsidP="004C458F">
      <w:r w:rsidRPr="0091553B">
        <w:t xml:space="preserve">• The young person’s current accommodation arrangements, practical living skills, </w:t>
      </w:r>
    </w:p>
    <w:p w14:paraId="4D391665" w14:textId="77777777" w:rsidR="004C458F" w:rsidRPr="0091553B" w:rsidRDefault="004C458F" w:rsidP="004C458F">
      <w:r w:rsidRPr="0091553B">
        <w:t xml:space="preserve">   accommodation options for the future and any support required for everyday living.</w:t>
      </w:r>
    </w:p>
    <w:p w14:paraId="221D0852" w14:textId="77777777" w:rsidR="004C458F" w:rsidRPr="0091553B" w:rsidRDefault="004C458F" w:rsidP="004C458F"/>
    <w:p w14:paraId="4ED4ED48" w14:textId="77777777" w:rsidR="004C458F" w:rsidRPr="0091553B" w:rsidRDefault="004C458F" w:rsidP="004C458F">
      <w:r w:rsidRPr="0091553B">
        <w:t xml:space="preserve">• Sources of income, outgoings, savings and debts, requirement for financial support </w:t>
      </w:r>
    </w:p>
    <w:p w14:paraId="599FC589" w14:textId="77777777" w:rsidR="004C458F" w:rsidRPr="0091553B" w:rsidRDefault="004C458F" w:rsidP="004C458F">
      <w:r w:rsidRPr="0091553B">
        <w:t xml:space="preserve">   and budgeting skills.</w:t>
      </w:r>
    </w:p>
    <w:p w14:paraId="616A0590" w14:textId="77777777" w:rsidR="004C458F" w:rsidRPr="0091553B" w:rsidRDefault="004C458F" w:rsidP="004C458F"/>
    <w:p w14:paraId="3B645BA0" w14:textId="77777777" w:rsidR="004C458F" w:rsidRPr="0091553B" w:rsidRDefault="004C458F" w:rsidP="004C458F">
      <w:r w:rsidRPr="0091553B">
        <w:t xml:space="preserve">• Knowledge of their rights and legal entitlements, any previous or current involvement </w:t>
      </w:r>
    </w:p>
    <w:p w14:paraId="141BDBB3" w14:textId="77777777" w:rsidR="004C458F" w:rsidRPr="0091553B" w:rsidRDefault="004C458F" w:rsidP="004C458F">
      <w:r w:rsidRPr="0091553B">
        <w:t xml:space="preserve">   in legal proceedings, including criminal proceedings as a victim, witness, or alleged </w:t>
      </w:r>
    </w:p>
    <w:p w14:paraId="0BC81BF3" w14:textId="77777777" w:rsidR="004C458F" w:rsidRPr="0091553B" w:rsidRDefault="004C458F" w:rsidP="004C458F">
      <w:r w:rsidRPr="0091553B">
        <w:t xml:space="preserve">   perpetrator.</w:t>
      </w:r>
    </w:p>
    <w:p w14:paraId="16E4FC6A" w14:textId="77777777" w:rsidR="004C458F" w:rsidRDefault="004C458F" w:rsidP="004C458F"/>
    <w:p w14:paraId="275B300B" w14:textId="77777777" w:rsidR="00B70351" w:rsidRDefault="00B70351" w:rsidP="004C458F"/>
    <w:p w14:paraId="19FB73FA" w14:textId="77777777" w:rsidR="00B70351" w:rsidRPr="0091553B" w:rsidRDefault="00B70351" w:rsidP="004C458F"/>
    <w:p w14:paraId="69B43EC1" w14:textId="77777777" w:rsidR="004C458F" w:rsidRPr="0091553B" w:rsidRDefault="004C458F" w:rsidP="004C458F"/>
    <w:p w14:paraId="42D8608F" w14:textId="77777777" w:rsidR="004C458F" w:rsidRPr="0091553B" w:rsidRDefault="004C458F" w:rsidP="004C458F">
      <w:pPr>
        <w:rPr>
          <w:b/>
          <w:bCs/>
          <w:u w:val="single"/>
        </w:rPr>
      </w:pPr>
      <w:r w:rsidRPr="0091553B">
        <w:rPr>
          <w:b/>
          <w:bCs/>
          <w:u w:val="single"/>
        </w:rPr>
        <w:lastRenderedPageBreak/>
        <w:t>Falkirk’s Process:</w:t>
      </w:r>
    </w:p>
    <w:p w14:paraId="01FD1DC1" w14:textId="77777777" w:rsidR="004C458F" w:rsidRPr="0091553B" w:rsidRDefault="004C458F" w:rsidP="004C458F"/>
    <w:p w14:paraId="666B1362" w14:textId="77777777" w:rsidR="004C458F" w:rsidRPr="0091553B" w:rsidRDefault="004C458F" w:rsidP="004C458F">
      <w:pPr>
        <w:numPr>
          <w:ilvl w:val="0"/>
          <w:numId w:val="10"/>
        </w:numPr>
      </w:pPr>
      <w:r w:rsidRPr="0091553B">
        <w:t xml:space="preserve">Shortly before a young person reaches the age of 16 their social worker will explain what continuing care is and offer advocacy services to the young person. This will be via </w:t>
      </w:r>
      <w:proofErr w:type="spellStart"/>
      <w:r w:rsidRPr="0091553B">
        <w:t>Childrens</w:t>
      </w:r>
      <w:proofErr w:type="spellEnd"/>
      <w:r w:rsidRPr="0091553B">
        <w:t xml:space="preserve"> Rights or Who Cares? Scotland.</w:t>
      </w:r>
    </w:p>
    <w:p w14:paraId="34D37F21" w14:textId="77777777" w:rsidR="004C458F" w:rsidRPr="0091553B" w:rsidRDefault="004C458F" w:rsidP="004C458F"/>
    <w:p w14:paraId="30C0EE61" w14:textId="77777777" w:rsidR="004C458F" w:rsidRPr="0091553B" w:rsidRDefault="004C458F" w:rsidP="004C458F">
      <w:pPr>
        <w:numPr>
          <w:ilvl w:val="0"/>
          <w:numId w:val="10"/>
        </w:numPr>
      </w:pPr>
      <w:r w:rsidRPr="0091553B">
        <w:t>The Child’s assessment will be updated by the allocated social worker to reflect areas covered within the Pathway assessment and there will be discussion about the young person moving on to continuing care in the coming years.</w:t>
      </w:r>
    </w:p>
    <w:p w14:paraId="7485CD76" w14:textId="77777777" w:rsidR="004C458F" w:rsidRPr="0091553B" w:rsidRDefault="004C458F" w:rsidP="004C458F"/>
    <w:p w14:paraId="4C2819FC" w14:textId="77777777" w:rsidR="004C458F" w:rsidRPr="0091553B" w:rsidRDefault="004C458F" w:rsidP="004C458F">
      <w:pPr>
        <w:numPr>
          <w:ilvl w:val="0"/>
          <w:numId w:val="10"/>
        </w:numPr>
      </w:pPr>
      <w:r w:rsidRPr="0091553B">
        <w:t>If a young person is on a S25 they are entitled to remain subject to this until they reach the age of 18 years. However, 'Continuing Care offers significantly more security for the young person than a placement under section 25 of the 1995 Act.'</w:t>
      </w:r>
    </w:p>
    <w:p w14:paraId="3979A49A" w14:textId="77777777" w:rsidR="004C458F" w:rsidRPr="0091553B" w:rsidRDefault="004C458F" w:rsidP="004C458F"/>
    <w:p w14:paraId="0AAC6970" w14:textId="77777777" w:rsidR="004C458F" w:rsidRPr="0091553B" w:rsidRDefault="004C458F" w:rsidP="004C458F">
      <w:pPr>
        <w:numPr>
          <w:ilvl w:val="0"/>
          <w:numId w:val="10"/>
        </w:numPr>
      </w:pPr>
      <w:r w:rsidRPr="0091553B">
        <w:t>All young people on a Permanence Order or Compulsory Supervision order should be classed as looked after until 18 years old.  However, they can request continuing care from 16 years old and if this is in their best interest then this should be progressed.</w:t>
      </w:r>
    </w:p>
    <w:p w14:paraId="135597BA" w14:textId="77777777" w:rsidR="004C458F" w:rsidRPr="0091553B" w:rsidRDefault="004C458F" w:rsidP="004C458F"/>
    <w:p w14:paraId="55AA6A39" w14:textId="77777777" w:rsidR="004C458F" w:rsidRPr="0091553B" w:rsidRDefault="004C458F" w:rsidP="004C458F">
      <w:pPr>
        <w:numPr>
          <w:ilvl w:val="0"/>
          <w:numId w:val="10"/>
        </w:numPr>
      </w:pPr>
      <w:r w:rsidRPr="0091553B">
        <w:t>At the young persons Looked after away from home review at age 17 years the child’s plan will identify areas covered within the Continuing Care welfare assessment and discuss plans for the young person moving into continuing care on their 18</w:t>
      </w:r>
      <w:r w:rsidRPr="0091553B">
        <w:rPr>
          <w:vertAlign w:val="superscript"/>
        </w:rPr>
        <w:t>th</w:t>
      </w:r>
      <w:r w:rsidRPr="0091553B">
        <w:t xml:space="preserve"> birthday or when their order terminates (whichever comes first).</w:t>
      </w:r>
    </w:p>
    <w:p w14:paraId="05B9FAA1" w14:textId="77777777" w:rsidR="004C458F" w:rsidRPr="0091553B" w:rsidRDefault="004C458F" w:rsidP="004C458F"/>
    <w:p w14:paraId="4AD0B7DF" w14:textId="77777777" w:rsidR="004C458F" w:rsidRPr="0091553B" w:rsidRDefault="004C458F" w:rsidP="004C458F">
      <w:pPr>
        <w:numPr>
          <w:ilvl w:val="0"/>
          <w:numId w:val="10"/>
        </w:numPr>
      </w:pPr>
      <w:r w:rsidRPr="0091553B">
        <w:t>When the young person opts into continuing care, the allocated throughcare and aftercare worker will meet the young person and care team to complete a Continuing Care Welfare assessment that will consider:</w:t>
      </w:r>
    </w:p>
    <w:p w14:paraId="442AC77E" w14:textId="77777777" w:rsidR="004C458F" w:rsidRPr="0091553B" w:rsidRDefault="004C458F" w:rsidP="004C458F"/>
    <w:p w14:paraId="383412AD" w14:textId="77777777" w:rsidR="004C458F" w:rsidRPr="0091553B" w:rsidRDefault="004C458F" w:rsidP="0091553B">
      <w:pPr>
        <w:numPr>
          <w:ilvl w:val="0"/>
          <w:numId w:val="11"/>
        </w:numPr>
        <w:spacing w:line="240" w:lineRule="auto"/>
      </w:pPr>
      <w:r w:rsidRPr="0091553B">
        <w:t>Where I live</w:t>
      </w:r>
    </w:p>
    <w:p w14:paraId="40BD51E3" w14:textId="77777777" w:rsidR="004C458F" w:rsidRPr="0091553B" w:rsidRDefault="004C458F" w:rsidP="0091553B">
      <w:pPr>
        <w:spacing w:line="240" w:lineRule="auto"/>
      </w:pPr>
    </w:p>
    <w:p w14:paraId="39FB3F8A" w14:textId="77777777" w:rsidR="004C458F" w:rsidRPr="0091553B" w:rsidRDefault="004C458F" w:rsidP="0091553B">
      <w:pPr>
        <w:numPr>
          <w:ilvl w:val="0"/>
          <w:numId w:val="11"/>
        </w:numPr>
        <w:spacing w:line="240" w:lineRule="auto"/>
      </w:pPr>
      <w:r w:rsidRPr="0091553B">
        <w:t>Family and Friends</w:t>
      </w:r>
    </w:p>
    <w:p w14:paraId="76C1754F" w14:textId="77777777" w:rsidR="004C458F" w:rsidRPr="0091553B" w:rsidRDefault="004C458F" w:rsidP="0091553B">
      <w:pPr>
        <w:spacing w:line="240" w:lineRule="auto"/>
      </w:pPr>
    </w:p>
    <w:p w14:paraId="76BE5247" w14:textId="77777777" w:rsidR="004C458F" w:rsidRPr="0091553B" w:rsidRDefault="004C458F" w:rsidP="0091553B">
      <w:pPr>
        <w:numPr>
          <w:ilvl w:val="0"/>
          <w:numId w:val="11"/>
        </w:numPr>
        <w:spacing w:line="240" w:lineRule="auto"/>
      </w:pPr>
      <w:r w:rsidRPr="0091553B">
        <w:t>Health and wellbeing</w:t>
      </w:r>
    </w:p>
    <w:p w14:paraId="7E677449" w14:textId="77777777" w:rsidR="004C458F" w:rsidRPr="0091553B" w:rsidRDefault="004C458F" w:rsidP="0091553B">
      <w:pPr>
        <w:spacing w:line="240" w:lineRule="auto"/>
      </w:pPr>
    </w:p>
    <w:p w14:paraId="61E51685" w14:textId="77777777" w:rsidR="004C458F" w:rsidRPr="0091553B" w:rsidRDefault="004C458F" w:rsidP="0091553B">
      <w:pPr>
        <w:numPr>
          <w:ilvl w:val="0"/>
          <w:numId w:val="11"/>
        </w:numPr>
        <w:spacing w:line="240" w:lineRule="auto"/>
      </w:pPr>
      <w:r w:rsidRPr="0091553B">
        <w:t>Education, training and employment.</w:t>
      </w:r>
    </w:p>
    <w:p w14:paraId="2C9DCBDA" w14:textId="77777777" w:rsidR="004C458F" w:rsidRPr="0091553B" w:rsidRDefault="004C458F" w:rsidP="0091553B">
      <w:pPr>
        <w:spacing w:line="240" w:lineRule="auto"/>
      </w:pPr>
    </w:p>
    <w:p w14:paraId="3CA23460" w14:textId="77777777" w:rsidR="004C458F" w:rsidRPr="0091553B" w:rsidRDefault="004C458F" w:rsidP="0091553B">
      <w:pPr>
        <w:numPr>
          <w:ilvl w:val="0"/>
          <w:numId w:val="11"/>
        </w:numPr>
        <w:spacing w:line="240" w:lineRule="auto"/>
      </w:pPr>
      <w:r w:rsidRPr="0091553B">
        <w:t>Financial</w:t>
      </w:r>
    </w:p>
    <w:p w14:paraId="35C019F9" w14:textId="77777777" w:rsidR="004C458F" w:rsidRPr="0091553B" w:rsidRDefault="004C458F" w:rsidP="0091553B">
      <w:pPr>
        <w:spacing w:line="240" w:lineRule="auto"/>
      </w:pPr>
    </w:p>
    <w:p w14:paraId="25B129CB" w14:textId="77777777" w:rsidR="004C458F" w:rsidRPr="0091553B" w:rsidRDefault="004C458F" w:rsidP="0091553B">
      <w:pPr>
        <w:numPr>
          <w:ilvl w:val="0"/>
          <w:numId w:val="11"/>
        </w:numPr>
        <w:spacing w:line="240" w:lineRule="auto"/>
      </w:pPr>
      <w:r w:rsidRPr="0091553B">
        <w:t>Leisure and interests</w:t>
      </w:r>
    </w:p>
    <w:p w14:paraId="189D1D67" w14:textId="77777777" w:rsidR="004C458F" w:rsidRPr="0091553B" w:rsidRDefault="004C458F" w:rsidP="0091553B">
      <w:pPr>
        <w:spacing w:line="240" w:lineRule="auto"/>
      </w:pPr>
    </w:p>
    <w:p w14:paraId="77AF1CD7" w14:textId="7B5055A1" w:rsidR="004C458F" w:rsidRPr="0091553B" w:rsidRDefault="004C458F" w:rsidP="004C458F">
      <w:pPr>
        <w:numPr>
          <w:ilvl w:val="0"/>
          <w:numId w:val="11"/>
        </w:numPr>
        <w:spacing w:line="240" w:lineRule="auto"/>
      </w:pPr>
      <w:r w:rsidRPr="0091553B">
        <w:t>Legal matters and Rights</w:t>
      </w:r>
    </w:p>
    <w:p w14:paraId="13F25C38" w14:textId="77777777" w:rsidR="004C458F" w:rsidRPr="0091553B" w:rsidRDefault="004C458F" w:rsidP="004C458F"/>
    <w:p w14:paraId="53C88A6A" w14:textId="77777777" w:rsidR="004C458F" w:rsidRPr="0091553B" w:rsidRDefault="004C458F" w:rsidP="004C458F">
      <w:pPr>
        <w:numPr>
          <w:ilvl w:val="0"/>
          <w:numId w:val="10"/>
        </w:numPr>
      </w:pPr>
      <w:r w:rsidRPr="0091553B">
        <w:t>The young person’s review following them moving into Continuing Care will be their initial Continuing Care Review. Within this meeting, the Continuing Care welfare assessment will be reviewed and updated.</w:t>
      </w:r>
    </w:p>
    <w:p w14:paraId="4F72D594" w14:textId="77777777" w:rsidR="004C458F" w:rsidRPr="0091553B" w:rsidRDefault="004C458F" w:rsidP="004C458F"/>
    <w:p w14:paraId="03787D24" w14:textId="77777777" w:rsidR="004C458F" w:rsidRPr="0091553B" w:rsidRDefault="004C458F" w:rsidP="004C458F">
      <w:pPr>
        <w:numPr>
          <w:ilvl w:val="0"/>
          <w:numId w:val="10"/>
        </w:numPr>
      </w:pPr>
      <w:r w:rsidRPr="0091553B">
        <w:t>Thereafter continuing care reviews will occur annually. The team Around the Child, the young person and their parents/carers will review the actions and plan to progress towards adulthood.</w:t>
      </w:r>
    </w:p>
    <w:p w14:paraId="4065708C" w14:textId="77777777" w:rsidR="004C458F" w:rsidRPr="0091553B" w:rsidRDefault="004C458F" w:rsidP="004C458F"/>
    <w:p w14:paraId="0E9B739E" w14:textId="77777777" w:rsidR="004C458F" w:rsidRPr="0091553B" w:rsidRDefault="004C458F" w:rsidP="004C458F">
      <w:pPr>
        <w:numPr>
          <w:ilvl w:val="0"/>
          <w:numId w:val="10"/>
        </w:numPr>
      </w:pPr>
      <w:r w:rsidRPr="0091553B">
        <w:t>The welfare assessment will be updated for the annual review.</w:t>
      </w:r>
    </w:p>
    <w:p w14:paraId="6E2E1BF9" w14:textId="77777777" w:rsidR="00945289" w:rsidRPr="0091553B" w:rsidRDefault="00945289" w:rsidP="00945289">
      <w:pPr>
        <w:pStyle w:val="ListParagraph"/>
      </w:pPr>
    </w:p>
    <w:p w14:paraId="0695C0DB" w14:textId="77777777" w:rsidR="00BF4BD7" w:rsidRPr="0091553B" w:rsidRDefault="00BF4BD7" w:rsidP="00945289">
      <w:pPr>
        <w:rPr>
          <w:b/>
          <w:bCs/>
          <w:u w:val="single"/>
        </w:rPr>
      </w:pPr>
    </w:p>
    <w:p w14:paraId="3683DDA0" w14:textId="77777777" w:rsidR="00BF4BD7" w:rsidRPr="0091553B" w:rsidRDefault="00BF4BD7" w:rsidP="00945289">
      <w:pPr>
        <w:rPr>
          <w:b/>
          <w:bCs/>
          <w:u w:val="single"/>
        </w:rPr>
      </w:pPr>
    </w:p>
    <w:p w14:paraId="760C8A23" w14:textId="77777777" w:rsidR="00BF4BD7" w:rsidRPr="0091553B" w:rsidRDefault="00BF4BD7" w:rsidP="00945289">
      <w:pPr>
        <w:rPr>
          <w:b/>
          <w:bCs/>
          <w:u w:val="single"/>
        </w:rPr>
      </w:pPr>
    </w:p>
    <w:p w14:paraId="0CC1F481" w14:textId="77777777" w:rsidR="00BF4BD7" w:rsidRPr="0091553B" w:rsidRDefault="00BF4BD7" w:rsidP="00945289">
      <w:pPr>
        <w:rPr>
          <w:b/>
          <w:bCs/>
          <w:u w:val="single"/>
        </w:rPr>
      </w:pPr>
    </w:p>
    <w:p w14:paraId="6A61A78F" w14:textId="77777777" w:rsidR="00F24000" w:rsidRDefault="00F24000" w:rsidP="00945289">
      <w:pPr>
        <w:rPr>
          <w:b/>
          <w:bCs/>
          <w:u w:val="single"/>
        </w:rPr>
      </w:pPr>
    </w:p>
    <w:p w14:paraId="4ABD4064" w14:textId="77777777" w:rsidR="00F24000" w:rsidRDefault="00F24000" w:rsidP="00945289">
      <w:pPr>
        <w:rPr>
          <w:b/>
          <w:bCs/>
          <w:u w:val="single"/>
        </w:rPr>
      </w:pPr>
    </w:p>
    <w:p w14:paraId="51FA4912" w14:textId="77777777" w:rsidR="00D20A82" w:rsidRDefault="00D20A82" w:rsidP="00945289">
      <w:pPr>
        <w:rPr>
          <w:b/>
          <w:bCs/>
          <w:u w:val="single"/>
        </w:rPr>
      </w:pPr>
    </w:p>
    <w:p w14:paraId="5967B9A0" w14:textId="77777777" w:rsidR="00D20A82" w:rsidRDefault="00D20A82" w:rsidP="00945289">
      <w:pPr>
        <w:rPr>
          <w:b/>
          <w:bCs/>
          <w:u w:val="single"/>
        </w:rPr>
      </w:pPr>
    </w:p>
    <w:p w14:paraId="3FF76EB7" w14:textId="77777777" w:rsidR="00D20A82" w:rsidRDefault="00D20A82" w:rsidP="00945289">
      <w:pPr>
        <w:rPr>
          <w:b/>
          <w:bCs/>
          <w:u w:val="single"/>
        </w:rPr>
      </w:pPr>
    </w:p>
    <w:p w14:paraId="6BD0597E" w14:textId="77777777" w:rsidR="00D20A82" w:rsidRDefault="00D20A82" w:rsidP="00945289">
      <w:pPr>
        <w:rPr>
          <w:b/>
          <w:bCs/>
          <w:u w:val="single"/>
        </w:rPr>
      </w:pPr>
    </w:p>
    <w:p w14:paraId="3E636EEE" w14:textId="77777777" w:rsidR="00F24000" w:rsidRDefault="00F24000" w:rsidP="00945289">
      <w:pPr>
        <w:rPr>
          <w:b/>
          <w:bCs/>
          <w:u w:val="single"/>
        </w:rPr>
      </w:pPr>
    </w:p>
    <w:p w14:paraId="6FC4DBB8" w14:textId="595C20CE" w:rsidR="00945289" w:rsidRPr="0091553B" w:rsidRDefault="00945289" w:rsidP="00945289">
      <w:pPr>
        <w:rPr>
          <w:b/>
          <w:bCs/>
          <w:u w:val="single"/>
        </w:rPr>
      </w:pPr>
      <w:r w:rsidRPr="0091553B">
        <w:rPr>
          <w:b/>
          <w:bCs/>
          <w:u w:val="single"/>
        </w:rPr>
        <w:lastRenderedPageBreak/>
        <w:t>Useful Contacts</w:t>
      </w:r>
    </w:p>
    <w:p w14:paraId="27AE834D" w14:textId="77777777" w:rsidR="00945289" w:rsidRPr="0091553B" w:rsidRDefault="00945289" w:rsidP="00945289">
      <w:pPr>
        <w:rPr>
          <w:rStyle w:val="Hyperlink"/>
          <w:rFonts w:cstheme="minorHAnsi"/>
        </w:rPr>
      </w:pPr>
      <w:r w:rsidRPr="0091553B">
        <w:rPr>
          <w:rFonts w:cstheme="minorHAnsi"/>
        </w:rPr>
        <w:t xml:space="preserve">Children’s Rights Officer email address </w:t>
      </w:r>
      <w:hyperlink r:id="rId8" w:history="1">
        <w:r w:rsidRPr="0091553B">
          <w:rPr>
            <w:rStyle w:val="Hyperlink"/>
            <w:rFonts w:cstheme="minorHAnsi"/>
          </w:rPr>
          <w:t>falkirkchildrens@quarriers.org.uk</w:t>
        </w:r>
      </w:hyperlink>
    </w:p>
    <w:p w14:paraId="6CEFE993" w14:textId="77777777" w:rsidR="00945289" w:rsidRPr="0091553B" w:rsidRDefault="00945289" w:rsidP="00945289">
      <w:pPr>
        <w:rPr>
          <w:rFonts w:eastAsia="Calibri" w:cs="Calibri"/>
        </w:rPr>
      </w:pPr>
      <w:r w:rsidRPr="0091553B">
        <w:t xml:space="preserve">Advocacy services email address </w:t>
      </w:r>
      <w:hyperlink r:id="rId9">
        <w:r w:rsidRPr="0091553B">
          <w:rPr>
            <w:rStyle w:val="Hyperlink"/>
            <w:rFonts w:eastAsiaTheme="minorEastAsia"/>
          </w:rPr>
          <w:t>hello@whocaresscotland.org</w:t>
        </w:r>
      </w:hyperlink>
      <w:r w:rsidRPr="0091553B">
        <w:rPr>
          <w:rFonts w:eastAsiaTheme="minorEastAsia"/>
          <w:color w:val="093233"/>
        </w:rPr>
        <w:t xml:space="preserve"> </w:t>
      </w:r>
    </w:p>
    <w:p w14:paraId="2858E756" w14:textId="77777777" w:rsidR="00945289" w:rsidRPr="0091553B" w:rsidRDefault="00945289" w:rsidP="00945289">
      <w:pPr>
        <w:rPr>
          <w:rFonts w:cstheme="minorHAnsi"/>
        </w:rPr>
      </w:pPr>
      <w:r w:rsidRPr="0091553B">
        <w:rPr>
          <w:rFonts w:cstheme="minorHAnsi"/>
        </w:rPr>
        <w:t xml:space="preserve">Care Inspectorate website </w:t>
      </w:r>
      <w:hyperlink r:id="rId10" w:history="1">
        <w:r w:rsidRPr="0091553B">
          <w:rPr>
            <w:rStyle w:val="Hyperlink"/>
            <w:rFonts w:cstheme="minorHAnsi"/>
          </w:rPr>
          <w:t>http://carenews.careinspectorate.com/complaints-procedure/</w:t>
        </w:r>
      </w:hyperlink>
    </w:p>
    <w:p w14:paraId="75AF9306" w14:textId="77777777" w:rsidR="00945289" w:rsidRPr="0091553B" w:rsidRDefault="00945289" w:rsidP="00945289">
      <w:pPr>
        <w:rPr>
          <w:rStyle w:val="Hyperlink"/>
          <w:rFonts w:cstheme="minorHAnsi"/>
        </w:rPr>
      </w:pPr>
      <w:r w:rsidRPr="0091553B">
        <w:rPr>
          <w:rFonts w:cstheme="minorHAnsi"/>
        </w:rPr>
        <w:t xml:space="preserve">Children and Young People’s Commissioner Scotland website </w:t>
      </w:r>
      <w:hyperlink r:id="rId11" w:history="1">
        <w:r w:rsidRPr="0091553B">
          <w:rPr>
            <w:rStyle w:val="Hyperlink"/>
            <w:rFonts w:cstheme="minorHAnsi"/>
          </w:rPr>
          <w:t>http://www.cypcs.org.uk/rights</w:t>
        </w:r>
      </w:hyperlink>
    </w:p>
    <w:p w14:paraId="39E52AFA" w14:textId="77777777" w:rsidR="00945289" w:rsidRPr="0091553B" w:rsidRDefault="00945289" w:rsidP="00945289"/>
    <w:p w14:paraId="2A307951" w14:textId="77777777" w:rsidR="00555C52" w:rsidRPr="0091553B" w:rsidRDefault="00555C52" w:rsidP="00555C52">
      <w:pPr>
        <w:pStyle w:val="ListParagraph"/>
      </w:pPr>
    </w:p>
    <w:p w14:paraId="628F2FFA" w14:textId="023661DC" w:rsidR="00555C52" w:rsidRPr="0091553B" w:rsidRDefault="0046195B" w:rsidP="00555C52">
      <w:pPr>
        <w:rPr>
          <w:b/>
          <w:bCs/>
          <w:u w:val="single"/>
        </w:rPr>
      </w:pPr>
      <w:r w:rsidRPr="0091553B">
        <w:rPr>
          <w:b/>
          <w:bCs/>
          <w:u w:val="single"/>
        </w:rPr>
        <w:t>Appendices</w:t>
      </w:r>
    </w:p>
    <w:p w14:paraId="0384014F" w14:textId="77777777" w:rsidR="0046195B" w:rsidRPr="0091553B" w:rsidRDefault="0046195B" w:rsidP="00555C52"/>
    <w:p w14:paraId="787E4FCF" w14:textId="3D27861A" w:rsidR="00261F6E" w:rsidRPr="0091553B" w:rsidRDefault="00261F6E" w:rsidP="00261F6E">
      <w:pPr>
        <w:pStyle w:val="ListParagraph"/>
        <w:numPr>
          <w:ilvl w:val="0"/>
          <w:numId w:val="12"/>
        </w:numPr>
        <w:rPr>
          <w:rFonts w:cstheme="minorHAnsi"/>
          <w:color w:val="4C94D8" w:themeColor="text2" w:themeTint="80"/>
        </w:rPr>
      </w:pPr>
      <w:hyperlink r:id="rId12" w:history="1">
        <w:r w:rsidRPr="0091553B">
          <w:rPr>
            <w:rStyle w:val="Hyperlink"/>
            <w:rFonts w:cstheme="minorHAnsi"/>
            <w:color w:val="4C94D8" w:themeColor="text2" w:themeTint="80"/>
          </w:rPr>
          <w:t>https://www.gov.scot/publications/guidance-part-11-continuing-care-children-young-people-scotland-act/</w:t>
        </w:r>
      </w:hyperlink>
      <w:r w:rsidRPr="0091553B">
        <w:rPr>
          <w:rFonts w:cstheme="minorHAnsi"/>
          <w:color w:val="4C94D8" w:themeColor="text2" w:themeTint="80"/>
        </w:rPr>
        <w:t xml:space="preserve">     </w:t>
      </w:r>
    </w:p>
    <w:p w14:paraId="20C8C225" w14:textId="6272D5DD" w:rsidR="00261F6E" w:rsidRPr="0091553B" w:rsidRDefault="00261F6E" w:rsidP="00261F6E">
      <w:pPr>
        <w:pStyle w:val="ListParagraph"/>
        <w:numPr>
          <w:ilvl w:val="0"/>
          <w:numId w:val="12"/>
        </w:numPr>
        <w:rPr>
          <w:rFonts w:cstheme="minorHAnsi"/>
          <w:color w:val="4C94D8" w:themeColor="text2" w:themeTint="80"/>
          <w:u w:val="single"/>
        </w:rPr>
      </w:pPr>
      <w:hyperlink r:id="rId13" w:history="1">
        <w:r w:rsidRPr="0091553B">
          <w:rPr>
            <w:rStyle w:val="Hyperlink"/>
            <w:rFonts w:cstheme="minorHAnsi"/>
            <w:color w:val="4C94D8" w:themeColor="text2" w:themeTint="80"/>
          </w:rPr>
          <w:t>https://www.gov.scot/publications/staying-put-scotland-providing-care-leavers-connectness-belonging/</w:t>
        </w:r>
      </w:hyperlink>
    </w:p>
    <w:p w14:paraId="3EEA7D36" w14:textId="77777777" w:rsidR="00B943E2" w:rsidRPr="0091553B" w:rsidRDefault="00B943E2" w:rsidP="00B943E2">
      <w:pPr>
        <w:pStyle w:val="ListParagraph"/>
        <w:numPr>
          <w:ilvl w:val="0"/>
          <w:numId w:val="12"/>
        </w:numPr>
        <w:spacing w:after="200" w:line="276" w:lineRule="auto"/>
        <w:rPr>
          <w:rFonts w:eastAsia="Calibri" w:cstheme="minorHAnsi"/>
          <w:color w:val="4C94D8" w:themeColor="text2" w:themeTint="80"/>
        </w:rPr>
      </w:pPr>
      <w:hyperlink r:id="rId14" w:history="1">
        <w:r w:rsidRPr="0091553B">
          <w:rPr>
            <w:rStyle w:val="Hyperlink"/>
            <w:rFonts w:eastAsia="Calibri" w:cstheme="minorHAnsi"/>
            <w:color w:val="4C94D8" w:themeColor="text2" w:themeTint="80"/>
          </w:rPr>
          <w:t>2016_CELCIS_flow_chart.pdf</w:t>
        </w:r>
      </w:hyperlink>
    </w:p>
    <w:p w14:paraId="115A59C2" w14:textId="77777777" w:rsidR="002E66D2" w:rsidRPr="0091553B" w:rsidRDefault="002E66D2" w:rsidP="002E66D2">
      <w:pPr>
        <w:pStyle w:val="ListParagraph"/>
        <w:numPr>
          <w:ilvl w:val="0"/>
          <w:numId w:val="12"/>
        </w:numPr>
        <w:rPr>
          <w:rFonts w:cstheme="minorHAnsi"/>
          <w:color w:val="4C94D8" w:themeColor="text2" w:themeTint="80"/>
        </w:rPr>
      </w:pPr>
      <w:hyperlink r:id="rId15" w:history="1">
        <w:r w:rsidRPr="0091553B">
          <w:rPr>
            <w:rStyle w:val="Hyperlink"/>
            <w:rFonts w:cstheme="minorHAnsi"/>
            <w:color w:val="4C94D8" w:themeColor="text2" w:themeTint="80"/>
          </w:rPr>
          <w:t>Rights to Care; A Guide to Continuing Care and Aftercare - Who Cares? Scotland (whocaresscotland.org)</w:t>
        </w:r>
      </w:hyperlink>
    </w:p>
    <w:p w14:paraId="523213D5" w14:textId="77777777" w:rsidR="002E66D2" w:rsidRPr="0091553B" w:rsidRDefault="002E66D2" w:rsidP="002E66D2">
      <w:pPr>
        <w:pStyle w:val="ListParagraph"/>
        <w:numPr>
          <w:ilvl w:val="0"/>
          <w:numId w:val="12"/>
        </w:numPr>
        <w:rPr>
          <w:rFonts w:cstheme="minorHAnsi"/>
          <w:color w:val="4C94D8" w:themeColor="text2" w:themeTint="80"/>
        </w:rPr>
      </w:pPr>
      <w:hyperlink r:id="rId16" w:history="1">
        <w:r w:rsidRPr="0091553B">
          <w:rPr>
            <w:rStyle w:val="Hyperlink"/>
            <w:rFonts w:cstheme="minorHAnsi"/>
            <w:color w:val="4C94D8" w:themeColor="text2" w:themeTint="80"/>
          </w:rPr>
          <w:t xml:space="preserve">Your Right to Continuing Care :: </w:t>
        </w:r>
        <w:proofErr w:type="spellStart"/>
        <w:r w:rsidRPr="0091553B">
          <w:rPr>
            <w:rStyle w:val="Hyperlink"/>
            <w:rFonts w:cstheme="minorHAnsi"/>
            <w:color w:val="4C94D8" w:themeColor="text2" w:themeTint="80"/>
          </w:rPr>
          <w:t>Celcis</w:t>
        </w:r>
        <w:proofErr w:type="spellEnd"/>
      </w:hyperlink>
    </w:p>
    <w:p w14:paraId="24A6282E" w14:textId="77777777" w:rsidR="00B1441F" w:rsidRPr="0091553B" w:rsidRDefault="00B1441F" w:rsidP="00B1441F">
      <w:pPr>
        <w:pStyle w:val="ListParagraph"/>
        <w:numPr>
          <w:ilvl w:val="0"/>
          <w:numId w:val="12"/>
        </w:numPr>
        <w:rPr>
          <w:rFonts w:cstheme="minorHAnsi"/>
          <w:color w:val="4C94D8" w:themeColor="text2" w:themeTint="80"/>
        </w:rPr>
      </w:pPr>
      <w:hyperlink r:id="rId17" w:history="1">
        <w:r w:rsidRPr="0091553B">
          <w:rPr>
            <w:rStyle w:val="Hyperlink"/>
            <w:rFonts w:cstheme="minorHAnsi"/>
            <w:color w:val="4C94D8" w:themeColor="text2" w:themeTint="80"/>
          </w:rPr>
          <w:t>Continuing care | FCA Scotland</w:t>
        </w:r>
      </w:hyperlink>
    </w:p>
    <w:p w14:paraId="4A17AB17" w14:textId="77777777" w:rsidR="00945289" w:rsidRPr="0091553B" w:rsidRDefault="00945289" w:rsidP="00945289">
      <w:pPr>
        <w:pStyle w:val="ListParagraph"/>
        <w:numPr>
          <w:ilvl w:val="0"/>
          <w:numId w:val="12"/>
        </w:numPr>
        <w:tabs>
          <w:tab w:val="left" w:pos="5970"/>
        </w:tabs>
        <w:rPr>
          <w:rFonts w:eastAsia="Calibri" w:cstheme="minorHAnsi"/>
          <w:color w:val="4C94D8" w:themeColor="text2" w:themeTint="80"/>
        </w:rPr>
      </w:pPr>
      <w:hyperlink r:id="rId18" w:history="1">
        <w:r w:rsidRPr="0091553B">
          <w:rPr>
            <w:rFonts w:eastAsia="Calibri" w:cstheme="minorHAnsi"/>
            <w:color w:val="4C94D8" w:themeColor="text2" w:themeTint="80"/>
            <w:u w:val="single"/>
          </w:rPr>
          <w:t>Complaints procedures</w:t>
        </w:r>
      </w:hyperlink>
      <w:r w:rsidRPr="0091553B">
        <w:rPr>
          <w:rFonts w:eastAsia="Calibri" w:cstheme="minorHAnsi"/>
          <w:color w:val="4C94D8" w:themeColor="text2" w:themeTint="80"/>
        </w:rPr>
        <w:t xml:space="preserve"> / </w:t>
      </w:r>
      <w:hyperlink r:id="rId19" w:history="1">
        <w:r w:rsidRPr="0091553B">
          <w:rPr>
            <w:rFonts w:eastAsia="Calibri" w:cstheme="minorHAnsi"/>
            <w:color w:val="4C94D8" w:themeColor="text2" w:themeTint="80"/>
            <w:u w:val="single"/>
          </w:rPr>
          <w:t>Contact us to make a complaint</w:t>
        </w:r>
      </w:hyperlink>
    </w:p>
    <w:p w14:paraId="2B709932" w14:textId="77777777" w:rsidR="00387E86" w:rsidRPr="00F24000" w:rsidRDefault="00387E86" w:rsidP="00387E86">
      <w:pPr>
        <w:pStyle w:val="ListParagraph"/>
        <w:numPr>
          <w:ilvl w:val="0"/>
          <w:numId w:val="12"/>
        </w:numPr>
        <w:rPr>
          <w:rFonts w:cs="Arial"/>
          <w:color w:val="4C94D8" w:themeColor="text2" w:themeTint="80"/>
          <w:u w:val="single"/>
        </w:rPr>
      </w:pPr>
      <w:hyperlink r:id="rId20" w:history="1">
        <w:r w:rsidRPr="0091553B">
          <w:rPr>
            <w:rStyle w:val="Hyperlink"/>
            <w:rFonts w:cstheme="minorHAnsi"/>
            <w:color w:val="4C94D8" w:themeColor="text2" w:themeTint="80"/>
          </w:rPr>
          <w:t>https://www.gov.scot/publications/staying-put-scotland-providing-care-leavers-connectness-belonging/</w:t>
        </w:r>
      </w:hyperlink>
    </w:p>
    <w:p w14:paraId="2410BF3C" w14:textId="77777777" w:rsidR="00F24000" w:rsidRDefault="00F24000" w:rsidP="00F24000">
      <w:pPr>
        <w:rPr>
          <w:rStyle w:val="Hyperlink"/>
          <w:rFonts w:cs="Arial"/>
          <w:color w:val="4C94D8" w:themeColor="text2" w:themeTint="80"/>
        </w:rPr>
      </w:pPr>
    </w:p>
    <w:p w14:paraId="6D67716D" w14:textId="77777777" w:rsidR="00F24000" w:rsidRDefault="00F24000" w:rsidP="00F24000">
      <w:pPr>
        <w:rPr>
          <w:rStyle w:val="Hyperlink"/>
          <w:rFonts w:cs="Arial"/>
          <w:color w:val="4C94D8" w:themeColor="text2" w:themeTint="80"/>
        </w:rPr>
      </w:pPr>
    </w:p>
    <w:p w14:paraId="60924130" w14:textId="77777777" w:rsidR="00F24000" w:rsidRPr="00F24000" w:rsidRDefault="00F24000" w:rsidP="00F24000">
      <w:pPr>
        <w:rPr>
          <w:rStyle w:val="Hyperlink"/>
          <w:rFonts w:cs="Arial"/>
          <w:color w:val="4C94D8" w:themeColor="text2" w:themeTint="80"/>
        </w:rPr>
      </w:pPr>
    </w:p>
    <w:p w14:paraId="7E8B3E85" w14:textId="77777777" w:rsidR="00B943E2" w:rsidRPr="0091553B" w:rsidRDefault="00B943E2" w:rsidP="0091553B">
      <w:pPr>
        <w:pStyle w:val="ListParagraph"/>
        <w:rPr>
          <w:rStyle w:val="Hyperlink"/>
          <w:rFonts w:cstheme="minorHAnsi"/>
          <w:color w:val="auto"/>
        </w:rPr>
      </w:pPr>
    </w:p>
    <w:p w14:paraId="1031601F" w14:textId="77777777" w:rsidR="0046195B" w:rsidRPr="0091553B" w:rsidRDefault="0046195B" w:rsidP="00555C52"/>
    <w:p w14:paraId="54FB1BF7" w14:textId="77777777" w:rsidR="00555C52" w:rsidRPr="0091553B" w:rsidRDefault="00555C52" w:rsidP="00555C52"/>
    <w:p w14:paraId="6B35A0E0" w14:textId="77777777" w:rsidR="00945289" w:rsidRPr="0091553B" w:rsidRDefault="00945289" w:rsidP="00555C52"/>
    <w:p w14:paraId="091634BF" w14:textId="77777777" w:rsidR="00945289" w:rsidRPr="0091553B" w:rsidRDefault="00945289" w:rsidP="00555C52"/>
    <w:p w14:paraId="60AD4BD8" w14:textId="77777777" w:rsidR="004C458F" w:rsidRPr="0091553B" w:rsidRDefault="004C458F"/>
    <w:sectPr w:rsidR="004C458F" w:rsidRPr="0091553B" w:rsidSect="00B4410C">
      <w:footerReference w:type="default" r:id="rId21"/>
      <w:pgSz w:w="11906" w:h="16838"/>
      <w:pgMar w:top="1440" w:right="1440" w:bottom="1440" w:left="1440" w:header="708" w:footer="708" w:gutter="0"/>
      <w:pgBorders w:display="firstPage" w:offsetFrom="page">
        <w:top w:val="single" w:sz="8" w:space="24" w:color="auto"/>
        <w:left w:val="single" w:sz="8" w:space="24" w:color="auto"/>
        <w:bottom w:val="single" w:sz="8" w:space="24" w:color="auto"/>
        <w:right w:val="single" w:sz="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0125" w14:textId="77777777" w:rsidR="00390BCA" w:rsidRDefault="00390BCA" w:rsidP="00014A21">
      <w:pPr>
        <w:spacing w:after="0" w:line="240" w:lineRule="auto"/>
      </w:pPr>
      <w:r>
        <w:separator/>
      </w:r>
    </w:p>
  </w:endnote>
  <w:endnote w:type="continuationSeparator" w:id="0">
    <w:p w14:paraId="15BA3C1D" w14:textId="77777777" w:rsidR="00390BCA" w:rsidRDefault="00390BCA" w:rsidP="0001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570947"/>
      <w:docPartObj>
        <w:docPartGallery w:val="Page Numbers (Bottom of Page)"/>
        <w:docPartUnique/>
      </w:docPartObj>
    </w:sdtPr>
    <w:sdtEndPr>
      <w:rPr>
        <w:noProof/>
      </w:rPr>
    </w:sdtEndPr>
    <w:sdtContent>
      <w:p w14:paraId="2E265828" w14:textId="6EC08D92" w:rsidR="00D36068" w:rsidRDefault="00D360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DE06E" w14:textId="77777777" w:rsidR="00014A21" w:rsidRDefault="00014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8010" w14:textId="77777777" w:rsidR="00390BCA" w:rsidRDefault="00390BCA" w:rsidP="00014A21">
      <w:pPr>
        <w:spacing w:after="0" w:line="240" w:lineRule="auto"/>
      </w:pPr>
      <w:r>
        <w:separator/>
      </w:r>
    </w:p>
  </w:footnote>
  <w:footnote w:type="continuationSeparator" w:id="0">
    <w:p w14:paraId="1B1E1908" w14:textId="77777777" w:rsidR="00390BCA" w:rsidRDefault="00390BCA" w:rsidP="00014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CB"/>
    <w:multiLevelType w:val="multilevel"/>
    <w:tmpl w:val="B31478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012173A9"/>
    <w:multiLevelType w:val="multilevel"/>
    <w:tmpl w:val="E2C88E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0ACE26B7"/>
    <w:multiLevelType w:val="hybridMultilevel"/>
    <w:tmpl w:val="03B8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6255F"/>
    <w:multiLevelType w:val="hybridMultilevel"/>
    <w:tmpl w:val="9EB0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B463D"/>
    <w:multiLevelType w:val="multilevel"/>
    <w:tmpl w:val="A6EC23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195D2FE9"/>
    <w:multiLevelType w:val="hybridMultilevel"/>
    <w:tmpl w:val="85EAF7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0593022"/>
    <w:multiLevelType w:val="hybridMultilevel"/>
    <w:tmpl w:val="EF4850E0"/>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2CA72D06"/>
    <w:multiLevelType w:val="hybridMultilevel"/>
    <w:tmpl w:val="FFFFFFFF"/>
    <w:lvl w:ilvl="0" w:tplc="08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5C2AA8"/>
    <w:multiLevelType w:val="multilevel"/>
    <w:tmpl w:val="6BF2A3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459643E6"/>
    <w:multiLevelType w:val="hybridMultilevel"/>
    <w:tmpl w:val="77CAE81C"/>
    <w:lvl w:ilvl="0" w:tplc="22846C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3698C"/>
    <w:multiLevelType w:val="hybridMultilevel"/>
    <w:tmpl w:val="6D90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46AFB"/>
    <w:multiLevelType w:val="hybridMultilevel"/>
    <w:tmpl w:val="F1D8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33914"/>
    <w:multiLevelType w:val="multilevel"/>
    <w:tmpl w:val="E9C240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503A7F5B"/>
    <w:multiLevelType w:val="hybridMultilevel"/>
    <w:tmpl w:val="979A9694"/>
    <w:lvl w:ilvl="0" w:tplc="0809000F">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0F3136"/>
    <w:multiLevelType w:val="hybridMultilevel"/>
    <w:tmpl w:val="41D8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27A0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A1570"/>
    <w:multiLevelType w:val="multilevel"/>
    <w:tmpl w:val="5EA412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7" w15:restartNumberingAfterBreak="0">
    <w:nsid w:val="7E705A17"/>
    <w:multiLevelType w:val="hybridMultilevel"/>
    <w:tmpl w:val="AC8E5F8C"/>
    <w:lvl w:ilvl="0" w:tplc="16BC845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663515">
    <w:abstractNumId w:val="6"/>
  </w:num>
  <w:num w:numId="2" w16cid:durableId="1251547997">
    <w:abstractNumId w:val="13"/>
  </w:num>
  <w:num w:numId="3" w16cid:durableId="154616099">
    <w:abstractNumId w:val="3"/>
  </w:num>
  <w:num w:numId="4" w16cid:durableId="76178539">
    <w:abstractNumId w:val="10"/>
  </w:num>
  <w:num w:numId="5" w16cid:durableId="341128849">
    <w:abstractNumId w:val="9"/>
  </w:num>
  <w:num w:numId="6" w16cid:durableId="1091851090">
    <w:abstractNumId w:val="2"/>
  </w:num>
  <w:num w:numId="7" w16cid:durableId="1713845255">
    <w:abstractNumId w:val="14"/>
  </w:num>
  <w:num w:numId="8" w16cid:durableId="286133236">
    <w:abstractNumId w:val="11"/>
  </w:num>
  <w:num w:numId="9" w16cid:durableId="1972977224">
    <w:abstractNumId w:val="5"/>
  </w:num>
  <w:num w:numId="10" w16cid:durableId="1108086509">
    <w:abstractNumId w:val="15"/>
  </w:num>
  <w:num w:numId="11" w16cid:durableId="1333293117">
    <w:abstractNumId w:val="7"/>
  </w:num>
  <w:num w:numId="12" w16cid:durableId="887686647">
    <w:abstractNumId w:val="17"/>
  </w:num>
  <w:num w:numId="13" w16cid:durableId="1343777760">
    <w:abstractNumId w:val="1"/>
  </w:num>
  <w:num w:numId="14" w16cid:durableId="708603279">
    <w:abstractNumId w:val="12"/>
  </w:num>
  <w:num w:numId="15" w16cid:durableId="759445637">
    <w:abstractNumId w:val="0"/>
  </w:num>
  <w:num w:numId="16" w16cid:durableId="155995295">
    <w:abstractNumId w:val="4"/>
  </w:num>
  <w:num w:numId="17" w16cid:durableId="1290287012">
    <w:abstractNumId w:val="16"/>
  </w:num>
  <w:num w:numId="18" w16cid:durableId="1387218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8F"/>
    <w:rsid w:val="00014783"/>
    <w:rsid w:val="00014A21"/>
    <w:rsid w:val="00071D07"/>
    <w:rsid w:val="00086F77"/>
    <w:rsid w:val="00093449"/>
    <w:rsid w:val="000C6D53"/>
    <w:rsid w:val="000F0178"/>
    <w:rsid w:val="00106E4C"/>
    <w:rsid w:val="00111BD1"/>
    <w:rsid w:val="00134737"/>
    <w:rsid w:val="0014336B"/>
    <w:rsid w:val="00153496"/>
    <w:rsid w:val="00156F4A"/>
    <w:rsid w:val="00186988"/>
    <w:rsid w:val="00190C41"/>
    <w:rsid w:val="001C4FB8"/>
    <w:rsid w:val="001F63F5"/>
    <w:rsid w:val="001F6ABA"/>
    <w:rsid w:val="00205B3A"/>
    <w:rsid w:val="00222E68"/>
    <w:rsid w:val="0024279E"/>
    <w:rsid w:val="00242A86"/>
    <w:rsid w:val="00243673"/>
    <w:rsid w:val="00251590"/>
    <w:rsid w:val="00261F6E"/>
    <w:rsid w:val="002653F3"/>
    <w:rsid w:val="00273FA1"/>
    <w:rsid w:val="00290BC4"/>
    <w:rsid w:val="002E66D2"/>
    <w:rsid w:val="002F22BD"/>
    <w:rsid w:val="0030458D"/>
    <w:rsid w:val="0031254F"/>
    <w:rsid w:val="00324CFA"/>
    <w:rsid w:val="00333DCC"/>
    <w:rsid w:val="003423D2"/>
    <w:rsid w:val="0034481A"/>
    <w:rsid w:val="00347841"/>
    <w:rsid w:val="00352A48"/>
    <w:rsid w:val="00364FE2"/>
    <w:rsid w:val="00382878"/>
    <w:rsid w:val="00382CF6"/>
    <w:rsid w:val="00387E86"/>
    <w:rsid w:val="003904CA"/>
    <w:rsid w:val="00390BCA"/>
    <w:rsid w:val="0039334B"/>
    <w:rsid w:val="003C4B4A"/>
    <w:rsid w:val="003E072C"/>
    <w:rsid w:val="003E7A5D"/>
    <w:rsid w:val="00405C53"/>
    <w:rsid w:val="00413E30"/>
    <w:rsid w:val="00417667"/>
    <w:rsid w:val="00441543"/>
    <w:rsid w:val="004442F9"/>
    <w:rsid w:val="00444EF7"/>
    <w:rsid w:val="0046195B"/>
    <w:rsid w:val="004834C9"/>
    <w:rsid w:val="004842F7"/>
    <w:rsid w:val="004A41D5"/>
    <w:rsid w:val="004B2C70"/>
    <w:rsid w:val="004C3F35"/>
    <w:rsid w:val="004C458F"/>
    <w:rsid w:val="004F5039"/>
    <w:rsid w:val="00555C52"/>
    <w:rsid w:val="00572BC4"/>
    <w:rsid w:val="005743E7"/>
    <w:rsid w:val="0058532E"/>
    <w:rsid w:val="005A2C2F"/>
    <w:rsid w:val="005A3F75"/>
    <w:rsid w:val="005C4CCD"/>
    <w:rsid w:val="005C70B3"/>
    <w:rsid w:val="005E18D5"/>
    <w:rsid w:val="005E5A86"/>
    <w:rsid w:val="005F5070"/>
    <w:rsid w:val="00615015"/>
    <w:rsid w:val="00615420"/>
    <w:rsid w:val="006173C1"/>
    <w:rsid w:val="00620CBF"/>
    <w:rsid w:val="00621291"/>
    <w:rsid w:val="00634498"/>
    <w:rsid w:val="00634F3A"/>
    <w:rsid w:val="006629CF"/>
    <w:rsid w:val="0066735F"/>
    <w:rsid w:val="00692B12"/>
    <w:rsid w:val="006B1F0A"/>
    <w:rsid w:val="006B506F"/>
    <w:rsid w:val="006B5435"/>
    <w:rsid w:val="006C555A"/>
    <w:rsid w:val="006C5AFD"/>
    <w:rsid w:val="006D5B9A"/>
    <w:rsid w:val="007157AF"/>
    <w:rsid w:val="007306E7"/>
    <w:rsid w:val="00757F5D"/>
    <w:rsid w:val="00774293"/>
    <w:rsid w:val="00791EE8"/>
    <w:rsid w:val="007B7770"/>
    <w:rsid w:val="007C3992"/>
    <w:rsid w:val="007D3BF4"/>
    <w:rsid w:val="007F708B"/>
    <w:rsid w:val="008215A0"/>
    <w:rsid w:val="00832C28"/>
    <w:rsid w:val="008416A8"/>
    <w:rsid w:val="008447EF"/>
    <w:rsid w:val="0086623E"/>
    <w:rsid w:val="008717D5"/>
    <w:rsid w:val="00896155"/>
    <w:rsid w:val="008A7631"/>
    <w:rsid w:val="008C5731"/>
    <w:rsid w:val="008E0C28"/>
    <w:rsid w:val="00904D6C"/>
    <w:rsid w:val="00913E6C"/>
    <w:rsid w:val="0091553B"/>
    <w:rsid w:val="0091733A"/>
    <w:rsid w:val="00922B18"/>
    <w:rsid w:val="00922D73"/>
    <w:rsid w:val="00934801"/>
    <w:rsid w:val="00945289"/>
    <w:rsid w:val="00980220"/>
    <w:rsid w:val="00984656"/>
    <w:rsid w:val="009A006F"/>
    <w:rsid w:val="009A3EAB"/>
    <w:rsid w:val="009D17BC"/>
    <w:rsid w:val="009E786E"/>
    <w:rsid w:val="00A047B8"/>
    <w:rsid w:val="00A1798E"/>
    <w:rsid w:val="00A21021"/>
    <w:rsid w:val="00A37EBC"/>
    <w:rsid w:val="00A42CD5"/>
    <w:rsid w:val="00A57273"/>
    <w:rsid w:val="00A62C3A"/>
    <w:rsid w:val="00A705C3"/>
    <w:rsid w:val="00AA4E72"/>
    <w:rsid w:val="00AB5C3C"/>
    <w:rsid w:val="00AC74E7"/>
    <w:rsid w:val="00AD73A4"/>
    <w:rsid w:val="00AE604E"/>
    <w:rsid w:val="00AF1209"/>
    <w:rsid w:val="00B1441F"/>
    <w:rsid w:val="00B15D5C"/>
    <w:rsid w:val="00B230C4"/>
    <w:rsid w:val="00B302AA"/>
    <w:rsid w:val="00B33D5B"/>
    <w:rsid w:val="00B4181B"/>
    <w:rsid w:val="00B4410C"/>
    <w:rsid w:val="00B6293B"/>
    <w:rsid w:val="00B70351"/>
    <w:rsid w:val="00B76EE9"/>
    <w:rsid w:val="00B943E2"/>
    <w:rsid w:val="00BB073F"/>
    <w:rsid w:val="00BC125D"/>
    <w:rsid w:val="00BF4BD7"/>
    <w:rsid w:val="00C036A5"/>
    <w:rsid w:val="00C17AAC"/>
    <w:rsid w:val="00C23F80"/>
    <w:rsid w:val="00C328A8"/>
    <w:rsid w:val="00C37F9E"/>
    <w:rsid w:val="00C457ED"/>
    <w:rsid w:val="00C56CA2"/>
    <w:rsid w:val="00C576A5"/>
    <w:rsid w:val="00CA0598"/>
    <w:rsid w:val="00CA7930"/>
    <w:rsid w:val="00CB0978"/>
    <w:rsid w:val="00CB4BE4"/>
    <w:rsid w:val="00CB7CE5"/>
    <w:rsid w:val="00CC080F"/>
    <w:rsid w:val="00CD118F"/>
    <w:rsid w:val="00CD6422"/>
    <w:rsid w:val="00D02FE9"/>
    <w:rsid w:val="00D03604"/>
    <w:rsid w:val="00D11B53"/>
    <w:rsid w:val="00D12F91"/>
    <w:rsid w:val="00D15967"/>
    <w:rsid w:val="00D20570"/>
    <w:rsid w:val="00D20A82"/>
    <w:rsid w:val="00D261B5"/>
    <w:rsid w:val="00D36068"/>
    <w:rsid w:val="00D4656C"/>
    <w:rsid w:val="00D46F2C"/>
    <w:rsid w:val="00D47E6C"/>
    <w:rsid w:val="00D54921"/>
    <w:rsid w:val="00D61305"/>
    <w:rsid w:val="00D64D3D"/>
    <w:rsid w:val="00D65ACC"/>
    <w:rsid w:val="00D745FC"/>
    <w:rsid w:val="00D864B7"/>
    <w:rsid w:val="00D87B31"/>
    <w:rsid w:val="00D91577"/>
    <w:rsid w:val="00DB6D3F"/>
    <w:rsid w:val="00DD0109"/>
    <w:rsid w:val="00DD0F9C"/>
    <w:rsid w:val="00DF7A3C"/>
    <w:rsid w:val="00E4768B"/>
    <w:rsid w:val="00E61BB2"/>
    <w:rsid w:val="00E7715C"/>
    <w:rsid w:val="00EA1A20"/>
    <w:rsid w:val="00EA2AF9"/>
    <w:rsid w:val="00EA2E96"/>
    <w:rsid w:val="00EA30F5"/>
    <w:rsid w:val="00EC56FF"/>
    <w:rsid w:val="00ED1A04"/>
    <w:rsid w:val="00F02307"/>
    <w:rsid w:val="00F04A28"/>
    <w:rsid w:val="00F1075A"/>
    <w:rsid w:val="00F10DF6"/>
    <w:rsid w:val="00F137B1"/>
    <w:rsid w:val="00F24000"/>
    <w:rsid w:val="00F36651"/>
    <w:rsid w:val="00FA5981"/>
    <w:rsid w:val="00FB7845"/>
    <w:rsid w:val="00FC655E"/>
    <w:rsid w:val="00FD2259"/>
    <w:rsid w:val="00FD454F"/>
    <w:rsid w:val="00FD67D1"/>
    <w:rsid w:val="00FE612F"/>
    <w:rsid w:val="5C5C1C7E"/>
    <w:rsid w:val="662B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2BE"/>
  <w15:chartTrackingRefBased/>
  <w15:docId w15:val="{1DA097DD-45B9-43BD-8F54-73B5F10D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15"/>
  </w:style>
  <w:style w:type="paragraph" w:styleId="Heading1">
    <w:name w:val="heading 1"/>
    <w:basedOn w:val="Normal"/>
    <w:next w:val="Normal"/>
    <w:link w:val="Heading1Char"/>
    <w:uiPriority w:val="9"/>
    <w:qFormat/>
    <w:rsid w:val="004C4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58F"/>
    <w:rPr>
      <w:rFonts w:eastAsiaTheme="majorEastAsia" w:cstheme="majorBidi"/>
      <w:color w:val="272727" w:themeColor="text1" w:themeTint="D8"/>
    </w:rPr>
  </w:style>
  <w:style w:type="paragraph" w:styleId="Title">
    <w:name w:val="Title"/>
    <w:basedOn w:val="Normal"/>
    <w:next w:val="Normal"/>
    <w:link w:val="TitleChar"/>
    <w:uiPriority w:val="10"/>
    <w:qFormat/>
    <w:rsid w:val="004C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58F"/>
    <w:pPr>
      <w:spacing w:before="160"/>
      <w:jc w:val="center"/>
    </w:pPr>
    <w:rPr>
      <w:i/>
      <w:iCs/>
      <w:color w:val="404040" w:themeColor="text1" w:themeTint="BF"/>
    </w:rPr>
  </w:style>
  <w:style w:type="character" w:customStyle="1" w:styleId="QuoteChar">
    <w:name w:val="Quote Char"/>
    <w:basedOn w:val="DefaultParagraphFont"/>
    <w:link w:val="Quote"/>
    <w:uiPriority w:val="29"/>
    <w:rsid w:val="004C458F"/>
    <w:rPr>
      <w:i/>
      <w:iCs/>
      <w:color w:val="404040" w:themeColor="text1" w:themeTint="BF"/>
    </w:rPr>
  </w:style>
  <w:style w:type="paragraph" w:styleId="ListParagraph">
    <w:name w:val="List Paragraph"/>
    <w:basedOn w:val="Normal"/>
    <w:qFormat/>
    <w:rsid w:val="004C458F"/>
    <w:pPr>
      <w:ind w:left="720"/>
      <w:contextualSpacing/>
    </w:pPr>
  </w:style>
  <w:style w:type="character" w:styleId="IntenseEmphasis">
    <w:name w:val="Intense Emphasis"/>
    <w:basedOn w:val="DefaultParagraphFont"/>
    <w:uiPriority w:val="21"/>
    <w:qFormat/>
    <w:rsid w:val="004C458F"/>
    <w:rPr>
      <w:i/>
      <w:iCs/>
      <w:color w:val="0F4761" w:themeColor="accent1" w:themeShade="BF"/>
    </w:rPr>
  </w:style>
  <w:style w:type="paragraph" w:styleId="IntenseQuote">
    <w:name w:val="Intense Quote"/>
    <w:basedOn w:val="Normal"/>
    <w:next w:val="Normal"/>
    <w:link w:val="IntenseQuoteChar"/>
    <w:uiPriority w:val="30"/>
    <w:qFormat/>
    <w:rsid w:val="004C4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58F"/>
    <w:rPr>
      <w:i/>
      <w:iCs/>
      <w:color w:val="0F4761" w:themeColor="accent1" w:themeShade="BF"/>
    </w:rPr>
  </w:style>
  <w:style w:type="character" w:styleId="IntenseReference">
    <w:name w:val="Intense Reference"/>
    <w:basedOn w:val="DefaultParagraphFont"/>
    <w:uiPriority w:val="32"/>
    <w:qFormat/>
    <w:rsid w:val="004C458F"/>
    <w:rPr>
      <w:b/>
      <w:bCs/>
      <w:smallCaps/>
      <w:color w:val="0F4761" w:themeColor="accent1" w:themeShade="BF"/>
      <w:spacing w:val="5"/>
    </w:rPr>
  </w:style>
  <w:style w:type="table" w:styleId="TableGrid">
    <w:name w:val="Table Grid"/>
    <w:basedOn w:val="TableNormal"/>
    <w:uiPriority w:val="39"/>
    <w:rsid w:val="004C45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458F"/>
    <w:rPr>
      <w:color w:val="467886" w:themeColor="hyperlink"/>
      <w:u w:val="single"/>
    </w:rPr>
  </w:style>
  <w:style w:type="character" w:styleId="CommentReference">
    <w:name w:val="annotation reference"/>
    <w:basedOn w:val="DefaultParagraphFont"/>
    <w:uiPriority w:val="99"/>
    <w:semiHidden/>
    <w:unhideWhenUsed/>
    <w:rsid w:val="004C458F"/>
    <w:rPr>
      <w:rFonts w:cs="Times New Roman"/>
      <w:sz w:val="16"/>
      <w:szCs w:val="16"/>
    </w:rPr>
  </w:style>
  <w:style w:type="paragraph" w:styleId="CommentText">
    <w:name w:val="annotation text"/>
    <w:basedOn w:val="Normal"/>
    <w:link w:val="CommentTextChar"/>
    <w:uiPriority w:val="99"/>
    <w:unhideWhenUsed/>
    <w:rsid w:val="004C458F"/>
    <w:pPr>
      <w:spacing w:line="240" w:lineRule="auto"/>
    </w:pPr>
    <w:rPr>
      <w:rFonts w:eastAsia="Times New Roman" w:cs="Times New Roman"/>
      <w:sz w:val="20"/>
      <w:szCs w:val="20"/>
      <w14:ligatures w14:val="none"/>
    </w:rPr>
  </w:style>
  <w:style w:type="character" w:customStyle="1" w:styleId="CommentTextChar">
    <w:name w:val="Comment Text Char"/>
    <w:basedOn w:val="DefaultParagraphFont"/>
    <w:link w:val="CommentText"/>
    <w:uiPriority w:val="99"/>
    <w:rsid w:val="004C458F"/>
    <w:rPr>
      <w:rFonts w:eastAsia="Times New Roman" w:cs="Times New Roman"/>
      <w:sz w:val="20"/>
      <w:szCs w:val="20"/>
      <w14:ligatures w14:val="none"/>
    </w:rPr>
  </w:style>
  <w:style w:type="character" w:styleId="UnresolvedMention">
    <w:name w:val="Unresolved Mention"/>
    <w:basedOn w:val="DefaultParagraphFont"/>
    <w:uiPriority w:val="99"/>
    <w:semiHidden/>
    <w:unhideWhenUsed/>
    <w:rsid w:val="00261F6E"/>
    <w:rPr>
      <w:color w:val="605E5C"/>
      <w:shd w:val="clear" w:color="auto" w:fill="E1DFDD"/>
    </w:rPr>
  </w:style>
  <w:style w:type="paragraph" w:styleId="Header">
    <w:name w:val="header"/>
    <w:basedOn w:val="Normal"/>
    <w:link w:val="HeaderChar"/>
    <w:uiPriority w:val="99"/>
    <w:unhideWhenUsed/>
    <w:rsid w:val="00014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A21"/>
  </w:style>
  <w:style w:type="paragraph" w:styleId="Footer">
    <w:name w:val="footer"/>
    <w:basedOn w:val="Normal"/>
    <w:link w:val="FooterChar"/>
    <w:uiPriority w:val="99"/>
    <w:unhideWhenUsed/>
    <w:rsid w:val="00014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A21"/>
  </w:style>
  <w:style w:type="paragraph" w:styleId="NoSpacing">
    <w:name w:val="No Spacing"/>
    <w:link w:val="NoSpacingChar"/>
    <w:uiPriority w:val="1"/>
    <w:qFormat/>
    <w:rsid w:val="00D1596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15967"/>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kirkchildrens@quarriers.org.uk" TargetMode="External"/><Relationship Id="rId13" Type="http://schemas.openxmlformats.org/officeDocument/2006/relationships/hyperlink" Target="https://www.gov.scot/publications/staying-put-scotland-providing-care-leavers-connectness-belonging/" TargetMode="External"/><Relationship Id="rId18" Type="http://schemas.openxmlformats.org/officeDocument/2006/relationships/hyperlink" Target="http://inside.falkirk.gov.uk/services/childrens/policies-circulars-procedures/complaints.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ov.scot/publications/guidance-part-11-continuing-care-children-young-people-scotland-act/" TargetMode="External"/><Relationship Id="rId17" Type="http://schemas.openxmlformats.org/officeDocument/2006/relationships/hyperlink" Target="https://www.fcascotland.co.uk/about-fostering/types-of-fostering/continuing-care/" TargetMode="External"/><Relationship Id="rId2" Type="http://schemas.openxmlformats.org/officeDocument/2006/relationships/styles" Target="styles.xml"/><Relationship Id="rId16" Type="http://schemas.openxmlformats.org/officeDocument/2006/relationships/hyperlink" Target="https://www.celcis.org/ccrights" TargetMode="External"/><Relationship Id="rId20" Type="http://schemas.openxmlformats.org/officeDocument/2006/relationships/hyperlink" Target="https://www.gov.scot/publications/staying-put-scotland-providing-care-leavers-connectness-belong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pcs.org.uk/rights" TargetMode="External"/><Relationship Id="rId5" Type="http://schemas.openxmlformats.org/officeDocument/2006/relationships/footnotes" Target="footnotes.xml"/><Relationship Id="rId15" Type="http://schemas.openxmlformats.org/officeDocument/2006/relationships/hyperlink" Target="https://www.whocaresscotland.org/opinion/rights-to-care-a-guide-to-continuing-care-and-aftercare/" TargetMode="External"/><Relationship Id="rId23" Type="http://schemas.openxmlformats.org/officeDocument/2006/relationships/theme" Target="theme/theme1.xml"/><Relationship Id="rId10" Type="http://schemas.openxmlformats.org/officeDocument/2006/relationships/hyperlink" Target="http://carenews.careinspectorate.com/complaints-procedure/" TargetMode="External"/><Relationship Id="rId19" Type="http://schemas.openxmlformats.org/officeDocument/2006/relationships/hyperlink" Target="https://www.falkirk.gov.uk/contact-us/complaints/" TargetMode="External"/><Relationship Id="rId4" Type="http://schemas.openxmlformats.org/officeDocument/2006/relationships/webSettings" Target="webSettings.xml"/><Relationship Id="rId9" Type="http://schemas.openxmlformats.org/officeDocument/2006/relationships/hyperlink" Target="mailto:hello@whocaresscotland.org" TargetMode="External"/><Relationship Id="rId14" Type="http://schemas.openxmlformats.org/officeDocument/2006/relationships/hyperlink" Target="https://www.celcis.org/application/files/1914/6470/1754/2016_CELCIS_flow_char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23</Pages>
  <Words>4415</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29522</CharactersWithSpaces>
  <SharedDoc>false</SharedDoc>
  <HLinks>
    <vt:vector size="78" baseType="variant">
      <vt:variant>
        <vt:i4>6160387</vt:i4>
      </vt:variant>
      <vt:variant>
        <vt:i4>36</vt:i4>
      </vt:variant>
      <vt:variant>
        <vt:i4>0</vt:i4>
      </vt:variant>
      <vt:variant>
        <vt:i4>5</vt:i4>
      </vt:variant>
      <vt:variant>
        <vt:lpwstr>https://www.gov.scot/publications/staying-put-scotland-providing-care-leavers-connectness-belonging/</vt:lpwstr>
      </vt:variant>
      <vt:variant>
        <vt:lpwstr/>
      </vt:variant>
      <vt:variant>
        <vt:i4>1376346</vt:i4>
      </vt:variant>
      <vt:variant>
        <vt:i4>33</vt:i4>
      </vt:variant>
      <vt:variant>
        <vt:i4>0</vt:i4>
      </vt:variant>
      <vt:variant>
        <vt:i4>5</vt:i4>
      </vt:variant>
      <vt:variant>
        <vt:lpwstr>https://www.falkirk.gov.uk/contact-us/complaints/</vt:lpwstr>
      </vt:variant>
      <vt:variant>
        <vt:lpwstr/>
      </vt:variant>
      <vt:variant>
        <vt:i4>5177355</vt:i4>
      </vt:variant>
      <vt:variant>
        <vt:i4>30</vt:i4>
      </vt:variant>
      <vt:variant>
        <vt:i4>0</vt:i4>
      </vt:variant>
      <vt:variant>
        <vt:i4>5</vt:i4>
      </vt:variant>
      <vt:variant>
        <vt:lpwstr>http://inside.falkirk.gov.uk/services/childrens/policies-circulars-procedures/complaints.aspx</vt:lpwstr>
      </vt:variant>
      <vt:variant>
        <vt:lpwstr/>
      </vt:variant>
      <vt:variant>
        <vt:i4>4390912</vt:i4>
      </vt:variant>
      <vt:variant>
        <vt:i4>27</vt:i4>
      </vt:variant>
      <vt:variant>
        <vt:i4>0</vt:i4>
      </vt:variant>
      <vt:variant>
        <vt:i4>5</vt:i4>
      </vt:variant>
      <vt:variant>
        <vt:lpwstr>https://www.fcascotland.co.uk/about-fostering/types-of-fostering/continuing-care/</vt:lpwstr>
      </vt:variant>
      <vt:variant>
        <vt:lpwstr/>
      </vt:variant>
      <vt:variant>
        <vt:i4>3604535</vt:i4>
      </vt:variant>
      <vt:variant>
        <vt:i4>24</vt:i4>
      </vt:variant>
      <vt:variant>
        <vt:i4>0</vt:i4>
      </vt:variant>
      <vt:variant>
        <vt:i4>5</vt:i4>
      </vt:variant>
      <vt:variant>
        <vt:lpwstr>https://www.celcis.org/ccrights</vt:lpwstr>
      </vt:variant>
      <vt:variant>
        <vt:lpwstr/>
      </vt:variant>
      <vt:variant>
        <vt:i4>524293</vt:i4>
      </vt:variant>
      <vt:variant>
        <vt:i4>21</vt:i4>
      </vt:variant>
      <vt:variant>
        <vt:i4>0</vt:i4>
      </vt:variant>
      <vt:variant>
        <vt:i4>5</vt:i4>
      </vt:variant>
      <vt:variant>
        <vt:lpwstr>https://www.whocaresscotland.org/opinion/rights-to-care-a-guide-to-continuing-care-and-aftercare/</vt:lpwstr>
      </vt:variant>
      <vt:variant>
        <vt:lpwstr/>
      </vt:variant>
      <vt:variant>
        <vt:i4>1441842</vt:i4>
      </vt:variant>
      <vt:variant>
        <vt:i4>18</vt:i4>
      </vt:variant>
      <vt:variant>
        <vt:i4>0</vt:i4>
      </vt:variant>
      <vt:variant>
        <vt:i4>5</vt:i4>
      </vt:variant>
      <vt:variant>
        <vt:lpwstr>https://www.celcis.org/application/files/1914/6470/1754/2016_CELCIS_flow_chart.pdf</vt:lpwstr>
      </vt:variant>
      <vt:variant>
        <vt:lpwstr/>
      </vt:variant>
      <vt:variant>
        <vt:i4>6160387</vt:i4>
      </vt:variant>
      <vt:variant>
        <vt:i4>15</vt:i4>
      </vt:variant>
      <vt:variant>
        <vt:i4>0</vt:i4>
      </vt:variant>
      <vt:variant>
        <vt:i4>5</vt:i4>
      </vt:variant>
      <vt:variant>
        <vt:lpwstr>https://www.gov.scot/publications/staying-put-scotland-providing-care-leavers-connectness-belonging/</vt:lpwstr>
      </vt:variant>
      <vt:variant>
        <vt:lpwstr/>
      </vt:variant>
      <vt:variant>
        <vt:i4>8060981</vt:i4>
      </vt:variant>
      <vt:variant>
        <vt:i4>12</vt:i4>
      </vt:variant>
      <vt:variant>
        <vt:i4>0</vt:i4>
      </vt:variant>
      <vt:variant>
        <vt:i4>5</vt:i4>
      </vt:variant>
      <vt:variant>
        <vt:lpwstr>https://www.gov.scot/publications/guidance-part-11-continuing-care-children-young-people-scotland-act/</vt:lpwstr>
      </vt:variant>
      <vt:variant>
        <vt:lpwstr/>
      </vt:variant>
      <vt:variant>
        <vt:i4>7012402</vt:i4>
      </vt:variant>
      <vt:variant>
        <vt:i4>9</vt:i4>
      </vt:variant>
      <vt:variant>
        <vt:i4>0</vt:i4>
      </vt:variant>
      <vt:variant>
        <vt:i4>5</vt:i4>
      </vt:variant>
      <vt:variant>
        <vt:lpwstr>http://www.cypcs.org.uk/rights</vt:lpwstr>
      </vt:variant>
      <vt:variant>
        <vt:lpwstr/>
      </vt:variant>
      <vt:variant>
        <vt:i4>7012448</vt:i4>
      </vt:variant>
      <vt:variant>
        <vt:i4>6</vt:i4>
      </vt:variant>
      <vt:variant>
        <vt:i4>0</vt:i4>
      </vt:variant>
      <vt:variant>
        <vt:i4>5</vt:i4>
      </vt:variant>
      <vt:variant>
        <vt:lpwstr>http://carenews.careinspectorate.com/complaints-procedure/</vt:lpwstr>
      </vt:variant>
      <vt:variant>
        <vt:lpwstr/>
      </vt:variant>
      <vt:variant>
        <vt:i4>5701748</vt:i4>
      </vt:variant>
      <vt:variant>
        <vt:i4>3</vt:i4>
      </vt:variant>
      <vt:variant>
        <vt:i4>0</vt:i4>
      </vt:variant>
      <vt:variant>
        <vt:i4>5</vt:i4>
      </vt:variant>
      <vt:variant>
        <vt:lpwstr>mailto:hello@whocaresscotland.org</vt:lpwstr>
      </vt:variant>
      <vt:variant>
        <vt:lpwstr/>
      </vt:variant>
      <vt:variant>
        <vt:i4>3604547</vt:i4>
      </vt:variant>
      <vt:variant>
        <vt:i4>0</vt:i4>
      </vt:variant>
      <vt:variant>
        <vt:i4>0</vt:i4>
      </vt:variant>
      <vt:variant>
        <vt:i4>5</vt:i4>
      </vt:variant>
      <vt:variant>
        <vt:lpwstr>mailto:falkirkchildrens@quarriers.org.uk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McKerley</dc:creator>
  <cp:keywords/>
  <dc:description/>
  <cp:lastModifiedBy>Lynne McKerley</cp:lastModifiedBy>
  <cp:revision>139</cp:revision>
  <dcterms:created xsi:type="dcterms:W3CDTF">2026-01-28T09:24:00Z</dcterms:created>
  <dcterms:modified xsi:type="dcterms:W3CDTF">2026-03-02T14:16:00Z</dcterms:modified>
</cp:coreProperties>
</file>