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86FF" w14:textId="69EB0517" w:rsidR="00EF54B5" w:rsidRPr="00DD49A9" w:rsidRDefault="00DD49A9" w:rsidP="000A3BF5">
      <w:pPr>
        <w:pStyle w:val="NoSpacing"/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</w:pPr>
      <w:r w:rsidRPr="00DD49A9"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 xml:space="preserve">Supervision </w:t>
      </w:r>
      <w:r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>Frequency</w:t>
      </w:r>
    </w:p>
    <w:p w14:paraId="3A7F79D6" w14:textId="77777777" w:rsidR="00DD49A9" w:rsidRPr="00377DE7" w:rsidRDefault="00DD49A9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tbl>
      <w:tblPr>
        <w:tblW w:w="10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2001"/>
        <w:gridCol w:w="1891"/>
        <w:gridCol w:w="2056"/>
        <w:gridCol w:w="1381"/>
      </w:tblGrid>
      <w:tr w:rsidR="00EF54B5" w:rsidRPr="00377DE7" w14:paraId="60C4F95B" w14:textId="77777777" w:rsidTr="00AB7C55">
        <w:trPr>
          <w:trHeight w:val="1226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BA35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Supervision frequency/</w:t>
            </w:r>
          </w:p>
          <w:p w14:paraId="2A91475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Post and experience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98E6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First 6 weeks of employment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686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Up to 6 months of employment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F24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After 6 months of employment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FE4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Duration</w:t>
            </w:r>
          </w:p>
        </w:tc>
      </w:tr>
      <w:tr w:rsidR="00EF54B5" w:rsidRPr="00377DE7" w14:paraId="78DE9237" w14:textId="77777777" w:rsidTr="00AB7C55">
        <w:trPr>
          <w:trHeight w:val="29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F2C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Newly Qualified Social workers and Occupational Therapists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54A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weekly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3F4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fortnightly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274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monthly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41A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1.5hrs</w:t>
            </w:r>
          </w:p>
        </w:tc>
      </w:tr>
      <w:tr w:rsidR="00EF54B5" w:rsidRPr="00377DE7" w14:paraId="4CF0BBB8" w14:textId="77777777" w:rsidTr="00AB7C55">
        <w:trPr>
          <w:trHeight w:val="152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84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Newly appointed, promoted staff and staff returning from extended leave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A03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Weekly / fortnightly *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BD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5B6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monthly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1C0C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1.5hrs</w:t>
            </w:r>
          </w:p>
        </w:tc>
      </w:tr>
      <w:tr w:rsidR="00EF54B5" w:rsidRPr="00377DE7" w14:paraId="48B083BC" w14:textId="77777777" w:rsidTr="00AB7C55">
        <w:trPr>
          <w:trHeight w:val="98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66F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Experienced staff including agency staff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26B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  <w:p w14:paraId="41B431C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0CA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9A49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4-6 weekly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0E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1.5hrs</w:t>
            </w:r>
          </w:p>
        </w:tc>
      </w:tr>
      <w:tr w:rsidR="00EF54B5" w:rsidRPr="00377DE7" w14:paraId="5EC81CF1" w14:textId="77777777" w:rsidTr="00AB7C55">
        <w:trPr>
          <w:trHeight w:val="29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9319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Line Managers/supervisors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EAB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5701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AA1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4 -6 weekly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F1D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1.5hrs</w:t>
            </w:r>
          </w:p>
        </w:tc>
      </w:tr>
      <w:tr w:rsidR="00EF54B5" w:rsidRPr="00377DE7" w14:paraId="30A6E1E6" w14:textId="77777777" w:rsidTr="00AB7C55">
        <w:trPr>
          <w:trHeight w:val="534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3BF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Senior Managers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5A95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D686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CF0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4 -6 weekly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605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1.5hrs</w:t>
            </w:r>
          </w:p>
        </w:tc>
      </w:tr>
      <w:tr w:rsidR="00EF54B5" w:rsidRPr="00377DE7" w14:paraId="07F10C9D" w14:textId="77777777" w:rsidTr="00AB7C55">
        <w:trPr>
          <w:trHeight w:val="29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EFA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Care Home Practitioners and Managers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7F6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D400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F870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6-8 weekly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C505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</w:tr>
      <w:tr w:rsidR="00EF54B5" w:rsidRPr="00377DE7" w14:paraId="18A0F73A" w14:textId="77777777" w:rsidTr="00AB7C55">
        <w:trPr>
          <w:trHeight w:val="194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9490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Care &amp; Support at Home workers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349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Group and individual arrangements as specified by the Service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AF92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5EF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6 monthly after observation of practice</w:t>
            </w:r>
          </w:p>
          <w:p w14:paraId="10F7E4E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1E9C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</w:tr>
      <w:tr w:rsidR="00EF54B5" w:rsidRPr="00377DE7" w14:paraId="62F7B056" w14:textId="77777777" w:rsidTr="00AB7C55">
        <w:trPr>
          <w:trHeight w:val="86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3A8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Workforce Development staff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E0FA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fortnightly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69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monthly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C212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4 -6 weekly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149D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 xml:space="preserve"> 1.5 hrs</w:t>
            </w:r>
          </w:p>
        </w:tc>
      </w:tr>
    </w:tbl>
    <w:p w14:paraId="6FC524BE" w14:textId="77777777" w:rsidR="0092315D" w:rsidRPr="00377DE7" w:rsidRDefault="0092315D" w:rsidP="0092315D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>*</w:t>
      </w:r>
      <w:r w:rsidRPr="00377DE7">
        <w:rPr>
          <w:rFonts w:asciiTheme="minorHAnsi" w:eastAsia="Times New Roman" w:hAnsiTheme="minorHAnsi" w:cs="Calibri"/>
          <w:lang w:eastAsia="en-GB"/>
        </w:rPr>
        <w:t xml:space="preserve">Dependent upon role and responsibilities. </w:t>
      </w:r>
    </w:p>
    <w:p w14:paraId="76D21D39" w14:textId="77777777" w:rsidR="0092315D" w:rsidRDefault="0092315D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5334C342" w14:textId="2D00127D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 xml:space="preserve">These are the minimum standards. </w:t>
      </w:r>
    </w:p>
    <w:p w14:paraId="35343AF4" w14:textId="77777777" w:rsidR="0092315D" w:rsidRDefault="0092315D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6FA4EDA9" w14:textId="77777777" w:rsidR="004675F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 xml:space="preserve">Part time staff should receive supervision on a pro rata basis; however, consideration must be given to the supervisee workload when agreeing frequency and duration. </w:t>
      </w:r>
    </w:p>
    <w:p w14:paraId="6263CEBF" w14:textId="77777777" w:rsidR="004675F5" w:rsidRDefault="004675F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B0E6300" w14:textId="253E4EDA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eastAsia="Times New Roman" w:hAnsiTheme="minorHAnsi" w:cs="Calibri"/>
          <w:lang w:eastAsia="en-GB"/>
        </w:rPr>
        <w:t>This timeframe should be reviewed regularly.</w:t>
      </w:r>
    </w:p>
    <w:p w14:paraId="11F8C108" w14:textId="43C868BD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sectPr w:rsidR="00EF54B5" w:rsidRPr="00377DE7" w:rsidSect="00EE5588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25088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B62F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E5588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888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2026-02-16T10:52:00Z</dcterms:modified>
</cp:coreProperties>
</file>