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BA9" w:rsidRPr="00A46BA9" w:rsidRDefault="00A46BA9" w:rsidP="00A46BA9">
      <w:pPr>
        <w:rPr>
          <w:b/>
        </w:rPr>
      </w:pPr>
      <w:bookmarkStart w:id="0" w:name="_GoBack"/>
      <w:bookmarkEnd w:id="0"/>
      <w:r w:rsidRPr="00A46BA9">
        <w:rPr>
          <w:b/>
          <w:sz w:val="28"/>
          <w:szCs w:val="28"/>
        </w:rPr>
        <w:t>Saf</w:t>
      </w:r>
      <w:r>
        <w:rPr>
          <w:b/>
          <w:sz w:val="28"/>
          <w:szCs w:val="28"/>
        </w:rPr>
        <w:t xml:space="preserve">e and Together, Domestic Abuse Informed                                                     </w:t>
      </w:r>
      <w:r>
        <w:rPr>
          <w:b/>
        </w:rPr>
        <w:t>[</w:t>
      </w:r>
      <w:r w:rsidRPr="00BD2E32">
        <w:rPr>
          <w:b/>
        </w:rPr>
        <w:t>Issue 1</w:t>
      </w:r>
      <w:r>
        <w:rPr>
          <w:b/>
        </w:rPr>
        <w:t>]</w:t>
      </w:r>
    </w:p>
    <w:tbl>
      <w:tblPr>
        <w:tblStyle w:val="TableGrid"/>
        <w:tblW w:w="0" w:type="auto"/>
        <w:tblLook w:val="04A0" w:firstRow="1" w:lastRow="0" w:firstColumn="1" w:lastColumn="0" w:noHBand="0" w:noVBand="1"/>
      </w:tblPr>
      <w:tblGrid>
        <w:gridCol w:w="10422"/>
      </w:tblGrid>
      <w:tr w:rsidR="00A46BA9" w:rsidTr="0039675F">
        <w:tc>
          <w:tcPr>
            <w:tcW w:w="10598"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A46BA9" w:rsidRPr="00A46BA9" w:rsidRDefault="00A46BA9" w:rsidP="000E4FF8">
            <w:pPr>
              <w:jc w:val="center"/>
              <w:rPr>
                <w:sz w:val="24"/>
                <w:szCs w:val="24"/>
              </w:rPr>
            </w:pPr>
            <w:r w:rsidRPr="00A46BA9">
              <w:rPr>
                <w:sz w:val="24"/>
                <w:szCs w:val="24"/>
              </w:rPr>
              <w:t>Concrete Solutions. Meaningful tools. Real Change</w:t>
            </w:r>
          </w:p>
        </w:tc>
      </w:tr>
    </w:tbl>
    <w:p w:rsidR="00F71C7C" w:rsidRDefault="00F71C7C" w:rsidP="00F71C7C">
      <w:pPr>
        <w:spacing w:after="0"/>
      </w:pPr>
    </w:p>
    <w:p w:rsidR="00A46BA9" w:rsidRDefault="0064377E" w:rsidP="00F71C7C">
      <w:pPr>
        <w:spacing w:after="0"/>
      </w:pPr>
      <w:r>
        <w:t>Falkirk Health and Social Care</w:t>
      </w:r>
      <w:r w:rsidR="00A46BA9">
        <w:t xml:space="preserve"> </w:t>
      </w:r>
      <w:r>
        <w:t xml:space="preserve">Partnership </w:t>
      </w:r>
      <w:r w:rsidR="0043679C">
        <w:t xml:space="preserve">(HSCP) </w:t>
      </w:r>
      <w:r>
        <w:t xml:space="preserve">and Child Protection Committee </w:t>
      </w:r>
      <w:r w:rsidR="0043679C">
        <w:t xml:space="preserve">(CPC) </w:t>
      </w:r>
      <w:r>
        <w:t>are committed to working more effectively with families affected by Domestic Abuse</w:t>
      </w:r>
      <w:r w:rsidR="00716844">
        <w:t xml:space="preserve"> and supported core training in the Safe &amp; Together Model</w:t>
      </w:r>
      <w:r w:rsidR="00673351">
        <w:t xml:space="preserve"> in 2017</w:t>
      </w:r>
      <w:r w:rsidR="00716844">
        <w:t xml:space="preserve">.  The Safe &amp; Together Model </w:t>
      </w:r>
      <w:r>
        <w:t xml:space="preserve">is an international recognised suite of tools and interventions designed to help services become domestic abuse informed.  The model provides a framework for partnering with </w:t>
      </w:r>
      <w:r w:rsidR="00292451">
        <w:t>non-offending</w:t>
      </w:r>
      <w:r>
        <w:t xml:space="preserve"> adults and intervening with domestic abuse perpetrators in order to enhance the safety and wellbeing of children</w:t>
      </w:r>
      <w:r w:rsidR="00716844">
        <w:t xml:space="preserve"> and adult survivors</w:t>
      </w:r>
      <w:r>
        <w:t xml:space="preserve">.  </w:t>
      </w:r>
    </w:p>
    <w:p w:rsidR="006C77FB" w:rsidRDefault="006C77FB" w:rsidP="00F71C7C">
      <w:pPr>
        <w:spacing w:after="0"/>
      </w:pPr>
      <w:r>
        <w:t>The model highlights tha</w:t>
      </w:r>
      <w:r w:rsidR="00F71C7C">
        <w:t xml:space="preserve">t focusing only on the risk of </w:t>
      </w:r>
      <w:r>
        <w:t>physical violence can lead to insufficient attention being paid to:</w:t>
      </w:r>
    </w:p>
    <w:p w:rsidR="006C77FB" w:rsidRDefault="006C77FB" w:rsidP="00F71C7C">
      <w:pPr>
        <w:spacing w:after="0"/>
      </w:pPr>
      <w:r>
        <w:t>•</w:t>
      </w:r>
      <w:r>
        <w:tab/>
        <w:t>the wider needs of child and adult victims,</w:t>
      </w:r>
    </w:p>
    <w:p w:rsidR="006C77FB" w:rsidRDefault="006C77FB" w:rsidP="00F71C7C">
      <w:pPr>
        <w:spacing w:after="0"/>
      </w:pPr>
      <w:r>
        <w:t>•</w:t>
      </w:r>
      <w:r>
        <w:tab/>
        <w:t xml:space="preserve">failure to consider broader family dynamics (like coercive behaviour) </w:t>
      </w:r>
    </w:p>
    <w:p w:rsidR="006C77FB" w:rsidRDefault="006C77FB" w:rsidP="00F71C7C">
      <w:pPr>
        <w:spacing w:after="0"/>
      </w:pPr>
      <w:r>
        <w:t>•</w:t>
      </w:r>
      <w:r>
        <w:tab/>
        <w:t xml:space="preserve">and prioritisation of risk management over care.  </w:t>
      </w:r>
    </w:p>
    <w:p w:rsidR="00FE7ED2" w:rsidRDefault="006C77FB" w:rsidP="00F71C7C">
      <w:pPr>
        <w:spacing w:after="0"/>
      </w:pPr>
      <w:r w:rsidRPr="005331C7">
        <w:t xml:space="preserve">The Safe and Together model emerged to redress these difficulties, by equipping professionals with strategies to </w:t>
      </w:r>
      <w:r w:rsidR="00221D13" w:rsidRPr="005331C7">
        <w:t xml:space="preserve">ensure </w:t>
      </w:r>
      <w:r w:rsidRPr="005331C7">
        <w:t>children</w:t>
      </w:r>
      <w:r w:rsidR="00292451" w:rsidRPr="005331C7">
        <w:t xml:space="preserve"> are</w:t>
      </w:r>
      <w:r w:rsidRPr="005331C7">
        <w:t xml:space="preserve"> living </w:t>
      </w:r>
      <w:r>
        <w:t>safely with their non-offending parent.</w:t>
      </w:r>
    </w:p>
    <w:p w:rsidR="00FE7ED2" w:rsidRDefault="00FE7ED2" w:rsidP="00F71C7C">
      <w:pPr>
        <w:spacing w:after="0"/>
      </w:pPr>
    </w:p>
    <w:p w:rsidR="00FE7ED2" w:rsidRDefault="00FE7ED2" w:rsidP="00F71C7C">
      <w:pPr>
        <w:spacing w:after="0"/>
      </w:pPr>
    </w:p>
    <w:p w:rsidR="00FF28C5" w:rsidRDefault="0064377E" w:rsidP="0064377E">
      <w:r>
        <w:rPr>
          <w:noProof/>
          <w:lang w:eastAsia="en-GB"/>
        </w:rPr>
        <w:drawing>
          <wp:inline distT="0" distB="0" distL="0" distR="0" wp14:anchorId="37378CAC" wp14:editId="691C74AE">
            <wp:extent cx="6095506" cy="34671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635" cy="3467742"/>
                    </a:xfrm>
                    <a:prstGeom prst="rect">
                      <a:avLst/>
                    </a:prstGeom>
                    <a:noFill/>
                  </pic:spPr>
                </pic:pic>
              </a:graphicData>
            </a:graphic>
          </wp:inline>
        </w:drawing>
      </w:r>
    </w:p>
    <w:p w:rsidR="0064377E" w:rsidRDefault="00FF28C5" w:rsidP="0064377E">
      <w:r>
        <w:br w:type="page"/>
      </w:r>
    </w:p>
    <w:p w:rsidR="00FF28C5" w:rsidRDefault="005C31B7" w:rsidP="00FF28C5">
      <w:pPr>
        <w:tabs>
          <w:tab w:val="left" w:pos="2070"/>
        </w:tabs>
        <w:jc w:val="center"/>
      </w:pPr>
      <w:r>
        <w:rPr>
          <w:noProof/>
          <w:lang w:eastAsia="en-GB"/>
        </w:rPr>
        <w:lastRenderedPageBreak/>
        <w:drawing>
          <wp:inline distT="0" distB="0" distL="0" distR="0" wp14:anchorId="03B51B05" wp14:editId="55DA4031">
            <wp:extent cx="6191250"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34000"/>
                              </a14:imgEffect>
                            </a14:imgLayer>
                          </a14:imgProps>
                        </a:ext>
                        <a:ext uri="{28A0092B-C50C-407E-A947-70E740481C1C}">
                          <a14:useLocalDpi xmlns:a14="http://schemas.microsoft.com/office/drawing/2010/main" val="0"/>
                        </a:ext>
                      </a:extLst>
                    </a:blip>
                    <a:srcRect/>
                    <a:stretch>
                      <a:fillRect/>
                    </a:stretch>
                  </pic:blipFill>
                  <pic:spPr bwMode="auto">
                    <a:xfrm>
                      <a:off x="0" y="0"/>
                      <a:ext cx="6191250" cy="3238500"/>
                    </a:xfrm>
                    <a:prstGeom prst="rect">
                      <a:avLst/>
                    </a:prstGeom>
                    <a:noFill/>
                  </pic:spPr>
                </pic:pic>
              </a:graphicData>
            </a:graphic>
          </wp:inline>
        </w:drawing>
      </w:r>
      <w:r w:rsidR="00FF28C5">
        <w:rPr>
          <w:noProof/>
          <w:lang w:eastAsia="en-GB"/>
        </w:rPr>
        <w:drawing>
          <wp:inline distT="0" distB="0" distL="0" distR="0" wp14:anchorId="30DD8C8A" wp14:editId="3E6563D3">
            <wp:extent cx="6475792" cy="29051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810" cy="2907376"/>
                    </a:xfrm>
                    <a:prstGeom prst="rect">
                      <a:avLst/>
                    </a:prstGeom>
                    <a:noFill/>
                  </pic:spPr>
                </pic:pic>
              </a:graphicData>
            </a:graphic>
          </wp:inline>
        </w:drawing>
      </w:r>
      <w:r w:rsidR="00FF28C5" w:rsidRPr="009E2770">
        <w:rPr>
          <w:i/>
          <w:iCs/>
          <w:color w:val="7F7F7F" w:themeColor="text1" w:themeTint="80"/>
          <w:sz w:val="24"/>
        </w:rPr>
        <w:object w:dxaOrig="9600"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7pt;height:240.65pt" o:ole="">
            <v:imagedata r:id="rId13" o:title=""/>
          </v:shape>
          <o:OLEObject Type="Embed" ProgID="PowerPoint.Slide.12" ShapeID="_x0000_i1025" DrawAspect="Content" ObjectID="_1609227061" r:id="rId14"/>
        </w:object>
      </w:r>
      <w:r w:rsidR="00FF28C5">
        <w:br w:type="page"/>
      </w:r>
    </w:p>
    <w:tbl>
      <w:tblPr>
        <w:tblStyle w:val="TableGrid"/>
        <w:tblW w:w="0" w:type="auto"/>
        <w:tblLook w:val="04A0" w:firstRow="1" w:lastRow="0" w:firstColumn="1" w:lastColumn="0" w:noHBand="0" w:noVBand="1"/>
      </w:tblPr>
      <w:tblGrid>
        <w:gridCol w:w="10422"/>
      </w:tblGrid>
      <w:tr w:rsidR="00A46BA9" w:rsidTr="00FF28C5">
        <w:tc>
          <w:tcPr>
            <w:tcW w:w="10422" w:type="dxa"/>
            <w:tcBorders>
              <w:top w:val="thickThinSmallGap" w:sz="24" w:space="0" w:color="auto"/>
              <w:left w:val="thickThinSmallGap" w:sz="24" w:space="0" w:color="auto"/>
              <w:bottom w:val="thickThinSmallGap" w:sz="24" w:space="0" w:color="auto"/>
              <w:right w:val="thickThinSmallGap" w:sz="24" w:space="0" w:color="auto"/>
            </w:tcBorders>
          </w:tcPr>
          <w:p w:rsidR="00F71C7C" w:rsidRDefault="00F71C7C" w:rsidP="006C77FB"/>
          <w:p w:rsidR="0043679C" w:rsidRDefault="0043679C" w:rsidP="006C77FB">
            <w:r>
              <w:t xml:space="preserve">There is a recommendation within the Equally Safe Strategy (Scottish Government and COSLA) Delivery Plan for Social Work to establish a Scottish </w:t>
            </w:r>
            <w:r w:rsidR="009A18D0" w:rsidRPr="009A18D0">
              <w:t xml:space="preserve">Safe &amp; Together </w:t>
            </w:r>
            <w:r>
              <w:t>Institute</w:t>
            </w:r>
            <w:r w:rsidR="009A18D0">
              <w:t xml:space="preserve"> to help Local Authorities implement full systems change</w:t>
            </w:r>
            <w:r>
              <w:t xml:space="preserve">. </w:t>
            </w:r>
            <w:r w:rsidR="009A18D0">
              <w:t>The research on the model highlights that</w:t>
            </w:r>
            <w:r w:rsidR="009D4D95">
              <w:t xml:space="preserve"> only</w:t>
            </w:r>
            <w:r w:rsidR="009A18D0">
              <w:t xml:space="preserve"> by </w:t>
            </w:r>
            <w:r w:rsidR="009D4D95">
              <w:t xml:space="preserve">fully </w:t>
            </w:r>
            <w:r w:rsidR="009A18D0">
              <w:t>embedding</w:t>
            </w:r>
            <w:r w:rsidR="009D4D95">
              <w:t xml:space="preserve"> the model can we expect to see the best outcomes for our families</w:t>
            </w:r>
            <w:r w:rsidR="009A18D0">
              <w:t xml:space="preserve">. </w:t>
            </w:r>
            <w:r>
              <w:t xml:space="preserve">Social Work Scotland (SWS), The Centre for Inspiring Children’s Futures, Scottish Women’s Aid, Barnardo’s </w:t>
            </w:r>
            <w:r w:rsidR="009A18D0">
              <w:t>and the Improvement Service are</w:t>
            </w:r>
            <w:r>
              <w:t xml:space="preserve"> par</w:t>
            </w:r>
            <w:r w:rsidR="006C77FB">
              <w:t xml:space="preserve">t of a consortium to develop plans for a </w:t>
            </w:r>
            <w:r>
              <w:t xml:space="preserve">Scottish Institute.  </w:t>
            </w:r>
            <w:r w:rsidR="006C77FB" w:rsidRPr="006C77FB">
              <w:t xml:space="preserve">Falkirk Council HSCP &amp; CPC </w:t>
            </w:r>
            <w:r w:rsidR="006C77FB">
              <w:t xml:space="preserve">have made a commitment </w:t>
            </w:r>
            <w:r w:rsidR="006C77FB" w:rsidRPr="006C77FB">
              <w:t xml:space="preserve">to fund and </w:t>
            </w:r>
            <w:r w:rsidR="006C77FB">
              <w:t xml:space="preserve">begin delivering </w:t>
            </w:r>
            <w:r w:rsidR="006C77FB" w:rsidRPr="006C77FB">
              <w:t>core training on Safe and</w:t>
            </w:r>
            <w:r w:rsidR="006C77FB">
              <w:t xml:space="preserve"> Together, Domestic Abuse Model from 2017.</w:t>
            </w:r>
          </w:p>
          <w:p w:rsidR="00F71C7C" w:rsidRDefault="00F71C7C" w:rsidP="006C77FB"/>
        </w:tc>
      </w:tr>
    </w:tbl>
    <w:p w:rsidR="00A46BA9" w:rsidRPr="009E0A8E" w:rsidRDefault="00A46BA9" w:rsidP="00A46BA9">
      <w:pPr>
        <w:spacing w:after="0" w:line="240" w:lineRule="auto"/>
        <w:ind w:left="142"/>
        <w:rPr>
          <w:b/>
          <w:sz w:val="16"/>
          <w:szCs w:val="16"/>
        </w:rPr>
      </w:pPr>
    </w:p>
    <w:tbl>
      <w:tblPr>
        <w:tblStyle w:val="TableGrid"/>
        <w:tblW w:w="0" w:type="auto"/>
        <w:tblLook w:val="04A0" w:firstRow="1" w:lastRow="0" w:firstColumn="1" w:lastColumn="0" w:noHBand="0" w:noVBand="1"/>
      </w:tblPr>
      <w:tblGrid>
        <w:gridCol w:w="4644"/>
        <w:gridCol w:w="5778"/>
      </w:tblGrid>
      <w:tr w:rsidR="00A46BA9" w:rsidTr="00292451">
        <w:tc>
          <w:tcPr>
            <w:tcW w:w="4644" w:type="dxa"/>
            <w:tcBorders>
              <w:top w:val="thickThinSmallGap" w:sz="24" w:space="0" w:color="auto"/>
              <w:left w:val="thickThinSmallGap" w:sz="24" w:space="0" w:color="auto"/>
              <w:bottom w:val="single" w:sz="4" w:space="0" w:color="auto"/>
            </w:tcBorders>
            <w:shd w:val="clear" w:color="auto" w:fill="C6D9F1" w:themeFill="text2" w:themeFillTint="33"/>
          </w:tcPr>
          <w:p w:rsidR="00A46BA9" w:rsidRPr="002D0E9A" w:rsidRDefault="0043679C" w:rsidP="0039675F">
            <w:pPr>
              <w:tabs>
                <w:tab w:val="left" w:pos="2228"/>
              </w:tabs>
              <w:ind w:left="142"/>
              <w:rPr>
                <w:b/>
              </w:rPr>
            </w:pPr>
            <w:r w:rsidRPr="002D0E9A">
              <w:rPr>
                <w:b/>
              </w:rPr>
              <w:t>Examples of good practice since core training in November 2017</w:t>
            </w:r>
          </w:p>
        </w:tc>
        <w:tc>
          <w:tcPr>
            <w:tcW w:w="5778" w:type="dxa"/>
            <w:tcBorders>
              <w:top w:val="thickThinSmallGap" w:sz="24" w:space="0" w:color="auto"/>
              <w:bottom w:val="single" w:sz="4" w:space="0" w:color="auto"/>
              <w:right w:val="thickThinSmallGap" w:sz="24" w:space="0" w:color="auto"/>
            </w:tcBorders>
            <w:shd w:val="clear" w:color="auto" w:fill="C6D9F1" w:themeFill="text2" w:themeFillTint="33"/>
          </w:tcPr>
          <w:p w:rsidR="00A46BA9" w:rsidRPr="00C10BAA" w:rsidRDefault="00A46BA9" w:rsidP="0039675F">
            <w:pPr>
              <w:ind w:left="142"/>
              <w:rPr>
                <w:sz w:val="16"/>
                <w:szCs w:val="16"/>
              </w:rPr>
            </w:pPr>
          </w:p>
        </w:tc>
      </w:tr>
      <w:tr w:rsidR="00A46BA9" w:rsidTr="00292451">
        <w:tc>
          <w:tcPr>
            <w:tcW w:w="4644" w:type="dxa"/>
            <w:tcBorders>
              <w:left w:val="thickThinSmallGap" w:sz="24" w:space="0" w:color="auto"/>
              <w:bottom w:val="single" w:sz="4" w:space="0" w:color="auto"/>
            </w:tcBorders>
          </w:tcPr>
          <w:p w:rsidR="00A46BA9" w:rsidRPr="00D331AA" w:rsidRDefault="009D4D95" w:rsidP="009A18D0">
            <w:pPr>
              <w:pStyle w:val="ListParagraph"/>
              <w:numPr>
                <w:ilvl w:val="0"/>
                <w:numId w:val="1"/>
              </w:numPr>
            </w:pPr>
            <w:r>
              <w:t>Core trained practitioners</w:t>
            </w:r>
            <w:r w:rsidR="0039675F" w:rsidRPr="00D331AA">
              <w:t xml:space="preserve"> have used the principles to structure conversations and record what non offending parents do to nurture their children and keep them safe.</w:t>
            </w:r>
          </w:p>
          <w:p w:rsidR="0039675F" w:rsidRPr="00D331AA" w:rsidRDefault="0039675F" w:rsidP="009A18D0">
            <w:pPr>
              <w:pStyle w:val="ListParagraph"/>
              <w:numPr>
                <w:ilvl w:val="0"/>
                <w:numId w:val="1"/>
              </w:numPr>
            </w:pPr>
            <w:r w:rsidRPr="00D331AA">
              <w:t>Using the term ’Super Powers’</w:t>
            </w:r>
            <w:r w:rsidR="009D4D95">
              <w:t xml:space="preserve"> with non offending </w:t>
            </w:r>
            <w:r w:rsidR="009D4D95" w:rsidRPr="005331C7">
              <w:t>parents</w:t>
            </w:r>
            <w:r w:rsidR="00D331AA" w:rsidRPr="005331C7">
              <w:t xml:space="preserve"> has helped them describe the </w:t>
            </w:r>
            <w:r w:rsidR="00221D13" w:rsidRPr="005331C7">
              <w:t xml:space="preserve">seemingly </w:t>
            </w:r>
            <w:r w:rsidR="00D331AA" w:rsidRPr="005331C7">
              <w:t xml:space="preserve">subtle </w:t>
            </w:r>
            <w:r w:rsidR="00221D13" w:rsidRPr="005331C7">
              <w:t xml:space="preserve">coercive </w:t>
            </w:r>
            <w:r w:rsidR="00D331AA" w:rsidRPr="005331C7">
              <w:t>behaviours that are harmful to both them</w:t>
            </w:r>
            <w:r w:rsidR="009D4D95" w:rsidRPr="005331C7">
              <w:t xml:space="preserve"> and their children. It </w:t>
            </w:r>
            <w:r w:rsidR="00D331AA" w:rsidRPr="005331C7">
              <w:t xml:space="preserve">allows practitioners to understand the impact of these </w:t>
            </w:r>
            <w:r w:rsidR="00221D13" w:rsidRPr="005331C7">
              <w:t xml:space="preserve">coercive </w:t>
            </w:r>
            <w:r w:rsidR="00D331AA" w:rsidRPr="005331C7">
              <w:t xml:space="preserve"> behaviours.</w:t>
            </w:r>
            <w:r w:rsidR="00096CF5" w:rsidRPr="005331C7">
              <w:t xml:space="preserve"> It helps non-offending </w:t>
            </w:r>
            <w:r w:rsidR="00096CF5">
              <w:t>parents tell their stories without fear of being judged</w:t>
            </w:r>
            <w:r w:rsidR="009A18D0">
              <w:t>.</w:t>
            </w:r>
          </w:p>
          <w:p w:rsidR="00D331AA" w:rsidRPr="00C10BAA" w:rsidRDefault="00D331AA" w:rsidP="00292451">
            <w:pPr>
              <w:rPr>
                <w:sz w:val="16"/>
                <w:szCs w:val="16"/>
              </w:rPr>
            </w:pPr>
          </w:p>
        </w:tc>
        <w:tc>
          <w:tcPr>
            <w:tcW w:w="5778" w:type="dxa"/>
            <w:tcBorders>
              <w:bottom w:val="single" w:sz="4" w:space="0" w:color="auto"/>
              <w:right w:val="thickThinSmallGap" w:sz="24" w:space="0" w:color="auto"/>
            </w:tcBorders>
          </w:tcPr>
          <w:p w:rsidR="00A46BA9" w:rsidRPr="00156434" w:rsidRDefault="009D4D95" w:rsidP="009A18D0">
            <w:pPr>
              <w:pStyle w:val="ListParagraph"/>
              <w:numPr>
                <w:ilvl w:val="0"/>
                <w:numId w:val="1"/>
              </w:numPr>
            </w:pPr>
            <w:r>
              <w:t>Practitioner</w:t>
            </w:r>
            <w:r w:rsidR="00292451">
              <w:t>s’</w:t>
            </w:r>
            <w:r>
              <w:t xml:space="preserve"> reports </w:t>
            </w:r>
            <w:r w:rsidR="00156434" w:rsidRPr="00156434">
              <w:t>using coercive control information has held perpetrators more accountable for their behaviours.</w:t>
            </w:r>
          </w:p>
          <w:p w:rsidR="00156434" w:rsidRDefault="00156434" w:rsidP="009A18D0">
            <w:pPr>
              <w:pStyle w:val="ListParagraph"/>
              <w:numPr>
                <w:ilvl w:val="0"/>
                <w:numId w:val="1"/>
              </w:numPr>
            </w:pPr>
            <w:r w:rsidRPr="00156434">
              <w:t>The model</w:t>
            </w:r>
            <w:r w:rsidR="00B42023">
              <w:t xml:space="preserve"> has helped </w:t>
            </w:r>
            <w:r w:rsidRPr="00156434">
              <w:t>practitioners frame their conversations with the non offending parent,</w:t>
            </w:r>
            <w:r>
              <w:t xml:space="preserve"> qu</w:t>
            </w:r>
            <w:r w:rsidRPr="00156434">
              <w:t>ic</w:t>
            </w:r>
            <w:r>
              <w:t>k</w:t>
            </w:r>
            <w:r w:rsidRPr="00156434">
              <w:t>ly after abusive eve</w:t>
            </w:r>
            <w:r w:rsidR="009D4D95">
              <w:t>nts and has contributed to the victim</w:t>
            </w:r>
            <w:r w:rsidRPr="00156434">
              <w:t xml:space="preserve"> better understanding coercive control. The </w:t>
            </w:r>
            <w:r w:rsidR="009D4D95">
              <w:t>model is actively applied i</w:t>
            </w:r>
            <w:r w:rsidRPr="00156434">
              <w:t>n MARAC &amp; MATAC meetings</w:t>
            </w:r>
            <w:r>
              <w:t>, and has helped highlight the gap in Multi Agency representation at these meetings.</w:t>
            </w:r>
          </w:p>
          <w:p w:rsidR="00156434" w:rsidRPr="009A18D0" w:rsidRDefault="009D4D95" w:rsidP="009A18D0">
            <w:pPr>
              <w:pStyle w:val="ListParagraph"/>
              <w:numPr>
                <w:ilvl w:val="0"/>
                <w:numId w:val="1"/>
              </w:numPr>
              <w:rPr>
                <w:sz w:val="16"/>
                <w:szCs w:val="16"/>
              </w:rPr>
            </w:pPr>
            <w:r>
              <w:t>Trained Practitioners report</w:t>
            </w:r>
            <w:r w:rsidR="00156434">
              <w:t xml:space="preserve"> that their colleagues are showing signs of </w:t>
            </w:r>
            <w:r>
              <w:t xml:space="preserve">a </w:t>
            </w:r>
            <w:r w:rsidR="00156434">
              <w:t xml:space="preserve">better understanding </w:t>
            </w:r>
            <w:r>
              <w:t xml:space="preserve">of </w:t>
            </w:r>
            <w:r w:rsidR="00156434">
              <w:t xml:space="preserve">the language, the principles </w:t>
            </w:r>
            <w:r>
              <w:t>and using both to better manage</w:t>
            </w:r>
            <w:r w:rsidR="00156434">
              <w:t xml:space="preserve"> risk</w:t>
            </w:r>
            <w:r>
              <w:t>, where previously this has caused conflict and different outcomes</w:t>
            </w:r>
            <w:r w:rsidR="00156434">
              <w:t>.</w:t>
            </w:r>
          </w:p>
        </w:tc>
      </w:tr>
      <w:tr w:rsidR="00A46BA9" w:rsidTr="00292451">
        <w:tc>
          <w:tcPr>
            <w:tcW w:w="4644" w:type="dxa"/>
            <w:tcBorders>
              <w:left w:val="thickThinSmallGap" w:sz="24" w:space="0" w:color="auto"/>
              <w:bottom w:val="thickThinSmallGap" w:sz="24" w:space="0" w:color="auto"/>
            </w:tcBorders>
          </w:tcPr>
          <w:p w:rsidR="00E1388E" w:rsidRPr="005331C7" w:rsidRDefault="00E1388E" w:rsidP="006F1326">
            <w:pPr>
              <w:pStyle w:val="ListParagraph"/>
              <w:numPr>
                <w:ilvl w:val="0"/>
                <w:numId w:val="1"/>
              </w:numPr>
            </w:pPr>
            <w:r>
              <w:t>Practitioner</w:t>
            </w:r>
            <w:r w:rsidR="009D4D95">
              <w:t>s</w:t>
            </w:r>
            <w:r>
              <w:t xml:space="preserve"> u</w:t>
            </w:r>
            <w:r w:rsidR="009D4D95">
              <w:t>sed</w:t>
            </w:r>
            <w:r w:rsidR="00156434" w:rsidRPr="00156434">
              <w:t xml:space="preserve"> the model with non offending parents to list what they provide for their children and what they do to keep their children safe</w:t>
            </w:r>
            <w:r>
              <w:t xml:space="preserve">, manage the trauma of abusive behaviours and how they provide </w:t>
            </w:r>
            <w:r w:rsidRPr="005331C7">
              <w:t>stability and nur</w:t>
            </w:r>
            <w:r w:rsidR="009D4D95" w:rsidRPr="005331C7">
              <w:t>turance for their children</w:t>
            </w:r>
            <w:r w:rsidR="00221D13" w:rsidRPr="005331C7">
              <w:t xml:space="preserve">. One parent then </w:t>
            </w:r>
            <w:r w:rsidR="009D4D95" w:rsidRPr="005331C7">
              <w:t>took</w:t>
            </w:r>
            <w:r w:rsidRPr="005331C7">
              <w:t xml:space="preserve"> this </w:t>
            </w:r>
            <w:r w:rsidR="00221D13" w:rsidRPr="005331C7">
              <w:t xml:space="preserve">list </w:t>
            </w:r>
            <w:r w:rsidRPr="005331C7">
              <w:t xml:space="preserve">to their lawyer when </w:t>
            </w:r>
            <w:r w:rsidR="00221D13" w:rsidRPr="005331C7">
              <w:t>applying for an interdict against their abusive partner</w:t>
            </w:r>
            <w:r w:rsidRPr="005331C7">
              <w:t xml:space="preserve">. </w:t>
            </w:r>
          </w:p>
          <w:p w:rsidR="002D0E9A" w:rsidRDefault="00E1388E" w:rsidP="009A18D0">
            <w:pPr>
              <w:pStyle w:val="ListParagraph"/>
              <w:numPr>
                <w:ilvl w:val="0"/>
                <w:numId w:val="1"/>
              </w:numPr>
            </w:pPr>
            <w:r w:rsidRPr="005331C7">
              <w:t xml:space="preserve">Also </w:t>
            </w:r>
            <w:r w:rsidR="009D4D95" w:rsidRPr="005331C7">
              <w:t xml:space="preserve">within this list </w:t>
            </w:r>
            <w:r w:rsidRPr="005331C7">
              <w:t xml:space="preserve">by holding both parents accountable for the care of children highlighted the differences in what the two parents did or did not provide. This </w:t>
            </w:r>
            <w:r w:rsidR="009D4D95" w:rsidRPr="005331C7">
              <w:t xml:space="preserve">helped </w:t>
            </w:r>
            <w:r w:rsidRPr="005331C7">
              <w:t xml:space="preserve">frame the discussion around </w:t>
            </w:r>
            <w:r w:rsidR="00292451" w:rsidRPr="005331C7">
              <w:t xml:space="preserve">the harmful </w:t>
            </w:r>
            <w:r w:rsidRPr="005331C7">
              <w:rPr>
                <w:b/>
                <w:i/>
              </w:rPr>
              <w:t>parenting choices</w:t>
            </w:r>
            <w:r w:rsidRPr="005331C7">
              <w:t xml:space="preserve"> </w:t>
            </w:r>
            <w:r w:rsidR="00292451" w:rsidRPr="005331C7">
              <w:t xml:space="preserve">of the perpetrator including how this interfered with the care that the non-offending parent was able to provide. </w:t>
            </w:r>
            <w:r w:rsidRPr="005331C7">
              <w:t>The lawyer found the language used so helpful they</w:t>
            </w:r>
            <w:r w:rsidR="009D4D95" w:rsidRPr="005331C7">
              <w:t xml:space="preserve"> plan</w:t>
            </w:r>
            <w:r w:rsidRPr="005331C7">
              <w:t xml:space="preserve"> to use </w:t>
            </w:r>
            <w:r>
              <w:t>it with other parents.</w:t>
            </w:r>
          </w:p>
          <w:p w:rsidR="002D0E9A" w:rsidRPr="006F1326" w:rsidRDefault="006F1326" w:rsidP="009D4D95">
            <w:pPr>
              <w:pStyle w:val="ListParagraph"/>
              <w:numPr>
                <w:ilvl w:val="0"/>
                <w:numId w:val="1"/>
              </w:numPr>
            </w:pPr>
            <w:r>
              <w:t>This model</w:t>
            </w:r>
            <w:r w:rsidR="00507772" w:rsidRPr="00507772">
              <w:t xml:space="preserve"> helps describe the lived experi</w:t>
            </w:r>
            <w:r>
              <w:t xml:space="preserve">ence of families, and </w:t>
            </w:r>
            <w:r w:rsidR="00507772" w:rsidRPr="00507772">
              <w:t>is influencing practitioners in their practice with all families</w:t>
            </w:r>
          </w:p>
        </w:tc>
        <w:tc>
          <w:tcPr>
            <w:tcW w:w="5778" w:type="dxa"/>
            <w:tcBorders>
              <w:bottom w:val="thickThinSmallGap" w:sz="24" w:space="0" w:color="auto"/>
              <w:right w:val="thickThinSmallGap" w:sz="24" w:space="0" w:color="auto"/>
            </w:tcBorders>
          </w:tcPr>
          <w:p w:rsidR="00A46BA9" w:rsidRDefault="00E1388E" w:rsidP="009A18D0">
            <w:pPr>
              <w:pStyle w:val="ListParagraph"/>
              <w:numPr>
                <w:ilvl w:val="0"/>
                <w:numId w:val="1"/>
              </w:numPr>
            </w:pPr>
            <w:r w:rsidRPr="00E1388E">
              <w:t>The model has helped practit</w:t>
            </w:r>
            <w:r>
              <w:t>i</w:t>
            </w:r>
            <w:r w:rsidRPr="00E1388E">
              <w:t>one</w:t>
            </w:r>
            <w:r>
              <w:t>rs influence different decision makers, including Consultants to recognise the coercive controlling pattern of behaviours. This includes the influence these type of behaviours have on the non offending parent to provide for the children. This puts the accountability for harm and change on the perpetrator.</w:t>
            </w:r>
          </w:p>
          <w:p w:rsidR="00E1388E" w:rsidRDefault="00E1388E" w:rsidP="009A18D0">
            <w:pPr>
              <w:pStyle w:val="ListParagraph"/>
              <w:numPr>
                <w:ilvl w:val="0"/>
                <w:numId w:val="1"/>
              </w:numPr>
            </w:pPr>
            <w:r>
              <w:t xml:space="preserve">This is particularly noticeable in Reviews/Assessment meetings/ Case conferences where traditionally the non –offending parent have </w:t>
            </w:r>
            <w:r w:rsidR="009A18D0">
              <w:t>been given a number of tasks/actions to complete and the perpetrator is given one…to stay away. The model is shifting this with the understanding that it is only the perpetrator of Domestic Abuse that can be responsible for reducing the risk and harm, and if not be held accountable for the lack of change/reduction in risk.</w:t>
            </w:r>
          </w:p>
          <w:p w:rsidR="009A18D0" w:rsidRPr="00E1388E" w:rsidRDefault="009A18D0" w:rsidP="009A18D0">
            <w:pPr>
              <w:pStyle w:val="ListParagraph"/>
              <w:numPr>
                <w:ilvl w:val="0"/>
                <w:numId w:val="1"/>
              </w:numPr>
            </w:pPr>
            <w:r>
              <w:t>The practitioners are noting that the model is influencing them in their wider practice, for example in cases of neglect (alongside the use of the neglect practice toolkit), by taking a strengths based approach it is more likely that change will be achieved as the parent feels supported in looking at the areas of need by firstly recognising what they do well.</w:t>
            </w:r>
          </w:p>
        </w:tc>
      </w:tr>
    </w:tbl>
    <w:p w:rsidR="009E2770" w:rsidRDefault="009E2770" w:rsidP="00096CF5"/>
    <w:p w:rsidR="009E2770" w:rsidRDefault="00FE7ED2" w:rsidP="00FE7ED2">
      <w:pPr>
        <w:rPr>
          <w:noProof/>
          <w:lang w:eastAsia="en-GB"/>
        </w:rPr>
      </w:pPr>
      <w:r>
        <w:rPr>
          <w:noProof/>
          <w:lang w:eastAsia="en-GB"/>
        </w:rPr>
        <w:lastRenderedPageBreak/>
        <mc:AlternateContent>
          <mc:Choice Requires="wps">
            <w:drawing>
              <wp:anchor distT="0" distB="0" distL="114300" distR="114300" simplePos="0" relativeHeight="251661312" behindDoc="0" locked="0" layoutInCell="0" allowOverlap="1" wp14:anchorId="24776DC6" wp14:editId="14BAF8EF">
                <wp:simplePos x="0" y="0"/>
                <wp:positionH relativeFrom="margin">
                  <wp:posOffset>173990</wp:posOffset>
                </wp:positionH>
                <wp:positionV relativeFrom="margin">
                  <wp:posOffset>6990080</wp:posOffset>
                </wp:positionV>
                <wp:extent cx="6096000" cy="1706880"/>
                <wp:effectExtent l="0" t="0" r="0" b="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706880"/>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9E2770" w:rsidRDefault="009E2770">
                            <w:pPr>
                              <w:spacing w:after="0"/>
                              <w:jc w:val="center"/>
                              <w:rPr>
                                <w:i/>
                                <w:iCs/>
                                <w:color w:val="7F7F7F" w:themeColor="text1" w:themeTint="80"/>
                                <w:sz w:val="24"/>
                              </w:rPr>
                            </w:pPr>
                          </w:p>
                        </w:txbxContent>
                      </wps:txbx>
                      <wps:bodyPr rot="0" vert="horz" wrap="non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4776D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7pt;margin-top:550.4pt;width:480pt;height:134.4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" o:allowincell="f" adj="1739" fillcolor="#943634" stroked="f" strokeweight="3pt">
                <v:shadow color="#5d7035" offset="1pt,1pt"/>
                <v:textbox style="mso-fit-shape-to-text:t" inset="3.6pt,,3.6pt">
                  <w:txbxContent>
                    <w:p w:rsidR="009E2770" w:rsidRDefault="009E2770">
                      <w:pPr>
                        <w:spacing w:after="0"/>
                        <w:jc w:val="center"/>
                        <w:rPr>
                          <w:i/>
                          <w:iCs/>
                          <w:color w:val="7F7F7F" w:themeColor="text1" w:themeTint="80"/>
                          <w:sz w:val="24"/>
                        </w:rPr>
                      </w:pPr>
                    </w:p>
                  </w:txbxContent>
                </v:textbox>
                <w10:wrap type="square" anchorx="margin" anchory="margin"/>
              </v:shape>
            </w:pict>
          </mc:Fallback>
        </mc:AlternateContent>
      </w:r>
    </w:p>
    <w:p w:rsidR="001F54E7" w:rsidRDefault="001F54E7" w:rsidP="00096CF5">
      <w:pPr>
        <w:jc w:val="both"/>
        <w:rPr>
          <w:rFonts w:ascii="Arial" w:hAnsi="Arial" w:cs="Arial"/>
          <w:b/>
          <w:sz w:val="20"/>
          <w:szCs w:val="20"/>
        </w:rPr>
      </w:pPr>
    </w:p>
    <w:p w:rsidR="009E2770" w:rsidRDefault="009E2770" w:rsidP="00096CF5">
      <w:pPr>
        <w:jc w:val="both"/>
        <w:rPr>
          <w:rFonts w:ascii="Arial" w:hAnsi="Arial" w:cs="Arial"/>
          <w:b/>
          <w:sz w:val="20"/>
          <w:szCs w:val="20"/>
        </w:rPr>
      </w:pPr>
      <w:r w:rsidRPr="00096CF5">
        <w:rPr>
          <w:noProof/>
          <w:lang w:eastAsia="en-GB"/>
        </w:rPr>
        <w:drawing>
          <wp:anchor distT="0" distB="0" distL="114300" distR="114300" simplePos="0" relativeHeight="251659264" behindDoc="1" locked="0" layoutInCell="1" allowOverlap="1" wp14:anchorId="4716B5DD" wp14:editId="4D4BC69C">
            <wp:simplePos x="0" y="0"/>
            <wp:positionH relativeFrom="column">
              <wp:posOffset>1326515</wp:posOffset>
            </wp:positionH>
            <wp:positionV relativeFrom="paragraph">
              <wp:posOffset>-262890</wp:posOffset>
            </wp:positionV>
            <wp:extent cx="3267075" cy="815975"/>
            <wp:effectExtent l="0" t="0" r="9525" b="3175"/>
            <wp:wrapTight wrapText="bothSides">
              <wp:wrapPolygon edited="0">
                <wp:start x="0" y="0"/>
                <wp:lineTo x="0" y="21180"/>
                <wp:lineTo x="21537" y="21180"/>
                <wp:lineTo x="21537" y="0"/>
                <wp:lineTo x="0" y="0"/>
              </wp:wrapPolygon>
            </wp:wrapTight>
            <wp:docPr id="7" name="Picture 7" descr="cid:image001.png@01D3DBDE.8EAEF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DBDE.8EAEF6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67075"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770" w:rsidRDefault="009E2770" w:rsidP="00096CF5">
      <w:pPr>
        <w:jc w:val="both"/>
        <w:rPr>
          <w:rFonts w:ascii="Arial" w:hAnsi="Arial" w:cs="Arial"/>
          <w:b/>
          <w:sz w:val="20"/>
          <w:szCs w:val="20"/>
        </w:rPr>
      </w:pPr>
    </w:p>
    <w:p w:rsidR="009E2770" w:rsidRDefault="009E2770" w:rsidP="009E2770">
      <w:pPr>
        <w:jc w:val="both"/>
        <w:rPr>
          <w:rFonts w:ascii="Arial" w:hAnsi="Arial" w:cs="Arial"/>
          <w:b/>
          <w:sz w:val="20"/>
          <w:szCs w:val="20"/>
        </w:rPr>
      </w:pPr>
      <w:r w:rsidRPr="00096CF5">
        <w:rPr>
          <w:rFonts w:ascii="Arial" w:hAnsi="Arial" w:cs="Arial"/>
          <w:b/>
          <w:sz w:val="20"/>
          <w:szCs w:val="20"/>
        </w:rPr>
        <w:t xml:space="preserve">Safe and Together encourages practitioners to move away from blaming/judgemental questioning style and encourages practitioners to adopt a language that hold both the offending and non-offending parent accountable for the parenting, care and protection of the children. We have put together some alternative ways to explore circumstances with clients to support all practitioners to implement Safe and Together into their practice when working with domestic abuse. </w:t>
      </w:r>
    </w:p>
    <w:p w:rsidR="009E2770" w:rsidRPr="00096CF5" w:rsidRDefault="009E2770" w:rsidP="00096CF5">
      <w:pPr>
        <w:jc w:val="both"/>
        <w:rPr>
          <w:rFonts w:ascii="Arial" w:hAnsi="Arial" w:cs="Arial"/>
          <w:b/>
          <w:sz w:val="20"/>
          <w:szCs w:val="20"/>
        </w:rPr>
      </w:pPr>
    </w:p>
    <w:tbl>
      <w:tblPr>
        <w:tblStyle w:val="TableGrid1"/>
        <w:tblW w:w="0" w:type="auto"/>
        <w:tblLook w:val="04A0" w:firstRow="1" w:lastRow="0" w:firstColumn="1" w:lastColumn="0" w:noHBand="0" w:noVBand="1"/>
      </w:tblPr>
      <w:tblGrid>
        <w:gridCol w:w="5200"/>
        <w:gridCol w:w="5222"/>
      </w:tblGrid>
      <w:tr w:rsidR="00096CF5" w:rsidRPr="00096CF5" w:rsidTr="00096CF5">
        <w:tc>
          <w:tcPr>
            <w:tcW w:w="7087" w:type="dxa"/>
          </w:tcPr>
          <w:p w:rsidR="00096CF5" w:rsidRPr="00096CF5" w:rsidRDefault="00096CF5" w:rsidP="00096CF5">
            <w:pPr>
              <w:rPr>
                <w:rFonts w:ascii="Arial" w:hAnsi="Arial" w:cs="Arial"/>
                <w:b/>
                <w:sz w:val="20"/>
                <w:szCs w:val="20"/>
                <w:u w:val="single"/>
              </w:rPr>
            </w:pPr>
            <w:r w:rsidRPr="00096CF5">
              <w:rPr>
                <w:rFonts w:ascii="Arial" w:hAnsi="Arial" w:cs="Arial"/>
                <w:b/>
                <w:sz w:val="20"/>
                <w:szCs w:val="20"/>
                <w:u w:val="single"/>
              </w:rPr>
              <w:t>Destructive Practice</w:t>
            </w:r>
          </w:p>
        </w:tc>
        <w:tc>
          <w:tcPr>
            <w:tcW w:w="7087" w:type="dxa"/>
          </w:tcPr>
          <w:p w:rsidR="00096CF5" w:rsidRPr="00096CF5" w:rsidRDefault="00096CF5" w:rsidP="00096CF5">
            <w:pPr>
              <w:rPr>
                <w:rFonts w:ascii="Arial" w:hAnsi="Arial" w:cs="Arial"/>
                <w:b/>
                <w:sz w:val="20"/>
                <w:szCs w:val="20"/>
                <w:u w:val="single"/>
              </w:rPr>
            </w:pPr>
            <w:r w:rsidRPr="00096CF5">
              <w:rPr>
                <w:rFonts w:ascii="Arial" w:hAnsi="Arial" w:cs="Arial"/>
                <w:b/>
                <w:sz w:val="20"/>
                <w:szCs w:val="20"/>
                <w:u w:val="single"/>
              </w:rPr>
              <w:t>Constructive Practice</w:t>
            </w:r>
          </w:p>
        </w:tc>
      </w:tr>
      <w:tr w:rsidR="00096CF5" w:rsidRPr="00096CF5" w:rsidTr="00096CF5">
        <w:tc>
          <w:tcPr>
            <w:tcW w:w="7087" w:type="dxa"/>
          </w:tcPr>
          <w:p w:rsidR="00096CF5" w:rsidRPr="00096CF5" w:rsidRDefault="00096CF5" w:rsidP="00096CF5">
            <w:pPr>
              <w:rPr>
                <w:rFonts w:ascii="Arial" w:hAnsi="Arial" w:cs="Arial"/>
                <w:sz w:val="20"/>
                <w:szCs w:val="20"/>
              </w:rPr>
            </w:pPr>
            <w:r w:rsidRPr="00096CF5">
              <w:rPr>
                <w:rFonts w:ascii="Arial" w:hAnsi="Arial" w:cs="Arial"/>
                <w:sz w:val="20"/>
                <w:szCs w:val="20"/>
              </w:rPr>
              <w:t>Why did you let him in?</w:t>
            </w:r>
          </w:p>
          <w:p w:rsidR="00096CF5" w:rsidRPr="00096CF5" w:rsidRDefault="00096CF5" w:rsidP="00096CF5">
            <w:pPr>
              <w:rPr>
                <w:rFonts w:ascii="Arial" w:hAnsi="Arial" w:cs="Arial"/>
                <w:sz w:val="20"/>
                <w:szCs w:val="20"/>
              </w:rPr>
            </w:pPr>
          </w:p>
        </w:tc>
        <w:tc>
          <w:tcPr>
            <w:tcW w:w="7087" w:type="dxa"/>
          </w:tcPr>
          <w:p w:rsidR="00096CF5" w:rsidRPr="00096CF5" w:rsidRDefault="00096CF5" w:rsidP="00096CF5">
            <w:pPr>
              <w:rPr>
                <w:rFonts w:ascii="Arial" w:hAnsi="Arial" w:cs="Arial"/>
                <w:sz w:val="20"/>
                <w:szCs w:val="20"/>
              </w:rPr>
            </w:pPr>
            <w:r w:rsidRPr="00096CF5">
              <w:rPr>
                <w:rFonts w:ascii="Arial" w:hAnsi="Arial" w:cs="Arial"/>
                <w:sz w:val="20"/>
                <w:szCs w:val="20"/>
              </w:rPr>
              <w:t xml:space="preserve">What made it feel safer to have him in the house? </w:t>
            </w:r>
          </w:p>
        </w:tc>
      </w:tr>
      <w:tr w:rsidR="00096CF5" w:rsidRPr="00096CF5" w:rsidTr="00096CF5">
        <w:tc>
          <w:tcPr>
            <w:tcW w:w="7087" w:type="dxa"/>
          </w:tcPr>
          <w:p w:rsidR="00096CF5" w:rsidRPr="00096CF5" w:rsidRDefault="00096CF5" w:rsidP="00096CF5">
            <w:pPr>
              <w:rPr>
                <w:rFonts w:ascii="Arial" w:hAnsi="Arial" w:cs="Arial"/>
                <w:sz w:val="20"/>
                <w:szCs w:val="20"/>
              </w:rPr>
            </w:pPr>
            <w:r w:rsidRPr="00096CF5">
              <w:rPr>
                <w:rFonts w:ascii="Arial" w:hAnsi="Arial" w:cs="Arial"/>
                <w:sz w:val="20"/>
                <w:szCs w:val="20"/>
              </w:rPr>
              <w:t xml:space="preserve">It’s your responsibility to keep your children safe </w:t>
            </w:r>
          </w:p>
          <w:p w:rsidR="00096CF5" w:rsidRPr="00096CF5" w:rsidRDefault="00096CF5" w:rsidP="00096CF5">
            <w:pPr>
              <w:rPr>
                <w:rFonts w:ascii="Arial" w:hAnsi="Arial" w:cs="Arial"/>
                <w:sz w:val="20"/>
                <w:szCs w:val="20"/>
              </w:rPr>
            </w:pPr>
          </w:p>
        </w:tc>
        <w:tc>
          <w:tcPr>
            <w:tcW w:w="7087" w:type="dxa"/>
          </w:tcPr>
          <w:p w:rsidR="00096CF5" w:rsidRDefault="00096CF5" w:rsidP="00096CF5">
            <w:pPr>
              <w:rPr>
                <w:rFonts w:ascii="Arial" w:hAnsi="Arial" w:cs="Arial"/>
                <w:sz w:val="20"/>
                <w:szCs w:val="20"/>
              </w:rPr>
            </w:pPr>
            <w:r w:rsidRPr="00096CF5">
              <w:rPr>
                <w:rFonts w:ascii="Arial" w:hAnsi="Arial" w:cs="Arial"/>
                <w:sz w:val="20"/>
                <w:szCs w:val="20"/>
              </w:rPr>
              <w:t>Both parents are equally responsible for keeping children safe.</w:t>
            </w:r>
          </w:p>
          <w:p w:rsidR="00292451" w:rsidRPr="00096CF5" w:rsidRDefault="00292451" w:rsidP="00096CF5">
            <w:pPr>
              <w:rPr>
                <w:rFonts w:ascii="Arial" w:hAnsi="Arial" w:cs="Arial"/>
                <w:sz w:val="20"/>
                <w:szCs w:val="20"/>
              </w:rPr>
            </w:pPr>
          </w:p>
          <w:p w:rsidR="00096CF5" w:rsidRPr="00096CF5" w:rsidRDefault="00096CF5" w:rsidP="00096CF5">
            <w:pPr>
              <w:rPr>
                <w:rFonts w:ascii="Arial" w:hAnsi="Arial" w:cs="Arial"/>
                <w:sz w:val="20"/>
                <w:szCs w:val="20"/>
              </w:rPr>
            </w:pPr>
            <w:r w:rsidRPr="00096CF5">
              <w:rPr>
                <w:rFonts w:ascii="Arial" w:hAnsi="Arial" w:cs="Arial"/>
                <w:sz w:val="20"/>
                <w:szCs w:val="20"/>
              </w:rPr>
              <w:t>To keep you and your children safe what has worked and has not worked in the past?</w:t>
            </w:r>
          </w:p>
        </w:tc>
      </w:tr>
      <w:tr w:rsidR="00096CF5" w:rsidRPr="00096CF5" w:rsidTr="00096CF5">
        <w:tc>
          <w:tcPr>
            <w:tcW w:w="7087" w:type="dxa"/>
          </w:tcPr>
          <w:p w:rsidR="00096CF5" w:rsidRPr="00096CF5" w:rsidRDefault="00096CF5" w:rsidP="00096CF5">
            <w:pPr>
              <w:rPr>
                <w:rFonts w:ascii="Arial" w:hAnsi="Arial" w:cs="Arial"/>
                <w:sz w:val="20"/>
                <w:szCs w:val="20"/>
              </w:rPr>
            </w:pPr>
            <w:r w:rsidRPr="00096CF5">
              <w:rPr>
                <w:rFonts w:ascii="Arial" w:hAnsi="Arial" w:cs="Arial"/>
                <w:sz w:val="20"/>
                <w:szCs w:val="20"/>
              </w:rPr>
              <w:t>Why haven’t you ended the relationship?</w:t>
            </w:r>
          </w:p>
          <w:p w:rsidR="00096CF5" w:rsidRPr="00096CF5" w:rsidRDefault="00096CF5" w:rsidP="00096CF5">
            <w:pPr>
              <w:rPr>
                <w:rFonts w:ascii="Arial" w:hAnsi="Arial" w:cs="Arial"/>
                <w:sz w:val="20"/>
                <w:szCs w:val="20"/>
              </w:rPr>
            </w:pPr>
          </w:p>
          <w:p w:rsidR="00096CF5" w:rsidRPr="00096CF5" w:rsidRDefault="00096CF5" w:rsidP="00096CF5">
            <w:pPr>
              <w:rPr>
                <w:rFonts w:ascii="Arial" w:hAnsi="Arial" w:cs="Arial"/>
                <w:sz w:val="20"/>
                <w:szCs w:val="20"/>
              </w:rPr>
            </w:pPr>
            <w:r w:rsidRPr="00096CF5">
              <w:rPr>
                <w:rFonts w:ascii="Arial" w:hAnsi="Arial" w:cs="Arial"/>
                <w:sz w:val="20"/>
                <w:szCs w:val="20"/>
              </w:rPr>
              <w:t xml:space="preserve">You’re choosing him over your children. </w:t>
            </w:r>
          </w:p>
          <w:p w:rsidR="00096CF5" w:rsidRPr="00096CF5" w:rsidRDefault="00096CF5" w:rsidP="00096CF5">
            <w:pPr>
              <w:rPr>
                <w:rFonts w:ascii="Arial" w:hAnsi="Arial" w:cs="Arial"/>
                <w:sz w:val="20"/>
                <w:szCs w:val="20"/>
              </w:rPr>
            </w:pPr>
          </w:p>
        </w:tc>
        <w:tc>
          <w:tcPr>
            <w:tcW w:w="7087" w:type="dxa"/>
          </w:tcPr>
          <w:p w:rsidR="00096CF5" w:rsidRPr="00096CF5" w:rsidRDefault="00096CF5" w:rsidP="00096CF5">
            <w:pPr>
              <w:rPr>
                <w:rFonts w:ascii="Arial" w:hAnsi="Arial" w:cs="Arial"/>
                <w:sz w:val="20"/>
                <w:szCs w:val="20"/>
              </w:rPr>
            </w:pPr>
            <w:r w:rsidRPr="00096CF5">
              <w:rPr>
                <w:rFonts w:ascii="Arial" w:hAnsi="Arial" w:cs="Arial"/>
                <w:sz w:val="20"/>
                <w:szCs w:val="20"/>
              </w:rPr>
              <w:t>Tell me what makes you stay in the relationship?</w:t>
            </w:r>
          </w:p>
          <w:p w:rsidR="00096CF5" w:rsidRPr="00096CF5" w:rsidRDefault="00096CF5" w:rsidP="00096CF5">
            <w:pPr>
              <w:rPr>
                <w:rFonts w:ascii="Arial" w:hAnsi="Arial" w:cs="Arial"/>
                <w:sz w:val="20"/>
                <w:szCs w:val="20"/>
              </w:rPr>
            </w:pPr>
          </w:p>
          <w:p w:rsidR="00096CF5" w:rsidRPr="00096CF5" w:rsidRDefault="00096CF5" w:rsidP="00096CF5">
            <w:pPr>
              <w:rPr>
                <w:rFonts w:ascii="Arial" w:hAnsi="Arial" w:cs="Arial"/>
                <w:sz w:val="20"/>
                <w:szCs w:val="20"/>
              </w:rPr>
            </w:pPr>
            <w:r w:rsidRPr="00096CF5">
              <w:rPr>
                <w:rFonts w:ascii="Arial" w:hAnsi="Arial" w:cs="Arial"/>
                <w:sz w:val="20"/>
                <w:szCs w:val="20"/>
              </w:rPr>
              <w:t>What’s safer about staying in the relationship?</w:t>
            </w:r>
          </w:p>
        </w:tc>
      </w:tr>
      <w:tr w:rsidR="00096CF5" w:rsidRPr="00096CF5" w:rsidTr="00096CF5">
        <w:tc>
          <w:tcPr>
            <w:tcW w:w="7087" w:type="dxa"/>
          </w:tcPr>
          <w:p w:rsidR="00096CF5" w:rsidRPr="00096CF5" w:rsidRDefault="00096CF5" w:rsidP="00096CF5">
            <w:pPr>
              <w:rPr>
                <w:rFonts w:ascii="Arial" w:hAnsi="Arial" w:cs="Arial"/>
                <w:sz w:val="20"/>
                <w:szCs w:val="20"/>
              </w:rPr>
            </w:pPr>
            <w:r w:rsidRPr="00096CF5">
              <w:rPr>
                <w:rFonts w:ascii="Arial" w:hAnsi="Arial" w:cs="Arial"/>
                <w:sz w:val="20"/>
                <w:szCs w:val="20"/>
              </w:rPr>
              <w:t>If this happens again you need to phone the police</w:t>
            </w:r>
          </w:p>
          <w:p w:rsidR="00096CF5" w:rsidRPr="00096CF5" w:rsidRDefault="00096CF5" w:rsidP="00096CF5">
            <w:pPr>
              <w:rPr>
                <w:rFonts w:ascii="Arial" w:hAnsi="Arial" w:cs="Arial"/>
                <w:sz w:val="20"/>
                <w:szCs w:val="20"/>
              </w:rPr>
            </w:pPr>
          </w:p>
        </w:tc>
        <w:tc>
          <w:tcPr>
            <w:tcW w:w="7087" w:type="dxa"/>
          </w:tcPr>
          <w:p w:rsidR="00096CF5" w:rsidRPr="00096CF5" w:rsidRDefault="00096CF5" w:rsidP="00096CF5">
            <w:pPr>
              <w:rPr>
                <w:rFonts w:ascii="Arial" w:hAnsi="Arial" w:cs="Arial"/>
                <w:sz w:val="20"/>
                <w:szCs w:val="20"/>
              </w:rPr>
            </w:pPr>
            <w:r w:rsidRPr="00096CF5">
              <w:rPr>
                <w:rFonts w:ascii="Arial" w:hAnsi="Arial" w:cs="Arial"/>
                <w:sz w:val="20"/>
                <w:szCs w:val="20"/>
              </w:rPr>
              <w:t>If (partner) were to become abusive today what options do you have?</w:t>
            </w:r>
          </w:p>
        </w:tc>
      </w:tr>
      <w:tr w:rsidR="00096CF5" w:rsidRPr="00096CF5" w:rsidTr="00096CF5">
        <w:tc>
          <w:tcPr>
            <w:tcW w:w="7087" w:type="dxa"/>
          </w:tcPr>
          <w:p w:rsidR="00096CF5" w:rsidRPr="00096CF5" w:rsidRDefault="00096CF5" w:rsidP="00096CF5">
            <w:pPr>
              <w:rPr>
                <w:rFonts w:ascii="Arial" w:hAnsi="Arial" w:cs="Arial"/>
                <w:sz w:val="20"/>
                <w:szCs w:val="20"/>
              </w:rPr>
            </w:pPr>
            <w:r w:rsidRPr="00096CF5">
              <w:rPr>
                <w:rFonts w:ascii="Arial" w:hAnsi="Arial" w:cs="Arial"/>
                <w:sz w:val="20"/>
                <w:szCs w:val="20"/>
              </w:rPr>
              <w:t>We have received too many police reports</w:t>
            </w:r>
          </w:p>
          <w:p w:rsidR="00096CF5" w:rsidRPr="00096CF5" w:rsidRDefault="00096CF5" w:rsidP="00096CF5">
            <w:pPr>
              <w:rPr>
                <w:rFonts w:ascii="Arial" w:hAnsi="Arial" w:cs="Arial"/>
                <w:sz w:val="20"/>
                <w:szCs w:val="20"/>
              </w:rPr>
            </w:pPr>
          </w:p>
        </w:tc>
        <w:tc>
          <w:tcPr>
            <w:tcW w:w="7087" w:type="dxa"/>
          </w:tcPr>
          <w:p w:rsidR="00096CF5" w:rsidRPr="00096CF5" w:rsidRDefault="00096CF5" w:rsidP="00096CF5">
            <w:pPr>
              <w:rPr>
                <w:rFonts w:ascii="Arial" w:hAnsi="Arial" w:cs="Arial"/>
                <w:sz w:val="20"/>
                <w:szCs w:val="20"/>
              </w:rPr>
            </w:pPr>
            <w:r w:rsidRPr="00096CF5">
              <w:rPr>
                <w:rFonts w:ascii="Arial" w:hAnsi="Arial" w:cs="Arial"/>
                <w:sz w:val="20"/>
                <w:szCs w:val="20"/>
              </w:rPr>
              <w:t>I see you have contacted the police several times due to your partner’s behaviou</w:t>
            </w:r>
            <w:r w:rsidR="00292451">
              <w:rPr>
                <w:rFonts w:ascii="Arial" w:hAnsi="Arial" w:cs="Arial"/>
                <w:sz w:val="20"/>
                <w:szCs w:val="20"/>
              </w:rPr>
              <w:t>r. Tell me about that behaviour</w:t>
            </w:r>
          </w:p>
        </w:tc>
      </w:tr>
      <w:tr w:rsidR="00096CF5" w:rsidRPr="00096CF5" w:rsidTr="00096CF5">
        <w:tc>
          <w:tcPr>
            <w:tcW w:w="7087" w:type="dxa"/>
          </w:tcPr>
          <w:p w:rsidR="00096CF5" w:rsidRPr="00096CF5" w:rsidRDefault="00096CF5" w:rsidP="00096CF5">
            <w:pPr>
              <w:rPr>
                <w:rFonts w:ascii="Arial" w:hAnsi="Arial" w:cs="Arial"/>
                <w:sz w:val="20"/>
                <w:szCs w:val="20"/>
              </w:rPr>
            </w:pPr>
            <w:r w:rsidRPr="00096CF5">
              <w:rPr>
                <w:rFonts w:ascii="Arial" w:hAnsi="Arial" w:cs="Arial"/>
                <w:sz w:val="20"/>
                <w:szCs w:val="20"/>
              </w:rPr>
              <w:t>You’re not protecting your children</w:t>
            </w:r>
          </w:p>
          <w:p w:rsidR="00096CF5" w:rsidRPr="00096CF5" w:rsidRDefault="00096CF5" w:rsidP="00096CF5">
            <w:pPr>
              <w:rPr>
                <w:rFonts w:ascii="Arial" w:hAnsi="Arial" w:cs="Arial"/>
                <w:sz w:val="20"/>
                <w:szCs w:val="20"/>
              </w:rPr>
            </w:pPr>
          </w:p>
          <w:p w:rsidR="00096CF5" w:rsidRPr="00096CF5" w:rsidRDefault="00096CF5" w:rsidP="00096CF5">
            <w:pPr>
              <w:rPr>
                <w:rFonts w:ascii="Arial" w:hAnsi="Arial" w:cs="Arial"/>
                <w:sz w:val="20"/>
                <w:szCs w:val="20"/>
              </w:rPr>
            </w:pPr>
            <w:r w:rsidRPr="00096CF5">
              <w:rPr>
                <w:rFonts w:ascii="Arial" w:hAnsi="Arial" w:cs="Arial"/>
                <w:sz w:val="20"/>
                <w:szCs w:val="20"/>
              </w:rPr>
              <w:t>You need to stop contact and seek legal advice</w:t>
            </w:r>
          </w:p>
          <w:p w:rsidR="00096CF5" w:rsidRPr="00096CF5" w:rsidRDefault="00096CF5" w:rsidP="00096CF5">
            <w:pPr>
              <w:rPr>
                <w:rFonts w:ascii="Arial" w:hAnsi="Arial" w:cs="Arial"/>
                <w:sz w:val="20"/>
                <w:szCs w:val="20"/>
              </w:rPr>
            </w:pPr>
          </w:p>
        </w:tc>
        <w:tc>
          <w:tcPr>
            <w:tcW w:w="7087" w:type="dxa"/>
          </w:tcPr>
          <w:p w:rsidR="00096CF5" w:rsidRPr="00096CF5" w:rsidRDefault="00096CF5" w:rsidP="00096CF5">
            <w:pPr>
              <w:rPr>
                <w:rFonts w:ascii="Arial" w:hAnsi="Arial" w:cs="Arial"/>
                <w:sz w:val="20"/>
                <w:szCs w:val="20"/>
              </w:rPr>
            </w:pPr>
            <w:r w:rsidRPr="00096CF5">
              <w:rPr>
                <w:rFonts w:ascii="Arial" w:hAnsi="Arial" w:cs="Arial"/>
                <w:sz w:val="20"/>
                <w:szCs w:val="20"/>
              </w:rPr>
              <w:t>What can we do to help you feel safer?</w:t>
            </w:r>
          </w:p>
          <w:p w:rsidR="00096CF5" w:rsidRPr="00096CF5" w:rsidRDefault="00096CF5" w:rsidP="00096CF5">
            <w:pPr>
              <w:rPr>
                <w:rFonts w:ascii="Arial" w:hAnsi="Arial" w:cs="Arial"/>
                <w:sz w:val="20"/>
                <w:szCs w:val="20"/>
              </w:rPr>
            </w:pPr>
          </w:p>
          <w:p w:rsidR="00096CF5" w:rsidRPr="00096CF5" w:rsidRDefault="00096CF5" w:rsidP="00096CF5">
            <w:pPr>
              <w:rPr>
                <w:rFonts w:ascii="Arial" w:hAnsi="Arial" w:cs="Arial"/>
                <w:sz w:val="20"/>
                <w:szCs w:val="20"/>
              </w:rPr>
            </w:pPr>
            <w:r w:rsidRPr="00096CF5">
              <w:rPr>
                <w:rFonts w:ascii="Arial" w:hAnsi="Arial" w:cs="Arial"/>
                <w:sz w:val="20"/>
                <w:szCs w:val="20"/>
              </w:rPr>
              <w:t>How can we work together to make things better?</w:t>
            </w:r>
          </w:p>
          <w:p w:rsidR="00096CF5" w:rsidRPr="00096CF5" w:rsidRDefault="00096CF5" w:rsidP="00096CF5">
            <w:pPr>
              <w:rPr>
                <w:rFonts w:ascii="Arial" w:hAnsi="Arial" w:cs="Arial"/>
                <w:sz w:val="20"/>
                <w:szCs w:val="20"/>
              </w:rPr>
            </w:pPr>
          </w:p>
          <w:p w:rsidR="00096CF5" w:rsidRPr="00096CF5" w:rsidRDefault="00096CF5" w:rsidP="00096CF5">
            <w:pPr>
              <w:rPr>
                <w:rFonts w:ascii="Arial" w:hAnsi="Arial" w:cs="Arial"/>
                <w:sz w:val="20"/>
                <w:szCs w:val="20"/>
              </w:rPr>
            </w:pPr>
          </w:p>
        </w:tc>
      </w:tr>
      <w:tr w:rsidR="00096CF5" w:rsidRPr="00096CF5" w:rsidTr="00096CF5">
        <w:tc>
          <w:tcPr>
            <w:tcW w:w="7087" w:type="dxa"/>
          </w:tcPr>
          <w:p w:rsidR="00096CF5" w:rsidRPr="00096CF5" w:rsidRDefault="00096CF5" w:rsidP="00096CF5">
            <w:pPr>
              <w:rPr>
                <w:rFonts w:ascii="Arial" w:hAnsi="Arial" w:cs="Arial"/>
                <w:sz w:val="20"/>
                <w:szCs w:val="20"/>
              </w:rPr>
            </w:pPr>
            <w:r w:rsidRPr="00096CF5">
              <w:rPr>
                <w:rFonts w:ascii="Arial" w:hAnsi="Arial" w:cs="Arial"/>
                <w:sz w:val="20"/>
                <w:szCs w:val="20"/>
              </w:rPr>
              <w:t>Why isn’t he seeing the children?</w:t>
            </w:r>
          </w:p>
          <w:p w:rsidR="00096CF5" w:rsidRPr="00096CF5" w:rsidRDefault="00096CF5" w:rsidP="00096CF5">
            <w:pPr>
              <w:rPr>
                <w:rFonts w:ascii="Arial" w:hAnsi="Arial" w:cs="Arial"/>
                <w:sz w:val="20"/>
                <w:szCs w:val="20"/>
              </w:rPr>
            </w:pPr>
          </w:p>
        </w:tc>
        <w:tc>
          <w:tcPr>
            <w:tcW w:w="7087" w:type="dxa"/>
          </w:tcPr>
          <w:p w:rsidR="00096CF5" w:rsidRPr="00096CF5" w:rsidRDefault="00096CF5" w:rsidP="00096CF5">
            <w:pPr>
              <w:rPr>
                <w:rFonts w:ascii="Arial" w:hAnsi="Arial" w:cs="Arial"/>
                <w:sz w:val="20"/>
                <w:szCs w:val="20"/>
              </w:rPr>
            </w:pPr>
            <w:r w:rsidRPr="00096CF5">
              <w:rPr>
                <w:rFonts w:ascii="Arial" w:hAnsi="Arial" w:cs="Arial"/>
                <w:sz w:val="20"/>
                <w:szCs w:val="20"/>
              </w:rPr>
              <w:t>Can you help me understand the risks and benefits to him seeing the kids?</w:t>
            </w:r>
          </w:p>
        </w:tc>
      </w:tr>
    </w:tbl>
    <w:p w:rsidR="00096CF5" w:rsidRPr="006F1326" w:rsidRDefault="00096CF5" w:rsidP="00096CF5">
      <w:pPr>
        <w:rPr>
          <w:rFonts w:ascii="Arial" w:hAnsi="Arial" w:cs="Arial"/>
          <w:sz w:val="20"/>
          <w:szCs w:val="20"/>
        </w:rPr>
      </w:pPr>
    </w:p>
    <w:p w:rsidR="00096CF5" w:rsidRPr="006F1326" w:rsidRDefault="00096CF5" w:rsidP="009D4D95">
      <w:pPr>
        <w:rPr>
          <w:rFonts w:ascii="Arial" w:hAnsi="Arial" w:cs="Arial"/>
          <w:b/>
          <w:sz w:val="20"/>
          <w:szCs w:val="20"/>
          <w:u w:val="single"/>
        </w:rPr>
      </w:pPr>
      <w:r w:rsidRPr="006F1326">
        <w:rPr>
          <w:rFonts w:ascii="Arial" w:hAnsi="Arial" w:cs="Arial"/>
          <w:b/>
          <w:sz w:val="20"/>
          <w:szCs w:val="20"/>
        </w:rPr>
        <w:t>REMEMBER:</w:t>
      </w:r>
      <w:r w:rsidR="006F1326" w:rsidRPr="006F1326">
        <w:rPr>
          <w:rFonts w:ascii="Arial" w:hAnsi="Arial" w:cs="Arial"/>
          <w:b/>
          <w:sz w:val="20"/>
          <w:szCs w:val="20"/>
        </w:rPr>
        <w:t xml:space="preserve">    </w:t>
      </w:r>
      <w:r w:rsidRPr="00096CF5">
        <w:rPr>
          <w:rFonts w:ascii="Arial" w:hAnsi="Arial" w:cs="Arial"/>
          <w:b/>
          <w:i/>
          <w:sz w:val="20"/>
          <w:szCs w:val="20"/>
        </w:rPr>
        <w:t xml:space="preserve">It’s </w:t>
      </w:r>
      <w:r w:rsidR="009D4D95">
        <w:rPr>
          <w:rFonts w:ascii="Arial" w:hAnsi="Arial" w:cs="Arial"/>
          <w:b/>
          <w:i/>
          <w:sz w:val="20"/>
          <w:szCs w:val="20"/>
        </w:rPr>
        <w:t>okay to ask if someone is okay!</w:t>
      </w:r>
    </w:p>
    <w:sectPr w:rsidR="00096CF5" w:rsidRPr="006F1326" w:rsidSect="009E2770">
      <w:headerReference w:type="even" r:id="rId17"/>
      <w:headerReference w:type="default" r:id="rId18"/>
      <w:footerReference w:type="even" r:id="rId19"/>
      <w:footerReference w:type="default" r:id="rId20"/>
      <w:headerReference w:type="first" r:id="rId21"/>
      <w:footerReference w:type="first" r:id="rId22"/>
      <w:pgSz w:w="11906" w:h="16838"/>
      <w:pgMar w:top="720" w:right="849" w:bottom="720" w:left="851" w:header="708" w:footer="708"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B3" w:rsidRDefault="000F7EB3" w:rsidP="00E6678E">
      <w:pPr>
        <w:spacing w:after="0" w:line="240" w:lineRule="auto"/>
      </w:pPr>
      <w:r>
        <w:separator/>
      </w:r>
    </w:p>
  </w:endnote>
  <w:endnote w:type="continuationSeparator" w:id="0">
    <w:p w:rsidR="000F7EB3" w:rsidRDefault="000F7EB3" w:rsidP="00E6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9B" w:rsidRDefault="00602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184305"/>
      <w:docPartObj>
        <w:docPartGallery w:val="Page Numbers (Bottom of Page)"/>
        <w:docPartUnique/>
      </w:docPartObj>
    </w:sdtPr>
    <w:sdtEndPr>
      <w:rPr>
        <w:color w:val="808080" w:themeColor="background1" w:themeShade="80"/>
        <w:spacing w:val="60"/>
      </w:rPr>
    </w:sdtEndPr>
    <w:sdtContent>
      <w:p w:rsidR="009E2770" w:rsidRDefault="009E2770">
        <w:pPr>
          <w:pStyle w:val="Footer"/>
          <w:pBdr>
            <w:top w:val="single" w:sz="4" w:space="1" w:color="D9D9D9" w:themeColor="background1" w:themeShade="D9"/>
          </w:pBdr>
          <w:jc w:val="right"/>
        </w:pPr>
        <w:r>
          <w:fldChar w:fldCharType="begin"/>
        </w:r>
        <w:r>
          <w:instrText xml:space="preserve"> PAGE   \* MERGEFORMAT </w:instrText>
        </w:r>
        <w:r>
          <w:fldChar w:fldCharType="separate"/>
        </w:r>
        <w:r w:rsidR="001D184F">
          <w:rPr>
            <w:noProof/>
          </w:rPr>
          <w:t>1</w:t>
        </w:r>
        <w:r>
          <w:rPr>
            <w:noProof/>
          </w:rPr>
          <w:fldChar w:fldCharType="end"/>
        </w:r>
        <w:r>
          <w:t xml:space="preserve"> | </w:t>
        </w:r>
        <w:r>
          <w:rPr>
            <w:color w:val="808080" w:themeColor="background1" w:themeShade="80"/>
            <w:spacing w:val="60"/>
          </w:rPr>
          <w:t>Page</w:t>
        </w:r>
      </w:p>
    </w:sdtContent>
  </w:sdt>
  <w:p w:rsidR="009E2770" w:rsidRDefault="009E2770">
    <w:pPr>
      <w:pStyle w:val="Footer"/>
    </w:pPr>
    <w:r>
      <w:t>Falkirk Council S &amp; T Mentors</w:t>
    </w:r>
    <w:r w:rsidR="00602B9B">
      <w:t xml:space="preserve"> November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9B" w:rsidRDefault="00602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B3" w:rsidRDefault="000F7EB3" w:rsidP="00E6678E">
      <w:pPr>
        <w:spacing w:after="0" w:line="240" w:lineRule="auto"/>
      </w:pPr>
      <w:r>
        <w:separator/>
      </w:r>
    </w:p>
  </w:footnote>
  <w:footnote w:type="continuationSeparator" w:id="0">
    <w:p w:rsidR="000F7EB3" w:rsidRDefault="000F7EB3" w:rsidP="00E66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9B" w:rsidRDefault="00602B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70" w:rsidRDefault="009E27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9B" w:rsidRDefault="00602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D587D"/>
    <w:multiLevelType w:val="hybridMultilevel"/>
    <w:tmpl w:val="F208A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D8A6885"/>
    <w:multiLevelType w:val="hybridMultilevel"/>
    <w:tmpl w:val="10FE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A9"/>
    <w:rsid w:val="00096CF5"/>
    <w:rsid w:val="000E4FF8"/>
    <w:rsid w:val="000F7EB3"/>
    <w:rsid w:val="00133AFF"/>
    <w:rsid w:val="00156434"/>
    <w:rsid w:val="001D184F"/>
    <w:rsid w:val="001F54E7"/>
    <w:rsid w:val="00221D13"/>
    <w:rsid w:val="00292451"/>
    <w:rsid w:val="002D0E9A"/>
    <w:rsid w:val="00365CA5"/>
    <w:rsid w:val="0039675F"/>
    <w:rsid w:val="003D5CE7"/>
    <w:rsid w:val="0043679C"/>
    <w:rsid w:val="00507772"/>
    <w:rsid w:val="005331C7"/>
    <w:rsid w:val="00572BCE"/>
    <w:rsid w:val="005C31B7"/>
    <w:rsid w:val="00602B9B"/>
    <w:rsid w:val="0064377E"/>
    <w:rsid w:val="00673351"/>
    <w:rsid w:val="006C77FB"/>
    <w:rsid w:val="006F1326"/>
    <w:rsid w:val="00716844"/>
    <w:rsid w:val="009A18D0"/>
    <w:rsid w:val="009B41C6"/>
    <w:rsid w:val="009D4D95"/>
    <w:rsid w:val="009E2770"/>
    <w:rsid w:val="00A46BA9"/>
    <w:rsid w:val="00A559F9"/>
    <w:rsid w:val="00B42023"/>
    <w:rsid w:val="00BB152D"/>
    <w:rsid w:val="00C91CE0"/>
    <w:rsid w:val="00D331AA"/>
    <w:rsid w:val="00D81DCC"/>
    <w:rsid w:val="00E1388E"/>
    <w:rsid w:val="00E6678E"/>
    <w:rsid w:val="00EA01E3"/>
    <w:rsid w:val="00F00CD7"/>
    <w:rsid w:val="00F66616"/>
    <w:rsid w:val="00F71C7C"/>
    <w:rsid w:val="00F95C2E"/>
    <w:rsid w:val="00FE7ED2"/>
    <w:rsid w:val="00FF2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6BA9"/>
    <w:rPr>
      <w:color w:val="0000FF" w:themeColor="hyperlink"/>
      <w:u w:val="single"/>
    </w:rPr>
  </w:style>
  <w:style w:type="paragraph" w:styleId="BalloonText">
    <w:name w:val="Balloon Text"/>
    <w:basedOn w:val="Normal"/>
    <w:link w:val="BalloonTextChar"/>
    <w:uiPriority w:val="99"/>
    <w:semiHidden/>
    <w:unhideWhenUsed/>
    <w:rsid w:val="00A4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BA9"/>
    <w:rPr>
      <w:rFonts w:ascii="Tahoma" w:hAnsi="Tahoma" w:cs="Tahoma"/>
      <w:sz w:val="16"/>
      <w:szCs w:val="16"/>
    </w:rPr>
  </w:style>
  <w:style w:type="table" w:customStyle="1" w:styleId="TableGrid1">
    <w:name w:val="Table Grid1"/>
    <w:basedOn w:val="TableNormal"/>
    <w:next w:val="TableGrid"/>
    <w:uiPriority w:val="59"/>
    <w:rsid w:val="0009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8D0"/>
    <w:pPr>
      <w:ind w:left="720"/>
      <w:contextualSpacing/>
    </w:pPr>
  </w:style>
  <w:style w:type="paragraph" w:styleId="Header">
    <w:name w:val="header"/>
    <w:basedOn w:val="Normal"/>
    <w:link w:val="HeaderChar"/>
    <w:uiPriority w:val="99"/>
    <w:unhideWhenUsed/>
    <w:rsid w:val="00E66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78E"/>
  </w:style>
  <w:style w:type="paragraph" w:styleId="Footer">
    <w:name w:val="footer"/>
    <w:basedOn w:val="Normal"/>
    <w:link w:val="FooterChar"/>
    <w:uiPriority w:val="99"/>
    <w:unhideWhenUsed/>
    <w:rsid w:val="00E66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78E"/>
  </w:style>
  <w:style w:type="paragraph" w:styleId="Caption">
    <w:name w:val="caption"/>
    <w:basedOn w:val="Normal"/>
    <w:next w:val="Normal"/>
    <w:uiPriority w:val="35"/>
    <w:semiHidden/>
    <w:unhideWhenUsed/>
    <w:qFormat/>
    <w:rsid w:val="00572BC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6BA9"/>
    <w:rPr>
      <w:color w:val="0000FF" w:themeColor="hyperlink"/>
      <w:u w:val="single"/>
    </w:rPr>
  </w:style>
  <w:style w:type="paragraph" w:styleId="BalloonText">
    <w:name w:val="Balloon Text"/>
    <w:basedOn w:val="Normal"/>
    <w:link w:val="BalloonTextChar"/>
    <w:uiPriority w:val="99"/>
    <w:semiHidden/>
    <w:unhideWhenUsed/>
    <w:rsid w:val="00A4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BA9"/>
    <w:rPr>
      <w:rFonts w:ascii="Tahoma" w:hAnsi="Tahoma" w:cs="Tahoma"/>
      <w:sz w:val="16"/>
      <w:szCs w:val="16"/>
    </w:rPr>
  </w:style>
  <w:style w:type="table" w:customStyle="1" w:styleId="TableGrid1">
    <w:name w:val="Table Grid1"/>
    <w:basedOn w:val="TableNormal"/>
    <w:next w:val="TableGrid"/>
    <w:uiPriority w:val="59"/>
    <w:rsid w:val="0009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8D0"/>
    <w:pPr>
      <w:ind w:left="720"/>
      <w:contextualSpacing/>
    </w:pPr>
  </w:style>
  <w:style w:type="paragraph" w:styleId="Header">
    <w:name w:val="header"/>
    <w:basedOn w:val="Normal"/>
    <w:link w:val="HeaderChar"/>
    <w:uiPriority w:val="99"/>
    <w:unhideWhenUsed/>
    <w:rsid w:val="00E66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78E"/>
  </w:style>
  <w:style w:type="paragraph" w:styleId="Footer">
    <w:name w:val="footer"/>
    <w:basedOn w:val="Normal"/>
    <w:link w:val="FooterChar"/>
    <w:uiPriority w:val="99"/>
    <w:unhideWhenUsed/>
    <w:rsid w:val="00E66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78E"/>
  </w:style>
  <w:style w:type="paragraph" w:styleId="Caption">
    <w:name w:val="caption"/>
    <w:basedOn w:val="Normal"/>
    <w:next w:val="Normal"/>
    <w:uiPriority w:val="35"/>
    <w:semiHidden/>
    <w:unhideWhenUsed/>
    <w:qFormat/>
    <w:rsid w:val="00572BC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image001.png@01D3DBDE.8EAEF65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PowerPoint_Slide1.sldx"/><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19833-AC82-428E-A9D6-F75752D0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lenirademacher</dc:creator>
  <cp:lastModifiedBy>evelynmcgregor</cp:lastModifiedBy>
  <cp:revision>2</cp:revision>
  <cp:lastPrinted>2018-10-16T12:15:00Z</cp:lastPrinted>
  <dcterms:created xsi:type="dcterms:W3CDTF">2019-01-17T10:45:00Z</dcterms:created>
  <dcterms:modified xsi:type="dcterms:W3CDTF">2019-01-17T10:45:00Z</dcterms:modified>
</cp:coreProperties>
</file>