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4.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5.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6.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7.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8.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theme/themeOverride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1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1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1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1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1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1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1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1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18.xml" ContentType="application/vnd.openxmlformats-officedocument.themeOverride+xml"/>
  <Override PartName="/word/drawings/drawing28.xml" ContentType="application/vnd.openxmlformats-officedocument.drawingml.chartshapes+xml"/>
  <Override PartName="/word/charts/chart29.xml" ContentType="application/vnd.openxmlformats-officedocument.drawingml.chart+xml"/>
  <Override PartName="/word/theme/themeOverride19.xml" ContentType="application/vnd.openxmlformats-officedocument.themeOverride+xml"/>
  <Override PartName="/word/drawings/drawing29.xml" ContentType="application/vnd.openxmlformats-officedocument.drawingml.chartshapes+xml"/>
  <Override PartName="/word/charts/chart30.xml" ContentType="application/vnd.openxmlformats-officedocument.drawingml.chart+xml"/>
  <Override PartName="/word/theme/themeOverride20.xml" ContentType="application/vnd.openxmlformats-officedocument.themeOverride+xml"/>
  <Override PartName="/word/drawings/drawing30.xml" ContentType="application/vnd.openxmlformats-officedocument.drawingml.chartshapes+xml"/>
  <Override PartName="/word/charts/chart31.xml" ContentType="application/vnd.openxmlformats-officedocument.drawingml.chart+xml"/>
  <Override PartName="/word/theme/themeOverride21.xml" ContentType="application/vnd.openxmlformats-officedocument.themeOverride+xml"/>
  <Override PartName="/word/drawings/drawing31.xml" ContentType="application/vnd.openxmlformats-officedocument.drawingml.chartshapes+xml"/>
  <Override PartName="/word/charts/chart32.xml" ContentType="application/vnd.openxmlformats-officedocument.drawingml.chart+xml"/>
  <Override PartName="/word/drawings/drawing32.xml" ContentType="application/vnd.openxmlformats-officedocument.drawingml.chartshapes+xml"/>
  <Override PartName="/word/charts/chart33.xml" ContentType="application/vnd.openxmlformats-officedocument.drawingml.chart+xml"/>
  <Override PartName="/word/theme/themeOverride22.xml" ContentType="application/vnd.openxmlformats-officedocument.themeOverride+xml"/>
  <Override PartName="/word/drawings/drawing33.xml" ContentType="application/vnd.openxmlformats-officedocument.drawingml.chartshapes+xml"/>
  <Override PartName="/word/charts/chart34.xml" ContentType="application/vnd.openxmlformats-officedocument.drawingml.chart+xml"/>
  <Override PartName="/word/drawings/drawing34.xml" ContentType="application/vnd.openxmlformats-officedocument.drawingml.chartshapes+xml"/>
  <Override PartName="/word/charts/chart35.xml" ContentType="application/vnd.openxmlformats-officedocument.drawingml.chart+xml"/>
  <Override PartName="/word/drawings/drawing35.xml" ContentType="application/vnd.openxmlformats-officedocument.drawingml.chartshapes+xml"/>
  <Override PartName="/word/charts/chart36.xml" ContentType="application/vnd.openxmlformats-officedocument.drawingml.chart+xml"/>
  <Override PartName="/word/theme/themeOverride23.xml" ContentType="application/vnd.openxmlformats-officedocument.themeOverride+xml"/>
  <Override PartName="/word/drawings/drawing36.xml" ContentType="application/vnd.openxmlformats-officedocument.drawingml.chartshapes+xml"/>
  <Override PartName="/word/charts/chart37.xml" ContentType="application/vnd.openxmlformats-officedocument.drawingml.chart+xml"/>
  <Override PartName="/word/theme/themeOverride24.xml" ContentType="application/vnd.openxmlformats-officedocument.themeOverride+xml"/>
  <Override PartName="/word/drawings/drawing37.xml" ContentType="application/vnd.openxmlformats-officedocument.drawingml.chartshapes+xml"/>
  <Override PartName="/word/charts/chart38.xml" ContentType="application/vnd.openxmlformats-officedocument.drawingml.chart+xml"/>
  <Override PartName="/word/drawings/drawing38.xml" ContentType="application/vnd.openxmlformats-officedocument.drawingml.chartshapes+xml"/>
  <Override PartName="/word/charts/chart39.xml" ContentType="application/vnd.openxmlformats-officedocument.drawingml.chart+xml"/>
  <Override PartName="/word/drawings/drawing39.xml" ContentType="application/vnd.openxmlformats-officedocument.drawingml.chartshapes+xml"/>
  <Override PartName="/word/charts/chart40.xml" ContentType="application/vnd.openxmlformats-officedocument.drawingml.chart+xml"/>
  <Override PartName="/word/drawings/drawing40.xml" ContentType="application/vnd.openxmlformats-officedocument.drawingml.chartshapes+xml"/>
  <Override PartName="/word/charts/chart41.xml" ContentType="application/vnd.openxmlformats-officedocument.drawingml.chart+xml"/>
  <Override PartName="/word/theme/themeOverride25.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26.xml" ContentType="application/vnd.openxmlformats-officedocument.themeOverride+xml"/>
  <Override PartName="/word/drawings/drawing41.xml" ContentType="application/vnd.openxmlformats-officedocument.drawingml.chartshapes+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27.xml" ContentType="application/vnd.openxmlformats-officedocument.themeOverride+xml"/>
  <Override PartName="/word/drawings/drawing42.xml" ContentType="application/vnd.openxmlformats-officedocument.drawingml.chartshapes+xml"/>
  <Override PartName="/word/charts/chart47.xml" ContentType="application/vnd.openxmlformats-officedocument.drawingml.chart+xml"/>
  <Override PartName="/word/theme/themeOverride28.xml" ContentType="application/vnd.openxmlformats-officedocument.themeOverride+xml"/>
  <Override PartName="/word/drawings/drawing43.xml" ContentType="application/vnd.openxmlformats-officedocument.drawingml.chartshapes+xml"/>
  <Override PartName="/word/charts/chart48.xml" ContentType="application/vnd.openxmlformats-officedocument.drawingml.chart+xml"/>
  <Override PartName="/word/drawings/drawing44.xml" ContentType="application/vnd.openxmlformats-officedocument.drawingml.chartshapes+xml"/>
  <Override PartName="/word/charts/chart49.xml" ContentType="application/vnd.openxmlformats-officedocument.drawingml.chart+xml"/>
  <Override PartName="/word/drawings/drawing45.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drawings/drawing46.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172" w:rsidRDefault="00ED3172" w:rsidP="006A0975">
      <w:pPr>
        <w:pStyle w:val="CoverTitle"/>
        <w:rPr>
          <w:sz w:val="56"/>
        </w:rPr>
      </w:pPr>
      <w:bookmarkStart w:id="0" w:name="_GoBack"/>
      <w:bookmarkEnd w:id="0"/>
    </w:p>
    <w:p w:rsidR="00F72388" w:rsidRPr="0000106B" w:rsidRDefault="00ED3172" w:rsidP="006A0975">
      <w:pPr>
        <w:pStyle w:val="CoverTitle"/>
        <w:rPr>
          <w:sz w:val="56"/>
        </w:rPr>
      </w:pPr>
      <w:r w:rsidRPr="00ED3172">
        <w:rPr>
          <w:noProof/>
          <w:sz w:val="56"/>
        </w:rPr>
        <w:drawing>
          <wp:anchor distT="0" distB="0" distL="114300" distR="114300" simplePos="0" relativeHeight="251659264" behindDoc="0" locked="0" layoutInCell="1" allowOverlap="0" wp14:anchorId="40B8E6DD" wp14:editId="107D9051">
            <wp:simplePos x="0" y="0"/>
            <wp:positionH relativeFrom="margin">
              <wp:posOffset>367030</wp:posOffset>
            </wp:positionH>
            <wp:positionV relativeFrom="margin">
              <wp:posOffset>335915</wp:posOffset>
            </wp:positionV>
            <wp:extent cx="1600200" cy="645160"/>
            <wp:effectExtent l="0" t="0" r="0" b="2540"/>
            <wp:wrapSquare wrapText="bothSides"/>
            <wp:docPr id="14" name="Picture 14" descr="ScotCen_Part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Cen_Partne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72">
        <w:rPr>
          <w:noProof/>
          <w:sz w:val="56"/>
        </w:rPr>
        <w:drawing>
          <wp:anchor distT="0" distB="0" distL="114300" distR="114300" simplePos="0" relativeHeight="251660288" behindDoc="0" locked="0" layoutInCell="1" allowOverlap="1" wp14:anchorId="3C1639B6" wp14:editId="3BB0BD21">
            <wp:simplePos x="0" y="0"/>
            <wp:positionH relativeFrom="margin">
              <wp:posOffset>4255770</wp:posOffset>
            </wp:positionH>
            <wp:positionV relativeFrom="margin">
              <wp:posOffset>132080</wp:posOffset>
            </wp:positionV>
            <wp:extent cx="2266950" cy="1006475"/>
            <wp:effectExtent l="0" t="0" r="0" b="3175"/>
            <wp:wrapSquare wrapText="bothSides"/>
            <wp:docPr id="16" name="Picture 16" descr="M:\Current projects\P11792 - Realigning Children's Services\Communications\Logos\RCS - Communications - Logo templ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ent projects\P11792 - Realigning Children's Services\Communications\Logos\RCS - Communications - Logo templat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E7B" w:rsidRPr="0000106B">
        <w:rPr>
          <w:sz w:val="56"/>
        </w:rPr>
        <w:t xml:space="preserve">Health and wellbeing among children and young people in </w:t>
      </w:r>
      <w:r w:rsidR="00B91670">
        <w:rPr>
          <w:sz w:val="56"/>
        </w:rPr>
        <w:t>Falkirk</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188"/>
      </w:tblGrid>
      <w:tr w:rsidR="00F72388" w:rsidRPr="00170E7B" w:rsidTr="0000106B">
        <w:trPr>
          <w:cantSplit/>
          <w:trHeight w:hRule="exact" w:val="4448"/>
        </w:trPr>
        <w:tc>
          <w:tcPr>
            <w:tcW w:w="10188" w:type="dxa"/>
            <w:vAlign w:val="center"/>
          </w:tcPr>
          <w:p w:rsidR="00F72388" w:rsidRPr="0000106B" w:rsidRDefault="00170E7B" w:rsidP="0000106B">
            <w:pPr>
              <w:spacing w:after="0" w:line="240" w:lineRule="auto"/>
              <w:rPr>
                <w:sz w:val="40"/>
              </w:rPr>
            </w:pPr>
            <w:r w:rsidRPr="0000106B">
              <w:rPr>
                <w:sz w:val="40"/>
              </w:rPr>
              <w:t xml:space="preserve">Findings from the RCS </w:t>
            </w:r>
            <w:r w:rsidR="005D0A02">
              <w:rPr>
                <w:sz w:val="40"/>
              </w:rPr>
              <w:t xml:space="preserve">Wellbeing </w:t>
            </w:r>
            <w:r w:rsidRPr="0000106B">
              <w:rPr>
                <w:sz w:val="40"/>
              </w:rPr>
              <w:t>Survey Programme</w:t>
            </w:r>
          </w:p>
          <w:p w:rsidR="00170E7B" w:rsidRPr="0000106B" w:rsidRDefault="00170E7B" w:rsidP="0000106B">
            <w:pPr>
              <w:spacing w:after="0" w:line="240" w:lineRule="auto"/>
              <w:rPr>
                <w:sz w:val="40"/>
              </w:rPr>
            </w:pPr>
          </w:p>
          <w:p w:rsidR="00170E7B" w:rsidRPr="0000106B" w:rsidRDefault="00170E7B" w:rsidP="0000106B">
            <w:pPr>
              <w:spacing w:after="0" w:line="240" w:lineRule="auto"/>
              <w:rPr>
                <w:sz w:val="40"/>
              </w:rPr>
            </w:pPr>
          </w:p>
          <w:p w:rsidR="00170E7B" w:rsidRPr="0000106B" w:rsidRDefault="00170E7B" w:rsidP="0000106B">
            <w:pPr>
              <w:spacing w:after="0" w:line="240" w:lineRule="auto"/>
              <w:rPr>
                <w:sz w:val="40"/>
              </w:rPr>
            </w:pPr>
          </w:p>
          <w:p w:rsidR="00170E7B" w:rsidRPr="0000106B" w:rsidRDefault="00170E7B" w:rsidP="0000106B">
            <w:pPr>
              <w:spacing w:after="0" w:line="240" w:lineRule="auto"/>
              <w:rPr>
                <w:sz w:val="40"/>
              </w:rPr>
            </w:pPr>
          </w:p>
          <w:p w:rsidR="00170E7B" w:rsidRPr="0000106B" w:rsidRDefault="00170E7B" w:rsidP="0000106B">
            <w:pPr>
              <w:spacing w:after="0" w:line="240" w:lineRule="auto"/>
              <w:rPr>
                <w:sz w:val="40"/>
              </w:rPr>
            </w:pPr>
          </w:p>
        </w:tc>
      </w:tr>
      <w:tr w:rsidR="00F72388" w:rsidTr="0000106B">
        <w:trPr>
          <w:cantSplit/>
          <w:trHeight w:hRule="exact" w:val="4243"/>
        </w:trPr>
        <w:tc>
          <w:tcPr>
            <w:tcW w:w="10188" w:type="dxa"/>
            <w:vAlign w:val="bottom"/>
          </w:tcPr>
          <w:p w:rsidR="00170E7B" w:rsidRDefault="00170E7B" w:rsidP="00CB082C">
            <w:pPr>
              <w:pStyle w:val="Coverdetails"/>
              <w:rPr>
                <w:rStyle w:val="TextBold"/>
              </w:rPr>
            </w:pPr>
          </w:p>
          <w:p w:rsidR="00170E7B" w:rsidRDefault="00170E7B" w:rsidP="00CB082C">
            <w:pPr>
              <w:pStyle w:val="Coverdetails"/>
              <w:rPr>
                <w:rStyle w:val="TextBold"/>
              </w:rPr>
            </w:pPr>
          </w:p>
          <w:p w:rsidR="00170E7B" w:rsidRDefault="00170E7B" w:rsidP="00CB082C">
            <w:pPr>
              <w:pStyle w:val="Coverdetails"/>
              <w:rPr>
                <w:rStyle w:val="TextBold"/>
              </w:rPr>
            </w:pPr>
          </w:p>
          <w:p w:rsidR="00F72388" w:rsidRDefault="00F72388" w:rsidP="00102849">
            <w:pPr>
              <w:pStyle w:val="Coverdetails"/>
            </w:pPr>
          </w:p>
        </w:tc>
      </w:tr>
    </w:tbl>
    <w:p w:rsidR="00F72388" w:rsidRDefault="00F72388" w:rsidP="00581036">
      <w:pPr>
        <w:pStyle w:val="BodyCopy"/>
        <w:sectPr w:rsidR="00F72388" w:rsidSect="00E92C5B">
          <w:headerReference w:type="even" r:id="rId12"/>
          <w:headerReference w:type="default" r:id="rId13"/>
          <w:footerReference w:type="even" r:id="rId14"/>
          <w:endnotePr>
            <w:numFmt w:val="lowerLetter"/>
          </w:endnotePr>
          <w:pgSz w:w="11907" w:h="16840" w:code="9"/>
          <w:pgMar w:top="1134" w:right="1134" w:bottom="1134" w:left="1134" w:header="709" w:footer="709" w:gutter="0"/>
          <w:cols w:space="708"/>
          <w:docGrid w:linePitch="360"/>
        </w:sectPr>
      </w:pPr>
    </w:p>
    <w:bookmarkStart w:id="1" w:name="_Toc369510051" w:displacedByCustomXml="next"/>
    <w:sdt>
      <w:sdtPr>
        <w:rPr>
          <w:rFonts w:asciiTheme="minorHAnsi" w:eastAsiaTheme="minorHAnsi" w:hAnsiTheme="minorHAnsi" w:cstheme="minorBidi"/>
          <w:b w:val="0"/>
          <w:bCs w:val="0"/>
          <w:noProof/>
          <w:color w:val="auto"/>
          <w:sz w:val="22"/>
          <w:szCs w:val="22"/>
          <w:lang w:val="en-GB" w:eastAsia="en-US"/>
        </w:rPr>
        <w:id w:val="-1667544190"/>
        <w:docPartObj>
          <w:docPartGallery w:val="Table of Contents"/>
          <w:docPartUnique/>
        </w:docPartObj>
      </w:sdtPr>
      <w:sdtEndPr>
        <w:rPr>
          <w:rFonts w:ascii="Arial" w:eastAsia="Times New Roman" w:hAnsi="Arial" w:cs="Times New Roman"/>
          <w:szCs w:val="20"/>
          <w:lang w:eastAsia="en-GB"/>
        </w:rPr>
      </w:sdtEndPr>
      <w:sdtContent>
        <w:p w:rsidR="00D573E1" w:rsidRDefault="00D573E1">
          <w:pPr>
            <w:pStyle w:val="TOCHeading"/>
          </w:pPr>
          <w:r>
            <w:t>Contents</w:t>
          </w:r>
        </w:p>
        <w:p w:rsidR="000316FB" w:rsidRDefault="00D573E1">
          <w:pPr>
            <w:pStyle w:val="TOC1"/>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494182016" w:history="1">
            <w:r w:rsidR="000316FB" w:rsidRPr="00A20114">
              <w:rPr>
                <w:rStyle w:val="Hyperlink"/>
              </w:rPr>
              <w:t>1</w:t>
            </w:r>
            <w:r w:rsidR="000316FB">
              <w:rPr>
                <w:rFonts w:asciiTheme="minorHAnsi" w:eastAsiaTheme="minorEastAsia" w:hAnsiTheme="minorHAnsi" w:cstheme="minorBidi"/>
                <w:color w:val="auto"/>
                <w:sz w:val="22"/>
                <w:szCs w:val="22"/>
              </w:rPr>
              <w:tab/>
            </w:r>
            <w:r w:rsidR="000316FB" w:rsidRPr="00A20114">
              <w:rPr>
                <w:rStyle w:val="Hyperlink"/>
              </w:rPr>
              <w:t>Introduction</w:t>
            </w:r>
            <w:r w:rsidR="000316FB">
              <w:rPr>
                <w:webHidden/>
              </w:rPr>
              <w:tab/>
            </w:r>
            <w:r w:rsidR="000316FB">
              <w:rPr>
                <w:webHidden/>
              </w:rPr>
              <w:fldChar w:fldCharType="begin"/>
            </w:r>
            <w:r w:rsidR="000316FB">
              <w:rPr>
                <w:webHidden/>
              </w:rPr>
              <w:instrText xml:space="preserve"> PAGEREF _Toc494182016 \h </w:instrText>
            </w:r>
            <w:r w:rsidR="000316FB">
              <w:rPr>
                <w:webHidden/>
              </w:rPr>
            </w:r>
            <w:r w:rsidR="000316FB">
              <w:rPr>
                <w:webHidden/>
              </w:rPr>
              <w:fldChar w:fldCharType="separate"/>
            </w:r>
            <w:r w:rsidR="00147461">
              <w:rPr>
                <w:webHidden/>
              </w:rPr>
              <w:t>4</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17" w:history="1">
            <w:r w:rsidR="000316FB" w:rsidRPr="00A20114">
              <w:rPr>
                <w:rStyle w:val="Hyperlink"/>
              </w:rPr>
              <w:t>1.1</w:t>
            </w:r>
            <w:r w:rsidR="000316FB">
              <w:rPr>
                <w:rFonts w:asciiTheme="minorHAnsi" w:eastAsiaTheme="minorEastAsia" w:hAnsiTheme="minorHAnsi" w:cstheme="minorBidi"/>
                <w:sz w:val="22"/>
                <w:szCs w:val="22"/>
              </w:rPr>
              <w:tab/>
            </w:r>
            <w:r w:rsidR="000316FB" w:rsidRPr="00A20114">
              <w:rPr>
                <w:rStyle w:val="Hyperlink"/>
              </w:rPr>
              <w:t>The RCS Wellbeing Survey Programme</w:t>
            </w:r>
            <w:r w:rsidR="000316FB">
              <w:rPr>
                <w:webHidden/>
              </w:rPr>
              <w:tab/>
            </w:r>
            <w:r w:rsidR="000316FB">
              <w:rPr>
                <w:webHidden/>
              </w:rPr>
              <w:fldChar w:fldCharType="begin"/>
            </w:r>
            <w:r w:rsidR="000316FB">
              <w:rPr>
                <w:webHidden/>
              </w:rPr>
              <w:instrText xml:space="preserve"> PAGEREF _Toc494182017 \h </w:instrText>
            </w:r>
            <w:r w:rsidR="000316FB">
              <w:rPr>
                <w:webHidden/>
              </w:rPr>
            </w:r>
            <w:r w:rsidR="000316FB">
              <w:rPr>
                <w:webHidden/>
              </w:rPr>
              <w:fldChar w:fldCharType="separate"/>
            </w:r>
            <w:r w:rsidR="00147461">
              <w:rPr>
                <w:webHidden/>
              </w:rPr>
              <w:t>4</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18" w:history="1">
            <w:r w:rsidR="000316FB" w:rsidRPr="00A20114">
              <w:rPr>
                <w:rStyle w:val="Hyperlink"/>
              </w:rPr>
              <w:t>1.2</w:t>
            </w:r>
            <w:r w:rsidR="000316FB">
              <w:rPr>
                <w:rFonts w:asciiTheme="minorHAnsi" w:eastAsiaTheme="minorEastAsia" w:hAnsiTheme="minorHAnsi" w:cstheme="minorBidi"/>
                <w:sz w:val="22"/>
                <w:szCs w:val="22"/>
              </w:rPr>
              <w:tab/>
            </w:r>
            <w:r w:rsidR="000316FB" w:rsidRPr="00A20114">
              <w:rPr>
                <w:rStyle w:val="Hyperlink"/>
              </w:rPr>
              <w:t>Surveying wellbeing</w:t>
            </w:r>
            <w:r w:rsidR="000316FB">
              <w:rPr>
                <w:webHidden/>
              </w:rPr>
              <w:tab/>
            </w:r>
            <w:r w:rsidR="000316FB">
              <w:rPr>
                <w:webHidden/>
              </w:rPr>
              <w:fldChar w:fldCharType="begin"/>
            </w:r>
            <w:r w:rsidR="000316FB">
              <w:rPr>
                <w:webHidden/>
              </w:rPr>
              <w:instrText xml:space="preserve"> PAGEREF _Toc494182018 \h </w:instrText>
            </w:r>
            <w:r w:rsidR="000316FB">
              <w:rPr>
                <w:webHidden/>
              </w:rPr>
            </w:r>
            <w:r w:rsidR="000316FB">
              <w:rPr>
                <w:webHidden/>
              </w:rPr>
              <w:fldChar w:fldCharType="separate"/>
            </w:r>
            <w:r w:rsidR="00147461">
              <w:rPr>
                <w:webHidden/>
              </w:rPr>
              <w:t>4</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19" w:history="1">
            <w:r w:rsidR="000316FB" w:rsidRPr="00A20114">
              <w:rPr>
                <w:rStyle w:val="Hyperlink"/>
              </w:rPr>
              <w:t>1.3</w:t>
            </w:r>
            <w:r w:rsidR="000316FB">
              <w:rPr>
                <w:rFonts w:asciiTheme="minorHAnsi" w:eastAsiaTheme="minorEastAsia" w:hAnsiTheme="minorHAnsi" w:cstheme="minorBidi"/>
                <w:sz w:val="22"/>
                <w:szCs w:val="22"/>
              </w:rPr>
              <w:tab/>
            </w:r>
            <w:r w:rsidR="000316FB" w:rsidRPr="00A20114">
              <w:rPr>
                <w:rStyle w:val="Hyperlink"/>
              </w:rPr>
              <w:t>How to read this report</w:t>
            </w:r>
            <w:r w:rsidR="000316FB">
              <w:rPr>
                <w:webHidden/>
              </w:rPr>
              <w:tab/>
            </w:r>
            <w:r w:rsidR="000316FB">
              <w:rPr>
                <w:webHidden/>
              </w:rPr>
              <w:fldChar w:fldCharType="begin"/>
            </w:r>
            <w:r w:rsidR="000316FB">
              <w:rPr>
                <w:webHidden/>
              </w:rPr>
              <w:instrText xml:space="preserve"> PAGEREF _Toc494182019 \h </w:instrText>
            </w:r>
            <w:r w:rsidR="000316FB">
              <w:rPr>
                <w:webHidden/>
              </w:rPr>
            </w:r>
            <w:r w:rsidR="000316FB">
              <w:rPr>
                <w:webHidden/>
              </w:rPr>
              <w:fldChar w:fldCharType="separate"/>
            </w:r>
            <w:r w:rsidR="00147461">
              <w:rPr>
                <w:webHidden/>
              </w:rPr>
              <w:t>5</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20" w:history="1">
            <w:r w:rsidR="000316FB" w:rsidRPr="00A20114">
              <w:rPr>
                <w:rStyle w:val="Hyperlink"/>
              </w:rPr>
              <w:t>1.4</w:t>
            </w:r>
            <w:r w:rsidR="000316FB">
              <w:rPr>
                <w:rFonts w:asciiTheme="minorHAnsi" w:eastAsiaTheme="minorEastAsia" w:hAnsiTheme="minorHAnsi" w:cstheme="minorBidi"/>
                <w:sz w:val="22"/>
                <w:szCs w:val="22"/>
              </w:rPr>
              <w:tab/>
            </w:r>
            <w:r w:rsidR="000316FB" w:rsidRPr="00A20114">
              <w:rPr>
                <w:rStyle w:val="Hyperlink"/>
              </w:rPr>
              <w:t>A note on analysis</w:t>
            </w:r>
            <w:r w:rsidR="000316FB">
              <w:rPr>
                <w:webHidden/>
              </w:rPr>
              <w:tab/>
            </w:r>
            <w:r w:rsidR="000316FB">
              <w:rPr>
                <w:webHidden/>
              </w:rPr>
              <w:fldChar w:fldCharType="begin"/>
            </w:r>
            <w:r w:rsidR="000316FB">
              <w:rPr>
                <w:webHidden/>
              </w:rPr>
              <w:instrText xml:space="preserve"> PAGEREF _Toc494182020 \h </w:instrText>
            </w:r>
            <w:r w:rsidR="000316FB">
              <w:rPr>
                <w:webHidden/>
              </w:rPr>
            </w:r>
            <w:r w:rsidR="000316FB">
              <w:rPr>
                <w:webHidden/>
              </w:rPr>
              <w:fldChar w:fldCharType="separate"/>
            </w:r>
            <w:r w:rsidR="00147461">
              <w:rPr>
                <w:webHidden/>
              </w:rPr>
              <w:t>6</w:t>
            </w:r>
            <w:r w:rsidR="000316FB">
              <w:rPr>
                <w:webHidden/>
              </w:rPr>
              <w:fldChar w:fldCharType="end"/>
            </w:r>
          </w:hyperlink>
        </w:p>
        <w:p w:rsidR="000316FB" w:rsidRDefault="00A2378A">
          <w:pPr>
            <w:pStyle w:val="TOC1"/>
            <w:rPr>
              <w:rFonts w:asciiTheme="minorHAnsi" w:eastAsiaTheme="minorEastAsia" w:hAnsiTheme="minorHAnsi" w:cstheme="minorBidi"/>
              <w:color w:val="auto"/>
              <w:sz w:val="22"/>
              <w:szCs w:val="22"/>
            </w:rPr>
          </w:pPr>
          <w:hyperlink w:anchor="_Toc494182021" w:history="1">
            <w:r w:rsidR="000316FB" w:rsidRPr="00A20114">
              <w:rPr>
                <w:rStyle w:val="Hyperlink"/>
              </w:rPr>
              <w:t>2</w:t>
            </w:r>
            <w:r w:rsidR="000316FB">
              <w:rPr>
                <w:rFonts w:asciiTheme="minorHAnsi" w:eastAsiaTheme="minorEastAsia" w:hAnsiTheme="minorHAnsi" w:cstheme="minorBidi"/>
                <w:color w:val="auto"/>
                <w:sz w:val="22"/>
                <w:szCs w:val="22"/>
              </w:rPr>
              <w:tab/>
            </w:r>
            <w:r w:rsidR="000316FB" w:rsidRPr="00A20114">
              <w:rPr>
                <w:rStyle w:val="Hyperlink"/>
              </w:rPr>
              <w:t>Findings from the secondary school survey</w:t>
            </w:r>
            <w:r w:rsidR="000316FB">
              <w:rPr>
                <w:webHidden/>
              </w:rPr>
              <w:tab/>
            </w:r>
            <w:r w:rsidR="000316FB">
              <w:rPr>
                <w:webHidden/>
              </w:rPr>
              <w:fldChar w:fldCharType="begin"/>
            </w:r>
            <w:r w:rsidR="000316FB">
              <w:rPr>
                <w:webHidden/>
              </w:rPr>
              <w:instrText xml:space="preserve"> PAGEREF _Toc494182021 \h </w:instrText>
            </w:r>
            <w:r w:rsidR="000316FB">
              <w:rPr>
                <w:webHidden/>
              </w:rPr>
            </w:r>
            <w:r w:rsidR="000316FB">
              <w:rPr>
                <w:webHidden/>
              </w:rPr>
              <w:fldChar w:fldCharType="separate"/>
            </w:r>
            <w:r w:rsidR="00147461">
              <w:rPr>
                <w:webHidden/>
              </w:rPr>
              <w:t>7</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22" w:history="1">
            <w:r w:rsidR="000316FB" w:rsidRPr="00A20114">
              <w:rPr>
                <w:rStyle w:val="Hyperlink"/>
              </w:rPr>
              <w:t>2.1</w:t>
            </w:r>
            <w:r w:rsidR="000316FB">
              <w:rPr>
                <w:rFonts w:asciiTheme="minorHAnsi" w:eastAsiaTheme="minorEastAsia" w:hAnsiTheme="minorHAnsi" w:cstheme="minorBidi"/>
                <w:sz w:val="22"/>
                <w:szCs w:val="22"/>
              </w:rPr>
              <w:tab/>
            </w:r>
            <w:r w:rsidR="000316FB" w:rsidRPr="00A20114">
              <w:rPr>
                <w:rStyle w:val="Hyperlink"/>
              </w:rPr>
              <w:t>How the survey was carried out</w:t>
            </w:r>
            <w:r w:rsidR="000316FB">
              <w:rPr>
                <w:webHidden/>
              </w:rPr>
              <w:tab/>
            </w:r>
            <w:r w:rsidR="000316FB">
              <w:rPr>
                <w:webHidden/>
              </w:rPr>
              <w:fldChar w:fldCharType="begin"/>
            </w:r>
            <w:r w:rsidR="000316FB">
              <w:rPr>
                <w:webHidden/>
              </w:rPr>
              <w:instrText xml:space="preserve"> PAGEREF _Toc494182022 \h </w:instrText>
            </w:r>
            <w:r w:rsidR="000316FB">
              <w:rPr>
                <w:webHidden/>
              </w:rPr>
            </w:r>
            <w:r w:rsidR="000316FB">
              <w:rPr>
                <w:webHidden/>
              </w:rPr>
              <w:fldChar w:fldCharType="separate"/>
            </w:r>
            <w:r w:rsidR="00147461">
              <w:rPr>
                <w:webHidden/>
              </w:rPr>
              <w:t>7</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23" w:history="1">
            <w:r w:rsidR="000316FB" w:rsidRPr="00A20114">
              <w:rPr>
                <w:rStyle w:val="Hyperlink"/>
              </w:rPr>
              <w:t>2.2</w:t>
            </w:r>
            <w:r w:rsidR="000316FB">
              <w:rPr>
                <w:rFonts w:asciiTheme="minorHAnsi" w:eastAsiaTheme="minorEastAsia" w:hAnsiTheme="minorHAnsi" w:cstheme="minorBidi"/>
                <w:sz w:val="22"/>
                <w:szCs w:val="22"/>
              </w:rPr>
              <w:tab/>
            </w:r>
            <w:r w:rsidR="000316FB" w:rsidRPr="00A20114">
              <w:rPr>
                <w:rStyle w:val="Hyperlink"/>
              </w:rPr>
              <w:t>Personal wellbeing</w:t>
            </w:r>
            <w:r w:rsidR="000316FB">
              <w:rPr>
                <w:webHidden/>
              </w:rPr>
              <w:tab/>
            </w:r>
            <w:r w:rsidR="000316FB">
              <w:rPr>
                <w:webHidden/>
              </w:rPr>
              <w:fldChar w:fldCharType="begin"/>
            </w:r>
            <w:r w:rsidR="000316FB">
              <w:rPr>
                <w:webHidden/>
              </w:rPr>
              <w:instrText xml:space="preserve"> PAGEREF _Toc494182023 \h </w:instrText>
            </w:r>
            <w:r w:rsidR="000316FB">
              <w:rPr>
                <w:webHidden/>
              </w:rPr>
            </w:r>
            <w:r w:rsidR="000316FB">
              <w:rPr>
                <w:webHidden/>
              </w:rPr>
              <w:fldChar w:fldCharType="separate"/>
            </w:r>
            <w:r w:rsidR="00147461">
              <w:rPr>
                <w:webHidden/>
              </w:rPr>
              <w:t>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4" w:history="1">
            <w:r w:rsidR="000316FB" w:rsidRPr="00A20114">
              <w:rPr>
                <w:rStyle w:val="Hyperlink"/>
              </w:rPr>
              <w:t>2.2.1</w:t>
            </w:r>
            <w:r w:rsidR="000316FB">
              <w:rPr>
                <w:rFonts w:asciiTheme="minorHAnsi" w:eastAsiaTheme="minorEastAsia" w:hAnsiTheme="minorHAnsi" w:cstheme="minorBidi"/>
                <w:szCs w:val="22"/>
              </w:rPr>
              <w:tab/>
            </w:r>
            <w:r w:rsidR="000316FB" w:rsidRPr="00A20114">
              <w:rPr>
                <w:rStyle w:val="Hyperlink"/>
              </w:rPr>
              <w:t>Health</w:t>
            </w:r>
            <w:r w:rsidR="000316FB">
              <w:rPr>
                <w:rStyle w:val="Hyperlink"/>
              </w:rPr>
              <w:t>…</w:t>
            </w:r>
            <w:r w:rsidR="000316FB">
              <w:rPr>
                <w:webHidden/>
              </w:rPr>
              <w:tab/>
            </w:r>
            <w:r w:rsidR="000316FB">
              <w:rPr>
                <w:webHidden/>
              </w:rPr>
              <w:fldChar w:fldCharType="begin"/>
            </w:r>
            <w:r w:rsidR="000316FB">
              <w:rPr>
                <w:webHidden/>
              </w:rPr>
              <w:instrText xml:space="preserve"> PAGEREF _Toc494182024 \h </w:instrText>
            </w:r>
            <w:r w:rsidR="000316FB">
              <w:rPr>
                <w:webHidden/>
              </w:rPr>
            </w:r>
            <w:r w:rsidR="000316FB">
              <w:rPr>
                <w:webHidden/>
              </w:rPr>
              <w:fldChar w:fldCharType="separate"/>
            </w:r>
            <w:r w:rsidR="00147461">
              <w:rPr>
                <w:webHidden/>
              </w:rPr>
              <w:t>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5" w:history="1">
            <w:r w:rsidR="000316FB" w:rsidRPr="00A20114">
              <w:rPr>
                <w:rStyle w:val="Hyperlink"/>
              </w:rPr>
              <w:t>General health (Healthy)</w:t>
            </w:r>
            <w:r w:rsidR="000316FB">
              <w:rPr>
                <w:webHidden/>
              </w:rPr>
              <w:tab/>
            </w:r>
            <w:r w:rsidR="000316FB">
              <w:rPr>
                <w:webHidden/>
              </w:rPr>
              <w:fldChar w:fldCharType="begin"/>
            </w:r>
            <w:r w:rsidR="000316FB">
              <w:rPr>
                <w:webHidden/>
              </w:rPr>
              <w:instrText xml:space="preserve"> PAGEREF _Toc494182025 \h </w:instrText>
            </w:r>
            <w:r w:rsidR="000316FB">
              <w:rPr>
                <w:webHidden/>
              </w:rPr>
            </w:r>
            <w:r w:rsidR="000316FB">
              <w:rPr>
                <w:webHidden/>
              </w:rPr>
              <w:fldChar w:fldCharType="separate"/>
            </w:r>
            <w:r w:rsidR="00147461">
              <w:rPr>
                <w:webHidden/>
              </w:rPr>
              <w:t>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6" w:history="1">
            <w:r w:rsidR="000316FB" w:rsidRPr="00A20114">
              <w:rPr>
                <w:rStyle w:val="Hyperlink"/>
              </w:rPr>
              <w:t>Health conditions (Healthy)</w:t>
            </w:r>
            <w:r w:rsidR="000316FB">
              <w:rPr>
                <w:webHidden/>
              </w:rPr>
              <w:tab/>
            </w:r>
            <w:r w:rsidR="000316FB">
              <w:rPr>
                <w:webHidden/>
              </w:rPr>
              <w:fldChar w:fldCharType="begin"/>
            </w:r>
            <w:r w:rsidR="000316FB">
              <w:rPr>
                <w:webHidden/>
              </w:rPr>
              <w:instrText xml:space="preserve"> PAGEREF _Toc494182026 \h </w:instrText>
            </w:r>
            <w:r w:rsidR="000316FB">
              <w:rPr>
                <w:webHidden/>
              </w:rPr>
            </w:r>
            <w:r w:rsidR="000316FB">
              <w:rPr>
                <w:webHidden/>
              </w:rPr>
              <w:fldChar w:fldCharType="separate"/>
            </w:r>
            <w:r w:rsidR="00147461">
              <w:rPr>
                <w:webHidden/>
              </w:rPr>
              <w:t>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7" w:history="1">
            <w:r w:rsidR="000316FB" w:rsidRPr="00A20114">
              <w:rPr>
                <w:rStyle w:val="Hyperlink"/>
              </w:rPr>
              <w:t>2.2.2</w:t>
            </w:r>
            <w:r w:rsidR="000316FB">
              <w:rPr>
                <w:rFonts w:asciiTheme="minorHAnsi" w:eastAsiaTheme="minorEastAsia" w:hAnsiTheme="minorHAnsi" w:cstheme="minorBidi"/>
                <w:szCs w:val="22"/>
              </w:rPr>
              <w:tab/>
            </w:r>
            <w:r w:rsidR="000316FB" w:rsidRPr="00A20114">
              <w:rPr>
                <w:rStyle w:val="Hyperlink"/>
              </w:rPr>
              <w:t>Healthy living</w:t>
            </w:r>
            <w:r w:rsidR="000316FB">
              <w:rPr>
                <w:webHidden/>
              </w:rPr>
              <w:tab/>
            </w:r>
            <w:r w:rsidR="000316FB">
              <w:rPr>
                <w:webHidden/>
              </w:rPr>
              <w:fldChar w:fldCharType="begin"/>
            </w:r>
            <w:r w:rsidR="000316FB">
              <w:rPr>
                <w:webHidden/>
              </w:rPr>
              <w:instrText xml:space="preserve"> PAGEREF _Toc494182027 \h </w:instrText>
            </w:r>
            <w:r w:rsidR="000316FB">
              <w:rPr>
                <w:webHidden/>
              </w:rPr>
            </w:r>
            <w:r w:rsidR="000316FB">
              <w:rPr>
                <w:webHidden/>
              </w:rPr>
              <w:fldChar w:fldCharType="separate"/>
            </w:r>
            <w:r w:rsidR="00147461">
              <w:rPr>
                <w:webHidden/>
              </w:rPr>
              <w:t>10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8" w:history="1">
            <w:r w:rsidR="000316FB" w:rsidRPr="00A20114">
              <w:rPr>
                <w:rStyle w:val="Hyperlink"/>
              </w:rPr>
              <w:t>Physical activity (Healthy, Active)</w:t>
            </w:r>
            <w:r w:rsidR="000316FB">
              <w:rPr>
                <w:webHidden/>
              </w:rPr>
              <w:tab/>
            </w:r>
            <w:r w:rsidR="000316FB">
              <w:rPr>
                <w:webHidden/>
              </w:rPr>
              <w:fldChar w:fldCharType="begin"/>
            </w:r>
            <w:r w:rsidR="000316FB">
              <w:rPr>
                <w:webHidden/>
              </w:rPr>
              <w:instrText xml:space="preserve"> PAGEREF _Toc494182028 \h </w:instrText>
            </w:r>
            <w:r w:rsidR="000316FB">
              <w:rPr>
                <w:webHidden/>
              </w:rPr>
            </w:r>
            <w:r w:rsidR="000316FB">
              <w:rPr>
                <w:webHidden/>
              </w:rPr>
              <w:fldChar w:fldCharType="separate"/>
            </w:r>
            <w:r w:rsidR="00147461">
              <w:rPr>
                <w:webHidden/>
              </w:rPr>
              <w:t>10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29" w:history="1">
            <w:r w:rsidR="000316FB" w:rsidRPr="00A20114">
              <w:rPr>
                <w:rStyle w:val="Hyperlink"/>
              </w:rPr>
              <w:t>Diet and nutrition (Healthy)</w:t>
            </w:r>
            <w:r w:rsidR="000316FB">
              <w:rPr>
                <w:webHidden/>
              </w:rPr>
              <w:tab/>
            </w:r>
            <w:r w:rsidR="000316FB">
              <w:rPr>
                <w:webHidden/>
              </w:rPr>
              <w:fldChar w:fldCharType="begin"/>
            </w:r>
            <w:r w:rsidR="000316FB">
              <w:rPr>
                <w:webHidden/>
              </w:rPr>
              <w:instrText xml:space="preserve"> PAGEREF _Toc494182029 \h </w:instrText>
            </w:r>
            <w:r w:rsidR="000316FB">
              <w:rPr>
                <w:webHidden/>
              </w:rPr>
            </w:r>
            <w:r w:rsidR="000316FB">
              <w:rPr>
                <w:webHidden/>
              </w:rPr>
              <w:fldChar w:fldCharType="separate"/>
            </w:r>
            <w:r w:rsidR="00147461">
              <w:rPr>
                <w:webHidden/>
              </w:rPr>
              <w:t>11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0" w:history="1">
            <w:r w:rsidR="000316FB" w:rsidRPr="00A20114">
              <w:rPr>
                <w:rStyle w:val="Hyperlink"/>
              </w:rPr>
              <w:t>2.2.3</w:t>
            </w:r>
            <w:r w:rsidR="000316FB">
              <w:rPr>
                <w:rFonts w:asciiTheme="minorHAnsi" w:eastAsiaTheme="minorEastAsia" w:hAnsiTheme="minorHAnsi" w:cstheme="minorBidi"/>
                <w:szCs w:val="22"/>
              </w:rPr>
              <w:tab/>
            </w:r>
            <w:r w:rsidR="000316FB" w:rsidRPr="00A20114">
              <w:rPr>
                <w:rStyle w:val="Hyperlink"/>
              </w:rPr>
              <w:t>Mental health and wellbeing</w:t>
            </w:r>
            <w:r w:rsidR="000316FB">
              <w:rPr>
                <w:webHidden/>
              </w:rPr>
              <w:tab/>
            </w:r>
            <w:r w:rsidR="000316FB">
              <w:rPr>
                <w:webHidden/>
              </w:rPr>
              <w:fldChar w:fldCharType="begin"/>
            </w:r>
            <w:r w:rsidR="000316FB">
              <w:rPr>
                <w:webHidden/>
              </w:rPr>
              <w:instrText xml:space="preserve"> PAGEREF _Toc494182030 \h </w:instrText>
            </w:r>
            <w:r w:rsidR="000316FB">
              <w:rPr>
                <w:webHidden/>
              </w:rPr>
            </w:r>
            <w:r w:rsidR="000316FB">
              <w:rPr>
                <w:webHidden/>
              </w:rPr>
              <w:fldChar w:fldCharType="separate"/>
            </w:r>
            <w:r w:rsidR="00147461">
              <w:rPr>
                <w:webHidden/>
              </w:rPr>
              <w:t>14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1" w:history="1">
            <w:r w:rsidR="000316FB" w:rsidRPr="00A20114">
              <w:rPr>
                <w:rStyle w:val="Hyperlink"/>
              </w:rPr>
              <w:t>Strengths and Difficulties Questionnaire (SDQ) (Healthy, Achieving, Included)</w:t>
            </w:r>
            <w:r w:rsidR="000316FB">
              <w:rPr>
                <w:rStyle w:val="Hyperlink"/>
              </w:rPr>
              <w:t>…….</w:t>
            </w:r>
            <w:r w:rsidR="000316FB">
              <w:rPr>
                <w:webHidden/>
              </w:rPr>
              <w:tab/>
            </w:r>
            <w:r w:rsidR="000316FB">
              <w:rPr>
                <w:webHidden/>
              </w:rPr>
              <w:fldChar w:fldCharType="begin"/>
            </w:r>
            <w:r w:rsidR="000316FB">
              <w:rPr>
                <w:webHidden/>
              </w:rPr>
              <w:instrText xml:space="preserve"> PAGEREF _Toc494182031 \h </w:instrText>
            </w:r>
            <w:r w:rsidR="000316FB">
              <w:rPr>
                <w:webHidden/>
              </w:rPr>
            </w:r>
            <w:r w:rsidR="000316FB">
              <w:rPr>
                <w:webHidden/>
              </w:rPr>
              <w:fldChar w:fldCharType="separate"/>
            </w:r>
            <w:r w:rsidR="00147461">
              <w:rPr>
                <w:webHidden/>
              </w:rPr>
              <w:t>15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2" w:history="1">
            <w:r w:rsidR="000316FB" w:rsidRPr="00A20114">
              <w:rPr>
                <w:rStyle w:val="Hyperlink"/>
              </w:rPr>
              <w:t>Mental wellbeing (Healthy)</w:t>
            </w:r>
            <w:r w:rsidR="000316FB">
              <w:rPr>
                <w:webHidden/>
              </w:rPr>
              <w:tab/>
            </w:r>
            <w:r w:rsidR="000316FB">
              <w:rPr>
                <w:webHidden/>
              </w:rPr>
              <w:fldChar w:fldCharType="begin"/>
            </w:r>
            <w:r w:rsidR="000316FB">
              <w:rPr>
                <w:webHidden/>
              </w:rPr>
              <w:instrText xml:space="preserve"> PAGEREF _Toc494182032 \h </w:instrText>
            </w:r>
            <w:r w:rsidR="000316FB">
              <w:rPr>
                <w:webHidden/>
              </w:rPr>
            </w:r>
            <w:r w:rsidR="000316FB">
              <w:rPr>
                <w:webHidden/>
              </w:rPr>
              <w:fldChar w:fldCharType="separate"/>
            </w:r>
            <w:r w:rsidR="00147461">
              <w:rPr>
                <w:webHidden/>
              </w:rPr>
              <w:t>20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3" w:history="1">
            <w:r w:rsidR="000316FB" w:rsidRPr="00A20114">
              <w:rPr>
                <w:rStyle w:val="Hyperlink"/>
              </w:rPr>
              <w:t>2.2.4</w:t>
            </w:r>
            <w:r w:rsidR="000316FB">
              <w:rPr>
                <w:rFonts w:asciiTheme="minorHAnsi" w:eastAsiaTheme="minorEastAsia" w:hAnsiTheme="minorHAnsi" w:cstheme="minorBidi"/>
                <w:szCs w:val="22"/>
              </w:rPr>
              <w:tab/>
            </w:r>
            <w:r w:rsidR="000316FB" w:rsidRPr="00A20114">
              <w:rPr>
                <w:rStyle w:val="Hyperlink"/>
              </w:rPr>
              <w:t>Smoking, drinking and drugs</w:t>
            </w:r>
            <w:r w:rsidR="000316FB">
              <w:rPr>
                <w:webHidden/>
              </w:rPr>
              <w:tab/>
            </w:r>
            <w:r w:rsidR="000316FB">
              <w:rPr>
                <w:webHidden/>
              </w:rPr>
              <w:fldChar w:fldCharType="begin"/>
            </w:r>
            <w:r w:rsidR="000316FB">
              <w:rPr>
                <w:webHidden/>
              </w:rPr>
              <w:instrText xml:space="preserve"> PAGEREF _Toc494182033 \h </w:instrText>
            </w:r>
            <w:r w:rsidR="000316FB">
              <w:rPr>
                <w:webHidden/>
              </w:rPr>
            </w:r>
            <w:r w:rsidR="000316FB">
              <w:rPr>
                <w:webHidden/>
              </w:rPr>
              <w:fldChar w:fldCharType="separate"/>
            </w:r>
            <w:r w:rsidR="00147461">
              <w:rPr>
                <w:webHidden/>
              </w:rPr>
              <w:t>23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4" w:history="1">
            <w:r w:rsidR="000316FB" w:rsidRPr="00A20114">
              <w:rPr>
                <w:rStyle w:val="Hyperlink"/>
              </w:rPr>
              <w:t>Smoking (Healthy, Responsible)</w:t>
            </w:r>
            <w:r w:rsidR="000316FB">
              <w:rPr>
                <w:webHidden/>
              </w:rPr>
              <w:tab/>
            </w:r>
            <w:r w:rsidR="000316FB">
              <w:rPr>
                <w:webHidden/>
              </w:rPr>
              <w:fldChar w:fldCharType="begin"/>
            </w:r>
            <w:r w:rsidR="000316FB">
              <w:rPr>
                <w:webHidden/>
              </w:rPr>
              <w:instrText xml:space="preserve"> PAGEREF _Toc494182034 \h </w:instrText>
            </w:r>
            <w:r w:rsidR="000316FB">
              <w:rPr>
                <w:webHidden/>
              </w:rPr>
            </w:r>
            <w:r w:rsidR="000316FB">
              <w:rPr>
                <w:webHidden/>
              </w:rPr>
              <w:fldChar w:fldCharType="separate"/>
            </w:r>
            <w:r w:rsidR="00147461">
              <w:rPr>
                <w:webHidden/>
              </w:rPr>
              <w:t>23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5" w:history="1">
            <w:r w:rsidR="000316FB" w:rsidRPr="00A20114">
              <w:rPr>
                <w:rStyle w:val="Hyperlink"/>
              </w:rPr>
              <w:t>E-cigarette use (Healthy, Responsible)</w:t>
            </w:r>
            <w:r w:rsidR="000316FB">
              <w:rPr>
                <w:webHidden/>
              </w:rPr>
              <w:tab/>
            </w:r>
            <w:r w:rsidR="000316FB">
              <w:rPr>
                <w:webHidden/>
              </w:rPr>
              <w:fldChar w:fldCharType="begin"/>
            </w:r>
            <w:r w:rsidR="000316FB">
              <w:rPr>
                <w:webHidden/>
              </w:rPr>
              <w:instrText xml:space="preserve"> PAGEREF _Toc494182035 \h </w:instrText>
            </w:r>
            <w:r w:rsidR="000316FB">
              <w:rPr>
                <w:webHidden/>
              </w:rPr>
            </w:r>
            <w:r w:rsidR="000316FB">
              <w:rPr>
                <w:webHidden/>
              </w:rPr>
              <w:fldChar w:fldCharType="separate"/>
            </w:r>
            <w:r w:rsidR="00147461">
              <w:rPr>
                <w:webHidden/>
              </w:rPr>
              <w:t>25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6" w:history="1">
            <w:r w:rsidR="000316FB" w:rsidRPr="00A20114">
              <w:rPr>
                <w:rStyle w:val="Hyperlink"/>
              </w:rPr>
              <w:t>Exposure to smoke in the home (Safe, Healthy)</w:t>
            </w:r>
            <w:r w:rsidR="000316FB">
              <w:rPr>
                <w:webHidden/>
              </w:rPr>
              <w:tab/>
            </w:r>
            <w:r w:rsidR="000316FB">
              <w:rPr>
                <w:webHidden/>
              </w:rPr>
              <w:fldChar w:fldCharType="begin"/>
            </w:r>
            <w:r w:rsidR="000316FB">
              <w:rPr>
                <w:webHidden/>
              </w:rPr>
              <w:instrText xml:space="preserve"> PAGEREF _Toc494182036 \h </w:instrText>
            </w:r>
            <w:r w:rsidR="000316FB">
              <w:rPr>
                <w:webHidden/>
              </w:rPr>
            </w:r>
            <w:r w:rsidR="000316FB">
              <w:rPr>
                <w:webHidden/>
              </w:rPr>
              <w:fldChar w:fldCharType="separate"/>
            </w:r>
            <w:r w:rsidR="00147461">
              <w:rPr>
                <w:webHidden/>
              </w:rPr>
              <w:t>26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7" w:history="1">
            <w:r w:rsidR="000316FB" w:rsidRPr="00A20114">
              <w:rPr>
                <w:rStyle w:val="Hyperlink"/>
              </w:rPr>
              <w:t>Drinking (Healthy, Responsible, Safe)</w:t>
            </w:r>
            <w:r w:rsidR="000316FB">
              <w:rPr>
                <w:webHidden/>
              </w:rPr>
              <w:tab/>
            </w:r>
            <w:r w:rsidR="000316FB">
              <w:rPr>
                <w:webHidden/>
              </w:rPr>
              <w:fldChar w:fldCharType="begin"/>
            </w:r>
            <w:r w:rsidR="000316FB">
              <w:rPr>
                <w:webHidden/>
              </w:rPr>
              <w:instrText xml:space="preserve"> PAGEREF _Toc494182037 \h </w:instrText>
            </w:r>
            <w:r w:rsidR="000316FB">
              <w:rPr>
                <w:webHidden/>
              </w:rPr>
            </w:r>
            <w:r w:rsidR="000316FB">
              <w:rPr>
                <w:webHidden/>
              </w:rPr>
              <w:fldChar w:fldCharType="separate"/>
            </w:r>
            <w:r w:rsidR="00147461">
              <w:rPr>
                <w:webHidden/>
              </w:rPr>
              <w:t>27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38" w:history="1">
            <w:r w:rsidR="000316FB" w:rsidRPr="00A20114">
              <w:rPr>
                <w:rStyle w:val="Hyperlink"/>
              </w:rPr>
              <w:t>Drugs (Healthy, Responsible, Safe)</w:t>
            </w:r>
            <w:r w:rsidR="000316FB">
              <w:rPr>
                <w:webHidden/>
              </w:rPr>
              <w:tab/>
            </w:r>
            <w:r w:rsidR="000316FB">
              <w:rPr>
                <w:webHidden/>
              </w:rPr>
              <w:fldChar w:fldCharType="begin"/>
            </w:r>
            <w:r w:rsidR="000316FB">
              <w:rPr>
                <w:webHidden/>
              </w:rPr>
              <w:instrText xml:space="preserve"> PAGEREF _Toc494182038 \h </w:instrText>
            </w:r>
            <w:r w:rsidR="000316FB">
              <w:rPr>
                <w:webHidden/>
              </w:rPr>
            </w:r>
            <w:r w:rsidR="000316FB">
              <w:rPr>
                <w:webHidden/>
              </w:rPr>
              <w:fldChar w:fldCharType="separate"/>
            </w:r>
            <w:r w:rsidR="00147461">
              <w:rPr>
                <w:webHidden/>
              </w:rPr>
              <w:t>29</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39" w:history="1">
            <w:r w:rsidR="000316FB" w:rsidRPr="00A20114">
              <w:rPr>
                <w:rStyle w:val="Hyperlink"/>
              </w:rPr>
              <w:t>2.3</w:t>
            </w:r>
            <w:r w:rsidR="000316FB">
              <w:rPr>
                <w:rFonts w:asciiTheme="minorHAnsi" w:eastAsiaTheme="minorEastAsia" w:hAnsiTheme="minorHAnsi" w:cstheme="minorBidi"/>
                <w:sz w:val="22"/>
                <w:szCs w:val="22"/>
              </w:rPr>
              <w:tab/>
            </w:r>
            <w:r w:rsidR="000316FB" w:rsidRPr="00A20114">
              <w:rPr>
                <w:rStyle w:val="Hyperlink"/>
              </w:rPr>
              <w:t>Social wellbeing</w:t>
            </w:r>
            <w:r w:rsidR="000316FB">
              <w:rPr>
                <w:webHidden/>
              </w:rPr>
              <w:tab/>
            </w:r>
            <w:r w:rsidR="000316FB">
              <w:rPr>
                <w:webHidden/>
              </w:rPr>
              <w:fldChar w:fldCharType="begin"/>
            </w:r>
            <w:r w:rsidR="000316FB">
              <w:rPr>
                <w:webHidden/>
              </w:rPr>
              <w:instrText xml:space="preserve"> PAGEREF _Toc494182039 \h </w:instrText>
            </w:r>
            <w:r w:rsidR="000316FB">
              <w:rPr>
                <w:webHidden/>
              </w:rPr>
            </w:r>
            <w:r w:rsidR="000316FB">
              <w:rPr>
                <w:webHidden/>
              </w:rPr>
              <w:fldChar w:fldCharType="separate"/>
            </w:r>
            <w:r w:rsidR="00147461">
              <w:rPr>
                <w:webHidden/>
              </w:rPr>
              <w:t>31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0" w:history="1">
            <w:r w:rsidR="000316FB" w:rsidRPr="00A20114">
              <w:rPr>
                <w:rStyle w:val="Hyperlink"/>
              </w:rPr>
              <w:t>2.3.1</w:t>
            </w:r>
            <w:r w:rsidR="000316FB">
              <w:rPr>
                <w:rFonts w:asciiTheme="minorHAnsi" w:eastAsiaTheme="minorEastAsia" w:hAnsiTheme="minorHAnsi" w:cstheme="minorBidi"/>
                <w:szCs w:val="22"/>
              </w:rPr>
              <w:tab/>
            </w:r>
            <w:r w:rsidR="000316FB" w:rsidRPr="00A20114">
              <w:rPr>
                <w:rStyle w:val="Hyperlink"/>
              </w:rPr>
              <w:t>Family</w:t>
            </w:r>
            <w:r w:rsidR="000316FB">
              <w:rPr>
                <w:webHidden/>
              </w:rPr>
              <w:tab/>
              <w:t>……………………………………………………………......</w:t>
            </w:r>
            <w:r w:rsidR="000316FB">
              <w:rPr>
                <w:webHidden/>
              </w:rPr>
              <w:fldChar w:fldCharType="begin"/>
            </w:r>
            <w:r w:rsidR="000316FB">
              <w:rPr>
                <w:webHidden/>
              </w:rPr>
              <w:instrText xml:space="preserve"> PAGEREF _Toc494182040 \h </w:instrText>
            </w:r>
            <w:r w:rsidR="000316FB">
              <w:rPr>
                <w:webHidden/>
              </w:rPr>
            </w:r>
            <w:r w:rsidR="000316FB">
              <w:rPr>
                <w:webHidden/>
              </w:rPr>
              <w:fldChar w:fldCharType="separate"/>
            </w:r>
            <w:r w:rsidR="00147461">
              <w:rPr>
                <w:webHidden/>
              </w:rPr>
              <w:t>31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1" w:history="1">
            <w:r w:rsidR="000316FB" w:rsidRPr="00A20114">
              <w:rPr>
                <w:rStyle w:val="Hyperlink"/>
              </w:rPr>
              <w:t>Time spent with family (Nurtured, Included)</w:t>
            </w:r>
            <w:r w:rsidR="000316FB">
              <w:rPr>
                <w:webHidden/>
              </w:rPr>
              <w:tab/>
            </w:r>
            <w:r w:rsidR="000316FB">
              <w:rPr>
                <w:webHidden/>
              </w:rPr>
              <w:fldChar w:fldCharType="begin"/>
            </w:r>
            <w:r w:rsidR="000316FB">
              <w:rPr>
                <w:webHidden/>
              </w:rPr>
              <w:instrText xml:space="preserve"> PAGEREF _Toc494182041 \h </w:instrText>
            </w:r>
            <w:r w:rsidR="000316FB">
              <w:rPr>
                <w:webHidden/>
              </w:rPr>
            </w:r>
            <w:r w:rsidR="000316FB">
              <w:rPr>
                <w:webHidden/>
              </w:rPr>
              <w:fldChar w:fldCharType="separate"/>
            </w:r>
            <w:r w:rsidR="00147461">
              <w:rPr>
                <w:webHidden/>
              </w:rPr>
              <w:t>31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2" w:history="1">
            <w:r w:rsidR="000316FB" w:rsidRPr="00A20114">
              <w:rPr>
                <w:rStyle w:val="Hyperlink"/>
              </w:rPr>
              <w:t>Family meals (Healthy, Nurtured, Included)</w:t>
            </w:r>
            <w:r w:rsidR="000316FB">
              <w:rPr>
                <w:webHidden/>
              </w:rPr>
              <w:tab/>
            </w:r>
            <w:r w:rsidR="000316FB">
              <w:rPr>
                <w:webHidden/>
              </w:rPr>
              <w:fldChar w:fldCharType="begin"/>
            </w:r>
            <w:r w:rsidR="000316FB">
              <w:rPr>
                <w:webHidden/>
              </w:rPr>
              <w:instrText xml:space="preserve"> PAGEREF _Toc494182042 \h </w:instrText>
            </w:r>
            <w:r w:rsidR="000316FB">
              <w:rPr>
                <w:webHidden/>
              </w:rPr>
            </w:r>
            <w:r w:rsidR="000316FB">
              <w:rPr>
                <w:webHidden/>
              </w:rPr>
              <w:fldChar w:fldCharType="separate"/>
            </w:r>
            <w:r w:rsidR="00147461">
              <w:rPr>
                <w:webHidden/>
              </w:rPr>
              <w:t>33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3" w:history="1">
            <w:r w:rsidR="000316FB" w:rsidRPr="00A20114">
              <w:rPr>
                <w:rStyle w:val="Hyperlink"/>
              </w:rPr>
              <w:t>Young carers (Included)</w:t>
            </w:r>
            <w:r w:rsidR="000316FB">
              <w:rPr>
                <w:webHidden/>
              </w:rPr>
              <w:tab/>
            </w:r>
            <w:r w:rsidR="000316FB">
              <w:rPr>
                <w:webHidden/>
              </w:rPr>
              <w:fldChar w:fldCharType="begin"/>
            </w:r>
            <w:r w:rsidR="000316FB">
              <w:rPr>
                <w:webHidden/>
              </w:rPr>
              <w:instrText xml:space="preserve"> PAGEREF _Toc494182043 \h </w:instrText>
            </w:r>
            <w:r w:rsidR="000316FB">
              <w:rPr>
                <w:webHidden/>
              </w:rPr>
            </w:r>
            <w:r w:rsidR="000316FB">
              <w:rPr>
                <w:webHidden/>
              </w:rPr>
              <w:fldChar w:fldCharType="separate"/>
            </w:r>
            <w:r w:rsidR="00147461">
              <w:rPr>
                <w:webHidden/>
              </w:rPr>
              <w:t>34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4" w:history="1">
            <w:r w:rsidR="000316FB" w:rsidRPr="00A20114">
              <w:rPr>
                <w:rStyle w:val="Hyperlink"/>
              </w:rPr>
              <w:t>Talk to family member about worries (Nurtured, Included)</w:t>
            </w:r>
            <w:r w:rsidR="000316FB">
              <w:rPr>
                <w:webHidden/>
              </w:rPr>
              <w:tab/>
            </w:r>
            <w:r w:rsidR="000316FB">
              <w:rPr>
                <w:webHidden/>
              </w:rPr>
              <w:fldChar w:fldCharType="begin"/>
            </w:r>
            <w:r w:rsidR="000316FB">
              <w:rPr>
                <w:webHidden/>
              </w:rPr>
              <w:instrText xml:space="preserve"> PAGEREF _Toc494182044 \h </w:instrText>
            </w:r>
            <w:r w:rsidR="000316FB">
              <w:rPr>
                <w:webHidden/>
              </w:rPr>
            </w:r>
            <w:r w:rsidR="000316FB">
              <w:rPr>
                <w:webHidden/>
              </w:rPr>
              <w:fldChar w:fldCharType="separate"/>
            </w:r>
            <w:r w:rsidR="00147461">
              <w:rPr>
                <w:webHidden/>
              </w:rPr>
              <w:t>35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5" w:history="1">
            <w:r w:rsidR="000316FB" w:rsidRPr="00A20114">
              <w:rPr>
                <w:rStyle w:val="Hyperlink"/>
              </w:rPr>
              <w:t>Worry about family members’ health (Healthy, Responsible)</w:t>
            </w:r>
            <w:r w:rsidR="000316FB">
              <w:rPr>
                <w:webHidden/>
              </w:rPr>
              <w:tab/>
            </w:r>
            <w:r w:rsidR="000316FB">
              <w:rPr>
                <w:webHidden/>
              </w:rPr>
              <w:fldChar w:fldCharType="begin"/>
            </w:r>
            <w:r w:rsidR="000316FB">
              <w:rPr>
                <w:webHidden/>
              </w:rPr>
              <w:instrText xml:space="preserve"> PAGEREF _Toc494182045 \h </w:instrText>
            </w:r>
            <w:r w:rsidR="000316FB">
              <w:rPr>
                <w:webHidden/>
              </w:rPr>
            </w:r>
            <w:r w:rsidR="000316FB">
              <w:rPr>
                <w:webHidden/>
              </w:rPr>
              <w:fldChar w:fldCharType="separate"/>
            </w:r>
            <w:r w:rsidR="00147461">
              <w:rPr>
                <w:webHidden/>
              </w:rPr>
              <w:t>35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6" w:history="1">
            <w:r w:rsidR="000316FB" w:rsidRPr="00A20114">
              <w:rPr>
                <w:rStyle w:val="Hyperlink"/>
              </w:rPr>
              <w:t>2.3.2</w:t>
            </w:r>
            <w:r w:rsidR="000316FB">
              <w:rPr>
                <w:rFonts w:asciiTheme="minorHAnsi" w:eastAsiaTheme="minorEastAsia" w:hAnsiTheme="minorHAnsi" w:cstheme="minorBidi"/>
                <w:szCs w:val="22"/>
              </w:rPr>
              <w:tab/>
            </w:r>
            <w:r w:rsidR="000316FB" w:rsidRPr="00A20114">
              <w:rPr>
                <w:rStyle w:val="Hyperlink"/>
              </w:rPr>
              <w:t>Educational and learning environment</w:t>
            </w:r>
            <w:r w:rsidR="000316FB">
              <w:rPr>
                <w:webHidden/>
              </w:rPr>
              <w:tab/>
            </w:r>
            <w:r w:rsidR="000316FB">
              <w:rPr>
                <w:webHidden/>
              </w:rPr>
              <w:fldChar w:fldCharType="begin"/>
            </w:r>
            <w:r w:rsidR="000316FB">
              <w:rPr>
                <w:webHidden/>
              </w:rPr>
              <w:instrText xml:space="preserve"> PAGEREF _Toc494182046 \h </w:instrText>
            </w:r>
            <w:r w:rsidR="000316FB">
              <w:rPr>
                <w:webHidden/>
              </w:rPr>
            </w:r>
            <w:r w:rsidR="000316FB">
              <w:rPr>
                <w:webHidden/>
              </w:rPr>
              <w:fldChar w:fldCharType="separate"/>
            </w:r>
            <w:r w:rsidR="00147461">
              <w:rPr>
                <w:webHidden/>
              </w:rPr>
              <w:t>36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7" w:history="1">
            <w:r w:rsidR="000316FB" w:rsidRPr="00A20114">
              <w:rPr>
                <w:rStyle w:val="Hyperlink"/>
              </w:rPr>
              <w:t>Educational enjoyment and engagement (Achieving, Included)</w:t>
            </w:r>
            <w:r w:rsidR="000316FB">
              <w:rPr>
                <w:webHidden/>
              </w:rPr>
              <w:tab/>
            </w:r>
            <w:r w:rsidR="000316FB">
              <w:rPr>
                <w:webHidden/>
              </w:rPr>
              <w:fldChar w:fldCharType="begin"/>
            </w:r>
            <w:r w:rsidR="000316FB">
              <w:rPr>
                <w:webHidden/>
              </w:rPr>
              <w:instrText xml:space="preserve"> PAGEREF _Toc494182047 \h </w:instrText>
            </w:r>
            <w:r w:rsidR="000316FB">
              <w:rPr>
                <w:webHidden/>
              </w:rPr>
            </w:r>
            <w:r w:rsidR="000316FB">
              <w:rPr>
                <w:webHidden/>
              </w:rPr>
              <w:fldChar w:fldCharType="separate"/>
            </w:r>
            <w:r w:rsidR="00147461">
              <w:rPr>
                <w:webHidden/>
              </w:rPr>
              <w:t>36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8" w:history="1">
            <w:r w:rsidR="000316FB" w:rsidRPr="00A20114">
              <w:rPr>
                <w:rStyle w:val="Hyperlink"/>
              </w:rPr>
              <w:t>Perception of school</w:t>
            </w:r>
            <w:r w:rsidR="000316FB">
              <w:rPr>
                <w:webHidden/>
              </w:rPr>
              <w:tab/>
            </w:r>
            <w:r w:rsidR="000316FB">
              <w:rPr>
                <w:webHidden/>
              </w:rPr>
              <w:fldChar w:fldCharType="begin"/>
            </w:r>
            <w:r w:rsidR="000316FB">
              <w:rPr>
                <w:webHidden/>
              </w:rPr>
              <w:instrText xml:space="preserve"> PAGEREF _Toc494182048 \h </w:instrText>
            </w:r>
            <w:r w:rsidR="000316FB">
              <w:rPr>
                <w:webHidden/>
              </w:rPr>
            </w:r>
            <w:r w:rsidR="000316FB">
              <w:rPr>
                <w:webHidden/>
              </w:rPr>
              <w:fldChar w:fldCharType="separate"/>
            </w:r>
            <w:r w:rsidR="00147461">
              <w:rPr>
                <w:webHidden/>
              </w:rPr>
              <w:t>38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49" w:history="1">
            <w:r w:rsidR="000316FB" w:rsidRPr="00A20114">
              <w:rPr>
                <w:rStyle w:val="Hyperlink"/>
              </w:rPr>
              <w:t>Effort and behaviour at school</w:t>
            </w:r>
            <w:r w:rsidR="000316FB">
              <w:rPr>
                <w:webHidden/>
              </w:rPr>
              <w:tab/>
            </w:r>
            <w:r w:rsidR="000316FB">
              <w:rPr>
                <w:webHidden/>
              </w:rPr>
              <w:fldChar w:fldCharType="begin"/>
            </w:r>
            <w:r w:rsidR="000316FB">
              <w:rPr>
                <w:webHidden/>
              </w:rPr>
              <w:instrText xml:space="preserve"> PAGEREF _Toc494182049 \h </w:instrText>
            </w:r>
            <w:r w:rsidR="000316FB">
              <w:rPr>
                <w:webHidden/>
              </w:rPr>
            </w:r>
            <w:r w:rsidR="000316FB">
              <w:rPr>
                <w:webHidden/>
              </w:rPr>
              <w:fldChar w:fldCharType="separate"/>
            </w:r>
            <w:r w:rsidR="00147461">
              <w:rPr>
                <w:webHidden/>
              </w:rPr>
              <w:t>40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0" w:history="1">
            <w:r w:rsidR="000316FB" w:rsidRPr="00A20114">
              <w:rPr>
                <w:rStyle w:val="Hyperlink"/>
              </w:rPr>
              <w:t>Fatigue and difficulty concentrating at school</w:t>
            </w:r>
            <w:r w:rsidR="000316FB">
              <w:rPr>
                <w:webHidden/>
              </w:rPr>
              <w:tab/>
            </w:r>
            <w:r w:rsidR="000316FB">
              <w:rPr>
                <w:webHidden/>
              </w:rPr>
              <w:fldChar w:fldCharType="begin"/>
            </w:r>
            <w:r w:rsidR="000316FB">
              <w:rPr>
                <w:webHidden/>
              </w:rPr>
              <w:instrText xml:space="preserve"> PAGEREF _Toc494182050 \h </w:instrText>
            </w:r>
            <w:r w:rsidR="000316FB">
              <w:rPr>
                <w:webHidden/>
              </w:rPr>
            </w:r>
            <w:r w:rsidR="000316FB">
              <w:rPr>
                <w:webHidden/>
              </w:rPr>
              <w:fldChar w:fldCharType="separate"/>
            </w:r>
            <w:r w:rsidR="00147461">
              <w:rPr>
                <w:webHidden/>
              </w:rPr>
              <w:t>41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1" w:history="1">
            <w:r w:rsidR="000316FB" w:rsidRPr="00A20114">
              <w:rPr>
                <w:rStyle w:val="Hyperlink"/>
              </w:rPr>
              <w:t>Relationships with teachers and other pupils (Achieving, Respected, Responsible, Included)</w:t>
            </w:r>
            <w:r w:rsidR="000316FB">
              <w:rPr>
                <w:webHidden/>
              </w:rPr>
              <w:tab/>
            </w:r>
            <w:r w:rsidR="000316FB">
              <w:rPr>
                <w:webHidden/>
              </w:rPr>
              <w:fldChar w:fldCharType="begin"/>
            </w:r>
            <w:r w:rsidR="000316FB">
              <w:rPr>
                <w:webHidden/>
              </w:rPr>
              <w:instrText xml:space="preserve"> PAGEREF _Toc494182051 \h </w:instrText>
            </w:r>
            <w:r w:rsidR="000316FB">
              <w:rPr>
                <w:webHidden/>
              </w:rPr>
            </w:r>
            <w:r w:rsidR="000316FB">
              <w:rPr>
                <w:webHidden/>
              </w:rPr>
              <w:fldChar w:fldCharType="separate"/>
            </w:r>
            <w:r w:rsidR="00147461">
              <w:rPr>
                <w:webHidden/>
              </w:rPr>
              <w:t>42</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2" w:history="1">
            <w:r w:rsidR="000316FB" w:rsidRPr="00A20114">
              <w:rPr>
                <w:rStyle w:val="Hyperlink"/>
              </w:rPr>
              <w:t>Worries about school (Healthy, Achieving)</w:t>
            </w:r>
            <w:r w:rsidR="000316FB">
              <w:rPr>
                <w:webHidden/>
              </w:rPr>
              <w:tab/>
            </w:r>
            <w:r w:rsidR="000316FB">
              <w:rPr>
                <w:webHidden/>
              </w:rPr>
              <w:fldChar w:fldCharType="begin"/>
            </w:r>
            <w:r w:rsidR="000316FB">
              <w:rPr>
                <w:webHidden/>
              </w:rPr>
              <w:instrText xml:space="preserve"> PAGEREF _Toc494182052 \h </w:instrText>
            </w:r>
            <w:r w:rsidR="000316FB">
              <w:rPr>
                <w:webHidden/>
              </w:rPr>
            </w:r>
            <w:r w:rsidR="000316FB">
              <w:rPr>
                <w:webHidden/>
              </w:rPr>
              <w:fldChar w:fldCharType="separate"/>
            </w:r>
            <w:r w:rsidR="00147461">
              <w:rPr>
                <w:webHidden/>
              </w:rPr>
              <w:t>43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3" w:history="1">
            <w:r w:rsidR="000316FB" w:rsidRPr="00A20114">
              <w:rPr>
                <w:rStyle w:val="Hyperlink"/>
              </w:rPr>
              <w:t>2.3.3</w:t>
            </w:r>
            <w:r w:rsidR="000316FB">
              <w:rPr>
                <w:rFonts w:asciiTheme="minorHAnsi" w:eastAsiaTheme="minorEastAsia" w:hAnsiTheme="minorHAnsi" w:cstheme="minorBidi"/>
                <w:szCs w:val="22"/>
              </w:rPr>
              <w:tab/>
            </w:r>
            <w:r w:rsidR="000316FB" w:rsidRPr="00A20114">
              <w:rPr>
                <w:rStyle w:val="Hyperlink"/>
              </w:rPr>
              <w:t>Peer relationships and friendships</w:t>
            </w:r>
            <w:r w:rsidR="000316FB">
              <w:rPr>
                <w:webHidden/>
              </w:rPr>
              <w:tab/>
            </w:r>
            <w:r w:rsidR="000316FB">
              <w:rPr>
                <w:webHidden/>
              </w:rPr>
              <w:fldChar w:fldCharType="begin"/>
            </w:r>
            <w:r w:rsidR="000316FB">
              <w:rPr>
                <w:webHidden/>
              </w:rPr>
              <w:instrText xml:space="preserve"> PAGEREF _Toc494182053 \h </w:instrText>
            </w:r>
            <w:r w:rsidR="000316FB">
              <w:rPr>
                <w:webHidden/>
              </w:rPr>
            </w:r>
            <w:r w:rsidR="000316FB">
              <w:rPr>
                <w:webHidden/>
              </w:rPr>
              <w:fldChar w:fldCharType="separate"/>
            </w:r>
            <w:r w:rsidR="00147461">
              <w:rPr>
                <w:webHidden/>
              </w:rPr>
              <w:t>43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4" w:history="1">
            <w:r w:rsidR="000316FB" w:rsidRPr="00A20114">
              <w:rPr>
                <w:rStyle w:val="Hyperlink"/>
              </w:rPr>
              <w:t>Friendships (Included, Respected)</w:t>
            </w:r>
            <w:r w:rsidR="000316FB">
              <w:rPr>
                <w:webHidden/>
              </w:rPr>
              <w:tab/>
            </w:r>
            <w:r w:rsidR="000316FB">
              <w:rPr>
                <w:webHidden/>
              </w:rPr>
              <w:fldChar w:fldCharType="begin"/>
            </w:r>
            <w:r w:rsidR="000316FB">
              <w:rPr>
                <w:webHidden/>
              </w:rPr>
              <w:instrText xml:space="preserve"> PAGEREF _Toc494182054 \h </w:instrText>
            </w:r>
            <w:r w:rsidR="000316FB">
              <w:rPr>
                <w:webHidden/>
              </w:rPr>
            </w:r>
            <w:r w:rsidR="000316FB">
              <w:rPr>
                <w:webHidden/>
              </w:rPr>
              <w:fldChar w:fldCharType="separate"/>
            </w:r>
            <w:r w:rsidR="00147461">
              <w:rPr>
                <w:webHidden/>
              </w:rPr>
              <w:t>43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5" w:history="1">
            <w:r w:rsidR="000316FB" w:rsidRPr="00A20114">
              <w:rPr>
                <w:rStyle w:val="Hyperlink"/>
              </w:rPr>
              <w:t>Social Pressure</w:t>
            </w:r>
            <w:r w:rsidR="000316FB">
              <w:rPr>
                <w:webHidden/>
              </w:rPr>
              <w:tab/>
            </w:r>
            <w:r w:rsidR="000316FB">
              <w:rPr>
                <w:webHidden/>
              </w:rPr>
              <w:fldChar w:fldCharType="begin"/>
            </w:r>
            <w:r w:rsidR="000316FB">
              <w:rPr>
                <w:webHidden/>
              </w:rPr>
              <w:instrText xml:space="preserve"> PAGEREF _Toc494182055 \h </w:instrText>
            </w:r>
            <w:r w:rsidR="000316FB">
              <w:rPr>
                <w:webHidden/>
              </w:rPr>
            </w:r>
            <w:r w:rsidR="000316FB">
              <w:rPr>
                <w:webHidden/>
              </w:rPr>
              <w:fldChar w:fldCharType="separate"/>
            </w:r>
            <w:r w:rsidR="00147461">
              <w:rPr>
                <w:webHidden/>
              </w:rPr>
              <w:t>44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6" w:history="1">
            <w:r w:rsidR="000316FB" w:rsidRPr="00A20114">
              <w:rPr>
                <w:rStyle w:val="Hyperlink"/>
              </w:rPr>
              <w:t>Bullying (Safe, Included, Respected, Responsible)</w:t>
            </w:r>
            <w:r w:rsidR="000316FB">
              <w:rPr>
                <w:webHidden/>
              </w:rPr>
              <w:tab/>
            </w:r>
            <w:r w:rsidR="000316FB">
              <w:rPr>
                <w:webHidden/>
              </w:rPr>
              <w:fldChar w:fldCharType="begin"/>
            </w:r>
            <w:r w:rsidR="000316FB">
              <w:rPr>
                <w:webHidden/>
              </w:rPr>
              <w:instrText xml:space="preserve"> PAGEREF _Toc494182056 \h </w:instrText>
            </w:r>
            <w:r w:rsidR="000316FB">
              <w:rPr>
                <w:webHidden/>
              </w:rPr>
            </w:r>
            <w:r w:rsidR="000316FB">
              <w:rPr>
                <w:webHidden/>
              </w:rPr>
              <w:fldChar w:fldCharType="separate"/>
            </w:r>
            <w:r w:rsidR="00147461">
              <w:rPr>
                <w:webHidden/>
              </w:rPr>
              <w:t>45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7" w:history="1">
            <w:r w:rsidR="000316FB" w:rsidRPr="00A20114">
              <w:rPr>
                <w:rStyle w:val="Hyperlink"/>
              </w:rPr>
              <w:t>Experience of discrimination (Safe, Included, Respected)</w:t>
            </w:r>
            <w:r w:rsidR="000316FB">
              <w:rPr>
                <w:webHidden/>
              </w:rPr>
              <w:tab/>
            </w:r>
            <w:r w:rsidR="000316FB">
              <w:rPr>
                <w:webHidden/>
              </w:rPr>
              <w:fldChar w:fldCharType="begin"/>
            </w:r>
            <w:r w:rsidR="000316FB">
              <w:rPr>
                <w:webHidden/>
              </w:rPr>
              <w:instrText xml:space="preserve"> PAGEREF _Toc494182057 \h </w:instrText>
            </w:r>
            <w:r w:rsidR="000316FB">
              <w:rPr>
                <w:webHidden/>
              </w:rPr>
            </w:r>
            <w:r w:rsidR="000316FB">
              <w:rPr>
                <w:webHidden/>
              </w:rPr>
              <w:fldChar w:fldCharType="separate"/>
            </w:r>
            <w:r w:rsidR="00147461">
              <w:rPr>
                <w:webHidden/>
              </w:rPr>
              <w:t>46</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58" w:history="1">
            <w:r w:rsidR="000316FB" w:rsidRPr="00A20114">
              <w:rPr>
                <w:rStyle w:val="Hyperlink"/>
              </w:rPr>
              <w:t>2.4</w:t>
            </w:r>
            <w:r w:rsidR="000316FB">
              <w:rPr>
                <w:rFonts w:asciiTheme="minorHAnsi" w:eastAsiaTheme="minorEastAsia" w:hAnsiTheme="minorHAnsi" w:cstheme="minorBidi"/>
                <w:sz w:val="22"/>
                <w:szCs w:val="22"/>
              </w:rPr>
              <w:tab/>
            </w:r>
            <w:r w:rsidR="000316FB" w:rsidRPr="00A20114">
              <w:rPr>
                <w:rStyle w:val="Hyperlink"/>
              </w:rPr>
              <w:t>Place and wellbeing</w:t>
            </w:r>
            <w:r w:rsidR="000316FB">
              <w:rPr>
                <w:webHidden/>
              </w:rPr>
              <w:tab/>
            </w:r>
            <w:r w:rsidR="000316FB">
              <w:rPr>
                <w:webHidden/>
              </w:rPr>
              <w:fldChar w:fldCharType="begin"/>
            </w:r>
            <w:r w:rsidR="000316FB">
              <w:rPr>
                <w:webHidden/>
              </w:rPr>
              <w:instrText xml:space="preserve"> PAGEREF _Toc494182058 \h </w:instrText>
            </w:r>
            <w:r w:rsidR="000316FB">
              <w:rPr>
                <w:webHidden/>
              </w:rPr>
            </w:r>
            <w:r w:rsidR="000316FB">
              <w:rPr>
                <w:webHidden/>
              </w:rPr>
              <w:fldChar w:fldCharType="separate"/>
            </w:r>
            <w:r w:rsidR="00147461">
              <w:rPr>
                <w:webHidden/>
              </w:rPr>
              <w:t>48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59" w:history="1">
            <w:r w:rsidR="000316FB" w:rsidRPr="00A20114">
              <w:rPr>
                <w:rStyle w:val="Hyperlink"/>
              </w:rPr>
              <w:t>2.4.1</w:t>
            </w:r>
            <w:r w:rsidR="000316FB">
              <w:rPr>
                <w:rFonts w:asciiTheme="minorHAnsi" w:eastAsiaTheme="minorEastAsia" w:hAnsiTheme="minorHAnsi" w:cstheme="minorBidi"/>
                <w:szCs w:val="22"/>
              </w:rPr>
              <w:tab/>
            </w:r>
            <w:r w:rsidR="000316FB" w:rsidRPr="00A20114">
              <w:rPr>
                <w:rStyle w:val="Hyperlink"/>
              </w:rPr>
              <w:t>Community</w:t>
            </w:r>
            <w:r w:rsidR="000316FB">
              <w:rPr>
                <w:webHidden/>
              </w:rPr>
              <w:tab/>
            </w:r>
            <w:r w:rsidR="000316FB">
              <w:rPr>
                <w:webHidden/>
              </w:rPr>
              <w:fldChar w:fldCharType="begin"/>
            </w:r>
            <w:r w:rsidR="000316FB">
              <w:rPr>
                <w:webHidden/>
              </w:rPr>
              <w:instrText xml:space="preserve"> PAGEREF _Toc494182059 \h </w:instrText>
            </w:r>
            <w:r w:rsidR="000316FB">
              <w:rPr>
                <w:webHidden/>
              </w:rPr>
            </w:r>
            <w:r w:rsidR="000316FB">
              <w:rPr>
                <w:webHidden/>
              </w:rPr>
              <w:fldChar w:fldCharType="separate"/>
            </w:r>
            <w:r w:rsidR="00147461">
              <w:rPr>
                <w:webHidden/>
              </w:rPr>
              <w:t>48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0" w:history="1">
            <w:r w:rsidR="000316FB" w:rsidRPr="00A20114">
              <w:rPr>
                <w:rStyle w:val="Hyperlink"/>
              </w:rPr>
              <w:t>Views on local area (Included, Respected, Safe)</w:t>
            </w:r>
            <w:r w:rsidR="000316FB">
              <w:rPr>
                <w:webHidden/>
              </w:rPr>
              <w:tab/>
            </w:r>
            <w:r w:rsidR="000316FB">
              <w:rPr>
                <w:webHidden/>
              </w:rPr>
              <w:fldChar w:fldCharType="begin"/>
            </w:r>
            <w:r w:rsidR="000316FB">
              <w:rPr>
                <w:webHidden/>
              </w:rPr>
              <w:instrText xml:space="preserve"> PAGEREF _Toc494182060 \h </w:instrText>
            </w:r>
            <w:r w:rsidR="000316FB">
              <w:rPr>
                <w:webHidden/>
              </w:rPr>
            </w:r>
            <w:r w:rsidR="000316FB">
              <w:rPr>
                <w:webHidden/>
              </w:rPr>
              <w:fldChar w:fldCharType="separate"/>
            </w:r>
            <w:r w:rsidR="00147461">
              <w:rPr>
                <w:webHidden/>
              </w:rPr>
              <w:t>48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1" w:history="1">
            <w:r w:rsidR="000316FB" w:rsidRPr="00A20114">
              <w:rPr>
                <w:rStyle w:val="Hyperlink"/>
              </w:rPr>
              <w:t>Participation in activities (Active, Included)</w:t>
            </w:r>
            <w:r w:rsidR="000316FB">
              <w:rPr>
                <w:webHidden/>
              </w:rPr>
              <w:tab/>
            </w:r>
            <w:r w:rsidR="000316FB">
              <w:rPr>
                <w:webHidden/>
              </w:rPr>
              <w:fldChar w:fldCharType="begin"/>
            </w:r>
            <w:r w:rsidR="000316FB">
              <w:rPr>
                <w:webHidden/>
              </w:rPr>
              <w:instrText xml:space="preserve"> PAGEREF _Toc494182061 \h </w:instrText>
            </w:r>
            <w:r w:rsidR="000316FB">
              <w:rPr>
                <w:webHidden/>
              </w:rPr>
            </w:r>
            <w:r w:rsidR="000316FB">
              <w:rPr>
                <w:webHidden/>
              </w:rPr>
              <w:fldChar w:fldCharType="separate"/>
            </w:r>
            <w:r w:rsidR="00147461">
              <w:rPr>
                <w:webHidden/>
              </w:rPr>
              <w:t>50</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62" w:history="1">
            <w:r w:rsidR="000316FB" w:rsidRPr="00A20114">
              <w:rPr>
                <w:rStyle w:val="Hyperlink"/>
              </w:rPr>
              <w:t>2.5</w:t>
            </w:r>
            <w:r w:rsidR="000316FB">
              <w:rPr>
                <w:rFonts w:asciiTheme="minorHAnsi" w:eastAsiaTheme="minorEastAsia" w:hAnsiTheme="minorHAnsi" w:cstheme="minorBidi"/>
                <w:sz w:val="22"/>
                <w:szCs w:val="22"/>
              </w:rPr>
              <w:tab/>
            </w:r>
            <w:r w:rsidR="000316FB" w:rsidRPr="00A20114">
              <w:rPr>
                <w:rStyle w:val="Hyperlink"/>
              </w:rPr>
              <w:t>Summary of key findings from the secondary survey</w:t>
            </w:r>
            <w:r w:rsidR="000316FB">
              <w:rPr>
                <w:webHidden/>
              </w:rPr>
              <w:tab/>
            </w:r>
            <w:r w:rsidR="000316FB">
              <w:rPr>
                <w:webHidden/>
              </w:rPr>
              <w:fldChar w:fldCharType="begin"/>
            </w:r>
            <w:r w:rsidR="000316FB">
              <w:rPr>
                <w:webHidden/>
              </w:rPr>
              <w:instrText xml:space="preserve"> PAGEREF _Toc494182062 \h </w:instrText>
            </w:r>
            <w:r w:rsidR="000316FB">
              <w:rPr>
                <w:webHidden/>
              </w:rPr>
            </w:r>
            <w:r w:rsidR="000316FB">
              <w:rPr>
                <w:webHidden/>
              </w:rPr>
              <w:fldChar w:fldCharType="separate"/>
            </w:r>
            <w:r w:rsidR="00147461">
              <w:rPr>
                <w:webHidden/>
              </w:rPr>
              <w:t>51</w:t>
            </w:r>
            <w:r w:rsidR="000316FB">
              <w:rPr>
                <w:webHidden/>
              </w:rPr>
              <w:fldChar w:fldCharType="end"/>
            </w:r>
          </w:hyperlink>
        </w:p>
        <w:p w:rsidR="000316FB" w:rsidRDefault="00A2378A">
          <w:pPr>
            <w:pStyle w:val="TOC1"/>
            <w:rPr>
              <w:rFonts w:asciiTheme="minorHAnsi" w:eastAsiaTheme="minorEastAsia" w:hAnsiTheme="minorHAnsi" w:cstheme="minorBidi"/>
              <w:color w:val="auto"/>
              <w:sz w:val="22"/>
              <w:szCs w:val="22"/>
            </w:rPr>
          </w:pPr>
          <w:hyperlink w:anchor="_Toc494182063" w:history="1">
            <w:r w:rsidR="000316FB" w:rsidRPr="00A20114">
              <w:rPr>
                <w:rStyle w:val="Hyperlink"/>
              </w:rPr>
              <w:t>3</w:t>
            </w:r>
            <w:r w:rsidR="000316FB">
              <w:rPr>
                <w:rFonts w:asciiTheme="minorHAnsi" w:eastAsiaTheme="minorEastAsia" w:hAnsiTheme="minorHAnsi" w:cstheme="minorBidi"/>
                <w:color w:val="auto"/>
                <w:sz w:val="22"/>
                <w:szCs w:val="22"/>
              </w:rPr>
              <w:tab/>
            </w:r>
            <w:r w:rsidR="000316FB" w:rsidRPr="00A20114">
              <w:rPr>
                <w:rStyle w:val="Hyperlink"/>
              </w:rPr>
              <w:t>Findings from the primary school survey</w:t>
            </w:r>
            <w:r w:rsidR="000316FB">
              <w:rPr>
                <w:webHidden/>
              </w:rPr>
              <w:tab/>
            </w:r>
            <w:r w:rsidR="000316FB">
              <w:rPr>
                <w:webHidden/>
              </w:rPr>
              <w:fldChar w:fldCharType="begin"/>
            </w:r>
            <w:r w:rsidR="000316FB">
              <w:rPr>
                <w:webHidden/>
              </w:rPr>
              <w:instrText xml:space="preserve"> PAGEREF _Toc494182063 \h </w:instrText>
            </w:r>
            <w:r w:rsidR="000316FB">
              <w:rPr>
                <w:webHidden/>
              </w:rPr>
            </w:r>
            <w:r w:rsidR="000316FB">
              <w:rPr>
                <w:webHidden/>
              </w:rPr>
              <w:fldChar w:fldCharType="separate"/>
            </w:r>
            <w:r w:rsidR="00147461">
              <w:rPr>
                <w:webHidden/>
              </w:rPr>
              <w:t>53</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64" w:history="1">
            <w:r w:rsidR="000316FB" w:rsidRPr="00A20114">
              <w:rPr>
                <w:rStyle w:val="Hyperlink"/>
              </w:rPr>
              <w:t>3.1</w:t>
            </w:r>
            <w:r w:rsidR="000316FB">
              <w:rPr>
                <w:rFonts w:asciiTheme="minorHAnsi" w:eastAsiaTheme="minorEastAsia" w:hAnsiTheme="minorHAnsi" w:cstheme="minorBidi"/>
                <w:sz w:val="22"/>
                <w:szCs w:val="22"/>
              </w:rPr>
              <w:tab/>
            </w:r>
            <w:r w:rsidR="000316FB" w:rsidRPr="00A20114">
              <w:rPr>
                <w:rStyle w:val="Hyperlink"/>
              </w:rPr>
              <w:t>How the survey was carried out</w:t>
            </w:r>
            <w:r w:rsidR="000316FB">
              <w:rPr>
                <w:webHidden/>
              </w:rPr>
              <w:tab/>
            </w:r>
            <w:r w:rsidR="000316FB">
              <w:rPr>
                <w:webHidden/>
              </w:rPr>
              <w:fldChar w:fldCharType="begin"/>
            </w:r>
            <w:r w:rsidR="000316FB">
              <w:rPr>
                <w:webHidden/>
              </w:rPr>
              <w:instrText xml:space="preserve"> PAGEREF _Toc494182064 \h </w:instrText>
            </w:r>
            <w:r w:rsidR="000316FB">
              <w:rPr>
                <w:webHidden/>
              </w:rPr>
            </w:r>
            <w:r w:rsidR="000316FB">
              <w:rPr>
                <w:webHidden/>
              </w:rPr>
              <w:fldChar w:fldCharType="separate"/>
            </w:r>
            <w:r w:rsidR="00147461">
              <w:rPr>
                <w:webHidden/>
              </w:rPr>
              <w:t>53</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65" w:history="1">
            <w:r w:rsidR="000316FB" w:rsidRPr="00A20114">
              <w:rPr>
                <w:rStyle w:val="Hyperlink"/>
              </w:rPr>
              <w:t>3.2</w:t>
            </w:r>
            <w:r w:rsidR="000316FB">
              <w:rPr>
                <w:rFonts w:asciiTheme="minorHAnsi" w:eastAsiaTheme="minorEastAsia" w:hAnsiTheme="minorHAnsi" w:cstheme="minorBidi"/>
                <w:sz w:val="22"/>
                <w:szCs w:val="22"/>
              </w:rPr>
              <w:tab/>
            </w:r>
            <w:r w:rsidR="000316FB" w:rsidRPr="00A20114">
              <w:rPr>
                <w:rStyle w:val="Hyperlink"/>
              </w:rPr>
              <w:t>Personal wellbeing</w:t>
            </w:r>
            <w:r w:rsidR="000316FB">
              <w:rPr>
                <w:webHidden/>
              </w:rPr>
              <w:tab/>
            </w:r>
            <w:r w:rsidR="000316FB">
              <w:rPr>
                <w:webHidden/>
              </w:rPr>
              <w:fldChar w:fldCharType="begin"/>
            </w:r>
            <w:r w:rsidR="000316FB">
              <w:rPr>
                <w:webHidden/>
              </w:rPr>
              <w:instrText xml:space="preserve"> PAGEREF _Toc494182065 \h </w:instrText>
            </w:r>
            <w:r w:rsidR="000316FB">
              <w:rPr>
                <w:webHidden/>
              </w:rPr>
            </w:r>
            <w:r w:rsidR="000316FB">
              <w:rPr>
                <w:webHidden/>
              </w:rPr>
              <w:fldChar w:fldCharType="separate"/>
            </w:r>
            <w:r w:rsidR="00147461">
              <w:rPr>
                <w:webHidden/>
              </w:rPr>
              <w:t>53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6" w:history="1">
            <w:r w:rsidR="000316FB" w:rsidRPr="00A20114">
              <w:rPr>
                <w:rStyle w:val="Hyperlink"/>
              </w:rPr>
              <w:t>3.2.1</w:t>
            </w:r>
            <w:r w:rsidR="000316FB">
              <w:rPr>
                <w:rFonts w:asciiTheme="minorHAnsi" w:eastAsiaTheme="minorEastAsia" w:hAnsiTheme="minorHAnsi" w:cstheme="minorBidi"/>
                <w:szCs w:val="22"/>
              </w:rPr>
              <w:tab/>
            </w:r>
            <w:r w:rsidR="000316FB" w:rsidRPr="00A20114">
              <w:rPr>
                <w:rStyle w:val="Hyperlink"/>
              </w:rPr>
              <w:t>General health (Healthy)</w:t>
            </w:r>
            <w:r w:rsidR="000316FB">
              <w:rPr>
                <w:webHidden/>
              </w:rPr>
              <w:tab/>
            </w:r>
            <w:r w:rsidR="000316FB">
              <w:rPr>
                <w:webHidden/>
              </w:rPr>
              <w:fldChar w:fldCharType="begin"/>
            </w:r>
            <w:r w:rsidR="000316FB">
              <w:rPr>
                <w:webHidden/>
              </w:rPr>
              <w:instrText xml:space="preserve"> PAGEREF _Toc494182066 \h </w:instrText>
            </w:r>
            <w:r w:rsidR="000316FB">
              <w:rPr>
                <w:webHidden/>
              </w:rPr>
            </w:r>
            <w:r w:rsidR="000316FB">
              <w:rPr>
                <w:webHidden/>
              </w:rPr>
              <w:fldChar w:fldCharType="separate"/>
            </w:r>
            <w:r w:rsidR="00147461">
              <w:rPr>
                <w:webHidden/>
              </w:rPr>
              <w:t>53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7" w:history="1">
            <w:r w:rsidR="000316FB" w:rsidRPr="00A20114">
              <w:rPr>
                <w:rStyle w:val="Hyperlink"/>
              </w:rPr>
              <w:t>3.2.2</w:t>
            </w:r>
            <w:r w:rsidR="000316FB">
              <w:rPr>
                <w:rFonts w:asciiTheme="minorHAnsi" w:eastAsiaTheme="minorEastAsia" w:hAnsiTheme="minorHAnsi" w:cstheme="minorBidi"/>
                <w:szCs w:val="22"/>
              </w:rPr>
              <w:tab/>
            </w:r>
            <w:r w:rsidR="000316FB" w:rsidRPr="00A20114">
              <w:rPr>
                <w:rStyle w:val="Hyperlink"/>
              </w:rPr>
              <w:t>Healthy living</w:t>
            </w:r>
            <w:r w:rsidR="000316FB">
              <w:rPr>
                <w:webHidden/>
              </w:rPr>
              <w:tab/>
            </w:r>
            <w:r w:rsidR="000316FB">
              <w:rPr>
                <w:webHidden/>
              </w:rPr>
              <w:fldChar w:fldCharType="begin"/>
            </w:r>
            <w:r w:rsidR="000316FB">
              <w:rPr>
                <w:webHidden/>
              </w:rPr>
              <w:instrText xml:space="preserve"> PAGEREF _Toc494182067 \h </w:instrText>
            </w:r>
            <w:r w:rsidR="000316FB">
              <w:rPr>
                <w:webHidden/>
              </w:rPr>
            </w:r>
            <w:r w:rsidR="000316FB">
              <w:rPr>
                <w:webHidden/>
              </w:rPr>
              <w:fldChar w:fldCharType="separate"/>
            </w:r>
            <w:r w:rsidR="00147461">
              <w:rPr>
                <w:webHidden/>
              </w:rPr>
              <w:t>55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8" w:history="1">
            <w:r w:rsidR="000316FB" w:rsidRPr="00A20114">
              <w:rPr>
                <w:rStyle w:val="Hyperlink"/>
              </w:rPr>
              <w:t>Physical activity (Active, Healthy)</w:t>
            </w:r>
            <w:r w:rsidR="000316FB">
              <w:rPr>
                <w:webHidden/>
              </w:rPr>
              <w:tab/>
            </w:r>
            <w:r w:rsidR="000316FB">
              <w:rPr>
                <w:webHidden/>
              </w:rPr>
              <w:fldChar w:fldCharType="begin"/>
            </w:r>
            <w:r w:rsidR="000316FB">
              <w:rPr>
                <w:webHidden/>
              </w:rPr>
              <w:instrText xml:space="preserve"> PAGEREF _Toc494182068 \h </w:instrText>
            </w:r>
            <w:r w:rsidR="000316FB">
              <w:rPr>
                <w:webHidden/>
              </w:rPr>
            </w:r>
            <w:r w:rsidR="000316FB">
              <w:rPr>
                <w:webHidden/>
              </w:rPr>
              <w:fldChar w:fldCharType="separate"/>
            </w:r>
            <w:r w:rsidR="00147461">
              <w:rPr>
                <w:webHidden/>
              </w:rPr>
              <w:t>55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69" w:history="1">
            <w:r w:rsidR="000316FB" w:rsidRPr="00A20114">
              <w:rPr>
                <w:rStyle w:val="Hyperlink"/>
              </w:rPr>
              <w:t>Diet and nutrition (Healthy)</w:t>
            </w:r>
            <w:r w:rsidR="000316FB">
              <w:rPr>
                <w:webHidden/>
              </w:rPr>
              <w:tab/>
            </w:r>
            <w:r w:rsidR="000316FB">
              <w:rPr>
                <w:webHidden/>
              </w:rPr>
              <w:fldChar w:fldCharType="begin"/>
            </w:r>
            <w:r w:rsidR="000316FB">
              <w:rPr>
                <w:webHidden/>
              </w:rPr>
              <w:instrText xml:space="preserve"> PAGEREF _Toc494182069 \h </w:instrText>
            </w:r>
            <w:r w:rsidR="000316FB">
              <w:rPr>
                <w:webHidden/>
              </w:rPr>
            </w:r>
            <w:r w:rsidR="000316FB">
              <w:rPr>
                <w:webHidden/>
              </w:rPr>
              <w:fldChar w:fldCharType="separate"/>
            </w:r>
            <w:r w:rsidR="00147461">
              <w:rPr>
                <w:webHidden/>
              </w:rPr>
              <w:t>56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0" w:history="1">
            <w:r w:rsidR="000316FB" w:rsidRPr="00A20114">
              <w:rPr>
                <w:rStyle w:val="Hyperlink"/>
              </w:rPr>
              <w:t>Dental health (Healthy)</w:t>
            </w:r>
            <w:r w:rsidR="000316FB">
              <w:rPr>
                <w:webHidden/>
              </w:rPr>
              <w:tab/>
            </w:r>
            <w:r w:rsidR="000316FB">
              <w:rPr>
                <w:webHidden/>
              </w:rPr>
              <w:fldChar w:fldCharType="begin"/>
            </w:r>
            <w:r w:rsidR="000316FB">
              <w:rPr>
                <w:webHidden/>
              </w:rPr>
              <w:instrText xml:space="preserve"> PAGEREF _Toc494182070 \h </w:instrText>
            </w:r>
            <w:r w:rsidR="000316FB">
              <w:rPr>
                <w:webHidden/>
              </w:rPr>
            </w:r>
            <w:r w:rsidR="000316FB">
              <w:rPr>
                <w:webHidden/>
              </w:rPr>
              <w:fldChar w:fldCharType="separate"/>
            </w:r>
            <w:r w:rsidR="00147461">
              <w:rPr>
                <w:webHidden/>
              </w:rPr>
              <w:t>58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1" w:history="1">
            <w:r w:rsidR="000316FB" w:rsidRPr="00A20114">
              <w:rPr>
                <w:rStyle w:val="Hyperlink"/>
              </w:rPr>
              <w:t>Exposure to smoking (Healthy, Safe)</w:t>
            </w:r>
            <w:r w:rsidR="000316FB">
              <w:rPr>
                <w:webHidden/>
              </w:rPr>
              <w:tab/>
            </w:r>
            <w:r w:rsidR="000316FB">
              <w:rPr>
                <w:webHidden/>
              </w:rPr>
              <w:fldChar w:fldCharType="begin"/>
            </w:r>
            <w:r w:rsidR="000316FB">
              <w:rPr>
                <w:webHidden/>
              </w:rPr>
              <w:instrText xml:space="preserve"> PAGEREF _Toc494182071 \h </w:instrText>
            </w:r>
            <w:r w:rsidR="000316FB">
              <w:rPr>
                <w:webHidden/>
              </w:rPr>
            </w:r>
            <w:r w:rsidR="000316FB">
              <w:rPr>
                <w:webHidden/>
              </w:rPr>
              <w:fldChar w:fldCharType="separate"/>
            </w:r>
            <w:r w:rsidR="00147461">
              <w:rPr>
                <w:webHidden/>
              </w:rPr>
              <w:t>59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2" w:history="1">
            <w:r w:rsidR="000316FB" w:rsidRPr="00A20114">
              <w:rPr>
                <w:rStyle w:val="Hyperlink"/>
              </w:rPr>
              <w:t>3.2.3</w:t>
            </w:r>
            <w:r w:rsidR="000316FB">
              <w:rPr>
                <w:rFonts w:asciiTheme="minorHAnsi" w:eastAsiaTheme="minorEastAsia" w:hAnsiTheme="minorHAnsi" w:cstheme="minorBidi"/>
                <w:szCs w:val="22"/>
              </w:rPr>
              <w:tab/>
            </w:r>
            <w:r w:rsidR="000316FB" w:rsidRPr="00A20114">
              <w:rPr>
                <w:rStyle w:val="Hyperlink"/>
              </w:rPr>
              <w:t>Mental health and wellbeing</w:t>
            </w:r>
            <w:r w:rsidR="000316FB">
              <w:rPr>
                <w:webHidden/>
              </w:rPr>
              <w:tab/>
            </w:r>
            <w:r w:rsidR="000316FB">
              <w:rPr>
                <w:webHidden/>
              </w:rPr>
              <w:fldChar w:fldCharType="begin"/>
            </w:r>
            <w:r w:rsidR="000316FB">
              <w:rPr>
                <w:webHidden/>
              </w:rPr>
              <w:instrText xml:space="preserve"> PAGEREF _Toc494182072 \h </w:instrText>
            </w:r>
            <w:r w:rsidR="000316FB">
              <w:rPr>
                <w:webHidden/>
              </w:rPr>
            </w:r>
            <w:r w:rsidR="000316FB">
              <w:rPr>
                <w:webHidden/>
              </w:rPr>
              <w:fldChar w:fldCharType="separate"/>
            </w:r>
            <w:r w:rsidR="00147461">
              <w:rPr>
                <w:webHidden/>
              </w:rPr>
              <w:t>60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3" w:history="1">
            <w:r w:rsidR="000316FB" w:rsidRPr="00A20114">
              <w:rPr>
                <w:rStyle w:val="Hyperlink"/>
              </w:rPr>
              <w:t>Life satisfaction (Healthy, Included)</w:t>
            </w:r>
            <w:r w:rsidR="000316FB">
              <w:rPr>
                <w:webHidden/>
              </w:rPr>
              <w:tab/>
            </w:r>
            <w:r w:rsidR="000316FB">
              <w:rPr>
                <w:webHidden/>
              </w:rPr>
              <w:fldChar w:fldCharType="begin"/>
            </w:r>
            <w:r w:rsidR="000316FB">
              <w:rPr>
                <w:webHidden/>
              </w:rPr>
              <w:instrText xml:space="preserve"> PAGEREF _Toc494182073 \h </w:instrText>
            </w:r>
            <w:r w:rsidR="000316FB">
              <w:rPr>
                <w:webHidden/>
              </w:rPr>
            </w:r>
            <w:r w:rsidR="000316FB">
              <w:rPr>
                <w:webHidden/>
              </w:rPr>
              <w:fldChar w:fldCharType="separate"/>
            </w:r>
            <w:r w:rsidR="00147461">
              <w:rPr>
                <w:webHidden/>
              </w:rPr>
              <w:t>60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4" w:history="1">
            <w:r w:rsidR="000316FB" w:rsidRPr="00A20114">
              <w:rPr>
                <w:rStyle w:val="Hyperlink"/>
              </w:rPr>
              <w:t>Mood and emotions (Healthy)</w:t>
            </w:r>
            <w:r w:rsidR="000316FB">
              <w:rPr>
                <w:webHidden/>
              </w:rPr>
              <w:tab/>
            </w:r>
            <w:r w:rsidR="000316FB">
              <w:rPr>
                <w:webHidden/>
              </w:rPr>
              <w:fldChar w:fldCharType="begin"/>
            </w:r>
            <w:r w:rsidR="000316FB">
              <w:rPr>
                <w:webHidden/>
              </w:rPr>
              <w:instrText xml:space="preserve"> PAGEREF _Toc494182074 \h </w:instrText>
            </w:r>
            <w:r w:rsidR="000316FB">
              <w:rPr>
                <w:webHidden/>
              </w:rPr>
            </w:r>
            <w:r w:rsidR="000316FB">
              <w:rPr>
                <w:webHidden/>
              </w:rPr>
              <w:fldChar w:fldCharType="separate"/>
            </w:r>
            <w:r w:rsidR="00147461">
              <w:rPr>
                <w:webHidden/>
              </w:rPr>
              <w:t>63</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75" w:history="1">
            <w:r w:rsidR="000316FB" w:rsidRPr="00A20114">
              <w:rPr>
                <w:rStyle w:val="Hyperlink"/>
              </w:rPr>
              <w:t>3.3</w:t>
            </w:r>
            <w:r w:rsidR="000316FB">
              <w:rPr>
                <w:rFonts w:asciiTheme="minorHAnsi" w:eastAsiaTheme="minorEastAsia" w:hAnsiTheme="minorHAnsi" w:cstheme="minorBidi"/>
                <w:sz w:val="22"/>
                <w:szCs w:val="22"/>
              </w:rPr>
              <w:tab/>
            </w:r>
            <w:r w:rsidR="000316FB" w:rsidRPr="00A20114">
              <w:rPr>
                <w:rStyle w:val="Hyperlink"/>
              </w:rPr>
              <w:t>Social wellbeing</w:t>
            </w:r>
            <w:r w:rsidR="000316FB">
              <w:rPr>
                <w:webHidden/>
              </w:rPr>
              <w:tab/>
            </w:r>
            <w:r w:rsidR="000316FB">
              <w:rPr>
                <w:webHidden/>
              </w:rPr>
              <w:fldChar w:fldCharType="begin"/>
            </w:r>
            <w:r w:rsidR="000316FB">
              <w:rPr>
                <w:webHidden/>
              </w:rPr>
              <w:instrText xml:space="preserve"> PAGEREF _Toc494182075 \h </w:instrText>
            </w:r>
            <w:r w:rsidR="000316FB">
              <w:rPr>
                <w:webHidden/>
              </w:rPr>
            </w:r>
            <w:r w:rsidR="000316FB">
              <w:rPr>
                <w:webHidden/>
              </w:rPr>
              <w:fldChar w:fldCharType="separate"/>
            </w:r>
            <w:r w:rsidR="00147461">
              <w:rPr>
                <w:webHidden/>
              </w:rPr>
              <w:t>64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6" w:history="1">
            <w:r w:rsidR="000316FB" w:rsidRPr="00A20114">
              <w:rPr>
                <w:rStyle w:val="Hyperlink"/>
              </w:rPr>
              <w:t>3.3.1</w:t>
            </w:r>
            <w:r w:rsidR="000316FB">
              <w:rPr>
                <w:rFonts w:asciiTheme="minorHAnsi" w:eastAsiaTheme="minorEastAsia" w:hAnsiTheme="minorHAnsi" w:cstheme="minorBidi"/>
                <w:szCs w:val="22"/>
              </w:rPr>
              <w:tab/>
            </w:r>
            <w:r w:rsidR="000316FB" w:rsidRPr="00A20114">
              <w:rPr>
                <w:rStyle w:val="Hyperlink"/>
              </w:rPr>
              <w:t>Family</w:t>
            </w:r>
            <w:r w:rsidR="000316FB">
              <w:rPr>
                <w:webHidden/>
              </w:rPr>
              <w:tab/>
              <w:t>………………………………………………………………..</w:t>
            </w:r>
            <w:r w:rsidR="000316FB">
              <w:rPr>
                <w:webHidden/>
              </w:rPr>
              <w:fldChar w:fldCharType="begin"/>
            </w:r>
            <w:r w:rsidR="000316FB">
              <w:rPr>
                <w:webHidden/>
              </w:rPr>
              <w:instrText xml:space="preserve"> PAGEREF _Toc494182076 \h </w:instrText>
            </w:r>
            <w:r w:rsidR="000316FB">
              <w:rPr>
                <w:webHidden/>
              </w:rPr>
            </w:r>
            <w:r w:rsidR="000316FB">
              <w:rPr>
                <w:webHidden/>
              </w:rPr>
              <w:fldChar w:fldCharType="separate"/>
            </w:r>
            <w:r w:rsidR="00147461">
              <w:rPr>
                <w:webHidden/>
              </w:rPr>
              <w:t>64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7" w:history="1">
            <w:r w:rsidR="000316FB" w:rsidRPr="00A20114">
              <w:rPr>
                <w:rStyle w:val="Hyperlink"/>
              </w:rPr>
              <w:t>Family relations (Nurtured, Included)</w:t>
            </w:r>
            <w:r w:rsidR="000316FB">
              <w:rPr>
                <w:webHidden/>
              </w:rPr>
              <w:tab/>
            </w:r>
            <w:r w:rsidR="000316FB">
              <w:rPr>
                <w:webHidden/>
              </w:rPr>
              <w:fldChar w:fldCharType="begin"/>
            </w:r>
            <w:r w:rsidR="000316FB">
              <w:rPr>
                <w:webHidden/>
              </w:rPr>
              <w:instrText xml:space="preserve"> PAGEREF _Toc494182077 \h </w:instrText>
            </w:r>
            <w:r w:rsidR="000316FB">
              <w:rPr>
                <w:webHidden/>
              </w:rPr>
            </w:r>
            <w:r w:rsidR="000316FB">
              <w:rPr>
                <w:webHidden/>
              </w:rPr>
              <w:fldChar w:fldCharType="separate"/>
            </w:r>
            <w:r w:rsidR="00147461">
              <w:rPr>
                <w:webHidden/>
              </w:rPr>
              <w:t>64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8" w:history="1">
            <w:r w:rsidR="000316FB" w:rsidRPr="00A20114">
              <w:rPr>
                <w:rStyle w:val="Hyperlink"/>
              </w:rPr>
              <w:t>Worries about parental health (Healthy)</w:t>
            </w:r>
            <w:r w:rsidR="000316FB">
              <w:rPr>
                <w:webHidden/>
              </w:rPr>
              <w:tab/>
            </w:r>
            <w:r w:rsidR="000316FB">
              <w:rPr>
                <w:webHidden/>
              </w:rPr>
              <w:fldChar w:fldCharType="begin"/>
            </w:r>
            <w:r w:rsidR="000316FB">
              <w:rPr>
                <w:webHidden/>
              </w:rPr>
              <w:instrText xml:space="preserve"> PAGEREF _Toc494182078 \h </w:instrText>
            </w:r>
            <w:r w:rsidR="000316FB">
              <w:rPr>
                <w:webHidden/>
              </w:rPr>
            </w:r>
            <w:r w:rsidR="000316FB">
              <w:rPr>
                <w:webHidden/>
              </w:rPr>
              <w:fldChar w:fldCharType="separate"/>
            </w:r>
            <w:r w:rsidR="00147461">
              <w:rPr>
                <w:webHidden/>
              </w:rPr>
              <w:t>68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79" w:history="1">
            <w:r w:rsidR="000316FB" w:rsidRPr="00A20114">
              <w:rPr>
                <w:rStyle w:val="Hyperlink"/>
              </w:rPr>
              <w:t>3.3.2</w:t>
            </w:r>
            <w:r w:rsidR="000316FB">
              <w:rPr>
                <w:rFonts w:asciiTheme="minorHAnsi" w:eastAsiaTheme="minorEastAsia" w:hAnsiTheme="minorHAnsi" w:cstheme="minorBidi"/>
                <w:szCs w:val="22"/>
              </w:rPr>
              <w:tab/>
            </w:r>
            <w:r w:rsidR="000316FB" w:rsidRPr="00A20114">
              <w:rPr>
                <w:rStyle w:val="Hyperlink"/>
              </w:rPr>
              <w:t>Educational and learning environment</w:t>
            </w:r>
            <w:r w:rsidR="000316FB">
              <w:rPr>
                <w:webHidden/>
              </w:rPr>
              <w:tab/>
            </w:r>
            <w:r w:rsidR="000316FB">
              <w:rPr>
                <w:webHidden/>
              </w:rPr>
              <w:fldChar w:fldCharType="begin"/>
            </w:r>
            <w:r w:rsidR="000316FB">
              <w:rPr>
                <w:webHidden/>
              </w:rPr>
              <w:instrText xml:space="preserve"> PAGEREF _Toc494182079 \h </w:instrText>
            </w:r>
            <w:r w:rsidR="000316FB">
              <w:rPr>
                <w:webHidden/>
              </w:rPr>
            </w:r>
            <w:r w:rsidR="000316FB">
              <w:rPr>
                <w:webHidden/>
              </w:rPr>
              <w:fldChar w:fldCharType="separate"/>
            </w:r>
            <w:r w:rsidR="00147461">
              <w:rPr>
                <w:webHidden/>
              </w:rPr>
              <w:t>69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0" w:history="1">
            <w:r w:rsidR="000316FB" w:rsidRPr="00A20114">
              <w:rPr>
                <w:rStyle w:val="Hyperlink"/>
              </w:rPr>
              <w:t>Educational enjoyment and engagement (Achieving, Included)</w:t>
            </w:r>
            <w:r w:rsidR="000316FB">
              <w:rPr>
                <w:webHidden/>
              </w:rPr>
              <w:tab/>
            </w:r>
            <w:r w:rsidR="000316FB">
              <w:rPr>
                <w:webHidden/>
              </w:rPr>
              <w:fldChar w:fldCharType="begin"/>
            </w:r>
            <w:r w:rsidR="000316FB">
              <w:rPr>
                <w:webHidden/>
              </w:rPr>
              <w:instrText xml:space="preserve"> PAGEREF _Toc494182080 \h </w:instrText>
            </w:r>
            <w:r w:rsidR="000316FB">
              <w:rPr>
                <w:webHidden/>
              </w:rPr>
            </w:r>
            <w:r w:rsidR="000316FB">
              <w:rPr>
                <w:webHidden/>
              </w:rPr>
              <w:fldChar w:fldCharType="separate"/>
            </w:r>
            <w:r w:rsidR="00147461">
              <w:rPr>
                <w:webHidden/>
              </w:rPr>
              <w:t>69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1" w:history="1">
            <w:r w:rsidR="000316FB" w:rsidRPr="00A20114">
              <w:rPr>
                <w:rStyle w:val="Hyperlink"/>
              </w:rPr>
              <w:t>Educational environment (Achieving, Included)</w:t>
            </w:r>
            <w:r w:rsidR="000316FB">
              <w:rPr>
                <w:webHidden/>
              </w:rPr>
              <w:tab/>
            </w:r>
            <w:r w:rsidR="000316FB">
              <w:rPr>
                <w:webHidden/>
              </w:rPr>
              <w:fldChar w:fldCharType="begin"/>
            </w:r>
            <w:r w:rsidR="000316FB">
              <w:rPr>
                <w:webHidden/>
              </w:rPr>
              <w:instrText xml:space="preserve"> PAGEREF _Toc494182081 \h </w:instrText>
            </w:r>
            <w:r w:rsidR="000316FB">
              <w:rPr>
                <w:webHidden/>
              </w:rPr>
            </w:r>
            <w:r w:rsidR="000316FB">
              <w:rPr>
                <w:webHidden/>
              </w:rPr>
              <w:fldChar w:fldCharType="separate"/>
            </w:r>
            <w:r w:rsidR="00147461">
              <w:rPr>
                <w:webHidden/>
              </w:rPr>
              <w:t>72</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2" w:history="1">
            <w:r w:rsidR="000316FB" w:rsidRPr="00A20114">
              <w:rPr>
                <w:rStyle w:val="Hyperlink"/>
              </w:rPr>
              <w:t>Worries about school work (Achieving, Healthy)</w:t>
            </w:r>
            <w:r w:rsidR="000316FB">
              <w:rPr>
                <w:webHidden/>
              </w:rPr>
              <w:tab/>
            </w:r>
            <w:r w:rsidR="000316FB">
              <w:rPr>
                <w:webHidden/>
              </w:rPr>
              <w:fldChar w:fldCharType="begin"/>
            </w:r>
            <w:r w:rsidR="000316FB">
              <w:rPr>
                <w:webHidden/>
              </w:rPr>
              <w:instrText xml:space="preserve"> PAGEREF _Toc494182082 \h </w:instrText>
            </w:r>
            <w:r w:rsidR="000316FB">
              <w:rPr>
                <w:webHidden/>
              </w:rPr>
            </w:r>
            <w:r w:rsidR="000316FB">
              <w:rPr>
                <w:webHidden/>
              </w:rPr>
              <w:fldChar w:fldCharType="separate"/>
            </w:r>
            <w:r w:rsidR="00147461">
              <w:rPr>
                <w:webHidden/>
              </w:rPr>
              <w:t>74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3" w:history="1">
            <w:r w:rsidR="000316FB" w:rsidRPr="00A20114">
              <w:rPr>
                <w:rStyle w:val="Hyperlink"/>
              </w:rPr>
              <w:t>3.3.3</w:t>
            </w:r>
            <w:r w:rsidR="000316FB">
              <w:rPr>
                <w:rFonts w:asciiTheme="minorHAnsi" w:eastAsiaTheme="minorEastAsia" w:hAnsiTheme="minorHAnsi" w:cstheme="minorBidi"/>
                <w:szCs w:val="22"/>
              </w:rPr>
              <w:tab/>
            </w:r>
            <w:r w:rsidR="000316FB" w:rsidRPr="00A20114">
              <w:rPr>
                <w:rStyle w:val="Hyperlink"/>
              </w:rPr>
              <w:t>Peer relationships and friendships</w:t>
            </w:r>
            <w:r w:rsidR="000316FB">
              <w:rPr>
                <w:webHidden/>
              </w:rPr>
              <w:tab/>
            </w:r>
            <w:r w:rsidR="000316FB">
              <w:rPr>
                <w:webHidden/>
              </w:rPr>
              <w:fldChar w:fldCharType="begin"/>
            </w:r>
            <w:r w:rsidR="000316FB">
              <w:rPr>
                <w:webHidden/>
              </w:rPr>
              <w:instrText xml:space="preserve"> PAGEREF _Toc494182083 \h </w:instrText>
            </w:r>
            <w:r w:rsidR="000316FB">
              <w:rPr>
                <w:webHidden/>
              </w:rPr>
            </w:r>
            <w:r w:rsidR="000316FB">
              <w:rPr>
                <w:webHidden/>
              </w:rPr>
              <w:fldChar w:fldCharType="separate"/>
            </w:r>
            <w:r w:rsidR="00147461">
              <w:rPr>
                <w:webHidden/>
              </w:rPr>
              <w:t>75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4" w:history="1">
            <w:r w:rsidR="000316FB" w:rsidRPr="00A20114">
              <w:rPr>
                <w:rStyle w:val="Hyperlink"/>
              </w:rPr>
              <w:t>Friendships (Included, Respected)</w:t>
            </w:r>
            <w:r w:rsidR="000316FB">
              <w:rPr>
                <w:webHidden/>
              </w:rPr>
              <w:tab/>
            </w:r>
            <w:r w:rsidR="000316FB">
              <w:rPr>
                <w:webHidden/>
              </w:rPr>
              <w:fldChar w:fldCharType="begin"/>
            </w:r>
            <w:r w:rsidR="000316FB">
              <w:rPr>
                <w:webHidden/>
              </w:rPr>
              <w:instrText xml:space="preserve"> PAGEREF _Toc494182084 \h </w:instrText>
            </w:r>
            <w:r w:rsidR="000316FB">
              <w:rPr>
                <w:webHidden/>
              </w:rPr>
            </w:r>
            <w:r w:rsidR="000316FB">
              <w:rPr>
                <w:webHidden/>
              </w:rPr>
              <w:fldChar w:fldCharType="separate"/>
            </w:r>
            <w:r w:rsidR="00147461">
              <w:rPr>
                <w:webHidden/>
              </w:rPr>
              <w:t>75</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5" w:history="1">
            <w:r w:rsidR="000316FB" w:rsidRPr="00A20114">
              <w:rPr>
                <w:rStyle w:val="Hyperlink"/>
              </w:rPr>
              <w:t>Bullying (Safe, Included, Respected, Responsible)</w:t>
            </w:r>
            <w:r w:rsidR="000316FB">
              <w:rPr>
                <w:webHidden/>
              </w:rPr>
              <w:tab/>
            </w:r>
            <w:r w:rsidR="000316FB">
              <w:rPr>
                <w:webHidden/>
              </w:rPr>
              <w:fldChar w:fldCharType="begin"/>
            </w:r>
            <w:r w:rsidR="000316FB">
              <w:rPr>
                <w:webHidden/>
              </w:rPr>
              <w:instrText xml:space="preserve"> PAGEREF _Toc494182085 \h </w:instrText>
            </w:r>
            <w:r w:rsidR="000316FB">
              <w:rPr>
                <w:webHidden/>
              </w:rPr>
            </w:r>
            <w:r w:rsidR="000316FB">
              <w:rPr>
                <w:webHidden/>
              </w:rPr>
              <w:fldChar w:fldCharType="separate"/>
            </w:r>
            <w:r w:rsidR="00147461">
              <w:rPr>
                <w:webHidden/>
              </w:rPr>
              <w:t>77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6" w:history="1">
            <w:r w:rsidR="000316FB" w:rsidRPr="00A20114">
              <w:rPr>
                <w:rStyle w:val="Hyperlink"/>
              </w:rPr>
              <w:t>3.3.4</w:t>
            </w:r>
            <w:r w:rsidR="000316FB">
              <w:rPr>
                <w:rFonts w:asciiTheme="minorHAnsi" w:eastAsiaTheme="minorEastAsia" w:hAnsiTheme="minorHAnsi" w:cstheme="minorBidi"/>
                <w:szCs w:val="22"/>
              </w:rPr>
              <w:tab/>
            </w:r>
            <w:r w:rsidR="000316FB" w:rsidRPr="00A20114">
              <w:rPr>
                <w:rStyle w:val="Hyperlink"/>
              </w:rPr>
              <w:t>Societal</w:t>
            </w:r>
            <w:r w:rsidR="000316FB">
              <w:rPr>
                <w:webHidden/>
              </w:rPr>
              <w:tab/>
            </w:r>
            <w:r w:rsidR="000316FB">
              <w:rPr>
                <w:webHidden/>
              </w:rPr>
              <w:fldChar w:fldCharType="begin"/>
            </w:r>
            <w:r w:rsidR="000316FB">
              <w:rPr>
                <w:webHidden/>
              </w:rPr>
              <w:instrText xml:space="preserve"> PAGEREF _Toc494182086 \h </w:instrText>
            </w:r>
            <w:r w:rsidR="000316FB">
              <w:rPr>
                <w:webHidden/>
              </w:rPr>
            </w:r>
            <w:r w:rsidR="000316FB">
              <w:rPr>
                <w:webHidden/>
              </w:rPr>
              <w:fldChar w:fldCharType="separate"/>
            </w:r>
            <w:r w:rsidR="00147461">
              <w:rPr>
                <w:webHidden/>
              </w:rPr>
              <w:t>80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7" w:history="1">
            <w:r w:rsidR="000316FB" w:rsidRPr="00A20114">
              <w:rPr>
                <w:rStyle w:val="Hyperlink"/>
              </w:rPr>
              <w:t>Equality (Included)</w:t>
            </w:r>
            <w:r w:rsidR="000316FB">
              <w:rPr>
                <w:webHidden/>
              </w:rPr>
              <w:tab/>
            </w:r>
            <w:r w:rsidR="000316FB">
              <w:rPr>
                <w:webHidden/>
              </w:rPr>
              <w:fldChar w:fldCharType="begin"/>
            </w:r>
            <w:r w:rsidR="000316FB">
              <w:rPr>
                <w:webHidden/>
              </w:rPr>
              <w:instrText xml:space="preserve"> PAGEREF _Toc494182087 \h </w:instrText>
            </w:r>
            <w:r w:rsidR="000316FB">
              <w:rPr>
                <w:webHidden/>
              </w:rPr>
            </w:r>
            <w:r w:rsidR="000316FB">
              <w:rPr>
                <w:webHidden/>
              </w:rPr>
              <w:fldChar w:fldCharType="separate"/>
            </w:r>
            <w:r w:rsidR="00147461">
              <w:rPr>
                <w:webHidden/>
              </w:rPr>
              <w:t>80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8" w:history="1">
            <w:r w:rsidR="000316FB" w:rsidRPr="00A20114">
              <w:rPr>
                <w:rStyle w:val="Hyperlink"/>
              </w:rPr>
              <w:t>Anti-social behaviours (Responsible)</w:t>
            </w:r>
            <w:r w:rsidR="000316FB">
              <w:rPr>
                <w:webHidden/>
              </w:rPr>
              <w:tab/>
            </w:r>
            <w:r w:rsidR="000316FB">
              <w:rPr>
                <w:webHidden/>
              </w:rPr>
              <w:fldChar w:fldCharType="begin"/>
            </w:r>
            <w:r w:rsidR="000316FB">
              <w:rPr>
                <w:webHidden/>
              </w:rPr>
              <w:instrText xml:space="preserve"> PAGEREF _Toc494182088 \h </w:instrText>
            </w:r>
            <w:r w:rsidR="000316FB">
              <w:rPr>
                <w:webHidden/>
              </w:rPr>
            </w:r>
            <w:r w:rsidR="000316FB">
              <w:rPr>
                <w:webHidden/>
              </w:rPr>
              <w:fldChar w:fldCharType="separate"/>
            </w:r>
            <w:r w:rsidR="00147461">
              <w:rPr>
                <w:webHidden/>
              </w:rPr>
              <w:t>80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89" w:history="1">
            <w:r w:rsidR="000316FB" w:rsidRPr="00A20114">
              <w:rPr>
                <w:rStyle w:val="Hyperlink"/>
              </w:rPr>
              <w:t>Body image and appearance (Healthy)</w:t>
            </w:r>
            <w:r w:rsidR="000316FB">
              <w:rPr>
                <w:webHidden/>
              </w:rPr>
              <w:tab/>
            </w:r>
            <w:r w:rsidR="000316FB">
              <w:rPr>
                <w:webHidden/>
              </w:rPr>
              <w:fldChar w:fldCharType="begin"/>
            </w:r>
            <w:r w:rsidR="000316FB">
              <w:rPr>
                <w:webHidden/>
              </w:rPr>
              <w:instrText xml:space="preserve"> PAGEREF _Toc494182089 \h </w:instrText>
            </w:r>
            <w:r w:rsidR="000316FB">
              <w:rPr>
                <w:webHidden/>
              </w:rPr>
            </w:r>
            <w:r w:rsidR="000316FB">
              <w:rPr>
                <w:webHidden/>
              </w:rPr>
              <w:fldChar w:fldCharType="separate"/>
            </w:r>
            <w:r w:rsidR="00147461">
              <w:rPr>
                <w:webHidden/>
              </w:rPr>
              <w:t>81</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90" w:history="1">
            <w:r w:rsidR="000316FB" w:rsidRPr="00A20114">
              <w:rPr>
                <w:rStyle w:val="Hyperlink"/>
              </w:rPr>
              <w:t>3.4</w:t>
            </w:r>
            <w:r w:rsidR="000316FB">
              <w:rPr>
                <w:rFonts w:asciiTheme="minorHAnsi" w:eastAsiaTheme="minorEastAsia" w:hAnsiTheme="minorHAnsi" w:cstheme="minorBidi"/>
                <w:sz w:val="22"/>
                <w:szCs w:val="22"/>
              </w:rPr>
              <w:tab/>
            </w:r>
            <w:r w:rsidR="000316FB" w:rsidRPr="00A20114">
              <w:rPr>
                <w:rStyle w:val="Hyperlink"/>
              </w:rPr>
              <w:t>Place and wellbeing</w:t>
            </w:r>
            <w:r w:rsidR="000316FB">
              <w:rPr>
                <w:webHidden/>
              </w:rPr>
              <w:tab/>
            </w:r>
            <w:r w:rsidR="000316FB">
              <w:rPr>
                <w:webHidden/>
              </w:rPr>
              <w:fldChar w:fldCharType="begin"/>
            </w:r>
            <w:r w:rsidR="000316FB">
              <w:rPr>
                <w:webHidden/>
              </w:rPr>
              <w:instrText xml:space="preserve"> PAGEREF _Toc494182090 \h </w:instrText>
            </w:r>
            <w:r w:rsidR="000316FB">
              <w:rPr>
                <w:webHidden/>
              </w:rPr>
            </w:r>
            <w:r w:rsidR="000316FB">
              <w:rPr>
                <w:webHidden/>
              </w:rPr>
              <w:fldChar w:fldCharType="separate"/>
            </w:r>
            <w:r w:rsidR="00147461">
              <w:rPr>
                <w:webHidden/>
              </w:rPr>
              <w:t>82</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91" w:history="1">
            <w:r w:rsidR="000316FB" w:rsidRPr="00A20114">
              <w:rPr>
                <w:rStyle w:val="Hyperlink"/>
              </w:rPr>
              <w:t>3.4.1</w:t>
            </w:r>
            <w:r w:rsidR="000316FB">
              <w:rPr>
                <w:rFonts w:asciiTheme="minorHAnsi" w:eastAsiaTheme="minorEastAsia" w:hAnsiTheme="minorHAnsi" w:cstheme="minorBidi"/>
                <w:szCs w:val="22"/>
              </w:rPr>
              <w:tab/>
            </w:r>
            <w:r w:rsidR="000316FB" w:rsidRPr="00A20114">
              <w:rPr>
                <w:rStyle w:val="Hyperlink"/>
              </w:rPr>
              <w:t>Physical environment</w:t>
            </w:r>
            <w:r w:rsidR="000316FB">
              <w:rPr>
                <w:webHidden/>
              </w:rPr>
              <w:tab/>
            </w:r>
            <w:r w:rsidR="000316FB">
              <w:rPr>
                <w:webHidden/>
              </w:rPr>
              <w:fldChar w:fldCharType="begin"/>
            </w:r>
            <w:r w:rsidR="000316FB">
              <w:rPr>
                <w:webHidden/>
              </w:rPr>
              <w:instrText xml:space="preserve"> PAGEREF _Toc494182091 \h </w:instrText>
            </w:r>
            <w:r w:rsidR="000316FB">
              <w:rPr>
                <w:webHidden/>
              </w:rPr>
            </w:r>
            <w:r w:rsidR="000316FB">
              <w:rPr>
                <w:webHidden/>
              </w:rPr>
              <w:fldChar w:fldCharType="separate"/>
            </w:r>
            <w:r w:rsidR="00147461">
              <w:rPr>
                <w:webHidden/>
              </w:rPr>
              <w:t>83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92" w:history="1">
            <w:r w:rsidR="000316FB" w:rsidRPr="00A20114">
              <w:rPr>
                <w:rStyle w:val="Hyperlink"/>
              </w:rPr>
              <w:t>Views on local area (Included)</w:t>
            </w:r>
            <w:r w:rsidR="000316FB">
              <w:rPr>
                <w:webHidden/>
              </w:rPr>
              <w:tab/>
            </w:r>
            <w:r w:rsidR="000316FB">
              <w:rPr>
                <w:webHidden/>
              </w:rPr>
              <w:fldChar w:fldCharType="begin"/>
            </w:r>
            <w:r w:rsidR="000316FB">
              <w:rPr>
                <w:webHidden/>
              </w:rPr>
              <w:instrText xml:space="preserve"> PAGEREF _Toc494182092 \h </w:instrText>
            </w:r>
            <w:r w:rsidR="000316FB">
              <w:rPr>
                <w:webHidden/>
              </w:rPr>
            </w:r>
            <w:r w:rsidR="000316FB">
              <w:rPr>
                <w:webHidden/>
              </w:rPr>
              <w:fldChar w:fldCharType="separate"/>
            </w:r>
            <w:r w:rsidR="00147461">
              <w:rPr>
                <w:webHidden/>
              </w:rPr>
              <w:t>83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93" w:history="1">
            <w:r w:rsidR="000316FB" w:rsidRPr="00A20114">
              <w:rPr>
                <w:rStyle w:val="Hyperlink"/>
              </w:rPr>
              <w:t>Access to a garden at home (Active)</w:t>
            </w:r>
            <w:r w:rsidR="000316FB">
              <w:rPr>
                <w:webHidden/>
              </w:rPr>
              <w:tab/>
            </w:r>
            <w:r w:rsidR="000316FB">
              <w:rPr>
                <w:webHidden/>
              </w:rPr>
              <w:fldChar w:fldCharType="begin"/>
            </w:r>
            <w:r w:rsidR="000316FB">
              <w:rPr>
                <w:webHidden/>
              </w:rPr>
              <w:instrText xml:space="preserve"> PAGEREF _Toc494182093 \h </w:instrText>
            </w:r>
            <w:r w:rsidR="000316FB">
              <w:rPr>
                <w:webHidden/>
              </w:rPr>
            </w:r>
            <w:r w:rsidR="000316FB">
              <w:rPr>
                <w:webHidden/>
              </w:rPr>
              <w:fldChar w:fldCharType="separate"/>
            </w:r>
            <w:r w:rsidR="00147461">
              <w:rPr>
                <w:webHidden/>
              </w:rPr>
              <w:t>84</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94" w:history="1">
            <w:r w:rsidR="000316FB" w:rsidRPr="00A20114">
              <w:rPr>
                <w:rStyle w:val="Hyperlink"/>
              </w:rPr>
              <w:t>3.5</w:t>
            </w:r>
            <w:r w:rsidR="000316FB">
              <w:rPr>
                <w:rFonts w:asciiTheme="minorHAnsi" w:eastAsiaTheme="minorEastAsia" w:hAnsiTheme="minorHAnsi" w:cstheme="minorBidi"/>
                <w:sz w:val="22"/>
                <w:szCs w:val="22"/>
              </w:rPr>
              <w:tab/>
            </w:r>
            <w:r w:rsidR="000316FB" w:rsidRPr="00A20114">
              <w:rPr>
                <w:rStyle w:val="Hyperlink"/>
              </w:rPr>
              <w:t>Summary of key findings from the primary school survey</w:t>
            </w:r>
            <w:r w:rsidR="000316FB">
              <w:rPr>
                <w:webHidden/>
              </w:rPr>
              <w:tab/>
            </w:r>
            <w:r w:rsidR="000316FB">
              <w:rPr>
                <w:webHidden/>
              </w:rPr>
              <w:fldChar w:fldCharType="begin"/>
            </w:r>
            <w:r w:rsidR="000316FB">
              <w:rPr>
                <w:webHidden/>
              </w:rPr>
              <w:instrText xml:space="preserve"> PAGEREF _Toc494182094 \h </w:instrText>
            </w:r>
            <w:r w:rsidR="000316FB">
              <w:rPr>
                <w:webHidden/>
              </w:rPr>
            </w:r>
            <w:r w:rsidR="000316FB">
              <w:rPr>
                <w:webHidden/>
              </w:rPr>
              <w:fldChar w:fldCharType="separate"/>
            </w:r>
            <w:r w:rsidR="00147461">
              <w:rPr>
                <w:webHidden/>
              </w:rPr>
              <w:t>84</w:t>
            </w:r>
            <w:r w:rsidR="000316FB">
              <w:rPr>
                <w:webHidden/>
              </w:rPr>
              <w:fldChar w:fldCharType="end"/>
            </w:r>
          </w:hyperlink>
        </w:p>
        <w:p w:rsidR="000316FB" w:rsidRDefault="00A2378A">
          <w:pPr>
            <w:pStyle w:val="TOC1"/>
            <w:rPr>
              <w:rFonts w:asciiTheme="minorHAnsi" w:eastAsiaTheme="minorEastAsia" w:hAnsiTheme="minorHAnsi" w:cstheme="minorBidi"/>
              <w:color w:val="auto"/>
              <w:sz w:val="22"/>
              <w:szCs w:val="22"/>
            </w:rPr>
          </w:pPr>
          <w:hyperlink w:anchor="_Toc494182095" w:history="1">
            <w:r w:rsidR="000316FB" w:rsidRPr="00A20114">
              <w:rPr>
                <w:rStyle w:val="Hyperlink"/>
              </w:rPr>
              <w:t>4</w:t>
            </w:r>
            <w:r w:rsidR="000316FB">
              <w:rPr>
                <w:rFonts w:asciiTheme="minorHAnsi" w:eastAsiaTheme="minorEastAsia" w:hAnsiTheme="minorHAnsi" w:cstheme="minorBidi"/>
                <w:color w:val="auto"/>
                <w:sz w:val="22"/>
                <w:szCs w:val="22"/>
              </w:rPr>
              <w:tab/>
            </w:r>
            <w:r w:rsidR="000316FB" w:rsidRPr="00A20114">
              <w:rPr>
                <w:rStyle w:val="Hyperlink"/>
              </w:rPr>
              <w:t>Findings from the parent survey</w:t>
            </w:r>
            <w:r w:rsidR="000316FB">
              <w:rPr>
                <w:webHidden/>
              </w:rPr>
              <w:tab/>
            </w:r>
            <w:r w:rsidR="000316FB">
              <w:rPr>
                <w:webHidden/>
              </w:rPr>
              <w:fldChar w:fldCharType="begin"/>
            </w:r>
            <w:r w:rsidR="000316FB">
              <w:rPr>
                <w:webHidden/>
              </w:rPr>
              <w:instrText xml:space="preserve"> PAGEREF _Toc494182095 \h </w:instrText>
            </w:r>
            <w:r w:rsidR="000316FB">
              <w:rPr>
                <w:webHidden/>
              </w:rPr>
            </w:r>
            <w:r w:rsidR="000316FB">
              <w:rPr>
                <w:webHidden/>
              </w:rPr>
              <w:fldChar w:fldCharType="separate"/>
            </w:r>
            <w:r w:rsidR="00147461">
              <w:rPr>
                <w:webHidden/>
              </w:rPr>
              <w:t>86</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96" w:history="1">
            <w:r w:rsidR="000316FB" w:rsidRPr="00A20114">
              <w:rPr>
                <w:rStyle w:val="Hyperlink"/>
              </w:rPr>
              <w:t>4.1</w:t>
            </w:r>
            <w:r w:rsidR="000316FB">
              <w:rPr>
                <w:rFonts w:asciiTheme="minorHAnsi" w:eastAsiaTheme="minorEastAsia" w:hAnsiTheme="minorHAnsi" w:cstheme="minorBidi"/>
                <w:sz w:val="22"/>
                <w:szCs w:val="22"/>
              </w:rPr>
              <w:tab/>
            </w:r>
            <w:r w:rsidR="000316FB" w:rsidRPr="00A20114">
              <w:rPr>
                <w:rStyle w:val="Hyperlink"/>
              </w:rPr>
              <w:t>How the survey was carried out</w:t>
            </w:r>
            <w:r w:rsidR="000316FB">
              <w:rPr>
                <w:webHidden/>
              </w:rPr>
              <w:tab/>
            </w:r>
            <w:r w:rsidR="000316FB">
              <w:rPr>
                <w:webHidden/>
              </w:rPr>
              <w:fldChar w:fldCharType="begin"/>
            </w:r>
            <w:r w:rsidR="000316FB">
              <w:rPr>
                <w:webHidden/>
              </w:rPr>
              <w:instrText xml:space="preserve"> PAGEREF _Toc494182096 \h </w:instrText>
            </w:r>
            <w:r w:rsidR="000316FB">
              <w:rPr>
                <w:webHidden/>
              </w:rPr>
            </w:r>
            <w:r w:rsidR="000316FB">
              <w:rPr>
                <w:webHidden/>
              </w:rPr>
              <w:fldChar w:fldCharType="separate"/>
            </w:r>
            <w:r w:rsidR="00147461">
              <w:rPr>
                <w:webHidden/>
              </w:rPr>
              <w:t>86</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097" w:history="1">
            <w:r w:rsidR="000316FB" w:rsidRPr="00A20114">
              <w:rPr>
                <w:rStyle w:val="Hyperlink"/>
              </w:rPr>
              <w:t>4.2</w:t>
            </w:r>
            <w:r w:rsidR="000316FB">
              <w:rPr>
                <w:rFonts w:asciiTheme="minorHAnsi" w:eastAsiaTheme="minorEastAsia" w:hAnsiTheme="minorHAnsi" w:cstheme="minorBidi"/>
                <w:sz w:val="22"/>
                <w:szCs w:val="22"/>
              </w:rPr>
              <w:tab/>
            </w:r>
            <w:r w:rsidR="000316FB" w:rsidRPr="00A20114">
              <w:rPr>
                <w:rStyle w:val="Hyperlink"/>
              </w:rPr>
              <w:t>Personal wellbeing</w:t>
            </w:r>
            <w:r w:rsidR="000316FB">
              <w:rPr>
                <w:webHidden/>
              </w:rPr>
              <w:tab/>
            </w:r>
            <w:r w:rsidR="000316FB">
              <w:rPr>
                <w:webHidden/>
              </w:rPr>
              <w:fldChar w:fldCharType="begin"/>
            </w:r>
            <w:r w:rsidR="000316FB">
              <w:rPr>
                <w:webHidden/>
              </w:rPr>
              <w:instrText xml:space="preserve"> PAGEREF _Toc494182097 \h </w:instrText>
            </w:r>
            <w:r w:rsidR="000316FB">
              <w:rPr>
                <w:webHidden/>
              </w:rPr>
            </w:r>
            <w:r w:rsidR="000316FB">
              <w:rPr>
                <w:webHidden/>
              </w:rPr>
              <w:fldChar w:fldCharType="separate"/>
            </w:r>
            <w:r w:rsidR="00147461">
              <w:rPr>
                <w:webHidden/>
              </w:rPr>
              <w:t>86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98" w:history="1">
            <w:r w:rsidR="000316FB" w:rsidRPr="00A20114">
              <w:rPr>
                <w:rStyle w:val="Hyperlink"/>
              </w:rPr>
              <w:t>4.2.1</w:t>
            </w:r>
            <w:r w:rsidR="000316FB">
              <w:rPr>
                <w:rFonts w:asciiTheme="minorHAnsi" w:eastAsiaTheme="minorEastAsia" w:hAnsiTheme="minorHAnsi" w:cstheme="minorBidi"/>
                <w:szCs w:val="22"/>
              </w:rPr>
              <w:tab/>
            </w:r>
            <w:r w:rsidR="000316FB" w:rsidRPr="00A20114">
              <w:rPr>
                <w:rStyle w:val="Hyperlink"/>
              </w:rPr>
              <w:t>General health</w:t>
            </w:r>
            <w:r w:rsidR="000316FB">
              <w:rPr>
                <w:webHidden/>
              </w:rPr>
              <w:tab/>
            </w:r>
            <w:r w:rsidR="000316FB">
              <w:rPr>
                <w:webHidden/>
              </w:rPr>
              <w:fldChar w:fldCharType="begin"/>
            </w:r>
            <w:r w:rsidR="000316FB">
              <w:rPr>
                <w:webHidden/>
              </w:rPr>
              <w:instrText xml:space="preserve"> PAGEREF _Toc494182098 \h </w:instrText>
            </w:r>
            <w:r w:rsidR="000316FB">
              <w:rPr>
                <w:webHidden/>
              </w:rPr>
            </w:r>
            <w:r w:rsidR="000316FB">
              <w:rPr>
                <w:webHidden/>
              </w:rPr>
              <w:fldChar w:fldCharType="separate"/>
            </w:r>
            <w:r w:rsidR="00147461">
              <w:rPr>
                <w:webHidden/>
              </w:rPr>
              <w:t>87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099" w:history="1">
            <w:r w:rsidR="000316FB" w:rsidRPr="00A20114">
              <w:rPr>
                <w:rStyle w:val="Hyperlink"/>
              </w:rPr>
              <w:t>Child’s general health (Healthy)</w:t>
            </w:r>
            <w:r w:rsidR="000316FB">
              <w:rPr>
                <w:webHidden/>
              </w:rPr>
              <w:tab/>
            </w:r>
            <w:r w:rsidR="000316FB">
              <w:rPr>
                <w:webHidden/>
              </w:rPr>
              <w:fldChar w:fldCharType="begin"/>
            </w:r>
            <w:r w:rsidR="000316FB">
              <w:rPr>
                <w:webHidden/>
              </w:rPr>
              <w:instrText xml:space="preserve"> PAGEREF _Toc494182099 \h </w:instrText>
            </w:r>
            <w:r w:rsidR="000316FB">
              <w:rPr>
                <w:webHidden/>
              </w:rPr>
            </w:r>
            <w:r w:rsidR="000316FB">
              <w:rPr>
                <w:webHidden/>
              </w:rPr>
              <w:fldChar w:fldCharType="separate"/>
            </w:r>
            <w:r w:rsidR="00147461">
              <w:rPr>
                <w:webHidden/>
              </w:rPr>
              <w:t>87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0" w:history="1">
            <w:r w:rsidR="000316FB" w:rsidRPr="00A20114">
              <w:rPr>
                <w:rStyle w:val="Hyperlink"/>
              </w:rPr>
              <w:t>Long-standing health conditions (Healthy)</w:t>
            </w:r>
            <w:r w:rsidR="000316FB">
              <w:rPr>
                <w:webHidden/>
              </w:rPr>
              <w:tab/>
            </w:r>
            <w:r w:rsidR="000316FB">
              <w:rPr>
                <w:webHidden/>
              </w:rPr>
              <w:fldChar w:fldCharType="begin"/>
            </w:r>
            <w:r w:rsidR="000316FB">
              <w:rPr>
                <w:webHidden/>
              </w:rPr>
              <w:instrText xml:space="preserve"> PAGEREF _Toc494182100 \h </w:instrText>
            </w:r>
            <w:r w:rsidR="000316FB">
              <w:rPr>
                <w:webHidden/>
              </w:rPr>
            </w:r>
            <w:r w:rsidR="000316FB">
              <w:rPr>
                <w:webHidden/>
              </w:rPr>
              <w:fldChar w:fldCharType="separate"/>
            </w:r>
            <w:r w:rsidR="00147461">
              <w:rPr>
                <w:webHidden/>
              </w:rPr>
              <w:t>87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1" w:history="1">
            <w:r w:rsidR="000316FB" w:rsidRPr="00A20114">
              <w:rPr>
                <w:rStyle w:val="Hyperlink"/>
              </w:rPr>
              <w:t>Accidents, injuries and hospital admissions (Safe, Healthy)</w:t>
            </w:r>
            <w:r w:rsidR="000316FB">
              <w:rPr>
                <w:webHidden/>
              </w:rPr>
              <w:tab/>
            </w:r>
            <w:r w:rsidR="000316FB">
              <w:rPr>
                <w:webHidden/>
              </w:rPr>
              <w:fldChar w:fldCharType="begin"/>
            </w:r>
            <w:r w:rsidR="000316FB">
              <w:rPr>
                <w:webHidden/>
              </w:rPr>
              <w:instrText xml:space="preserve"> PAGEREF _Toc494182101 \h </w:instrText>
            </w:r>
            <w:r w:rsidR="000316FB">
              <w:rPr>
                <w:webHidden/>
              </w:rPr>
            </w:r>
            <w:r w:rsidR="000316FB">
              <w:rPr>
                <w:webHidden/>
              </w:rPr>
              <w:fldChar w:fldCharType="separate"/>
            </w:r>
            <w:r w:rsidR="00147461">
              <w:rPr>
                <w:webHidden/>
              </w:rPr>
              <w:t>87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2" w:history="1">
            <w:r w:rsidR="000316FB" w:rsidRPr="00A20114">
              <w:rPr>
                <w:rStyle w:val="Hyperlink"/>
              </w:rPr>
              <w:t>Birth weight (Healthy)</w:t>
            </w:r>
            <w:r w:rsidR="000316FB">
              <w:rPr>
                <w:webHidden/>
              </w:rPr>
              <w:tab/>
            </w:r>
            <w:r w:rsidR="000316FB">
              <w:rPr>
                <w:webHidden/>
              </w:rPr>
              <w:fldChar w:fldCharType="begin"/>
            </w:r>
            <w:r w:rsidR="000316FB">
              <w:rPr>
                <w:webHidden/>
              </w:rPr>
              <w:instrText xml:space="preserve"> PAGEREF _Toc494182102 \h </w:instrText>
            </w:r>
            <w:r w:rsidR="000316FB">
              <w:rPr>
                <w:webHidden/>
              </w:rPr>
            </w:r>
            <w:r w:rsidR="000316FB">
              <w:rPr>
                <w:webHidden/>
              </w:rPr>
              <w:fldChar w:fldCharType="separate"/>
            </w:r>
            <w:r w:rsidR="00147461">
              <w:rPr>
                <w:webHidden/>
              </w:rPr>
              <w:t>88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3" w:history="1">
            <w:r w:rsidR="000316FB" w:rsidRPr="00A20114">
              <w:rPr>
                <w:rStyle w:val="Hyperlink"/>
              </w:rPr>
              <w:t>Concerns about development, communication and sleep patterns (Healthy, Achieving)</w:t>
            </w:r>
            <w:r w:rsidR="000316FB">
              <w:rPr>
                <w:webHidden/>
              </w:rPr>
              <w:tab/>
            </w:r>
            <w:r w:rsidR="000316FB">
              <w:rPr>
                <w:webHidden/>
              </w:rPr>
              <w:fldChar w:fldCharType="begin"/>
            </w:r>
            <w:r w:rsidR="000316FB">
              <w:rPr>
                <w:webHidden/>
              </w:rPr>
              <w:instrText xml:space="preserve"> PAGEREF _Toc494182103 \h </w:instrText>
            </w:r>
            <w:r w:rsidR="000316FB">
              <w:rPr>
                <w:webHidden/>
              </w:rPr>
            </w:r>
            <w:r w:rsidR="000316FB">
              <w:rPr>
                <w:webHidden/>
              </w:rPr>
              <w:fldChar w:fldCharType="separate"/>
            </w:r>
            <w:r w:rsidR="00147461">
              <w:rPr>
                <w:webHidden/>
              </w:rPr>
              <w:t>88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4" w:history="1">
            <w:r w:rsidR="000316FB" w:rsidRPr="00A20114">
              <w:rPr>
                <w:rStyle w:val="Hyperlink"/>
              </w:rPr>
              <w:t>4.2.2</w:t>
            </w:r>
            <w:r w:rsidR="000316FB">
              <w:rPr>
                <w:rFonts w:asciiTheme="minorHAnsi" w:eastAsiaTheme="minorEastAsia" w:hAnsiTheme="minorHAnsi" w:cstheme="minorBidi"/>
                <w:szCs w:val="22"/>
              </w:rPr>
              <w:tab/>
            </w:r>
            <w:r w:rsidR="000316FB" w:rsidRPr="00A20114">
              <w:rPr>
                <w:rStyle w:val="Hyperlink"/>
              </w:rPr>
              <w:t>Healthy Living</w:t>
            </w:r>
            <w:r w:rsidR="000316FB">
              <w:rPr>
                <w:webHidden/>
              </w:rPr>
              <w:tab/>
            </w:r>
            <w:r w:rsidR="000316FB">
              <w:rPr>
                <w:webHidden/>
              </w:rPr>
              <w:fldChar w:fldCharType="begin"/>
            </w:r>
            <w:r w:rsidR="000316FB">
              <w:rPr>
                <w:webHidden/>
              </w:rPr>
              <w:instrText xml:space="preserve"> PAGEREF _Toc494182104 \h </w:instrText>
            </w:r>
            <w:r w:rsidR="000316FB">
              <w:rPr>
                <w:webHidden/>
              </w:rPr>
            </w:r>
            <w:r w:rsidR="000316FB">
              <w:rPr>
                <w:webHidden/>
              </w:rPr>
              <w:fldChar w:fldCharType="separate"/>
            </w:r>
            <w:r w:rsidR="00147461">
              <w:rPr>
                <w:webHidden/>
              </w:rPr>
              <w:t>89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5" w:history="1">
            <w:r w:rsidR="000316FB" w:rsidRPr="00A20114">
              <w:rPr>
                <w:rStyle w:val="Hyperlink"/>
              </w:rPr>
              <w:t>Breastfeeding (Healthy)</w:t>
            </w:r>
            <w:r w:rsidR="000316FB">
              <w:rPr>
                <w:webHidden/>
              </w:rPr>
              <w:tab/>
            </w:r>
            <w:r w:rsidR="000316FB">
              <w:rPr>
                <w:webHidden/>
              </w:rPr>
              <w:fldChar w:fldCharType="begin"/>
            </w:r>
            <w:r w:rsidR="000316FB">
              <w:rPr>
                <w:webHidden/>
              </w:rPr>
              <w:instrText xml:space="preserve"> PAGEREF _Toc494182105 \h </w:instrText>
            </w:r>
            <w:r w:rsidR="000316FB">
              <w:rPr>
                <w:webHidden/>
              </w:rPr>
            </w:r>
            <w:r w:rsidR="000316FB">
              <w:rPr>
                <w:webHidden/>
              </w:rPr>
              <w:fldChar w:fldCharType="separate"/>
            </w:r>
            <w:r w:rsidR="00147461">
              <w:rPr>
                <w:webHidden/>
              </w:rPr>
              <w:t>89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6" w:history="1">
            <w:r w:rsidR="000316FB" w:rsidRPr="00A20114">
              <w:rPr>
                <w:rStyle w:val="Hyperlink"/>
              </w:rPr>
              <w:t>Diet and nutrition (Healthy)</w:t>
            </w:r>
            <w:r w:rsidR="000316FB">
              <w:rPr>
                <w:webHidden/>
              </w:rPr>
              <w:tab/>
            </w:r>
            <w:r w:rsidR="000316FB">
              <w:rPr>
                <w:webHidden/>
              </w:rPr>
              <w:fldChar w:fldCharType="begin"/>
            </w:r>
            <w:r w:rsidR="000316FB">
              <w:rPr>
                <w:webHidden/>
              </w:rPr>
              <w:instrText xml:space="preserve"> PAGEREF _Toc494182106 \h </w:instrText>
            </w:r>
            <w:r w:rsidR="000316FB">
              <w:rPr>
                <w:webHidden/>
              </w:rPr>
            </w:r>
            <w:r w:rsidR="000316FB">
              <w:rPr>
                <w:webHidden/>
              </w:rPr>
              <w:fldChar w:fldCharType="separate"/>
            </w:r>
            <w:r w:rsidR="00147461">
              <w:rPr>
                <w:webHidden/>
              </w:rPr>
              <w:t>89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7" w:history="1">
            <w:r w:rsidR="000316FB" w:rsidRPr="00A20114">
              <w:rPr>
                <w:rStyle w:val="Hyperlink"/>
              </w:rPr>
              <w:t>Physical activity (Active, Healthy)</w:t>
            </w:r>
            <w:r w:rsidR="000316FB">
              <w:rPr>
                <w:webHidden/>
              </w:rPr>
              <w:tab/>
            </w:r>
            <w:r w:rsidR="000316FB">
              <w:rPr>
                <w:webHidden/>
              </w:rPr>
              <w:fldChar w:fldCharType="begin"/>
            </w:r>
            <w:r w:rsidR="000316FB">
              <w:rPr>
                <w:webHidden/>
              </w:rPr>
              <w:instrText xml:space="preserve"> PAGEREF _Toc494182107 \h </w:instrText>
            </w:r>
            <w:r w:rsidR="000316FB">
              <w:rPr>
                <w:webHidden/>
              </w:rPr>
            </w:r>
            <w:r w:rsidR="000316FB">
              <w:rPr>
                <w:webHidden/>
              </w:rPr>
              <w:fldChar w:fldCharType="separate"/>
            </w:r>
            <w:r w:rsidR="00147461">
              <w:rPr>
                <w:webHidden/>
              </w:rPr>
              <w:t>90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8" w:history="1">
            <w:r w:rsidR="000316FB" w:rsidRPr="00A20114">
              <w:rPr>
                <w:rStyle w:val="Hyperlink"/>
              </w:rPr>
              <w:t>Dental health (Healthy)</w:t>
            </w:r>
            <w:r w:rsidR="000316FB">
              <w:rPr>
                <w:webHidden/>
              </w:rPr>
              <w:tab/>
            </w:r>
            <w:r w:rsidR="000316FB">
              <w:rPr>
                <w:webHidden/>
              </w:rPr>
              <w:fldChar w:fldCharType="begin"/>
            </w:r>
            <w:r w:rsidR="000316FB">
              <w:rPr>
                <w:webHidden/>
              </w:rPr>
              <w:instrText xml:space="preserve"> PAGEREF _Toc494182108 \h </w:instrText>
            </w:r>
            <w:r w:rsidR="000316FB">
              <w:rPr>
                <w:webHidden/>
              </w:rPr>
            </w:r>
            <w:r w:rsidR="000316FB">
              <w:rPr>
                <w:webHidden/>
              </w:rPr>
              <w:fldChar w:fldCharType="separate"/>
            </w:r>
            <w:r w:rsidR="00147461">
              <w:rPr>
                <w:webHidden/>
              </w:rPr>
              <w:t>91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09" w:history="1">
            <w:r w:rsidR="000316FB" w:rsidRPr="00A20114">
              <w:rPr>
                <w:rStyle w:val="Hyperlink"/>
              </w:rPr>
              <w:t>4.2.3</w:t>
            </w:r>
            <w:r w:rsidR="000316FB">
              <w:rPr>
                <w:rFonts w:asciiTheme="minorHAnsi" w:eastAsiaTheme="minorEastAsia" w:hAnsiTheme="minorHAnsi" w:cstheme="minorBidi"/>
                <w:szCs w:val="22"/>
              </w:rPr>
              <w:tab/>
            </w:r>
            <w:r w:rsidR="000316FB" w:rsidRPr="00A20114">
              <w:rPr>
                <w:rStyle w:val="Hyperlink"/>
              </w:rPr>
              <w:t>Mental health and wellbeing</w:t>
            </w:r>
            <w:r w:rsidR="000316FB">
              <w:rPr>
                <w:webHidden/>
              </w:rPr>
              <w:tab/>
            </w:r>
            <w:r w:rsidR="000316FB">
              <w:rPr>
                <w:webHidden/>
              </w:rPr>
              <w:fldChar w:fldCharType="begin"/>
            </w:r>
            <w:r w:rsidR="000316FB">
              <w:rPr>
                <w:webHidden/>
              </w:rPr>
              <w:instrText xml:space="preserve"> PAGEREF _Toc494182109 \h </w:instrText>
            </w:r>
            <w:r w:rsidR="000316FB">
              <w:rPr>
                <w:webHidden/>
              </w:rPr>
            </w:r>
            <w:r w:rsidR="000316FB">
              <w:rPr>
                <w:webHidden/>
              </w:rPr>
              <w:fldChar w:fldCharType="separate"/>
            </w:r>
            <w:r w:rsidR="00147461">
              <w:rPr>
                <w:webHidden/>
              </w:rPr>
              <w:t>92</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0" w:history="1">
            <w:r w:rsidR="000316FB" w:rsidRPr="00A20114">
              <w:rPr>
                <w:rStyle w:val="Hyperlink"/>
              </w:rPr>
              <w:t>Strengths and difficulties questionnaire (Healthy, Achieving, Included)</w:t>
            </w:r>
            <w:r w:rsidR="000316FB">
              <w:rPr>
                <w:webHidden/>
              </w:rPr>
              <w:tab/>
            </w:r>
            <w:r w:rsidR="000316FB">
              <w:rPr>
                <w:webHidden/>
              </w:rPr>
              <w:fldChar w:fldCharType="begin"/>
            </w:r>
            <w:r w:rsidR="000316FB">
              <w:rPr>
                <w:webHidden/>
              </w:rPr>
              <w:instrText xml:space="preserve"> PAGEREF _Toc494182110 \h </w:instrText>
            </w:r>
            <w:r w:rsidR="000316FB">
              <w:rPr>
                <w:webHidden/>
              </w:rPr>
            </w:r>
            <w:r w:rsidR="000316FB">
              <w:rPr>
                <w:webHidden/>
              </w:rPr>
              <w:fldChar w:fldCharType="separate"/>
            </w:r>
            <w:r w:rsidR="00147461">
              <w:rPr>
                <w:webHidden/>
              </w:rPr>
              <w:t>92</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111" w:history="1">
            <w:r w:rsidR="000316FB" w:rsidRPr="00A20114">
              <w:rPr>
                <w:rStyle w:val="Hyperlink"/>
              </w:rPr>
              <w:t>4.3</w:t>
            </w:r>
            <w:r w:rsidR="000316FB">
              <w:rPr>
                <w:rFonts w:asciiTheme="minorHAnsi" w:eastAsiaTheme="minorEastAsia" w:hAnsiTheme="minorHAnsi" w:cstheme="minorBidi"/>
                <w:sz w:val="22"/>
                <w:szCs w:val="22"/>
              </w:rPr>
              <w:tab/>
            </w:r>
            <w:r w:rsidR="000316FB" w:rsidRPr="00A20114">
              <w:rPr>
                <w:rStyle w:val="Hyperlink"/>
              </w:rPr>
              <w:t>Social wellbeing</w:t>
            </w:r>
            <w:r w:rsidR="000316FB">
              <w:rPr>
                <w:webHidden/>
              </w:rPr>
              <w:tab/>
            </w:r>
            <w:r w:rsidR="000316FB">
              <w:rPr>
                <w:webHidden/>
              </w:rPr>
              <w:fldChar w:fldCharType="begin"/>
            </w:r>
            <w:r w:rsidR="000316FB">
              <w:rPr>
                <w:webHidden/>
              </w:rPr>
              <w:instrText xml:space="preserve"> PAGEREF _Toc494182111 \h </w:instrText>
            </w:r>
            <w:r w:rsidR="000316FB">
              <w:rPr>
                <w:webHidden/>
              </w:rPr>
            </w:r>
            <w:r w:rsidR="000316FB">
              <w:rPr>
                <w:webHidden/>
              </w:rPr>
              <w:fldChar w:fldCharType="separate"/>
            </w:r>
            <w:r w:rsidR="00147461">
              <w:rPr>
                <w:webHidden/>
              </w:rPr>
              <w:t>93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2" w:history="1">
            <w:r w:rsidR="000316FB" w:rsidRPr="00A20114">
              <w:rPr>
                <w:rStyle w:val="Hyperlink"/>
              </w:rPr>
              <w:t>4.3.1</w:t>
            </w:r>
            <w:r w:rsidR="000316FB">
              <w:rPr>
                <w:rFonts w:asciiTheme="minorHAnsi" w:eastAsiaTheme="minorEastAsia" w:hAnsiTheme="minorHAnsi" w:cstheme="minorBidi"/>
                <w:szCs w:val="22"/>
              </w:rPr>
              <w:tab/>
            </w:r>
            <w:r w:rsidR="000316FB" w:rsidRPr="00A20114">
              <w:rPr>
                <w:rStyle w:val="Hyperlink"/>
              </w:rPr>
              <w:t>Family</w:t>
            </w:r>
            <w:r w:rsidR="000316FB">
              <w:rPr>
                <w:webHidden/>
              </w:rPr>
              <w:tab/>
              <w:t>………………………………………………………………..</w:t>
            </w:r>
            <w:r w:rsidR="000316FB">
              <w:rPr>
                <w:webHidden/>
              </w:rPr>
              <w:fldChar w:fldCharType="begin"/>
            </w:r>
            <w:r w:rsidR="000316FB">
              <w:rPr>
                <w:webHidden/>
              </w:rPr>
              <w:instrText xml:space="preserve"> PAGEREF _Toc494182112 \h </w:instrText>
            </w:r>
            <w:r w:rsidR="000316FB">
              <w:rPr>
                <w:webHidden/>
              </w:rPr>
            </w:r>
            <w:r w:rsidR="000316FB">
              <w:rPr>
                <w:webHidden/>
              </w:rPr>
              <w:fldChar w:fldCharType="separate"/>
            </w:r>
            <w:r w:rsidR="00147461">
              <w:rPr>
                <w:webHidden/>
              </w:rPr>
              <w:t>93</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3" w:history="1">
            <w:r w:rsidR="000316FB" w:rsidRPr="00A20114">
              <w:rPr>
                <w:rStyle w:val="Hyperlink"/>
              </w:rPr>
              <w:t>Parental general health</w:t>
            </w:r>
            <w:r w:rsidR="000316FB">
              <w:rPr>
                <w:webHidden/>
              </w:rPr>
              <w:tab/>
            </w:r>
            <w:r w:rsidR="000316FB">
              <w:rPr>
                <w:webHidden/>
              </w:rPr>
              <w:fldChar w:fldCharType="begin"/>
            </w:r>
            <w:r w:rsidR="000316FB">
              <w:rPr>
                <w:webHidden/>
              </w:rPr>
              <w:instrText xml:space="preserve"> PAGEREF _Toc494182113 \h </w:instrText>
            </w:r>
            <w:r w:rsidR="000316FB">
              <w:rPr>
                <w:webHidden/>
              </w:rPr>
            </w:r>
            <w:r w:rsidR="000316FB">
              <w:rPr>
                <w:webHidden/>
              </w:rPr>
              <w:fldChar w:fldCharType="separate"/>
            </w:r>
            <w:r w:rsidR="00147461">
              <w:rPr>
                <w:webHidden/>
              </w:rPr>
              <w:t>94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4" w:history="1">
            <w:r w:rsidR="000316FB" w:rsidRPr="00A20114">
              <w:rPr>
                <w:rStyle w:val="Hyperlink"/>
              </w:rPr>
              <w:t>Parental healthy living</w:t>
            </w:r>
            <w:r w:rsidR="000316FB">
              <w:rPr>
                <w:webHidden/>
              </w:rPr>
              <w:tab/>
            </w:r>
            <w:r w:rsidR="000316FB">
              <w:rPr>
                <w:webHidden/>
              </w:rPr>
              <w:fldChar w:fldCharType="begin"/>
            </w:r>
            <w:r w:rsidR="000316FB">
              <w:rPr>
                <w:webHidden/>
              </w:rPr>
              <w:instrText xml:space="preserve"> PAGEREF _Toc494182114 \h </w:instrText>
            </w:r>
            <w:r w:rsidR="000316FB">
              <w:rPr>
                <w:webHidden/>
              </w:rPr>
            </w:r>
            <w:r w:rsidR="000316FB">
              <w:rPr>
                <w:webHidden/>
              </w:rPr>
              <w:fldChar w:fldCharType="separate"/>
            </w:r>
            <w:r w:rsidR="00147461">
              <w:rPr>
                <w:webHidden/>
              </w:rPr>
              <w:t>96</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5" w:history="1">
            <w:r w:rsidR="000316FB" w:rsidRPr="00A20114">
              <w:rPr>
                <w:rStyle w:val="Hyperlink"/>
              </w:rPr>
              <w:t>Parent-child relationship (Nurtured)</w:t>
            </w:r>
            <w:r w:rsidR="000316FB">
              <w:rPr>
                <w:webHidden/>
              </w:rPr>
              <w:tab/>
            </w:r>
            <w:r w:rsidR="000316FB">
              <w:rPr>
                <w:webHidden/>
              </w:rPr>
              <w:fldChar w:fldCharType="begin"/>
            </w:r>
            <w:r w:rsidR="000316FB">
              <w:rPr>
                <w:webHidden/>
              </w:rPr>
              <w:instrText xml:space="preserve"> PAGEREF _Toc494182115 \h </w:instrText>
            </w:r>
            <w:r w:rsidR="000316FB">
              <w:rPr>
                <w:webHidden/>
              </w:rPr>
            </w:r>
            <w:r w:rsidR="000316FB">
              <w:rPr>
                <w:webHidden/>
              </w:rPr>
              <w:fldChar w:fldCharType="separate"/>
            </w:r>
            <w:r w:rsidR="00147461">
              <w:rPr>
                <w:webHidden/>
              </w:rPr>
              <w:t>98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6" w:history="1">
            <w:r w:rsidR="000316FB" w:rsidRPr="00A20114">
              <w:rPr>
                <w:rStyle w:val="Hyperlink"/>
              </w:rPr>
              <w:t>4.3.2</w:t>
            </w:r>
            <w:r w:rsidR="000316FB">
              <w:rPr>
                <w:rFonts w:asciiTheme="minorHAnsi" w:eastAsiaTheme="minorEastAsia" w:hAnsiTheme="minorHAnsi" w:cstheme="minorBidi"/>
                <w:szCs w:val="22"/>
              </w:rPr>
              <w:tab/>
            </w:r>
            <w:r w:rsidR="000316FB" w:rsidRPr="00A20114">
              <w:rPr>
                <w:rStyle w:val="Hyperlink"/>
              </w:rPr>
              <w:t>Educational and learning environment (Achieving)</w:t>
            </w:r>
            <w:r w:rsidR="000316FB">
              <w:rPr>
                <w:webHidden/>
              </w:rPr>
              <w:tab/>
            </w:r>
            <w:r w:rsidR="000316FB">
              <w:rPr>
                <w:webHidden/>
              </w:rPr>
              <w:fldChar w:fldCharType="begin"/>
            </w:r>
            <w:r w:rsidR="000316FB">
              <w:rPr>
                <w:webHidden/>
              </w:rPr>
              <w:instrText xml:space="preserve"> PAGEREF _Toc494182116 \h </w:instrText>
            </w:r>
            <w:r w:rsidR="000316FB">
              <w:rPr>
                <w:webHidden/>
              </w:rPr>
            </w:r>
            <w:r w:rsidR="000316FB">
              <w:rPr>
                <w:webHidden/>
              </w:rPr>
              <w:fldChar w:fldCharType="separate"/>
            </w:r>
            <w:r w:rsidR="00147461">
              <w:rPr>
                <w:webHidden/>
              </w:rPr>
              <w:t>99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7" w:history="1">
            <w:r w:rsidR="000316FB" w:rsidRPr="00A20114">
              <w:rPr>
                <w:rStyle w:val="Hyperlink"/>
              </w:rPr>
              <w:t>Pre-school (Achieving)</w:t>
            </w:r>
            <w:r w:rsidR="000316FB">
              <w:rPr>
                <w:webHidden/>
              </w:rPr>
              <w:tab/>
            </w:r>
            <w:r w:rsidR="000316FB">
              <w:rPr>
                <w:webHidden/>
              </w:rPr>
              <w:fldChar w:fldCharType="begin"/>
            </w:r>
            <w:r w:rsidR="000316FB">
              <w:rPr>
                <w:webHidden/>
              </w:rPr>
              <w:instrText xml:space="preserve"> PAGEREF _Toc494182117 \h </w:instrText>
            </w:r>
            <w:r w:rsidR="000316FB">
              <w:rPr>
                <w:webHidden/>
              </w:rPr>
            </w:r>
            <w:r w:rsidR="000316FB">
              <w:rPr>
                <w:webHidden/>
              </w:rPr>
              <w:fldChar w:fldCharType="separate"/>
            </w:r>
            <w:r w:rsidR="00147461">
              <w:rPr>
                <w:webHidden/>
              </w:rPr>
              <w:t>100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8" w:history="1">
            <w:r w:rsidR="000316FB" w:rsidRPr="00A20114">
              <w:rPr>
                <w:rStyle w:val="Hyperlink"/>
              </w:rPr>
              <w:t>Attendance at primary school (and reluctance to attend) (Achieving)</w:t>
            </w:r>
            <w:r w:rsidR="000316FB">
              <w:rPr>
                <w:webHidden/>
              </w:rPr>
              <w:tab/>
            </w:r>
            <w:r w:rsidR="000316FB">
              <w:rPr>
                <w:webHidden/>
              </w:rPr>
              <w:fldChar w:fldCharType="begin"/>
            </w:r>
            <w:r w:rsidR="000316FB">
              <w:rPr>
                <w:webHidden/>
              </w:rPr>
              <w:instrText xml:space="preserve"> PAGEREF _Toc494182118 \h </w:instrText>
            </w:r>
            <w:r w:rsidR="000316FB">
              <w:rPr>
                <w:webHidden/>
              </w:rPr>
            </w:r>
            <w:r w:rsidR="000316FB">
              <w:rPr>
                <w:webHidden/>
              </w:rPr>
              <w:fldChar w:fldCharType="separate"/>
            </w:r>
            <w:r w:rsidR="00147461">
              <w:rPr>
                <w:webHidden/>
              </w:rPr>
              <w:t>100</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19" w:history="1">
            <w:r w:rsidR="000316FB" w:rsidRPr="00A20114">
              <w:rPr>
                <w:rStyle w:val="Hyperlink"/>
              </w:rPr>
              <w:t>Home learning environment and parental involvement in homework (Achieving, Nurtured)</w:t>
            </w:r>
            <w:r w:rsidR="000316FB">
              <w:rPr>
                <w:webHidden/>
              </w:rPr>
              <w:tab/>
            </w:r>
            <w:r w:rsidR="000316FB">
              <w:rPr>
                <w:webHidden/>
              </w:rPr>
              <w:fldChar w:fldCharType="begin"/>
            </w:r>
            <w:r w:rsidR="000316FB">
              <w:rPr>
                <w:webHidden/>
              </w:rPr>
              <w:instrText xml:space="preserve"> PAGEREF _Toc494182119 \h </w:instrText>
            </w:r>
            <w:r w:rsidR="000316FB">
              <w:rPr>
                <w:webHidden/>
              </w:rPr>
            </w:r>
            <w:r w:rsidR="000316FB">
              <w:rPr>
                <w:webHidden/>
              </w:rPr>
              <w:fldChar w:fldCharType="separate"/>
            </w:r>
            <w:r w:rsidR="00147461">
              <w:rPr>
                <w:webHidden/>
              </w:rPr>
              <w:t>101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0" w:history="1">
            <w:r w:rsidR="000316FB" w:rsidRPr="00A20114">
              <w:rPr>
                <w:rStyle w:val="Hyperlink"/>
              </w:rPr>
              <w:t>Additional support needs (Healthy, Included)</w:t>
            </w:r>
            <w:r w:rsidR="000316FB">
              <w:rPr>
                <w:webHidden/>
              </w:rPr>
              <w:tab/>
            </w:r>
            <w:r w:rsidR="000316FB">
              <w:rPr>
                <w:webHidden/>
              </w:rPr>
              <w:fldChar w:fldCharType="begin"/>
            </w:r>
            <w:r w:rsidR="000316FB">
              <w:rPr>
                <w:webHidden/>
              </w:rPr>
              <w:instrText xml:space="preserve"> PAGEREF _Toc494182120 \h </w:instrText>
            </w:r>
            <w:r w:rsidR="000316FB">
              <w:rPr>
                <w:webHidden/>
              </w:rPr>
            </w:r>
            <w:r w:rsidR="000316FB">
              <w:rPr>
                <w:webHidden/>
              </w:rPr>
              <w:fldChar w:fldCharType="separate"/>
            </w:r>
            <w:r w:rsidR="00147461">
              <w:rPr>
                <w:webHidden/>
              </w:rPr>
              <w:t>103</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121" w:history="1">
            <w:r w:rsidR="000316FB" w:rsidRPr="00A20114">
              <w:rPr>
                <w:rStyle w:val="Hyperlink"/>
              </w:rPr>
              <w:t>4.4</w:t>
            </w:r>
            <w:r w:rsidR="000316FB">
              <w:rPr>
                <w:rFonts w:asciiTheme="minorHAnsi" w:eastAsiaTheme="minorEastAsia" w:hAnsiTheme="minorHAnsi" w:cstheme="minorBidi"/>
                <w:sz w:val="22"/>
                <w:szCs w:val="22"/>
              </w:rPr>
              <w:tab/>
            </w:r>
            <w:r w:rsidR="000316FB" w:rsidRPr="00A20114">
              <w:rPr>
                <w:rStyle w:val="Hyperlink"/>
              </w:rPr>
              <w:t>Place and wellbeing</w:t>
            </w:r>
            <w:r w:rsidR="000316FB">
              <w:rPr>
                <w:webHidden/>
              </w:rPr>
              <w:tab/>
            </w:r>
            <w:r w:rsidR="000316FB">
              <w:rPr>
                <w:webHidden/>
              </w:rPr>
              <w:fldChar w:fldCharType="begin"/>
            </w:r>
            <w:r w:rsidR="000316FB">
              <w:rPr>
                <w:webHidden/>
              </w:rPr>
              <w:instrText xml:space="preserve"> PAGEREF _Toc494182121 \h </w:instrText>
            </w:r>
            <w:r w:rsidR="000316FB">
              <w:rPr>
                <w:webHidden/>
              </w:rPr>
            </w:r>
            <w:r w:rsidR="000316FB">
              <w:rPr>
                <w:webHidden/>
              </w:rPr>
              <w:fldChar w:fldCharType="separate"/>
            </w:r>
            <w:r w:rsidR="00147461">
              <w:rPr>
                <w:webHidden/>
              </w:rPr>
              <w:t>104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2" w:history="1">
            <w:r w:rsidR="000316FB" w:rsidRPr="00A20114">
              <w:rPr>
                <w:rStyle w:val="Hyperlink"/>
              </w:rPr>
              <w:t>4.4.1</w:t>
            </w:r>
            <w:r w:rsidR="000316FB">
              <w:rPr>
                <w:rFonts w:asciiTheme="minorHAnsi" w:eastAsiaTheme="minorEastAsia" w:hAnsiTheme="minorHAnsi" w:cstheme="minorBidi"/>
                <w:szCs w:val="22"/>
              </w:rPr>
              <w:tab/>
            </w:r>
            <w:r w:rsidR="000316FB" w:rsidRPr="00A20114">
              <w:rPr>
                <w:rStyle w:val="Hyperlink"/>
              </w:rPr>
              <w:t>Community</w:t>
            </w:r>
            <w:r w:rsidR="000316FB">
              <w:rPr>
                <w:webHidden/>
              </w:rPr>
              <w:tab/>
            </w:r>
            <w:r w:rsidR="000316FB">
              <w:rPr>
                <w:webHidden/>
              </w:rPr>
              <w:fldChar w:fldCharType="begin"/>
            </w:r>
            <w:r w:rsidR="000316FB">
              <w:rPr>
                <w:webHidden/>
              </w:rPr>
              <w:instrText xml:space="preserve"> PAGEREF _Toc494182122 \h </w:instrText>
            </w:r>
            <w:r w:rsidR="000316FB">
              <w:rPr>
                <w:webHidden/>
              </w:rPr>
            </w:r>
            <w:r w:rsidR="000316FB">
              <w:rPr>
                <w:webHidden/>
              </w:rPr>
              <w:fldChar w:fldCharType="separate"/>
            </w:r>
            <w:r w:rsidR="00147461">
              <w:rPr>
                <w:webHidden/>
              </w:rPr>
              <w:t>104</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3" w:history="1">
            <w:r w:rsidR="000316FB" w:rsidRPr="00A20114">
              <w:rPr>
                <w:rStyle w:val="Hyperlink"/>
              </w:rPr>
              <w:t>Neighbourhood, safety and community (Safe)</w:t>
            </w:r>
            <w:r w:rsidR="000316FB">
              <w:rPr>
                <w:webHidden/>
              </w:rPr>
              <w:tab/>
            </w:r>
            <w:r w:rsidR="000316FB">
              <w:rPr>
                <w:webHidden/>
              </w:rPr>
              <w:fldChar w:fldCharType="begin"/>
            </w:r>
            <w:r w:rsidR="000316FB">
              <w:rPr>
                <w:webHidden/>
              </w:rPr>
              <w:instrText xml:space="preserve"> PAGEREF _Toc494182123 \h </w:instrText>
            </w:r>
            <w:r w:rsidR="000316FB">
              <w:rPr>
                <w:webHidden/>
              </w:rPr>
            </w:r>
            <w:r w:rsidR="000316FB">
              <w:rPr>
                <w:webHidden/>
              </w:rPr>
              <w:fldChar w:fldCharType="separate"/>
            </w:r>
            <w:r w:rsidR="00147461">
              <w:rPr>
                <w:webHidden/>
              </w:rPr>
              <w:t>106</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124" w:history="1">
            <w:r w:rsidR="000316FB" w:rsidRPr="00A20114">
              <w:rPr>
                <w:rStyle w:val="Hyperlink"/>
              </w:rPr>
              <w:t>4.5</w:t>
            </w:r>
            <w:r w:rsidR="000316FB">
              <w:rPr>
                <w:rFonts w:asciiTheme="minorHAnsi" w:eastAsiaTheme="minorEastAsia" w:hAnsiTheme="minorHAnsi" w:cstheme="minorBidi"/>
                <w:sz w:val="22"/>
                <w:szCs w:val="22"/>
              </w:rPr>
              <w:tab/>
            </w:r>
            <w:r w:rsidR="000316FB" w:rsidRPr="00A20114">
              <w:rPr>
                <w:rStyle w:val="Hyperlink"/>
              </w:rPr>
              <w:t>Broader parental views and experiences</w:t>
            </w:r>
            <w:r w:rsidR="000316FB">
              <w:rPr>
                <w:webHidden/>
              </w:rPr>
              <w:tab/>
            </w:r>
            <w:r w:rsidR="000316FB">
              <w:rPr>
                <w:webHidden/>
              </w:rPr>
              <w:fldChar w:fldCharType="begin"/>
            </w:r>
            <w:r w:rsidR="000316FB">
              <w:rPr>
                <w:webHidden/>
              </w:rPr>
              <w:instrText xml:space="preserve"> PAGEREF _Toc494182124 \h </w:instrText>
            </w:r>
            <w:r w:rsidR="000316FB">
              <w:rPr>
                <w:webHidden/>
              </w:rPr>
            </w:r>
            <w:r w:rsidR="000316FB">
              <w:rPr>
                <w:webHidden/>
              </w:rPr>
              <w:fldChar w:fldCharType="separate"/>
            </w:r>
            <w:r w:rsidR="00147461">
              <w:rPr>
                <w:webHidden/>
              </w:rPr>
              <w:t>107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5" w:history="1">
            <w:r w:rsidR="000316FB" w:rsidRPr="00A20114">
              <w:rPr>
                <w:rStyle w:val="Hyperlink"/>
              </w:rPr>
              <w:t>4.5.1</w:t>
            </w:r>
            <w:r w:rsidR="000316FB">
              <w:rPr>
                <w:rFonts w:asciiTheme="minorHAnsi" w:eastAsiaTheme="minorEastAsia" w:hAnsiTheme="minorHAnsi" w:cstheme="minorBidi"/>
                <w:szCs w:val="22"/>
              </w:rPr>
              <w:tab/>
            </w:r>
            <w:r w:rsidR="000316FB" w:rsidRPr="00A20114">
              <w:rPr>
                <w:rStyle w:val="Hyperlink"/>
              </w:rPr>
              <w:t>Use of and satisfaction with local services</w:t>
            </w:r>
            <w:r w:rsidR="000316FB">
              <w:rPr>
                <w:webHidden/>
              </w:rPr>
              <w:tab/>
            </w:r>
            <w:r w:rsidR="000316FB">
              <w:rPr>
                <w:webHidden/>
              </w:rPr>
              <w:fldChar w:fldCharType="begin"/>
            </w:r>
            <w:r w:rsidR="000316FB">
              <w:rPr>
                <w:webHidden/>
              </w:rPr>
              <w:instrText xml:space="preserve"> PAGEREF _Toc494182125 \h </w:instrText>
            </w:r>
            <w:r w:rsidR="000316FB">
              <w:rPr>
                <w:webHidden/>
              </w:rPr>
            </w:r>
            <w:r w:rsidR="000316FB">
              <w:rPr>
                <w:webHidden/>
              </w:rPr>
              <w:fldChar w:fldCharType="separate"/>
            </w:r>
            <w:r w:rsidR="00147461">
              <w:rPr>
                <w:webHidden/>
              </w:rPr>
              <w:t>107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6" w:history="1">
            <w:r w:rsidR="000316FB" w:rsidRPr="00A20114">
              <w:rPr>
                <w:rStyle w:val="Hyperlink"/>
              </w:rPr>
              <w:t>Availability of services and amenities</w:t>
            </w:r>
            <w:r w:rsidR="000316FB">
              <w:rPr>
                <w:webHidden/>
              </w:rPr>
              <w:tab/>
            </w:r>
            <w:r w:rsidR="000316FB">
              <w:rPr>
                <w:webHidden/>
              </w:rPr>
              <w:fldChar w:fldCharType="begin"/>
            </w:r>
            <w:r w:rsidR="000316FB">
              <w:rPr>
                <w:webHidden/>
              </w:rPr>
              <w:instrText xml:space="preserve"> PAGEREF _Toc494182126 \h </w:instrText>
            </w:r>
            <w:r w:rsidR="000316FB">
              <w:rPr>
                <w:webHidden/>
              </w:rPr>
            </w:r>
            <w:r w:rsidR="000316FB">
              <w:rPr>
                <w:webHidden/>
              </w:rPr>
              <w:fldChar w:fldCharType="separate"/>
            </w:r>
            <w:r w:rsidR="00147461">
              <w:rPr>
                <w:webHidden/>
              </w:rPr>
              <w:t>107</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7" w:history="1">
            <w:r w:rsidR="000316FB" w:rsidRPr="00A20114">
              <w:rPr>
                <w:rStyle w:val="Hyperlink"/>
              </w:rPr>
              <w:t>Contact with professionals</w:t>
            </w:r>
            <w:r w:rsidR="000316FB">
              <w:rPr>
                <w:webHidden/>
              </w:rPr>
              <w:tab/>
            </w:r>
            <w:r w:rsidR="000316FB">
              <w:rPr>
                <w:webHidden/>
              </w:rPr>
              <w:fldChar w:fldCharType="begin"/>
            </w:r>
            <w:r w:rsidR="000316FB">
              <w:rPr>
                <w:webHidden/>
              </w:rPr>
              <w:instrText xml:space="preserve"> PAGEREF _Toc494182127 \h </w:instrText>
            </w:r>
            <w:r w:rsidR="000316FB">
              <w:rPr>
                <w:webHidden/>
              </w:rPr>
            </w:r>
            <w:r w:rsidR="000316FB">
              <w:rPr>
                <w:webHidden/>
              </w:rPr>
              <w:fldChar w:fldCharType="separate"/>
            </w:r>
            <w:r w:rsidR="00147461">
              <w:rPr>
                <w:webHidden/>
              </w:rPr>
              <w:t>108</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8" w:history="1">
            <w:r w:rsidR="000316FB" w:rsidRPr="00A20114">
              <w:rPr>
                <w:rStyle w:val="Hyperlink"/>
              </w:rPr>
              <w:t>4.5.2</w:t>
            </w:r>
            <w:r w:rsidR="000316FB">
              <w:rPr>
                <w:rFonts w:asciiTheme="minorHAnsi" w:eastAsiaTheme="minorEastAsia" w:hAnsiTheme="minorHAnsi" w:cstheme="minorBidi"/>
                <w:szCs w:val="22"/>
              </w:rPr>
              <w:tab/>
            </w:r>
            <w:r w:rsidR="000316FB" w:rsidRPr="00A20114">
              <w:rPr>
                <w:rStyle w:val="Hyperlink"/>
              </w:rPr>
              <w:t>Social support</w:t>
            </w:r>
            <w:r w:rsidR="000316FB">
              <w:rPr>
                <w:webHidden/>
              </w:rPr>
              <w:tab/>
            </w:r>
            <w:r w:rsidR="000316FB">
              <w:rPr>
                <w:webHidden/>
              </w:rPr>
              <w:fldChar w:fldCharType="begin"/>
            </w:r>
            <w:r w:rsidR="000316FB">
              <w:rPr>
                <w:webHidden/>
              </w:rPr>
              <w:instrText xml:space="preserve"> PAGEREF _Toc494182128 \h </w:instrText>
            </w:r>
            <w:r w:rsidR="000316FB">
              <w:rPr>
                <w:webHidden/>
              </w:rPr>
            </w:r>
            <w:r w:rsidR="000316FB">
              <w:rPr>
                <w:webHidden/>
              </w:rPr>
              <w:fldChar w:fldCharType="separate"/>
            </w:r>
            <w:r w:rsidR="00147461">
              <w:rPr>
                <w:webHidden/>
              </w:rPr>
              <w:t>109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29" w:history="1">
            <w:r w:rsidR="000316FB" w:rsidRPr="00A20114">
              <w:rPr>
                <w:rStyle w:val="Hyperlink"/>
              </w:rPr>
              <w:t>Family support and social networks</w:t>
            </w:r>
            <w:r w:rsidR="000316FB">
              <w:rPr>
                <w:webHidden/>
              </w:rPr>
              <w:tab/>
            </w:r>
            <w:r w:rsidR="000316FB">
              <w:rPr>
                <w:webHidden/>
              </w:rPr>
              <w:fldChar w:fldCharType="begin"/>
            </w:r>
            <w:r w:rsidR="000316FB">
              <w:rPr>
                <w:webHidden/>
              </w:rPr>
              <w:instrText xml:space="preserve"> PAGEREF _Toc494182129 \h </w:instrText>
            </w:r>
            <w:r w:rsidR="000316FB">
              <w:rPr>
                <w:webHidden/>
              </w:rPr>
            </w:r>
            <w:r w:rsidR="000316FB">
              <w:rPr>
                <w:webHidden/>
              </w:rPr>
              <w:fldChar w:fldCharType="separate"/>
            </w:r>
            <w:r w:rsidR="00147461">
              <w:rPr>
                <w:webHidden/>
              </w:rPr>
              <w:t>109</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30" w:history="1">
            <w:r w:rsidR="000316FB" w:rsidRPr="00A20114">
              <w:rPr>
                <w:rStyle w:val="Hyperlink"/>
              </w:rPr>
              <w:t>4.5.3</w:t>
            </w:r>
            <w:r w:rsidR="000316FB">
              <w:rPr>
                <w:rFonts w:asciiTheme="minorHAnsi" w:eastAsiaTheme="minorEastAsia" w:hAnsiTheme="minorHAnsi" w:cstheme="minorBidi"/>
                <w:szCs w:val="22"/>
              </w:rPr>
              <w:tab/>
            </w:r>
            <w:r w:rsidR="000316FB" w:rsidRPr="00A20114">
              <w:rPr>
                <w:rStyle w:val="Hyperlink"/>
              </w:rPr>
              <w:t>Quality of parental relationships</w:t>
            </w:r>
            <w:r w:rsidR="000316FB">
              <w:rPr>
                <w:webHidden/>
              </w:rPr>
              <w:tab/>
            </w:r>
            <w:r w:rsidR="000316FB">
              <w:rPr>
                <w:webHidden/>
              </w:rPr>
              <w:fldChar w:fldCharType="begin"/>
            </w:r>
            <w:r w:rsidR="000316FB">
              <w:rPr>
                <w:webHidden/>
              </w:rPr>
              <w:instrText xml:space="preserve"> PAGEREF _Toc494182130 \h </w:instrText>
            </w:r>
            <w:r w:rsidR="000316FB">
              <w:rPr>
                <w:webHidden/>
              </w:rPr>
            </w:r>
            <w:r w:rsidR="000316FB">
              <w:rPr>
                <w:webHidden/>
              </w:rPr>
              <w:fldChar w:fldCharType="separate"/>
            </w:r>
            <w:r w:rsidR="00147461">
              <w:rPr>
                <w:webHidden/>
              </w:rPr>
              <w:t>111</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31" w:history="1">
            <w:r w:rsidR="000316FB" w:rsidRPr="00A20114">
              <w:rPr>
                <w:rStyle w:val="Hyperlink"/>
              </w:rPr>
              <w:t>4.5.4</w:t>
            </w:r>
            <w:r w:rsidR="000316FB">
              <w:rPr>
                <w:rFonts w:asciiTheme="minorHAnsi" w:eastAsiaTheme="minorEastAsia" w:hAnsiTheme="minorHAnsi" w:cstheme="minorBidi"/>
                <w:szCs w:val="22"/>
              </w:rPr>
              <w:tab/>
            </w:r>
            <w:r w:rsidR="000316FB" w:rsidRPr="00A20114">
              <w:rPr>
                <w:rStyle w:val="Hyperlink"/>
              </w:rPr>
              <w:t>Use of and access to parenting support services</w:t>
            </w:r>
            <w:r w:rsidR="000316FB">
              <w:rPr>
                <w:webHidden/>
              </w:rPr>
              <w:tab/>
            </w:r>
            <w:r w:rsidR="000316FB">
              <w:rPr>
                <w:webHidden/>
              </w:rPr>
              <w:fldChar w:fldCharType="begin"/>
            </w:r>
            <w:r w:rsidR="000316FB">
              <w:rPr>
                <w:webHidden/>
              </w:rPr>
              <w:instrText xml:space="preserve"> PAGEREF _Toc494182131 \h </w:instrText>
            </w:r>
            <w:r w:rsidR="000316FB">
              <w:rPr>
                <w:webHidden/>
              </w:rPr>
            </w:r>
            <w:r w:rsidR="000316FB">
              <w:rPr>
                <w:webHidden/>
              </w:rPr>
              <w:fldChar w:fldCharType="separate"/>
            </w:r>
            <w:r w:rsidR="00147461">
              <w:rPr>
                <w:webHidden/>
              </w:rPr>
              <w:t>112</w:t>
            </w:r>
            <w:r w:rsidR="000316FB">
              <w:rPr>
                <w:webHidden/>
              </w:rPr>
              <w:fldChar w:fldCharType="end"/>
            </w:r>
          </w:hyperlink>
        </w:p>
        <w:p w:rsidR="000316FB" w:rsidRDefault="00A2378A">
          <w:pPr>
            <w:pStyle w:val="TOC3"/>
            <w:rPr>
              <w:rFonts w:asciiTheme="minorHAnsi" w:eastAsiaTheme="minorEastAsia" w:hAnsiTheme="minorHAnsi" w:cstheme="minorBidi"/>
              <w:szCs w:val="22"/>
            </w:rPr>
          </w:pPr>
          <w:hyperlink w:anchor="_Toc494182132" w:history="1">
            <w:r w:rsidR="000316FB" w:rsidRPr="00A20114">
              <w:rPr>
                <w:rStyle w:val="Hyperlink"/>
              </w:rPr>
              <w:t>4.5.5</w:t>
            </w:r>
            <w:r w:rsidR="000316FB">
              <w:rPr>
                <w:rFonts w:asciiTheme="minorHAnsi" w:eastAsiaTheme="minorEastAsia" w:hAnsiTheme="minorHAnsi" w:cstheme="minorBidi"/>
                <w:szCs w:val="22"/>
              </w:rPr>
              <w:tab/>
            </w:r>
            <w:r w:rsidR="000316FB" w:rsidRPr="00A20114">
              <w:rPr>
                <w:rStyle w:val="Hyperlink"/>
              </w:rPr>
              <w:t>Childcare</w:t>
            </w:r>
            <w:r w:rsidR="000316FB">
              <w:rPr>
                <w:webHidden/>
              </w:rPr>
              <w:tab/>
            </w:r>
            <w:r w:rsidR="000316FB">
              <w:rPr>
                <w:webHidden/>
              </w:rPr>
              <w:fldChar w:fldCharType="begin"/>
            </w:r>
            <w:r w:rsidR="000316FB">
              <w:rPr>
                <w:webHidden/>
              </w:rPr>
              <w:instrText xml:space="preserve"> PAGEREF _Toc494182132 \h </w:instrText>
            </w:r>
            <w:r w:rsidR="000316FB">
              <w:rPr>
                <w:webHidden/>
              </w:rPr>
            </w:r>
            <w:r w:rsidR="000316FB">
              <w:rPr>
                <w:webHidden/>
              </w:rPr>
              <w:fldChar w:fldCharType="separate"/>
            </w:r>
            <w:r w:rsidR="00147461">
              <w:rPr>
                <w:webHidden/>
              </w:rPr>
              <w:t>115</w:t>
            </w:r>
            <w:r w:rsidR="000316FB">
              <w:rPr>
                <w:webHidden/>
              </w:rPr>
              <w:fldChar w:fldCharType="end"/>
            </w:r>
          </w:hyperlink>
        </w:p>
        <w:p w:rsidR="000316FB" w:rsidRDefault="00A2378A">
          <w:pPr>
            <w:pStyle w:val="TOC2"/>
            <w:rPr>
              <w:rFonts w:asciiTheme="minorHAnsi" w:eastAsiaTheme="minorEastAsia" w:hAnsiTheme="minorHAnsi" w:cstheme="minorBidi"/>
              <w:sz w:val="22"/>
              <w:szCs w:val="22"/>
            </w:rPr>
          </w:pPr>
          <w:hyperlink w:anchor="_Toc494182133" w:history="1">
            <w:r w:rsidR="000316FB" w:rsidRPr="00A20114">
              <w:rPr>
                <w:rStyle w:val="Hyperlink"/>
              </w:rPr>
              <w:t>4.6</w:t>
            </w:r>
            <w:r w:rsidR="000316FB">
              <w:rPr>
                <w:rFonts w:asciiTheme="minorHAnsi" w:eastAsiaTheme="minorEastAsia" w:hAnsiTheme="minorHAnsi" w:cstheme="minorBidi"/>
                <w:sz w:val="22"/>
                <w:szCs w:val="22"/>
              </w:rPr>
              <w:tab/>
            </w:r>
            <w:r w:rsidR="000316FB" w:rsidRPr="00A20114">
              <w:rPr>
                <w:rStyle w:val="Hyperlink"/>
              </w:rPr>
              <w:t>Summary of key findings from the parent survey</w:t>
            </w:r>
            <w:r w:rsidR="000316FB">
              <w:rPr>
                <w:webHidden/>
              </w:rPr>
              <w:tab/>
            </w:r>
            <w:r w:rsidR="000316FB">
              <w:rPr>
                <w:webHidden/>
              </w:rPr>
              <w:fldChar w:fldCharType="begin"/>
            </w:r>
            <w:r w:rsidR="000316FB">
              <w:rPr>
                <w:webHidden/>
              </w:rPr>
              <w:instrText xml:space="preserve"> PAGEREF _Toc494182133 \h </w:instrText>
            </w:r>
            <w:r w:rsidR="000316FB">
              <w:rPr>
                <w:webHidden/>
              </w:rPr>
            </w:r>
            <w:r w:rsidR="000316FB">
              <w:rPr>
                <w:webHidden/>
              </w:rPr>
              <w:fldChar w:fldCharType="separate"/>
            </w:r>
            <w:r w:rsidR="00147461">
              <w:rPr>
                <w:webHidden/>
              </w:rPr>
              <w:t>116</w:t>
            </w:r>
            <w:r w:rsidR="000316FB">
              <w:rPr>
                <w:webHidden/>
              </w:rPr>
              <w:fldChar w:fldCharType="end"/>
            </w:r>
          </w:hyperlink>
        </w:p>
        <w:p w:rsidR="000316FB" w:rsidRDefault="00A2378A">
          <w:pPr>
            <w:pStyle w:val="TOC1"/>
            <w:rPr>
              <w:rFonts w:asciiTheme="minorHAnsi" w:eastAsiaTheme="minorEastAsia" w:hAnsiTheme="minorHAnsi" w:cstheme="minorBidi"/>
              <w:color w:val="auto"/>
              <w:sz w:val="22"/>
              <w:szCs w:val="22"/>
            </w:rPr>
          </w:pPr>
          <w:hyperlink w:anchor="_Toc494182134" w:history="1">
            <w:r w:rsidR="000316FB" w:rsidRPr="00A20114">
              <w:rPr>
                <w:rStyle w:val="Hyperlink"/>
              </w:rPr>
              <w:t>5</w:t>
            </w:r>
            <w:r w:rsidR="000316FB">
              <w:rPr>
                <w:rFonts w:asciiTheme="minorHAnsi" w:eastAsiaTheme="minorEastAsia" w:hAnsiTheme="minorHAnsi" w:cstheme="minorBidi"/>
                <w:color w:val="auto"/>
                <w:sz w:val="22"/>
                <w:szCs w:val="22"/>
              </w:rPr>
              <w:tab/>
            </w:r>
            <w:r w:rsidR="000316FB" w:rsidRPr="00A20114">
              <w:rPr>
                <w:rStyle w:val="Hyperlink"/>
              </w:rPr>
              <w:t>Discussion</w:t>
            </w:r>
            <w:r w:rsidR="000316FB">
              <w:rPr>
                <w:webHidden/>
              </w:rPr>
              <w:tab/>
            </w:r>
            <w:r w:rsidR="000316FB">
              <w:rPr>
                <w:webHidden/>
              </w:rPr>
              <w:fldChar w:fldCharType="begin"/>
            </w:r>
            <w:r w:rsidR="000316FB">
              <w:rPr>
                <w:webHidden/>
              </w:rPr>
              <w:instrText xml:space="preserve"> PAGEREF _Toc494182134 \h </w:instrText>
            </w:r>
            <w:r w:rsidR="000316FB">
              <w:rPr>
                <w:webHidden/>
              </w:rPr>
            </w:r>
            <w:r w:rsidR="000316FB">
              <w:rPr>
                <w:webHidden/>
              </w:rPr>
              <w:fldChar w:fldCharType="separate"/>
            </w:r>
            <w:r w:rsidR="00147461">
              <w:rPr>
                <w:webHidden/>
              </w:rPr>
              <w:t>117</w:t>
            </w:r>
            <w:r w:rsidR="000316FB">
              <w:rPr>
                <w:webHidden/>
              </w:rPr>
              <w:fldChar w:fldCharType="end"/>
            </w:r>
          </w:hyperlink>
        </w:p>
        <w:p w:rsidR="000316FB" w:rsidRDefault="00A2378A">
          <w:pPr>
            <w:pStyle w:val="TOC1"/>
            <w:rPr>
              <w:rFonts w:asciiTheme="minorHAnsi" w:eastAsiaTheme="minorEastAsia" w:hAnsiTheme="minorHAnsi" w:cstheme="minorBidi"/>
              <w:color w:val="auto"/>
              <w:sz w:val="22"/>
              <w:szCs w:val="22"/>
            </w:rPr>
          </w:pPr>
          <w:hyperlink w:anchor="_Toc494182135" w:history="1">
            <w:r w:rsidR="000316FB" w:rsidRPr="00A20114">
              <w:rPr>
                <w:rStyle w:val="Hyperlink"/>
              </w:rPr>
              <w:t>Appendix – Explanation of variables used in the report and tables</w:t>
            </w:r>
            <w:r w:rsidR="000316FB">
              <w:rPr>
                <w:rStyle w:val="Hyperlink"/>
              </w:rPr>
              <w:t>….</w:t>
            </w:r>
            <w:r w:rsidR="000316FB">
              <w:rPr>
                <w:webHidden/>
              </w:rPr>
              <w:tab/>
            </w:r>
            <w:r w:rsidR="000316FB">
              <w:rPr>
                <w:webHidden/>
              </w:rPr>
              <w:fldChar w:fldCharType="begin"/>
            </w:r>
            <w:r w:rsidR="000316FB">
              <w:rPr>
                <w:webHidden/>
              </w:rPr>
              <w:instrText xml:space="preserve"> PAGEREF _Toc494182135 \h </w:instrText>
            </w:r>
            <w:r w:rsidR="000316FB">
              <w:rPr>
                <w:webHidden/>
              </w:rPr>
            </w:r>
            <w:r w:rsidR="000316FB">
              <w:rPr>
                <w:webHidden/>
              </w:rPr>
              <w:fldChar w:fldCharType="separate"/>
            </w:r>
            <w:r w:rsidR="00147461">
              <w:rPr>
                <w:webHidden/>
              </w:rPr>
              <w:t>126</w:t>
            </w:r>
            <w:r w:rsidR="000316FB">
              <w:rPr>
                <w:webHidden/>
              </w:rPr>
              <w:fldChar w:fldCharType="end"/>
            </w:r>
          </w:hyperlink>
        </w:p>
        <w:p w:rsidR="00D573E1" w:rsidRDefault="00A2378A" w:rsidP="00024033">
          <w:pPr>
            <w:pStyle w:val="TOC3"/>
          </w:pPr>
          <w:hyperlink w:anchor="_Toc494182136" w:history="1">
            <w:r w:rsidR="000316FB" w:rsidRPr="00A20114">
              <w:rPr>
                <w:rStyle w:val="Hyperlink"/>
              </w:rPr>
              <w:t>End notes</w:t>
            </w:r>
            <w:r w:rsidR="000316FB">
              <w:rPr>
                <w:webHidden/>
              </w:rPr>
              <w:tab/>
            </w:r>
            <w:r w:rsidR="000316FB">
              <w:rPr>
                <w:webHidden/>
              </w:rPr>
              <w:fldChar w:fldCharType="begin"/>
            </w:r>
            <w:r w:rsidR="000316FB">
              <w:rPr>
                <w:webHidden/>
              </w:rPr>
              <w:instrText xml:space="preserve"> PAGEREF _Toc494182136 \h </w:instrText>
            </w:r>
            <w:r w:rsidR="000316FB">
              <w:rPr>
                <w:webHidden/>
              </w:rPr>
            </w:r>
            <w:r w:rsidR="000316FB">
              <w:rPr>
                <w:webHidden/>
              </w:rPr>
              <w:fldChar w:fldCharType="separate"/>
            </w:r>
            <w:r w:rsidR="00147461">
              <w:rPr>
                <w:webHidden/>
              </w:rPr>
              <w:t>136</w:t>
            </w:r>
            <w:r w:rsidR="000316FB">
              <w:rPr>
                <w:webHidden/>
              </w:rPr>
              <w:fldChar w:fldCharType="end"/>
            </w:r>
          </w:hyperlink>
          <w:r w:rsidR="00D573E1">
            <w:rPr>
              <w:b/>
              <w:bCs/>
            </w:rPr>
            <w:fldChar w:fldCharType="end"/>
          </w:r>
        </w:p>
      </w:sdtContent>
    </w:sdt>
    <w:p w:rsidR="00A40505" w:rsidRPr="00430C79" w:rsidRDefault="0016412A" w:rsidP="0099604C">
      <w:pPr>
        <w:pStyle w:val="Heading1"/>
        <w:pageBreakBefore w:val="0"/>
        <w:spacing w:line="276" w:lineRule="auto"/>
      </w:pPr>
      <w:bookmarkStart w:id="2" w:name="_Toc494182016"/>
      <w:bookmarkEnd w:id="1"/>
      <w:r>
        <w:lastRenderedPageBreak/>
        <w:t>Introduction</w:t>
      </w:r>
      <w:bookmarkEnd w:id="2"/>
    </w:p>
    <w:p w:rsidR="00A40505" w:rsidRPr="00831620" w:rsidRDefault="00170E7B" w:rsidP="0099604C">
      <w:pPr>
        <w:pStyle w:val="Heading2"/>
        <w:spacing w:line="276" w:lineRule="auto"/>
        <w:ind w:left="902" w:hanging="902"/>
      </w:pPr>
      <w:bookmarkStart w:id="3" w:name="_Toc494182017"/>
      <w:r>
        <w:t xml:space="preserve">The </w:t>
      </w:r>
      <w:r w:rsidR="005D0A02">
        <w:t>RCS</w:t>
      </w:r>
      <w:r w:rsidR="00BF49D2">
        <w:t xml:space="preserve"> Wellbeing Survey Programme</w:t>
      </w:r>
      <w:bookmarkEnd w:id="3"/>
    </w:p>
    <w:p w:rsidR="00B137D2" w:rsidRDefault="00B137D2" w:rsidP="00B137D2">
      <w:pPr>
        <w:pStyle w:val="BodyCopy"/>
        <w:spacing w:before="120" w:after="200" w:line="276" w:lineRule="auto"/>
        <w:rPr>
          <w:rFonts w:cs="Arial"/>
          <w:szCs w:val="22"/>
        </w:rPr>
      </w:pPr>
      <w:bookmarkStart w:id="4" w:name="_Toc491244095"/>
      <w:r>
        <w:rPr>
          <w:rFonts w:cs="Arial"/>
          <w:szCs w:val="22"/>
        </w:rPr>
        <w:t xml:space="preserve">In 2016, Falkirk Community Planning Partnership joined the Realigning Children’s Services (RCS) programme – an initiative sponsored by the Scottish Government to support effective commissioning of children’s services. </w:t>
      </w:r>
    </w:p>
    <w:p w:rsidR="00B137D2" w:rsidRDefault="00B137D2" w:rsidP="00B137D2">
      <w:pPr>
        <w:pStyle w:val="BodyCopy"/>
        <w:spacing w:before="120" w:after="200" w:line="276" w:lineRule="auto"/>
        <w:rPr>
          <w:rFonts w:cs="Arial"/>
          <w:szCs w:val="22"/>
        </w:rPr>
      </w:pPr>
      <w:r>
        <w:rPr>
          <w:rFonts w:cs="Arial"/>
          <w:szCs w:val="22"/>
        </w:rPr>
        <w:t xml:space="preserve">A key aim of RCS is to improve the availability and use of evidence about local needs and services. Although local planners and practitioners often have access to good information about those already in contact with targeted or specialist services, less is generally known about the characteristics, needs and perceptions of the wider population of children and young people. </w:t>
      </w:r>
    </w:p>
    <w:p w:rsidR="00B137D2" w:rsidRDefault="00B137D2" w:rsidP="00B137D2">
      <w:pPr>
        <w:pStyle w:val="BodyCopy"/>
        <w:spacing w:before="120" w:after="200" w:line="276" w:lineRule="auto"/>
        <w:rPr>
          <w:rFonts w:cs="Arial"/>
          <w:szCs w:val="22"/>
        </w:rPr>
      </w:pPr>
      <w:r>
        <w:rPr>
          <w:rFonts w:cs="Arial"/>
          <w:szCs w:val="22"/>
        </w:rPr>
        <w:t>With this gap in mind, the RCS programme involved three related survey exercises, aimed at collecting information about the health and wellbeing of children and young people from birth to the mid-teens. Two of the surveys engaged young people directly as participants while the third collected information from parents of younger children. The core features of the surveys are summarised below. Further details can be found at the beginning of the relevant chapters and in the accompanying Technical Report.</w:t>
      </w:r>
    </w:p>
    <w:p w:rsidR="00B137D2" w:rsidRDefault="00B137D2" w:rsidP="00B137D2">
      <w:pPr>
        <w:pStyle w:val="BodyCopy"/>
        <w:spacing w:before="120" w:after="200" w:line="276" w:lineRule="auto"/>
        <w:rPr>
          <w:rFonts w:cs="Arial"/>
          <w:szCs w:val="22"/>
        </w:rPr>
      </w:pPr>
      <w:r>
        <w:rPr>
          <w:rFonts w:cs="Arial"/>
          <w:b/>
          <w:szCs w:val="22"/>
        </w:rPr>
        <w:t xml:space="preserve">Survey of pupils in S1 to S4: </w:t>
      </w:r>
      <w:r>
        <w:rPr>
          <w:rFonts w:cs="Arial"/>
          <w:szCs w:val="22"/>
        </w:rPr>
        <w:t>Conducted in all eight of Falkirk’s secondary schools between November 2016 and March 2017, using Computer Assisted Self Interviewing (CASI) and based on an existing survey – the Scottish Adolescent Lifestyles and Substance Use Survey (SALSUS) – with additional questions around wider wellbeing. Total achieved sample size – n=4,448.</w:t>
      </w:r>
    </w:p>
    <w:p w:rsidR="00B137D2" w:rsidRDefault="00B137D2" w:rsidP="00B137D2">
      <w:pPr>
        <w:pStyle w:val="BodyCopy"/>
        <w:spacing w:before="120" w:after="200" w:line="276" w:lineRule="auto"/>
        <w:rPr>
          <w:rFonts w:cs="Arial"/>
          <w:szCs w:val="22"/>
        </w:rPr>
      </w:pPr>
      <w:r>
        <w:rPr>
          <w:rFonts w:cs="Arial"/>
          <w:b/>
          <w:szCs w:val="22"/>
        </w:rPr>
        <w:t>Survey of pupils in P5 to P7</w:t>
      </w:r>
      <w:r>
        <w:rPr>
          <w:rFonts w:cs="Arial"/>
          <w:szCs w:val="22"/>
        </w:rPr>
        <w:t xml:space="preserve">: Conducted in </w:t>
      </w:r>
      <w:r w:rsidR="00522B2F">
        <w:rPr>
          <w:rFonts w:cs="Arial"/>
          <w:szCs w:val="22"/>
        </w:rPr>
        <w:t>48</w:t>
      </w:r>
      <w:r>
        <w:rPr>
          <w:rFonts w:cs="Arial"/>
          <w:szCs w:val="22"/>
        </w:rPr>
        <w:t xml:space="preserve"> of Falkirk’s </w:t>
      </w:r>
      <w:r w:rsidR="00522B2F">
        <w:rPr>
          <w:rFonts w:cs="Arial"/>
          <w:szCs w:val="22"/>
        </w:rPr>
        <w:t xml:space="preserve">50 </w:t>
      </w:r>
      <w:r>
        <w:rPr>
          <w:rFonts w:cs="Arial"/>
          <w:szCs w:val="22"/>
        </w:rPr>
        <w:t>primary schools between January and March 2017, using online Computer Assisted Self Interviewing (CASI) with audio support. Total achieved sample size – n=</w:t>
      </w:r>
      <w:r w:rsidR="00522B2F">
        <w:rPr>
          <w:rFonts w:cs="Arial"/>
          <w:szCs w:val="22"/>
        </w:rPr>
        <w:t>4,147</w:t>
      </w:r>
      <w:r>
        <w:rPr>
          <w:rFonts w:cs="Arial"/>
          <w:szCs w:val="22"/>
        </w:rPr>
        <w:t>.</w:t>
      </w:r>
    </w:p>
    <w:p w:rsidR="00B137D2" w:rsidRDefault="00B137D2" w:rsidP="00B137D2">
      <w:pPr>
        <w:pStyle w:val="BodyCopy"/>
        <w:spacing w:before="120" w:after="200" w:line="276" w:lineRule="auto"/>
        <w:rPr>
          <w:rFonts w:cs="Arial"/>
          <w:b/>
          <w:szCs w:val="22"/>
        </w:rPr>
      </w:pPr>
      <w:r>
        <w:rPr>
          <w:rFonts w:cs="Arial"/>
          <w:b/>
          <w:szCs w:val="22"/>
        </w:rPr>
        <w:t xml:space="preserve">Survey of parents of children aged 0-8: </w:t>
      </w:r>
      <w:r>
        <w:rPr>
          <w:rFonts w:cs="Arial"/>
          <w:szCs w:val="22"/>
        </w:rPr>
        <w:t>Conducted</w:t>
      </w:r>
      <w:r>
        <w:rPr>
          <w:rFonts w:cs="Arial"/>
          <w:b/>
          <w:szCs w:val="22"/>
        </w:rPr>
        <w:t xml:space="preserve"> </w:t>
      </w:r>
      <w:r>
        <w:rPr>
          <w:rFonts w:cs="Arial"/>
          <w:szCs w:val="22"/>
        </w:rPr>
        <w:t>in-home between January and May 2017, using face-to-face interviewing and quota sampling. Total achieved sample size – n=502.</w:t>
      </w:r>
    </w:p>
    <w:p w:rsidR="00B137D2" w:rsidRDefault="00B137D2" w:rsidP="00B137D2">
      <w:pPr>
        <w:pStyle w:val="BodyCopy"/>
        <w:spacing w:before="120" w:after="200" w:line="276" w:lineRule="auto"/>
        <w:rPr>
          <w:rFonts w:cs="Arial"/>
          <w:szCs w:val="22"/>
        </w:rPr>
      </w:pPr>
      <w:r>
        <w:rPr>
          <w:rFonts w:cs="Arial"/>
          <w:szCs w:val="22"/>
        </w:rPr>
        <w:t>The two school-based surveys were supplemented by a data linkage programme that allowed pupils’ responses to be securely linked to a limited range of data held by education and social work services</w:t>
      </w:r>
      <w:r>
        <w:rPr>
          <w:rFonts w:cs="Arial"/>
        </w:rPr>
        <w:t xml:space="preserve"> and – via home postcode – to an area based measure of multiple deprivation</w:t>
      </w:r>
      <w:r>
        <w:rPr>
          <w:rFonts w:cs="Arial"/>
          <w:szCs w:val="22"/>
        </w:rPr>
        <w:t>. Further details about this element of the programme can be found in the Technical Report.</w:t>
      </w:r>
    </w:p>
    <w:p w:rsidR="000F17E3" w:rsidRDefault="000F17E3" w:rsidP="00F076ED">
      <w:pPr>
        <w:pStyle w:val="Heading2"/>
        <w:keepNext/>
        <w:spacing w:line="276" w:lineRule="auto"/>
        <w:ind w:left="902" w:hanging="902"/>
      </w:pPr>
      <w:bookmarkStart w:id="5" w:name="_Toc494182018"/>
      <w:r>
        <w:t>Surveying wellbeing</w:t>
      </w:r>
      <w:bookmarkEnd w:id="4"/>
      <w:bookmarkEnd w:id="5"/>
    </w:p>
    <w:p w:rsidR="000F17E3" w:rsidRDefault="000F17E3" w:rsidP="000F17E3">
      <w:pPr>
        <w:pStyle w:val="BodyCopy"/>
        <w:spacing w:before="120" w:after="200" w:line="276" w:lineRule="auto"/>
        <w:rPr>
          <w:rFonts w:asciiTheme="minorHAnsi" w:hAnsiTheme="minorHAnsi" w:cstheme="minorHAnsi"/>
        </w:rPr>
      </w:pPr>
      <w:r>
        <w:rPr>
          <w:rFonts w:asciiTheme="minorHAnsi" w:hAnsiTheme="minorHAnsi" w:cstheme="minorHAnsi"/>
        </w:rPr>
        <w:t xml:space="preserve">Although the idea that we should seek to prioritise, maximise or improve wellbeing – for children and young people or other sections of the population – is not contentious, the definition of wellbeing is less clear cut. In the context of </w:t>
      </w:r>
      <w:r>
        <w:rPr>
          <w:rFonts w:asciiTheme="minorHAnsi" w:hAnsiTheme="minorHAnsi" w:cstheme="minorHAnsi"/>
        </w:rPr>
        <w:lastRenderedPageBreak/>
        <w:t>Getting It Right for Every Child, the SHANARRI framework provides a helpful way of ensuring that wellbeing is seen as a multi-dimensional construct and that children and young people’s needs are viewed holistically. However, it is not intended to represent a systematic measurement framework: there is a lack of consensus about what should be the key indicators within each domain and a degree of potential overlap between them.</w:t>
      </w:r>
    </w:p>
    <w:p w:rsidR="000F17E3" w:rsidRDefault="000F17E3" w:rsidP="000F17E3">
      <w:pPr>
        <w:pStyle w:val="BodyCopy"/>
        <w:spacing w:before="120" w:after="200" w:line="276" w:lineRule="auto"/>
        <w:rPr>
          <w:rFonts w:asciiTheme="minorHAnsi" w:hAnsiTheme="minorHAnsi" w:cstheme="minorHAnsi"/>
        </w:rPr>
      </w:pPr>
      <w:r>
        <w:rPr>
          <w:rFonts w:asciiTheme="minorHAnsi" w:hAnsiTheme="minorHAnsi" w:cstheme="minorHAnsi"/>
        </w:rPr>
        <w:t>The RCS programme, therefore, has adopted</w:t>
      </w:r>
      <w:r w:rsidRPr="000130E6">
        <w:rPr>
          <w:rFonts w:asciiTheme="minorHAnsi" w:hAnsiTheme="minorHAnsi" w:cstheme="minorHAnsi"/>
        </w:rPr>
        <w:t xml:space="preserve"> an approach</w:t>
      </w:r>
      <w:r>
        <w:rPr>
          <w:rFonts w:asciiTheme="minorHAnsi" w:hAnsiTheme="minorHAnsi" w:cstheme="minorHAnsi"/>
        </w:rPr>
        <w:t xml:space="preserve"> to wellbeing</w:t>
      </w:r>
      <w:r w:rsidRPr="000130E6">
        <w:rPr>
          <w:rFonts w:asciiTheme="minorHAnsi" w:hAnsiTheme="minorHAnsi" w:cstheme="minorHAnsi"/>
        </w:rPr>
        <w:t xml:space="preserve"> that is flexible and </w:t>
      </w:r>
      <w:r>
        <w:rPr>
          <w:rFonts w:asciiTheme="minorHAnsi" w:hAnsiTheme="minorHAnsi" w:cstheme="minorHAnsi"/>
        </w:rPr>
        <w:t>pragmatic</w:t>
      </w:r>
      <w:r w:rsidRPr="000130E6">
        <w:rPr>
          <w:rFonts w:asciiTheme="minorHAnsi" w:hAnsiTheme="minorHAnsi" w:cstheme="minorHAnsi"/>
        </w:rPr>
        <w:t xml:space="preserve">. In broad terms, </w:t>
      </w:r>
      <w:r>
        <w:rPr>
          <w:rFonts w:asciiTheme="minorHAnsi" w:hAnsiTheme="minorHAnsi" w:cstheme="minorHAnsi"/>
        </w:rPr>
        <w:t>the phrase wellbeing is being used here</w:t>
      </w:r>
      <w:r w:rsidRPr="000130E6">
        <w:rPr>
          <w:rFonts w:asciiTheme="minorHAnsi" w:hAnsiTheme="minorHAnsi" w:cstheme="minorHAnsi"/>
        </w:rPr>
        <w:t xml:space="preserve"> as a shorthand for the range of positive outcomes for children and families that CPPs </w:t>
      </w:r>
      <w:r>
        <w:rPr>
          <w:rFonts w:asciiTheme="minorHAnsi" w:hAnsiTheme="minorHAnsi" w:cstheme="minorHAnsi"/>
        </w:rPr>
        <w:t>may be</w:t>
      </w:r>
      <w:r w:rsidRPr="000130E6">
        <w:rPr>
          <w:rFonts w:asciiTheme="minorHAnsi" w:hAnsiTheme="minorHAnsi" w:cstheme="minorHAnsi"/>
        </w:rPr>
        <w:t xml:space="preserve"> attempting to promote.</w:t>
      </w:r>
      <w:r>
        <w:rPr>
          <w:rFonts w:asciiTheme="minorHAnsi" w:hAnsiTheme="minorHAnsi" w:cstheme="minorHAnsi"/>
        </w:rPr>
        <w:t xml:space="preserve"> This approach</w:t>
      </w:r>
      <w:r w:rsidRPr="00307324">
        <w:rPr>
          <w:rFonts w:asciiTheme="minorHAnsi" w:hAnsiTheme="minorHAnsi" w:cstheme="minorHAnsi"/>
        </w:rPr>
        <w:t xml:space="preserve"> recognise</w:t>
      </w:r>
      <w:r>
        <w:rPr>
          <w:rFonts w:asciiTheme="minorHAnsi" w:hAnsiTheme="minorHAnsi" w:cstheme="minorHAnsi"/>
        </w:rPr>
        <w:t>s</w:t>
      </w:r>
      <w:r w:rsidRPr="00307324">
        <w:rPr>
          <w:rFonts w:asciiTheme="minorHAnsi" w:hAnsiTheme="minorHAnsi" w:cstheme="minorHAnsi"/>
        </w:rPr>
        <w:t xml:space="preserve"> that wellbeing means different things to different people; that i</w:t>
      </w:r>
      <w:r>
        <w:rPr>
          <w:rFonts w:asciiTheme="minorHAnsi" w:hAnsiTheme="minorHAnsi" w:cstheme="minorHAnsi"/>
        </w:rPr>
        <w:t>t</w:t>
      </w:r>
      <w:r w:rsidRPr="00307324">
        <w:rPr>
          <w:rFonts w:asciiTheme="minorHAnsi" w:hAnsiTheme="minorHAnsi" w:cstheme="minorHAnsi"/>
        </w:rPr>
        <w:t xml:space="preserve"> has both objective and subjective dimensions; and that practitioners and policy makers in one context may choose to focus on or emphasise different aspects or dimensions. </w:t>
      </w:r>
      <w:r>
        <w:rPr>
          <w:rFonts w:asciiTheme="minorHAnsi" w:hAnsiTheme="minorHAnsi" w:cstheme="minorHAnsi"/>
        </w:rPr>
        <w:t>For those reasons, the surveys cover</w:t>
      </w:r>
      <w:r w:rsidRPr="00307324">
        <w:rPr>
          <w:rFonts w:asciiTheme="minorHAnsi" w:hAnsiTheme="minorHAnsi" w:cstheme="minorHAnsi"/>
        </w:rPr>
        <w:t xml:space="preserve"> a range of topics, loosely organised around three overarching dimensions, relating to the personal, the social and to place.</w:t>
      </w:r>
      <w:r>
        <w:rPr>
          <w:rFonts w:asciiTheme="minorHAnsi" w:hAnsiTheme="minorHAnsi" w:cstheme="minorHAnsi"/>
        </w:rPr>
        <w:t xml:space="preserve"> These have been</w:t>
      </w:r>
      <w:r w:rsidRPr="00307324">
        <w:rPr>
          <w:rFonts w:asciiTheme="minorHAnsi" w:hAnsiTheme="minorHAnsi" w:cstheme="minorHAnsi"/>
        </w:rPr>
        <w:t xml:space="preserve"> derived from a range of existing evidenc</w:t>
      </w:r>
      <w:r>
        <w:rPr>
          <w:rFonts w:asciiTheme="minorHAnsi" w:hAnsiTheme="minorHAnsi" w:cstheme="minorHAnsi"/>
        </w:rPr>
        <w:t>e-based frameworks, incorporate topics</w:t>
      </w:r>
      <w:r w:rsidRPr="00307324">
        <w:rPr>
          <w:rFonts w:asciiTheme="minorHAnsi" w:hAnsiTheme="minorHAnsi" w:cstheme="minorHAnsi"/>
        </w:rPr>
        <w:t xml:space="preserve"> that are common to almost all such frameworks, but </w:t>
      </w:r>
      <w:r>
        <w:rPr>
          <w:rFonts w:asciiTheme="minorHAnsi" w:hAnsiTheme="minorHAnsi" w:cstheme="minorHAnsi"/>
        </w:rPr>
        <w:t>are</w:t>
      </w:r>
      <w:r w:rsidRPr="00307324">
        <w:rPr>
          <w:rFonts w:asciiTheme="minorHAnsi" w:hAnsiTheme="minorHAnsi" w:cstheme="minorHAnsi"/>
        </w:rPr>
        <w:t xml:space="preserve"> also flexible enough to accommodate the specific needs of RCS and its local partners.</w:t>
      </w:r>
      <w:r>
        <w:rPr>
          <w:rFonts w:asciiTheme="minorHAnsi" w:hAnsiTheme="minorHAnsi" w:cstheme="minorHAnsi"/>
        </w:rPr>
        <w:t xml:space="preserve"> </w:t>
      </w:r>
    </w:p>
    <w:p w:rsidR="000F17E3" w:rsidRDefault="000F17E3" w:rsidP="000F17E3">
      <w:pPr>
        <w:pStyle w:val="BodyCopy"/>
        <w:spacing w:before="120" w:after="200" w:line="276" w:lineRule="auto"/>
        <w:rPr>
          <w:rFonts w:asciiTheme="minorHAnsi" w:hAnsiTheme="minorHAnsi" w:cstheme="minorHAnsi"/>
        </w:rPr>
      </w:pPr>
      <w:r>
        <w:rPr>
          <w:rFonts w:asciiTheme="minorHAnsi" w:hAnsiTheme="minorHAnsi" w:cstheme="minorHAnsi"/>
        </w:rPr>
        <w:t>Where relevant, potential links to SHANARRI domains have been highlighted.</w:t>
      </w:r>
    </w:p>
    <w:p w:rsidR="000F17E3" w:rsidRDefault="000F17E3" w:rsidP="00F076ED">
      <w:pPr>
        <w:pStyle w:val="Heading2"/>
        <w:spacing w:line="276" w:lineRule="auto"/>
        <w:ind w:left="902" w:hanging="902"/>
      </w:pPr>
      <w:bookmarkStart w:id="6" w:name="_Toc491244096"/>
      <w:bookmarkStart w:id="7" w:name="_Toc494182019"/>
      <w:r>
        <w:t>How to read this report</w:t>
      </w:r>
      <w:bookmarkEnd w:id="6"/>
      <w:bookmarkEnd w:id="7"/>
    </w:p>
    <w:p w:rsidR="00CB18A4" w:rsidRDefault="00CB18A4" w:rsidP="000F17E3">
      <w:pPr>
        <w:pStyle w:val="BodyCopy"/>
        <w:spacing w:before="120" w:after="200" w:line="276" w:lineRule="auto"/>
        <w:rPr>
          <w:rFonts w:asciiTheme="minorHAnsi" w:hAnsiTheme="minorHAnsi" w:cstheme="minorHAnsi"/>
          <w:szCs w:val="22"/>
        </w:rPr>
      </w:pPr>
      <w:r w:rsidRPr="00CB18A4">
        <w:rPr>
          <w:rFonts w:asciiTheme="minorHAnsi" w:hAnsiTheme="minorHAnsi" w:cstheme="minorHAnsi"/>
          <w:szCs w:val="22"/>
        </w:rPr>
        <w:t>Although each of the three main substantive chapters is loosely organised around the three overarching themes of the personal, the social and place, the exact topics and questions vary. It was not always possible to use the same questions wording for pupils in primary and secondary school, for example, and some topics – such as drug and alcohol use – were inappropriate for the younger age group. All potentially sensitive questions were tested on a sample of individuals from the relevant age group to ensure they were appropriate and easily understood before they were included in the surveys. The parent questionnaire not only focuses on age-specific questions relating to child wellbeing (e.g. sleep patterns) but also includes some questions that relate to the parents’ own views and experiences (e.g. of local services). In order to keep the report to a manageable length, some variables are not reported on but will be available for subsequent analysis.</w:t>
      </w:r>
    </w:p>
    <w:p w:rsidR="000F17E3" w:rsidRPr="00FC728A" w:rsidRDefault="000F17E3" w:rsidP="000F17E3">
      <w:pPr>
        <w:pStyle w:val="BodyCopy"/>
        <w:spacing w:before="120" w:after="200" w:line="276" w:lineRule="auto"/>
        <w:rPr>
          <w:rFonts w:asciiTheme="minorHAnsi" w:hAnsiTheme="minorHAnsi" w:cstheme="minorHAnsi"/>
          <w:szCs w:val="22"/>
        </w:rPr>
      </w:pPr>
      <w:r w:rsidRPr="00FC728A">
        <w:rPr>
          <w:rFonts w:asciiTheme="minorHAnsi" w:hAnsiTheme="minorHAnsi" w:cstheme="minorHAnsi"/>
          <w:szCs w:val="22"/>
        </w:rPr>
        <w:t xml:space="preserve">The report is split into three main sections, providing an overview of the findings from each of the three survey exercises. While these can be read sequentially from start to finish, they may also be treated as reference documents – allowing the reader to find survey findings that relate to specific aspects of wellbeing for the populations surveyed. Those pressed for time, or looking for higher-level messages, may wish to go straight to the final chapter or to the standalone summary of the report, which look across all three survey exercises to draw out, summarise and discuss key issues that may have relevance for the strategic planning of children’s services in </w:t>
      </w:r>
      <w:r w:rsidR="00B137D2">
        <w:rPr>
          <w:rFonts w:asciiTheme="minorHAnsi" w:hAnsiTheme="minorHAnsi" w:cstheme="minorHAnsi"/>
          <w:szCs w:val="22"/>
        </w:rPr>
        <w:t>Falkirk</w:t>
      </w:r>
      <w:r w:rsidRPr="00FC728A">
        <w:rPr>
          <w:rFonts w:asciiTheme="minorHAnsi" w:hAnsiTheme="minorHAnsi" w:cstheme="minorHAnsi"/>
          <w:szCs w:val="22"/>
        </w:rPr>
        <w:t>.</w:t>
      </w:r>
    </w:p>
    <w:p w:rsidR="000F17E3" w:rsidRDefault="000F17E3" w:rsidP="000F17E3">
      <w:pPr>
        <w:pStyle w:val="Heading2"/>
        <w:keepNext/>
        <w:spacing w:line="276" w:lineRule="auto"/>
      </w:pPr>
      <w:r>
        <w:lastRenderedPageBreak/>
        <w:t xml:space="preserve">  </w:t>
      </w:r>
      <w:bookmarkStart w:id="8" w:name="_Toc491244097"/>
      <w:bookmarkStart w:id="9" w:name="_Toc494182020"/>
      <w:r>
        <w:t>A note on analysis</w:t>
      </w:r>
      <w:bookmarkEnd w:id="8"/>
      <w:bookmarkEnd w:id="9"/>
    </w:p>
    <w:p w:rsidR="00C453B6" w:rsidRDefault="000F17E3" w:rsidP="000F17E3">
      <w:pPr>
        <w:pStyle w:val="BodyCopy"/>
        <w:spacing w:before="120" w:after="200" w:line="276" w:lineRule="auto"/>
        <w:rPr>
          <w:rFonts w:asciiTheme="minorHAnsi" w:hAnsiTheme="minorHAnsi" w:cstheme="minorHAnsi"/>
        </w:rPr>
      </w:pPr>
      <w:r>
        <w:rPr>
          <w:rFonts w:asciiTheme="minorHAnsi" w:hAnsiTheme="minorHAnsi" w:cstheme="minorHAnsi"/>
        </w:rPr>
        <w:t>Basic</w:t>
      </w:r>
      <w:r w:rsidRPr="00782D95">
        <w:rPr>
          <w:rFonts w:asciiTheme="minorHAnsi" w:hAnsiTheme="minorHAnsi" w:cstheme="minorHAnsi"/>
        </w:rPr>
        <w:t xml:space="preserve"> frequencies </w:t>
      </w:r>
      <w:r>
        <w:rPr>
          <w:rFonts w:asciiTheme="minorHAnsi" w:hAnsiTheme="minorHAnsi" w:cstheme="minorHAnsi"/>
        </w:rPr>
        <w:t>for</w:t>
      </w:r>
      <w:r w:rsidRPr="00782D95">
        <w:rPr>
          <w:rFonts w:asciiTheme="minorHAnsi" w:hAnsiTheme="minorHAnsi" w:cstheme="minorHAnsi"/>
        </w:rPr>
        <w:t xml:space="preserve"> </w:t>
      </w:r>
      <w:r>
        <w:rPr>
          <w:rFonts w:asciiTheme="minorHAnsi" w:hAnsiTheme="minorHAnsi" w:cstheme="minorHAnsi"/>
        </w:rPr>
        <w:t>key</w:t>
      </w:r>
      <w:r w:rsidRPr="00782D95">
        <w:rPr>
          <w:rFonts w:asciiTheme="minorHAnsi" w:hAnsiTheme="minorHAnsi" w:cstheme="minorHAnsi"/>
        </w:rPr>
        <w:t xml:space="preserve"> wellbeing measures </w:t>
      </w:r>
      <w:r>
        <w:rPr>
          <w:rFonts w:asciiTheme="minorHAnsi" w:hAnsiTheme="minorHAnsi" w:cstheme="minorHAnsi"/>
        </w:rPr>
        <w:t>are</w:t>
      </w:r>
      <w:r w:rsidRPr="00782D95">
        <w:rPr>
          <w:rFonts w:asciiTheme="minorHAnsi" w:hAnsiTheme="minorHAnsi" w:cstheme="minorHAnsi"/>
        </w:rPr>
        <w:t xml:space="preserve"> provided in the main body of </w:t>
      </w:r>
      <w:r>
        <w:rPr>
          <w:rFonts w:asciiTheme="minorHAnsi" w:hAnsiTheme="minorHAnsi" w:cstheme="minorHAnsi"/>
        </w:rPr>
        <w:t>the</w:t>
      </w:r>
      <w:r w:rsidRPr="00782D95">
        <w:rPr>
          <w:rFonts w:asciiTheme="minorHAnsi" w:hAnsiTheme="minorHAnsi" w:cstheme="minorHAnsi"/>
        </w:rPr>
        <w:t xml:space="preserve"> report along with </w:t>
      </w:r>
      <w:r>
        <w:rPr>
          <w:rFonts w:asciiTheme="minorHAnsi" w:hAnsiTheme="minorHAnsi" w:cstheme="minorHAnsi"/>
        </w:rPr>
        <w:t xml:space="preserve">statistically significant differences between sub-groups of interest </w:t>
      </w:r>
      <w:r>
        <w:rPr>
          <w:rFonts w:cstheme="minorHAnsi"/>
        </w:rPr>
        <w:t xml:space="preserve">(for instance, between year groups, or boys and girls). </w:t>
      </w:r>
      <w:r>
        <w:rPr>
          <w:rFonts w:asciiTheme="minorHAnsi" w:hAnsiTheme="minorHAnsi" w:cstheme="minorHAnsi"/>
        </w:rPr>
        <w:t xml:space="preserve">Where differences between sub-groups were not statistically significant these are not reported unless the lack of significance itself is of particular note. </w:t>
      </w:r>
    </w:p>
    <w:p w:rsidR="000F17E3" w:rsidRDefault="000F17E3" w:rsidP="000F17E3">
      <w:pPr>
        <w:pStyle w:val="BodyCopy"/>
        <w:spacing w:before="120" w:after="200" w:line="276" w:lineRule="auto"/>
        <w:rPr>
          <w:rFonts w:asciiTheme="minorHAnsi" w:hAnsiTheme="minorHAnsi" w:cstheme="minorHAnsi"/>
        </w:rPr>
      </w:pPr>
      <w:r>
        <w:rPr>
          <w:rFonts w:asciiTheme="minorHAnsi" w:hAnsiTheme="minorHAnsi" w:cstheme="minorHAnsi"/>
        </w:rPr>
        <w:t xml:space="preserve">The smaller sample size in the parent survey means that the same depth of analysis could not be conducted in that chapter as for the school surveys. For this </w:t>
      </w:r>
      <w:r w:rsidRPr="00C453B6">
        <w:rPr>
          <w:rFonts w:asciiTheme="minorHAnsi" w:hAnsiTheme="minorHAnsi" w:cstheme="minorHAnsi"/>
        </w:rPr>
        <w:t>reason, the Scottish Index of Multiple Deprivation (SIMD) quintiles have been re-banded for the parent survey</w:t>
      </w:r>
      <w:r w:rsidR="00C453B6" w:rsidRPr="00C453B6">
        <w:rPr>
          <w:rFonts w:asciiTheme="minorHAnsi" w:hAnsiTheme="minorHAnsi" w:cstheme="minorHAnsi"/>
        </w:rPr>
        <w:t xml:space="preserve"> analysis. The re-banding compares areas of North Lanarkshire within the two most deprived quintiles (or 40% most deprived areas) with those in the three least deprived quintiles (or 60% least deprived areas). In the other chapters it is possible to compare across all five quintiles individually. For more information on the SIMD and deprivation quintiles is provided on page 128.</w:t>
      </w:r>
    </w:p>
    <w:p w:rsidR="000F17E3" w:rsidRDefault="00C453B6" w:rsidP="000F17E3">
      <w:pPr>
        <w:pStyle w:val="BodyCopy"/>
        <w:spacing w:before="120" w:after="200" w:line="276" w:lineRule="auto"/>
        <w:rPr>
          <w:rFonts w:asciiTheme="minorHAnsi" w:hAnsiTheme="minorHAnsi" w:cstheme="minorHAnsi"/>
        </w:rPr>
      </w:pPr>
      <w:r>
        <w:rPr>
          <w:rFonts w:asciiTheme="minorHAnsi" w:hAnsiTheme="minorHAnsi" w:cstheme="minorHAnsi"/>
        </w:rPr>
        <w:t>Where relevant</w:t>
      </w:r>
      <w:r w:rsidR="000F17E3">
        <w:rPr>
          <w:rFonts w:asciiTheme="minorHAnsi" w:hAnsiTheme="minorHAnsi" w:cstheme="minorHAnsi"/>
        </w:rPr>
        <w:t xml:space="preserve"> comparative figures are presented from national data sources (such as SALSUS, Growing Up in Scotland and the Scottish Health Survey). Such comparisons are not always direct due to methodological differences – for instance in relation to the age of children surveyed, mode of interviewing or precise question wording – and caveats are included where appropriate. </w:t>
      </w:r>
    </w:p>
    <w:p w:rsidR="00C453B6" w:rsidRDefault="000F17E3" w:rsidP="000F17E3">
      <w:pPr>
        <w:pStyle w:val="BodyCopy"/>
        <w:spacing w:before="120" w:after="200" w:line="276" w:lineRule="auto"/>
        <w:rPr>
          <w:rFonts w:cs="Arial"/>
          <w:color w:val="000000"/>
        </w:rPr>
      </w:pPr>
      <w:r w:rsidRPr="0035625A">
        <w:rPr>
          <w:rFonts w:cs="Arial"/>
          <w:color w:val="000000"/>
        </w:rPr>
        <w:t>In various places, the analysis makes use of scale variables, which summarise scores across related questions. Some of these scales, such as those associated with the Strengths and Difficulties Questionnaire (SDQ)</w:t>
      </w:r>
      <w:r w:rsidR="00C453B6">
        <w:rPr>
          <w:rFonts w:cs="Arial"/>
          <w:color w:val="000000"/>
        </w:rPr>
        <w:t>,</w:t>
      </w:r>
      <w:r w:rsidRPr="0035625A">
        <w:rPr>
          <w:rFonts w:cs="Arial"/>
          <w:color w:val="000000"/>
        </w:rPr>
        <w:t xml:space="preserve"> have been widely used in other settings and have </w:t>
      </w:r>
      <w:r>
        <w:rPr>
          <w:rFonts w:cs="Arial"/>
          <w:color w:val="000000"/>
        </w:rPr>
        <w:t>established</w:t>
      </w:r>
      <w:r w:rsidRPr="0035625A">
        <w:rPr>
          <w:rFonts w:cs="Arial"/>
          <w:color w:val="000000"/>
        </w:rPr>
        <w:t xml:space="preserve"> cut-off points (based on population norms) for ‘higher’ and ‘lower’ scores. In other </w:t>
      </w:r>
      <w:r w:rsidRPr="003C3D4B">
        <w:rPr>
          <w:rFonts w:asciiTheme="minorHAnsi" w:hAnsiTheme="minorHAnsi" w:cstheme="minorHAnsi"/>
        </w:rPr>
        <w:t>places</w:t>
      </w:r>
      <w:r w:rsidRPr="0035625A">
        <w:rPr>
          <w:rFonts w:cs="Arial"/>
          <w:color w:val="000000"/>
        </w:rPr>
        <w:t xml:space="preserve">, the report draws on summary scales developed specifically for use in the RCS survey programme (see, for example, the analysis of parent-child </w:t>
      </w:r>
      <w:r w:rsidRPr="007B0D56">
        <w:rPr>
          <w:rFonts w:cs="Arial"/>
          <w:color w:val="000000"/>
        </w:rPr>
        <w:t xml:space="preserve">relationships on page 92). </w:t>
      </w:r>
    </w:p>
    <w:p w:rsidR="00CF5B83" w:rsidRDefault="000F17E3" w:rsidP="000F17E3">
      <w:pPr>
        <w:pStyle w:val="BodyCopy"/>
        <w:spacing w:before="120" w:after="200" w:line="276" w:lineRule="auto"/>
        <w:rPr>
          <w:rFonts w:cs="Arial"/>
          <w:color w:val="000000"/>
        </w:rPr>
      </w:pPr>
      <w:r w:rsidRPr="007B0D56">
        <w:rPr>
          <w:rFonts w:cs="Arial"/>
          <w:color w:val="000000"/>
        </w:rPr>
        <w:t>In these</w:t>
      </w:r>
      <w:r w:rsidRPr="0035625A">
        <w:rPr>
          <w:rFonts w:cs="Arial"/>
          <w:color w:val="000000"/>
        </w:rPr>
        <w:t xml:space="preserve"> instances, we do not have access to population norms and have assigned survey participants to ‘higher’, ‘average’ and ‘lower’ categories on the basis of responses from </w:t>
      </w:r>
      <w:r>
        <w:rPr>
          <w:rFonts w:cs="Arial"/>
          <w:color w:val="000000"/>
        </w:rPr>
        <w:t xml:space="preserve">within the </w:t>
      </w:r>
      <w:r w:rsidR="00966A6A">
        <w:rPr>
          <w:rFonts w:cs="Arial"/>
          <w:color w:val="000000"/>
        </w:rPr>
        <w:t>Falkirk</w:t>
      </w:r>
      <w:r>
        <w:rPr>
          <w:rFonts w:cs="Arial"/>
          <w:color w:val="000000"/>
        </w:rPr>
        <w:t xml:space="preserve"> sample</w:t>
      </w:r>
      <w:r w:rsidRPr="0035625A">
        <w:rPr>
          <w:rFonts w:cs="Arial"/>
          <w:color w:val="000000"/>
        </w:rPr>
        <w:t xml:space="preserve">. A degree of caution is appropriate </w:t>
      </w:r>
      <w:r w:rsidR="00C453B6">
        <w:rPr>
          <w:rFonts w:cs="Arial"/>
          <w:color w:val="000000"/>
        </w:rPr>
        <w:t>when</w:t>
      </w:r>
      <w:r w:rsidRPr="0035625A">
        <w:rPr>
          <w:rFonts w:cs="Arial"/>
          <w:color w:val="000000"/>
        </w:rPr>
        <w:t xml:space="preserve"> interpreting the resulting figures: if the characteristics of </w:t>
      </w:r>
      <w:r>
        <w:rPr>
          <w:rFonts w:cs="Arial"/>
          <w:color w:val="000000"/>
        </w:rPr>
        <w:t>the local population</w:t>
      </w:r>
      <w:r w:rsidRPr="0035625A">
        <w:rPr>
          <w:rFonts w:cs="Arial"/>
          <w:color w:val="000000"/>
        </w:rPr>
        <w:t xml:space="preserve"> proved to be substantially different from those of the national population</w:t>
      </w:r>
      <w:r w:rsidR="00C453B6">
        <w:rPr>
          <w:rFonts w:cs="Arial"/>
          <w:color w:val="000000"/>
        </w:rPr>
        <w:t>.</w:t>
      </w:r>
      <w:r w:rsidRPr="0035625A">
        <w:rPr>
          <w:rFonts w:cs="Arial"/>
          <w:color w:val="000000"/>
        </w:rPr>
        <w:t xml:space="preserve"> </w:t>
      </w:r>
      <w:r w:rsidR="00C453B6">
        <w:rPr>
          <w:rFonts w:cs="Arial"/>
          <w:color w:val="000000"/>
        </w:rPr>
        <w:t>F</w:t>
      </w:r>
      <w:r w:rsidRPr="0035625A">
        <w:rPr>
          <w:rFonts w:cs="Arial"/>
          <w:color w:val="000000"/>
        </w:rPr>
        <w:t>or example, there migh</w:t>
      </w:r>
      <w:r w:rsidR="00CF5B83">
        <w:rPr>
          <w:rFonts w:cs="Arial"/>
          <w:color w:val="000000"/>
        </w:rPr>
        <w:t>t be a danger of over- or under-</w:t>
      </w:r>
      <w:r w:rsidRPr="0035625A">
        <w:rPr>
          <w:rFonts w:cs="Arial"/>
          <w:color w:val="000000"/>
        </w:rPr>
        <w:t xml:space="preserve">emphasising the </w:t>
      </w:r>
      <w:r>
        <w:rPr>
          <w:rFonts w:cs="Arial"/>
          <w:color w:val="000000"/>
        </w:rPr>
        <w:t xml:space="preserve">importance of the </w:t>
      </w:r>
      <w:r w:rsidRPr="0035625A">
        <w:rPr>
          <w:rFonts w:cs="Arial"/>
          <w:color w:val="000000"/>
        </w:rPr>
        <w:t xml:space="preserve">proportions in the ‘lower’ category. </w:t>
      </w:r>
    </w:p>
    <w:p w:rsidR="000F17E3" w:rsidRDefault="000F17E3" w:rsidP="000F17E3">
      <w:pPr>
        <w:pStyle w:val="BodyCopy"/>
        <w:spacing w:before="120" w:after="200" w:line="276" w:lineRule="auto"/>
        <w:rPr>
          <w:rFonts w:cs="Arial"/>
          <w:color w:val="000000"/>
        </w:rPr>
      </w:pPr>
      <w:r w:rsidRPr="0035625A">
        <w:rPr>
          <w:rFonts w:cs="Arial"/>
          <w:color w:val="000000"/>
        </w:rPr>
        <w:t xml:space="preserve">However, </w:t>
      </w:r>
      <w:r w:rsidR="00CF5B83">
        <w:rPr>
          <w:rFonts w:cs="Arial"/>
          <w:color w:val="000000"/>
        </w:rPr>
        <w:t>these</w:t>
      </w:r>
      <w:r w:rsidRPr="0035625A">
        <w:rPr>
          <w:rFonts w:cs="Arial"/>
          <w:color w:val="000000"/>
        </w:rPr>
        <w:t xml:space="preserve"> summaries are useful in helping to identify patterning and variation across different sub-groups </w:t>
      </w:r>
      <w:r>
        <w:rPr>
          <w:rFonts w:cs="Arial"/>
          <w:color w:val="000000"/>
        </w:rPr>
        <w:t xml:space="preserve">within </w:t>
      </w:r>
      <w:r w:rsidR="00966A6A">
        <w:rPr>
          <w:rFonts w:cs="Arial"/>
          <w:color w:val="000000"/>
        </w:rPr>
        <w:t>Falkirk</w:t>
      </w:r>
      <w:r>
        <w:rPr>
          <w:rFonts w:cs="Arial"/>
          <w:color w:val="000000"/>
        </w:rPr>
        <w:t xml:space="preserve"> itself</w:t>
      </w:r>
      <w:r w:rsidRPr="0035625A">
        <w:rPr>
          <w:rFonts w:cs="Arial"/>
          <w:color w:val="000000"/>
        </w:rPr>
        <w:t>.</w:t>
      </w:r>
    </w:p>
    <w:p w:rsidR="000F17E3" w:rsidRPr="0035625A" w:rsidRDefault="000F17E3" w:rsidP="000F17E3">
      <w:pPr>
        <w:pStyle w:val="BodyCopy"/>
        <w:spacing w:before="120" w:after="200" w:line="276" w:lineRule="auto"/>
        <w:rPr>
          <w:rFonts w:ascii="Times New Roman" w:hAnsi="Times New Roman"/>
          <w:sz w:val="24"/>
          <w:szCs w:val="24"/>
        </w:rPr>
      </w:pPr>
      <w:r>
        <w:rPr>
          <w:rFonts w:cs="Arial"/>
          <w:color w:val="000000"/>
        </w:rPr>
        <w:t>Further details on the variables used to create this report and on interpreting the tables are provided in the appendix.</w:t>
      </w:r>
    </w:p>
    <w:p w:rsidR="000F17E3" w:rsidRDefault="000F17E3" w:rsidP="000F17E3">
      <w:pPr>
        <w:spacing w:after="0"/>
      </w:pPr>
      <w:bookmarkStart w:id="10" w:name="_Toc481501510"/>
      <w:bookmarkStart w:id="11" w:name="_Toc482006536"/>
      <w:bookmarkEnd w:id="10"/>
      <w:bookmarkEnd w:id="11"/>
      <w:r>
        <w:tab/>
      </w:r>
    </w:p>
    <w:p w:rsidR="000F17E3" w:rsidRDefault="000F17E3" w:rsidP="000F17E3">
      <w:pPr>
        <w:spacing w:after="0"/>
        <w:ind w:left="2835" w:hanging="2268"/>
      </w:pPr>
      <w:r>
        <w:tab/>
      </w:r>
    </w:p>
    <w:p w:rsidR="005E1895" w:rsidRDefault="005E1895" w:rsidP="0099604C">
      <w:pPr>
        <w:spacing w:after="0"/>
      </w:pPr>
    </w:p>
    <w:p w:rsidR="00C73B66" w:rsidRDefault="00C73B66" w:rsidP="00C73B66">
      <w:pPr>
        <w:pStyle w:val="Heading1"/>
        <w:pageBreakBefore w:val="0"/>
        <w:spacing w:line="276" w:lineRule="auto"/>
      </w:pPr>
      <w:bookmarkStart w:id="12" w:name="_Toc494182021"/>
      <w:bookmarkStart w:id="13" w:name="_Toc478636809"/>
      <w:r>
        <w:lastRenderedPageBreak/>
        <w:t>Findings from the secondary school survey</w:t>
      </w:r>
      <w:bookmarkEnd w:id="12"/>
    </w:p>
    <w:p w:rsidR="00C73B66" w:rsidRDefault="00C73B66" w:rsidP="00C73B66">
      <w:pPr>
        <w:pStyle w:val="Heading2"/>
        <w:spacing w:line="276" w:lineRule="auto"/>
        <w:ind w:left="902" w:hanging="902"/>
      </w:pPr>
      <w:bookmarkStart w:id="14" w:name="_Toc494182022"/>
      <w:r w:rsidRPr="0074254B">
        <w:t>How the</w:t>
      </w:r>
      <w:r>
        <w:t xml:space="preserve"> survey was carried out</w:t>
      </w:r>
      <w:bookmarkEnd w:id="14"/>
    </w:p>
    <w:p w:rsidR="00CF5B83" w:rsidRDefault="004673BE" w:rsidP="004673BE">
      <w:pPr>
        <w:pStyle w:val="BodyCopy"/>
        <w:spacing w:before="120" w:after="200" w:line="276" w:lineRule="auto"/>
        <w:rPr>
          <w:rFonts w:cs="Arial"/>
          <w:szCs w:val="22"/>
        </w:rPr>
      </w:pPr>
      <w:r>
        <w:rPr>
          <w:rFonts w:cs="Arial"/>
          <w:szCs w:val="22"/>
        </w:rPr>
        <w:t xml:space="preserve">Conducted in all eight of Falkirk’s secondary schools between November 2016 and March 2017, this exercise followed the same procedures as the first set of RCS children’s wellbeing surveys, conducted in three different CPPs one year previously, with a slightly amended questionnaire. </w:t>
      </w:r>
    </w:p>
    <w:p w:rsidR="00CF5B83" w:rsidRDefault="004673BE" w:rsidP="004673BE">
      <w:pPr>
        <w:pStyle w:val="BodyCopy"/>
        <w:spacing w:before="120" w:after="200" w:line="276" w:lineRule="auto"/>
        <w:rPr>
          <w:rFonts w:cs="Arial"/>
          <w:szCs w:val="22"/>
        </w:rPr>
      </w:pPr>
      <w:r>
        <w:rPr>
          <w:rFonts w:cs="Arial"/>
          <w:szCs w:val="22"/>
        </w:rPr>
        <w:t xml:space="preserve">The secondary survey was built around the methodology for an existing survey – the Scottish Adolescent Lifestyles and Substance Use Survey (SALSUS) – but involved a wider range of year groups and schools, and a set of additional questions focusing on broader measures of health and wellbeing. Pupils could read from and enter answers directly into the computer but did not have the audio element provided in primary schools </w:t>
      </w:r>
      <w:r w:rsidR="00CF5B83">
        <w:rPr>
          <w:rFonts w:cs="Arial"/>
          <w:szCs w:val="22"/>
        </w:rPr>
        <w:t>(</w:t>
      </w:r>
      <w:r>
        <w:rPr>
          <w:rFonts w:cs="Arial"/>
          <w:szCs w:val="22"/>
        </w:rPr>
        <w:t xml:space="preserve">see </w:t>
      </w:r>
      <w:r w:rsidRPr="00C66FA3">
        <w:rPr>
          <w:rFonts w:cs="Arial"/>
          <w:szCs w:val="22"/>
        </w:rPr>
        <w:t>page 5</w:t>
      </w:r>
      <w:r w:rsidR="00A075F8" w:rsidRPr="00C66FA3">
        <w:rPr>
          <w:rFonts w:cs="Arial"/>
          <w:szCs w:val="22"/>
        </w:rPr>
        <w:t>3</w:t>
      </w:r>
      <w:r w:rsidR="00CF5B83">
        <w:rPr>
          <w:rFonts w:cs="Arial"/>
          <w:szCs w:val="22"/>
        </w:rPr>
        <w:t>)</w:t>
      </w:r>
      <w:r w:rsidRPr="00C66FA3">
        <w:rPr>
          <w:rFonts w:cs="Arial"/>
          <w:szCs w:val="22"/>
        </w:rPr>
        <w:t xml:space="preserve">. </w:t>
      </w:r>
    </w:p>
    <w:p w:rsidR="004673BE" w:rsidRDefault="004673BE" w:rsidP="004673BE">
      <w:pPr>
        <w:pStyle w:val="BodyCopy"/>
        <w:spacing w:before="120" w:after="200" w:line="276" w:lineRule="auto"/>
        <w:rPr>
          <w:rFonts w:cs="Arial"/>
          <w:szCs w:val="22"/>
        </w:rPr>
      </w:pPr>
      <w:r w:rsidRPr="00C66FA3">
        <w:rPr>
          <w:rFonts w:cs="Arial"/>
          <w:szCs w:val="22"/>
        </w:rPr>
        <w:t>The</w:t>
      </w:r>
      <w:r>
        <w:rPr>
          <w:rFonts w:cs="Arial"/>
          <w:szCs w:val="22"/>
        </w:rPr>
        <w:t xml:space="preserve"> secondary questionnaire took approximately 40 minutes, on average, for pupils to complete. In total, </w:t>
      </w:r>
      <w:r w:rsidR="007F3770">
        <w:rPr>
          <w:rFonts w:cs="Arial"/>
          <w:szCs w:val="22"/>
        </w:rPr>
        <w:t>4,448</w:t>
      </w:r>
      <w:r>
        <w:rPr>
          <w:rFonts w:cs="Arial"/>
          <w:szCs w:val="22"/>
        </w:rPr>
        <w:t xml:space="preserve"> pupils took part in the secondary school survey, representing 7</w:t>
      </w:r>
      <w:r w:rsidR="007F3770">
        <w:rPr>
          <w:rFonts w:cs="Arial"/>
          <w:szCs w:val="22"/>
        </w:rPr>
        <w:t>3</w:t>
      </w:r>
      <w:r>
        <w:rPr>
          <w:rFonts w:cs="Arial"/>
          <w:szCs w:val="22"/>
        </w:rPr>
        <w:t>% of the eligible population. Because of item non response, however, each individual question was answered by a smaller proportion. Further details about the survey process, including how the data were weighted can be found in the Technical Report.</w:t>
      </w:r>
    </w:p>
    <w:p w:rsidR="00C73B66" w:rsidRDefault="00C73B66" w:rsidP="00C73B66">
      <w:pPr>
        <w:pStyle w:val="Heading2"/>
        <w:spacing w:line="276" w:lineRule="auto"/>
        <w:ind w:left="902" w:hanging="902"/>
      </w:pPr>
      <w:bookmarkStart w:id="15" w:name="_Toc494182023"/>
      <w:r>
        <w:t>Personal wellbeing</w:t>
      </w:r>
      <w:bookmarkEnd w:id="15"/>
    </w:p>
    <w:p w:rsidR="00C73B66" w:rsidRDefault="00C73B66" w:rsidP="00C73B66">
      <w:pPr>
        <w:pStyle w:val="BodyCopy"/>
        <w:spacing w:line="276" w:lineRule="auto"/>
      </w:pPr>
      <w:r>
        <w:t>We begin by reviewing aspects of wellbeing related to the personal (or individual) domain. These include measures of physical and mental health, subjective wellbeing, and health and risk behaviours – for instance, relating to drug or alcohol use.</w:t>
      </w:r>
    </w:p>
    <w:p w:rsidR="00C73B66" w:rsidRDefault="00C73B66" w:rsidP="00C73B66">
      <w:pPr>
        <w:pStyle w:val="Heading3"/>
        <w:spacing w:line="276" w:lineRule="auto"/>
      </w:pPr>
      <w:bookmarkStart w:id="16" w:name="_Toc494182024"/>
      <w:r>
        <w:t>Health</w:t>
      </w:r>
      <w:bookmarkEnd w:id="16"/>
    </w:p>
    <w:p w:rsidR="00C73B66" w:rsidRDefault="00C73B66" w:rsidP="00C73B66">
      <w:pPr>
        <w:pStyle w:val="Heading3"/>
        <w:numPr>
          <w:ilvl w:val="3"/>
          <w:numId w:val="13"/>
        </w:numPr>
        <w:spacing w:line="276" w:lineRule="auto"/>
      </w:pPr>
      <w:bookmarkStart w:id="17" w:name="_Toc494182025"/>
      <w:r w:rsidRPr="00B2541D">
        <w:rPr>
          <w:color w:val="auto"/>
        </w:rPr>
        <w:t>G</w:t>
      </w:r>
      <w:r>
        <w:t>eneral health (Healthy)</w:t>
      </w:r>
      <w:bookmarkEnd w:id="17"/>
    </w:p>
    <w:p w:rsidR="00C73B66" w:rsidRDefault="00C73B66" w:rsidP="00C73B66">
      <w:pPr>
        <w:pStyle w:val="BodyCopy"/>
        <w:spacing w:before="240" w:line="276" w:lineRule="auto"/>
      </w:pPr>
      <w:r>
        <w:t xml:space="preserve">Most pupils in S1 to S4 in </w:t>
      </w:r>
      <w:r w:rsidRPr="00797721">
        <w:t>Falkirk (81%) assessed</w:t>
      </w:r>
      <w:r>
        <w:t xml:space="preserve"> their own general health as being either good (45%) or very good (35%). By contrast, only 2% rated their health as bad or very bad.</w:t>
      </w:r>
    </w:p>
    <w:p w:rsidR="00C73B66" w:rsidRDefault="00C73B66" w:rsidP="00C73B66">
      <w:pPr>
        <w:pStyle w:val="BodyCopy"/>
        <w:spacing w:before="240" w:line="276" w:lineRule="auto"/>
      </w:pPr>
      <w:r>
        <w:t xml:space="preserve">While these figures are encouraging, the best available comparison – from the </w:t>
      </w:r>
      <w:r w:rsidRPr="00E91D33">
        <w:t>Scottish Health Survey</w:t>
      </w:r>
      <w:r w:rsidRPr="00E91D33">
        <w:rPr>
          <w:rStyle w:val="EndnoteReference"/>
        </w:rPr>
        <w:endnoteReference w:id="1"/>
      </w:r>
      <w:r>
        <w:t xml:space="preserve"> - suggests that the proportion in Falkirk reporting their health as good or very good is below that recorded nationally for those aged 12-15 in 2015 (94%). Slight differences in survey methodology may, however, have played a part here, including the presence of parents when </w:t>
      </w:r>
      <w:r w:rsidR="003059A2" w:rsidRPr="003059A2">
        <w:t xml:space="preserve">young people were </w:t>
      </w:r>
      <w:r>
        <w:t>answering the Scottish Health Survey questionnaire.</w:t>
      </w:r>
    </w:p>
    <w:p w:rsidR="00C73B66" w:rsidRDefault="00C73B66" w:rsidP="00C73B66">
      <w:pPr>
        <w:pStyle w:val="BodyCopy"/>
        <w:spacing w:before="240" w:line="276" w:lineRule="auto"/>
      </w:pPr>
      <w:r>
        <w:lastRenderedPageBreak/>
        <w:t xml:space="preserve">Some differences in health status by subgroup are worth noting. First, the proportion of children </w:t>
      </w:r>
      <w:r w:rsidR="003059A2" w:rsidRPr="003059A2">
        <w:t>reporting their health as</w:t>
      </w:r>
      <w:r>
        <w:t xml:space="preserve"> good or very good declined across school year group, from 86% in S1 to 74% in S4. There were also significant differences by family structure (82% of children with siblings at home </w:t>
      </w:r>
      <w:r w:rsidR="003059A2" w:rsidRPr="003059A2">
        <w:t xml:space="preserve">self-reporting their health as good or very good </w:t>
      </w:r>
      <w:r>
        <w:t xml:space="preserve">compared with 77% of those with no siblings at home; and 84% living with two parents, 78% living in a step family, 73% in a one parent household, and 66% in other situations). </w:t>
      </w:r>
    </w:p>
    <w:p w:rsidR="00C73B66" w:rsidRDefault="00C73B66" w:rsidP="00D27384">
      <w:pPr>
        <w:pStyle w:val="BodyCopy"/>
        <w:spacing w:before="120" w:line="276" w:lineRule="auto"/>
      </w:pPr>
    </w:p>
    <w:tbl>
      <w:tblPr>
        <w:tblW w:w="5218"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723"/>
        <w:gridCol w:w="730"/>
        <w:gridCol w:w="729"/>
        <w:gridCol w:w="729"/>
        <w:gridCol w:w="729"/>
        <w:gridCol w:w="729"/>
        <w:gridCol w:w="856"/>
        <w:gridCol w:w="970"/>
      </w:tblGrid>
      <w:tr w:rsidR="00C73B66" w:rsidRPr="006736E7" w:rsidTr="007C3905">
        <w:trPr>
          <w:trHeight w:val="340"/>
        </w:trPr>
        <w:tc>
          <w:tcPr>
            <w:tcW w:w="5000" w:type="pct"/>
            <w:gridSpan w:val="8"/>
            <w:tcBorders>
              <w:top w:val="single" w:sz="12" w:space="0" w:color="auto"/>
              <w:bottom w:val="nil"/>
            </w:tcBorders>
          </w:tcPr>
          <w:p w:rsidR="00C73B66" w:rsidRPr="00E91534" w:rsidRDefault="00C73B66" w:rsidP="00C73B66">
            <w:pPr>
              <w:pStyle w:val="BSATableNumber"/>
              <w:spacing w:line="276" w:lineRule="auto"/>
              <w:jc w:val="left"/>
              <w:rPr>
                <w:rFonts w:asciiTheme="minorHAnsi" w:hAnsiTheme="minorHAnsi" w:cstheme="minorHAnsi"/>
                <w:b/>
                <w:sz w:val="20"/>
              </w:rPr>
            </w:pPr>
            <w:r>
              <w:rPr>
                <w:rFonts w:asciiTheme="minorHAnsi" w:hAnsiTheme="minorHAnsi" w:cstheme="minorHAnsi"/>
                <w:b/>
                <w:sz w:val="20"/>
              </w:rPr>
              <w:t>Table 2.2</w:t>
            </w:r>
            <w:r w:rsidRPr="00E91534">
              <w:rPr>
                <w:rFonts w:asciiTheme="minorHAnsi" w:hAnsiTheme="minorHAnsi" w:cstheme="minorHAnsi"/>
                <w:b/>
                <w:sz w:val="20"/>
              </w:rPr>
              <w:t>.1a General health</w:t>
            </w:r>
          </w:p>
        </w:tc>
      </w:tr>
      <w:tr w:rsidR="00C73B66" w:rsidRPr="006736E7" w:rsidTr="007155ED">
        <w:tc>
          <w:tcPr>
            <w:tcW w:w="1661" w:type="pct"/>
            <w:tcBorders>
              <w:top w:val="nil"/>
              <w:bottom w:val="single" w:sz="12" w:space="0" w:color="auto"/>
            </w:tcBorders>
            <w:vAlign w:val="center"/>
          </w:tcPr>
          <w:p w:rsidR="00C73B66" w:rsidRPr="00E91534" w:rsidRDefault="00C73B66" w:rsidP="00C73B66">
            <w:pPr>
              <w:pStyle w:val="BSATableText"/>
              <w:spacing w:line="276" w:lineRule="auto"/>
              <w:ind w:left="0" w:firstLine="0"/>
              <w:jc w:val="left"/>
              <w:rPr>
                <w:rFonts w:asciiTheme="minorHAnsi" w:hAnsiTheme="minorHAnsi" w:cstheme="minorHAnsi"/>
                <w:sz w:val="20"/>
              </w:rPr>
            </w:pPr>
            <w:r w:rsidRPr="00E91534">
              <w:rPr>
                <w:rFonts w:asciiTheme="minorHAnsi" w:hAnsiTheme="minorHAnsi" w:cstheme="minorHAnsi"/>
                <w:sz w:val="20"/>
              </w:rPr>
              <w:t>How is your health in general - Would you say it is…?</w:t>
            </w:r>
          </w:p>
        </w:tc>
        <w:tc>
          <w:tcPr>
            <w:tcW w:w="445" w:type="pct"/>
            <w:tcBorders>
              <w:top w:val="nil"/>
              <w:bottom w:val="single" w:sz="12" w:space="0" w:color="auto"/>
            </w:tcBorders>
            <w:vAlign w:val="center"/>
          </w:tcPr>
          <w:p w:rsidR="00C73B66" w:rsidRPr="00E91534" w:rsidRDefault="00C73B66" w:rsidP="00C73B66">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Very good</w:t>
            </w:r>
          </w:p>
        </w:tc>
        <w:tc>
          <w:tcPr>
            <w:tcW w:w="445" w:type="pct"/>
            <w:tcBorders>
              <w:top w:val="nil"/>
              <w:bottom w:val="single" w:sz="12" w:space="0" w:color="auto"/>
            </w:tcBorders>
            <w:vAlign w:val="center"/>
          </w:tcPr>
          <w:p w:rsidR="00C73B66" w:rsidRPr="00E91534" w:rsidRDefault="00C73B66" w:rsidP="00C73B66">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Good</w:t>
            </w:r>
          </w:p>
        </w:tc>
        <w:tc>
          <w:tcPr>
            <w:tcW w:w="445" w:type="pct"/>
            <w:tcBorders>
              <w:top w:val="nil"/>
              <w:bottom w:val="single" w:sz="12" w:space="0" w:color="auto"/>
            </w:tcBorders>
            <w:vAlign w:val="center"/>
          </w:tcPr>
          <w:p w:rsidR="00C73B66" w:rsidRPr="00E91534" w:rsidRDefault="00C73B66" w:rsidP="00C73B66">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Fair</w:t>
            </w:r>
          </w:p>
        </w:tc>
        <w:tc>
          <w:tcPr>
            <w:tcW w:w="445" w:type="pct"/>
            <w:tcBorders>
              <w:top w:val="nil"/>
              <w:bottom w:val="single" w:sz="12" w:space="0" w:color="auto"/>
            </w:tcBorders>
            <w:vAlign w:val="center"/>
          </w:tcPr>
          <w:p w:rsidR="00C73B66" w:rsidRPr="00E91534" w:rsidRDefault="00C73B66" w:rsidP="00C73B66">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Bad</w:t>
            </w:r>
          </w:p>
        </w:tc>
        <w:tc>
          <w:tcPr>
            <w:tcW w:w="445" w:type="pct"/>
            <w:tcBorders>
              <w:top w:val="nil"/>
              <w:bottom w:val="single" w:sz="12" w:space="0" w:color="auto"/>
            </w:tcBorders>
            <w:vAlign w:val="center"/>
          </w:tcPr>
          <w:p w:rsidR="00C73B66" w:rsidRPr="00E91534" w:rsidRDefault="00C73B66" w:rsidP="00C73B66">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Very bad</w:t>
            </w:r>
          </w:p>
        </w:tc>
        <w:tc>
          <w:tcPr>
            <w:tcW w:w="522" w:type="pct"/>
            <w:tcBorders>
              <w:top w:val="nil"/>
              <w:bottom w:val="single" w:sz="12" w:space="0" w:color="auto"/>
            </w:tcBorders>
            <w:vAlign w:val="center"/>
          </w:tcPr>
          <w:p w:rsidR="00C73B66" w:rsidRPr="00C73B66" w:rsidRDefault="00C73B66" w:rsidP="00C73B66">
            <w:pPr>
              <w:pStyle w:val="BSATableNumber"/>
              <w:spacing w:line="276" w:lineRule="auto"/>
              <w:jc w:val="center"/>
              <w:rPr>
                <w:rFonts w:asciiTheme="minorHAnsi" w:hAnsiTheme="minorHAnsi" w:cstheme="minorHAnsi"/>
                <w:i/>
                <w:sz w:val="16"/>
                <w:szCs w:val="16"/>
              </w:rPr>
            </w:pPr>
            <w:r w:rsidRPr="00C73B66">
              <w:rPr>
                <w:rFonts w:asciiTheme="minorHAnsi" w:hAnsiTheme="minorHAnsi" w:cstheme="minorHAnsi"/>
                <w:i/>
                <w:sz w:val="16"/>
                <w:szCs w:val="16"/>
              </w:rPr>
              <w:t>Weighted bases</w:t>
            </w:r>
          </w:p>
        </w:tc>
        <w:tc>
          <w:tcPr>
            <w:tcW w:w="592" w:type="pct"/>
            <w:tcBorders>
              <w:top w:val="nil"/>
              <w:bottom w:val="single" w:sz="12" w:space="0" w:color="auto"/>
            </w:tcBorders>
            <w:vAlign w:val="center"/>
          </w:tcPr>
          <w:p w:rsidR="00C73B66" w:rsidRPr="00C73B66" w:rsidRDefault="00C73B66" w:rsidP="00C73B66">
            <w:pPr>
              <w:pStyle w:val="BSATableNumber"/>
              <w:spacing w:line="276" w:lineRule="auto"/>
              <w:jc w:val="center"/>
              <w:rPr>
                <w:rFonts w:asciiTheme="minorHAnsi" w:hAnsiTheme="minorHAnsi" w:cstheme="minorHAnsi"/>
                <w:i/>
                <w:sz w:val="16"/>
                <w:szCs w:val="16"/>
              </w:rPr>
            </w:pPr>
            <w:r w:rsidRPr="00C73B66">
              <w:rPr>
                <w:rFonts w:asciiTheme="minorHAnsi" w:hAnsiTheme="minorHAnsi" w:cstheme="minorHAnsi"/>
                <w:i/>
                <w:sz w:val="16"/>
                <w:szCs w:val="16"/>
              </w:rPr>
              <w:t>Unweighted bases</w:t>
            </w:r>
          </w:p>
        </w:tc>
      </w:tr>
      <w:tr w:rsidR="00C73B66" w:rsidRPr="006736E7" w:rsidTr="007C3905">
        <w:trPr>
          <w:trHeight w:val="283"/>
        </w:trPr>
        <w:tc>
          <w:tcPr>
            <w:tcW w:w="5000" w:type="pct"/>
            <w:gridSpan w:val="8"/>
            <w:tcBorders>
              <w:top w:val="single" w:sz="12" w:space="0" w:color="auto"/>
              <w:bottom w:val="single" w:sz="6" w:space="0" w:color="auto"/>
            </w:tcBorders>
            <w:vAlign w:val="bottom"/>
          </w:tcPr>
          <w:p w:rsidR="00C73B66" w:rsidRPr="00E91534" w:rsidRDefault="00C73B66" w:rsidP="00C73B66">
            <w:pPr>
              <w:pStyle w:val="BSATableNumber"/>
              <w:spacing w:line="276" w:lineRule="auto"/>
              <w:jc w:val="left"/>
              <w:rPr>
                <w:rFonts w:asciiTheme="minorHAnsi" w:hAnsiTheme="minorHAnsi" w:cstheme="minorHAnsi"/>
                <w:i/>
                <w:iCs/>
                <w:color w:val="000000"/>
                <w:sz w:val="20"/>
              </w:rPr>
            </w:pPr>
            <w:r>
              <w:rPr>
                <w:rFonts w:asciiTheme="minorHAnsi" w:hAnsiTheme="minorHAnsi" w:cstheme="minorHAnsi"/>
                <w:i/>
                <w:iCs/>
                <w:color w:val="000000"/>
                <w:sz w:val="20"/>
              </w:rPr>
              <w:t>Row percentages</w:t>
            </w:r>
          </w:p>
        </w:tc>
      </w:tr>
      <w:tr w:rsidR="00C73B66" w:rsidRPr="006736E7" w:rsidTr="007C3905">
        <w:trPr>
          <w:trHeight w:val="300"/>
        </w:trPr>
        <w:tc>
          <w:tcPr>
            <w:tcW w:w="1661" w:type="pct"/>
            <w:tcBorders>
              <w:top w:val="single" w:sz="6" w:space="0" w:color="auto"/>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All</w:t>
            </w:r>
          </w:p>
        </w:tc>
        <w:tc>
          <w:tcPr>
            <w:tcW w:w="445" w:type="pct"/>
            <w:tcBorders>
              <w:top w:val="single" w:sz="6" w:space="0" w:color="auto"/>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r>
              <w:rPr>
                <w:rFonts w:cs="Arial"/>
                <w:color w:val="000000"/>
                <w:sz w:val="20"/>
              </w:rPr>
              <w:t>35</w:t>
            </w:r>
          </w:p>
        </w:tc>
        <w:tc>
          <w:tcPr>
            <w:tcW w:w="445" w:type="pct"/>
            <w:tcBorders>
              <w:top w:val="single" w:sz="6" w:space="0" w:color="auto"/>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r>
              <w:rPr>
                <w:rFonts w:cs="Arial"/>
                <w:color w:val="000000"/>
                <w:sz w:val="20"/>
              </w:rPr>
              <w:t>45</w:t>
            </w:r>
          </w:p>
        </w:tc>
        <w:tc>
          <w:tcPr>
            <w:tcW w:w="445" w:type="pct"/>
            <w:tcBorders>
              <w:top w:val="single" w:sz="6" w:space="0" w:color="auto"/>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r>
              <w:rPr>
                <w:rFonts w:cs="Arial"/>
                <w:color w:val="000000"/>
                <w:sz w:val="20"/>
              </w:rPr>
              <w:t>17</w:t>
            </w:r>
          </w:p>
        </w:tc>
        <w:tc>
          <w:tcPr>
            <w:tcW w:w="445" w:type="pct"/>
            <w:tcBorders>
              <w:top w:val="single" w:sz="6" w:space="0" w:color="auto"/>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r>
              <w:rPr>
                <w:rFonts w:cs="Arial"/>
                <w:color w:val="000000"/>
                <w:sz w:val="20"/>
              </w:rPr>
              <w:t>2</w:t>
            </w:r>
          </w:p>
        </w:tc>
        <w:tc>
          <w:tcPr>
            <w:tcW w:w="445" w:type="pct"/>
            <w:tcBorders>
              <w:top w:val="single" w:sz="6" w:space="0" w:color="auto"/>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r>
              <w:rPr>
                <w:rFonts w:cs="Arial"/>
                <w:color w:val="000000"/>
                <w:sz w:val="20"/>
              </w:rPr>
              <w:t>1</w:t>
            </w:r>
          </w:p>
        </w:tc>
        <w:tc>
          <w:tcPr>
            <w:tcW w:w="522" w:type="pct"/>
            <w:tcBorders>
              <w:top w:val="single" w:sz="6" w:space="0" w:color="auto"/>
              <w:bottom w:val="nil"/>
            </w:tcBorders>
            <w:vAlign w:val="center"/>
          </w:tcPr>
          <w:p w:rsidR="00C73B66" w:rsidRPr="00C73B66" w:rsidRDefault="00C73B66" w:rsidP="00C73B66">
            <w:pPr>
              <w:pStyle w:val="BSATableNumber"/>
              <w:spacing w:line="276" w:lineRule="auto"/>
              <w:rPr>
                <w:rFonts w:asciiTheme="minorHAnsi" w:hAnsiTheme="minorHAnsi" w:cstheme="minorHAnsi"/>
                <w:i/>
                <w:sz w:val="20"/>
              </w:rPr>
            </w:pPr>
            <w:r w:rsidRPr="00C73B66">
              <w:rPr>
                <w:rFonts w:cs="Arial"/>
                <w:i/>
                <w:color w:val="000000"/>
                <w:sz w:val="20"/>
              </w:rPr>
              <w:t>4402</w:t>
            </w:r>
          </w:p>
        </w:tc>
        <w:tc>
          <w:tcPr>
            <w:tcW w:w="592" w:type="pct"/>
            <w:tcBorders>
              <w:top w:val="single" w:sz="6" w:space="0" w:color="auto"/>
              <w:bottom w:val="nil"/>
            </w:tcBorders>
            <w:vAlign w:val="center"/>
          </w:tcPr>
          <w:p w:rsidR="00C73B66" w:rsidRPr="00C73B66" w:rsidRDefault="00C73B66" w:rsidP="00C73B66">
            <w:pPr>
              <w:pStyle w:val="BSATableNumber"/>
              <w:spacing w:line="276" w:lineRule="auto"/>
              <w:rPr>
                <w:rFonts w:asciiTheme="minorHAnsi" w:hAnsiTheme="minorHAnsi" w:cstheme="minorHAnsi"/>
                <w:i/>
                <w:sz w:val="20"/>
              </w:rPr>
            </w:pPr>
            <w:r w:rsidRPr="00C73B66">
              <w:rPr>
                <w:rFonts w:cs="Arial"/>
                <w:i/>
                <w:color w:val="000000"/>
                <w:sz w:val="20"/>
              </w:rPr>
              <w:t>4401</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522" w:type="pct"/>
            <w:tcBorders>
              <w:top w:val="nil"/>
              <w:bottom w:val="nil"/>
            </w:tcBorders>
            <w:vAlign w:val="center"/>
          </w:tcPr>
          <w:p w:rsidR="00C73B66" w:rsidRPr="00C73B66" w:rsidRDefault="00C73B66" w:rsidP="00C73B66">
            <w:pPr>
              <w:pStyle w:val="BSATableNumber"/>
              <w:spacing w:line="276" w:lineRule="auto"/>
              <w:rPr>
                <w:rFonts w:asciiTheme="minorHAnsi" w:hAnsiTheme="minorHAnsi" w:cstheme="minorHAnsi"/>
                <w:i/>
                <w:sz w:val="20"/>
              </w:rPr>
            </w:pPr>
          </w:p>
        </w:tc>
        <w:tc>
          <w:tcPr>
            <w:tcW w:w="592" w:type="pct"/>
            <w:tcBorders>
              <w:top w:val="nil"/>
            </w:tcBorders>
            <w:vAlign w:val="center"/>
          </w:tcPr>
          <w:p w:rsidR="00C73B66" w:rsidRPr="00C73B66" w:rsidRDefault="00C73B66" w:rsidP="00C73B66">
            <w:pPr>
              <w:pStyle w:val="BSATableNumber"/>
              <w:spacing w:line="276" w:lineRule="auto"/>
              <w:rPr>
                <w:rFonts w:asciiTheme="minorHAnsi" w:hAnsiTheme="minorHAnsi" w:cstheme="minorHAnsi"/>
                <w:i/>
                <w:sz w:val="20"/>
              </w:rPr>
            </w:pP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S1</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1121</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1189</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S2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37</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45</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1121</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1160</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S3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47</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1076</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999</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S4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25</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49</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1037</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1007</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445" w:type="pct"/>
            <w:tcBorders>
              <w:top w:val="nil"/>
              <w:bottom w:val="nil"/>
            </w:tcBorders>
            <w:vAlign w:val="center"/>
          </w:tcPr>
          <w:p w:rsidR="00C73B66" w:rsidRPr="00E91534" w:rsidRDefault="00C73B66" w:rsidP="00C73B66">
            <w:pPr>
              <w:pStyle w:val="BSATableNumber"/>
              <w:spacing w:line="276" w:lineRule="auto"/>
              <w:rPr>
                <w:rFonts w:asciiTheme="minorHAnsi" w:hAnsiTheme="minorHAnsi" w:cstheme="minorHAnsi"/>
                <w:sz w:val="20"/>
              </w:rPr>
            </w:pPr>
          </w:p>
        </w:tc>
        <w:tc>
          <w:tcPr>
            <w:tcW w:w="522" w:type="pct"/>
            <w:tcBorders>
              <w:top w:val="nil"/>
              <w:bottom w:val="nil"/>
            </w:tcBorders>
            <w:vAlign w:val="center"/>
          </w:tcPr>
          <w:p w:rsidR="00C73B66" w:rsidRPr="00C73B66" w:rsidRDefault="00C73B66" w:rsidP="00C73B66">
            <w:pPr>
              <w:pStyle w:val="BSATableNumber"/>
              <w:spacing w:line="276" w:lineRule="auto"/>
              <w:rPr>
                <w:rFonts w:asciiTheme="minorHAnsi" w:hAnsiTheme="minorHAnsi" w:cstheme="minorHAnsi"/>
                <w:i/>
                <w:sz w:val="20"/>
              </w:rPr>
            </w:pPr>
          </w:p>
        </w:tc>
        <w:tc>
          <w:tcPr>
            <w:tcW w:w="592" w:type="pct"/>
            <w:vAlign w:val="center"/>
          </w:tcPr>
          <w:p w:rsidR="00C73B66" w:rsidRPr="00C73B66" w:rsidRDefault="00C73B66" w:rsidP="00C73B66">
            <w:pPr>
              <w:pStyle w:val="BSATableNumber"/>
              <w:spacing w:line="276" w:lineRule="auto"/>
              <w:rPr>
                <w:rFonts w:asciiTheme="minorHAnsi" w:hAnsiTheme="minorHAnsi" w:cstheme="minorHAnsi"/>
                <w:i/>
                <w:sz w:val="20"/>
              </w:rPr>
            </w:pP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Siblings</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3344</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3346</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E91534">
              <w:rPr>
                <w:rFonts w:cstheme="minorHAnsi"/>
                <w:color w:val="000000"/>
                <w:sz w:val="20"/>
                <w:szCs w:val="20"/>
              </w:rPr>
              <w:t>No siblings</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20</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950</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948</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p>
        </w:tc>
        <w:tc>
          <w:tcPr>
            <w:tcW w:w="445" w:type="pct"/>
            <w:tcBorders>
              <w:top w:val="nil"/>
              <w:bottom w:val="nil"/>
            </w:tcBorders>
            <w:vAlign w:val="center"/>
          </w:tcPr>
          <w:p w:rsidR="00C73B66" w:rsidRPr="00E41C6B" w:rsidRDefault="00C73B66" w:rsidP="00C73B66">
            <w:pPr>
              <w:pStyle w:val="BSATableNumber"/>
              <w:spacing w:line="276" w:lineRule="auto"/>
              <w:rPr>
                <w:rFonts w:cs="Arial"/>
                <w:color w:val="000000"/>
                <w:sz w:val="20"/>
              </w:rPr>
            </w:pPr>
          </w:p>
        </w:tc>
        <w:tc>
          <w:tcPr>
            <w:tcW w:w="445" w:type="pct"/>
            <w:tcBorders>
              <w:top w:val="nil"/>
              <w:bottom w:val="nil"/>
            </w:tcBorders>
            <w:vAlign w:val="center"/>
          </w:tcPr>
          <w:p w:rsidR="00C73B66" w:rsidRPr="00E41C6B" w:rsidRDefault="00C73B66" w:rsidP="00C73B66">
            <w:pPr>
              <w:pStyle w:val="BSATableNumber"/>
              <w:spacing w:line="276" w:lineRule="auto"/>
              <w:rPr>
                <w:rFonts w:cs="Arial"/>
                <w:color w:val="000000"/>
                <w:sz w:val="20"/>
              </w:rPr>
            </w:pPr>
          </w:p>
        </w:tc>
        <w:tc>
          <w:tcPr>
            <w:tcW w:w="445" w:type="pct"/>
            <w:tcBorders>
              <w:top w:val="nil"/>
              <w:bottom w:val="nil"/>
            </w:tcBorders>
            <w:vAlign w:val="center"/>
          </w:tcPr>
          <w:p w:rsidR="00C73B66" w:rsidRPr="00E41C6B" w:rsidRDefault="00C73B66" w:rsidP="00C73B66">
            <w:pPr>
              <w:pStyle w:val="BSATableNumber"/>
              <w:spacing w:line="276" w:lineRule="auto"/>
              <w:rPr>
                <w:rFonts w:cs="Arial"/>
                <w:color w:val="000000"/>
                <w:sz w:val="20"/>
              </w:rPr>
            </w:pPr>
          </w:p>
        </w:tc>
        <w:tc>
          <w:tcPr>
            <w:tcW w:w="445" w:type="pct"/>
            <w:tcBorders>
              <w:top w:val="nil"/>
              <w:bottom w:val="nil"/>
            </w:tcBorders>
            <w:vAlign w:val="center"/>
          </w:tcPr>
          <w:p w:rsidR="00C73B66" w:rsidRPr="00E41C6B" w:rsidRDefault="00C73B66" w:rsidP="00C73B66">
            <w:pPr>
              <w:pStyle w:val="BSATableNumber"/>
              <w:spacing w:line="276" w:lineRule="auto"/>
              <w:rPr>
                <w:rFonts w:cs="Arial"/>
                <w:color w:val="000000"/>
                <w:sz w:val="20"/>
              </w:rPr>
            </w:pPr>
          </w:p>
        </w:tc>
        <w:tc>
          <w:tcPr>
            <w:tcW w:w="445" w:type="pct"/>
            <w:tcBorders>
              <w:top w:val="nil"/>
              <w:bottom w:val="nil"/>
            </w:tcBorders>
            <w:vAlign w:val="center"/>
          </w:tcPr>
          <w:p w:rsidR="00C73B66" w:rsidRPr="00E41C6B" w:rsidRDefault="00C73B66" w:rsidP="00C73B66">
            <w:pPr>
              <w:pStyle w:val="BSATableNumber"/>
              <w:spacing w:line="276" w:lineRule="auto"/>
              <w:rPr>
                <w:rFonts w:cs="Arial"/>
                <w:color w:val="000000"/>
                <w:sz w:val="20"/>
              </w:rPr>
            </w:pP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p>
        </w:tc>
        <w:tc>
          <w:tcPr>
            <w:tcW w:w="592" w:type="pct"/>
            <w:vAlign w:val="center"/>
          </w:tcPr>
          <w:p w:rsidR="00C73B66" w:rsidRPr="00C73B66" w:rsidRDefault="00C73B66" w:rsidP="00C73B66">
            <w:pPr>
              <w:pStyle w:val="BSATableNumber"/>
              <w:spacing w:line="276" w:lineRule="auto"/>
              <w:rPr>
                <w:rFonts w:cs="Arial"/>
                <w:i/>
                <w:color w:val="000000"/>
                <w:sz w:val="20"/>
              </w:rPr>
            </w:pP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200A9F">
              <w:rPr>
                <w:rFonts w:ascii="Arial" w:eastAsia="Times New Roman" w:hAnsi="Arial" w:cs="Arial"/>
                <w:color w:val="000000"/>
                <w:sz w:val="20"/>
                <w:szCs w:val="20"/>
                <w:lang w:eastAsia="en-GB"/>
              </w:rPr>
              <w:t>Two parent household</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39</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45</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2888</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2891</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200A9F">
              <w:rPr>
                <w:rFonts w:ascii="Arial" w:eastAsia="Times New Roman" w:hAnsi="Arial" w:cs="Arial"/>
                <w:color w:val="000000"/>
                <w:sz w:val="20"/>
                <w:szCs w:val="20"/>
                <w:lang w:eastAsia="en-GB"/>
              </w:rPr>
              <w:t>One parent household</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26</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47</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25</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818</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817</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200A9F">
              <w:rPr>
                <w:rFonts w:ascii="Arial" w:eastAsia="Times New Roman" w:hAnsi="Arial" w:cs="Arial"/>
                <w:color w:val="000000"/>
                <w:sz w:val="20"/>
                <w:szCs w:val="20"/>
                <w:lang w:eastAsia="en-GB"/>
              </w:rPr>
              <w:t>Step-family</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31</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47</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18</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0</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486</w:t>
            </w:r>
          </w:p>
        </w:tc>
        <w:tc>
          <w:tcPr>
            <w:tcW w:w="592" w:type="pct"/>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486</w:t>
            </w:r>
          </w:p>
        </w:tc>
      </w:tr>
      <w:tr w:rsidR="00C73B66" w:rsidRPr="006736E7" w:rsidTr="007C3905">
        <w:trPr>
          <w:trHeight w:val="300"/>
        </w:trPr>
        <w:tc>
          <w:tcPr>
            <w:tcW w:w="1661" w:type="pct"/>
            <w:tcBorders>
              <w:top w:val="nil"/>
              <w:bottom w:val="nil"/>
            </w:tcBorders>
            <w:vAlign w:val="center"/>
          </w:tcPr>
          <w:p w:rsidR="00C73B66" w:rsidRPr="00E91534" w:rsidRDefault="00C73B66" w:rsidP="00C73B66">
            <w:pPr>
              <w:keepNext/>
              <w:spacing w:after="0"/>
              <w:rPr>
                <w:rFonts w:cstheme="minorHAnsi"/>
                <w:sz w:val="20"/>
                <w:szCs w:val="20"/>
              </w:rPr>
            </w:pPr>
            <w:r w:rsidRPr="00200A9F">
              <w:rPr>
                <w:rFonts w:ascii="Arial" w:eastAsia="Times New Roman" w:hAnsi="Arial" w:cs="Arial"/>
                <w:color w:val="000000"/>
                <w:sz w:val="20"/>
                <w:szCs w:val="20"/>
                <w:lang w:eastAsia="en-GB"/>
              </w:rPr>
              <w:t>Other household type</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32</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34</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23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3</w:t>
            </w:r>
          </w:p>
        </w:tc>
        <w:tc>
          <w:tcPr>
            <w:tcW w:w="445" w:type="pct"/>
            <w:tcBorders>
              <w:top w:val="nil"/>
              <w:bottom w:val="nil"/>
            </w:tcBorders>
            <w:vAlign w:val="center"/>
          </w:tcPr>
          <w:p w:rsidR="00C73B66" w:rsidRDefault="00C73B66" w:rsidP="00C73B66">
            <w:pPr>
              <w:pStyle w:val="BSATableNumber"/>
              <w:spacing w:line="276" w:lineRule="auto"/>
              <w:rPr>
                <w:rFonts w:cs="Arial"/>
                <w:color w:val="000000"/>
                <w:sz w:val="20"/>
              </w:rPr>
            </w:pPr>
            <w:r>
              <w:rPr>
                <w:rFonts w:cs="Arial"/>
                <w:color w:val="000000"/>
                <w:sz w:val="20"/>
              </w:rPr>
              <w:t>8</w:t>
            </w:r>
          </w:p>
        </w:tc>
        <w:tc>
          <w:tcPr>
            <w:tcW w:w="522" w:type="pct"/>
            <w:tcBorders>
              <w:top w:val="nil"/>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102</w:t>
            </w:r>
          </w:p>
        </w:tc>
        <w:tc>
          <w:tcPr>
            <w:tcW w:w="592" w:type="pct"/>
            <w:tcBorders>
              <w:bottom w:val="nil"/>
            </w:tcBorders>
            <w:vAlign w:val="center"/>
          </w:tcPr>
          <w:p w:rsidR="00C73B66" w:rsidRPr="00C73B66" w:rsidRDefault="00C73B66" w:rsidP="00C73B66">
            <w:pPr>
              <w:pStyle w:val="BSATableNumber"/>
              <w:spacing w:line="276" w:lineRule="auto"/>
              <w:rPr>
                <w:rFonts w:cs="Arial"/>
                <w:i/>
                <w:color w:val="000000"/>
                <w:sz w:val="20"/>
              </w:rPr>
            </w:pPr>
            <w:r w:rsidRPr="00C73B66">
              <w:rPr>
                <w:rFonts w:cs="Arial"/>
                <w:i/>
                <w:color w:val="000000"/>
                <w:sz w:val="20"/>
              </w:rPr>
              <w:t>100</w:t>
            </w:r>
          </w:p>
        </w:tc>
      </w:tr>
      <w:tr w:rsidR="00C73B66" w:rsidRPr="00CD78C7" w:rsidTr="007C3905">
        <w:trPr>
          <w:trHeight w:val="227"/>
        </w:trPr>
        <w:tc>
          <w:tcPr>
            <w:tcW w:w="1661" w:type="pct"/>
            <w:tcBorders>
              <w:top w:val="nil"/>
              <w:bottom w:val="single" w:sz="12" w:space="0" w:color="auto"/>
            </w:tcBorders>
          </w:tcPr>
          <w:p w:rsidR="00C73B66" w:rsidRPr="00CD78C7" w:rsidRDefault="00C73B66" w:rsidP="00C73B66">
            <w:pPr>
              <w:pStyle w:val="BSATableBase"/>
              <w:spacing w:before="0" w:after="0" w:line="276" w:lineRule="auto"/>
              <w:rPr>
                <w:rFonts w:asciiTheme="minorHAnsi" w:hAnsiTheme="minorHAnsi" w:cstheme="minorHAnsi"/>
                <w:i w:val="0"/>
                <w:sz w:val="20"/>
              </w:rPr>
            </w:pPr>
          </w:p>
        </w:tc>
        <w:tc>
          <w:tcPr>
            <w:tcW w:w="445"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45"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45"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45"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45"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522"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592"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r>
    </w:tbl>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00816EC1">
        <w:rPr>
          <w:i/>
          <w:sz w:val="18"/>
          <w:szCs w:val="18"/>
        </w:rPr>
        <w:t xml:space="preserve"> 20</w:t>
      </w:r>
      <w:r w:rsidRPr="00A018E9">
        <w:rPr>
          <w:i/>
          <w:sz w:val="18"/>
          <w:szCs w:val="18"/>
        </w:rPr>
        <w:t>1</w:t>
      </w:r>
      <w:r>
        <w:rPr>
          <w:i/>
          <w:sz w:val="18"/>
          <w:szCs w:val="18"/>
        </w:rPr>
        <w:t xml:space="preserve">7  </w:t>
      </w:r>
    </w:p>
    <w:p w:rsidR="00C73B66" w:rsidRDefault="00C73B66" w:rsidP="00C73B66">
      <w:pPr>
        <w:pStyle w:val="BodyCopy"/>
        <w:spacing w:before="120" w:after="200" w:line="276" w:lineRule="auto"/>
      </w:pPr>
      <w:r>
        <w:t>There was some evidence of a link between self-reported health status and deprivation: those in the most deprived</w:t>
      </w:r>
      <w:r w:rsidR="00A075F8">
        <w:t xml:space="preserve"> </w:t>
      </w:r>
      <w:r>
        <w:t xml:space="preserve">quintile </w:t>
      </w:r>
      <w:r w:rsidRPr="00B460B0">
        <w:rPr>
          <w:rFonts w:cs="Arial"/>
          <w:szCs w:val="22"/>
        </w:rPr>
        <w:t>were</w:t>
      </w:r>
      <w:r>
        <w:t xml:space="preserve"> less likely to say they have good or very good health (77%) than were those in the other quintiles (78-87%).</w:t>
      </w:r>
    </w:p>
    <w:p w:rsidR="00C73B66" w:rsidRDefault="00C73B66" w:rsidP="00C73B66">
      <w:pPr>
        <w:pStyle w:val="BodyCopy"/>
        <w:spacing w:before="240" w:line="276" w:lineRule="auto"/>
      </w:pPr>
      <w:r>
        <w:t xml:space="preserve">Self-reported health was also worse among those who had an additional support need, 74% of whom reported being in good or very good health compared with 82% of those without. Similarly, 67% of those in receipt of children’s services </w:t>
      </w:r>
      <w:r w:rsidR="00980FE6" w:rsidRPr="00980FE6">
        <w:t xml:space="preserve">(i.e. looked after children, those on the child protection register, those receiving through care and after care, or those looking for prospective adopters – see appendix for more details) </w:t>
      </w:r>
      <w:r>
        <w:t>reported good or very good health compared with 81% of those not in receipt of these services. 71% of those eligible for free school meals reported good or very good health compared with 82% of those not in receipt of this service. Although we are not able to present figures for Looked After Children (LAC) here (because the numbers are too small), evidence from elsewhere suggests that health outcomes for this group tend to be worse than for the wider population but can improve when placements are secure.</w:t>
      </w:r>
      <w:r>
        <w:rPr>
          <w:rStyle w:val="EndnoteReference"/>
        </w:rPr>
        <w:endnoteReference w:id="2"/>
      </w:r>
    </w:p>
    <w:p w:rsidR="00C73B66" w:rsidRDefault="00C73B66" w:rsidP="00C73B66">
      <w:pPr>
        <w:rPr>
          <w:lang w:eastAsia="en-GB"/>
        </w:rPr>
      </w:pPr>
      <w:r>
        <w:rPr>
          <w:noProof/>
          <w:lang w:eastAsia="en-GB"/>
        </w:rPr>
        <w:lastRenderedPageBreak/>
        <w:drawing>
          <wp:inline distT="0" distB="0" distL="0" distR="0" wp14:anchorId="595DE565" wp14:editId="023626A4">
            <wp:extent cx="5173980" cy="3550920"/>
            <wp:effectExtent l="0" t="0" r="762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3B66" w:rsidRPr="00C73B66" w:rsidRDefault="00C73B66" w:rsidP="00C73B66">
      <w:pPr>
        <w:rPr>
          <w:sz w:val="18"/>
          <w:szCs w:val="18"/>
          <w:lang w:eastAsia="en-GB"/>
        </w:rPr>
      </w:pPr>
      <w:r w:rsidRPr="00C73B66">
        <w:rPr>
          <w:i/>
          <w:sz w:val="18"/>
          <w:szCs w:val="18"/>
        </w:rPr>
        <w:t>Source: RCS secondary school survey, Falkirk 2017</w:t>
      </w:r>
    </w:p>
    <w:p w:rsidR="00C73B66" w:rsidRDefault="00C73B66" w:rsidP="00C73B66">
      <w:pPr>
        <w:pStyle w:val="Heading3"/>
        <w:numPr>
          <w:ilvl w:val="3"/>
          <w:numId w:val="13"/>
        </w:numPr>
        <w:spacing w:line="276" w:lineRule="auto"/>
      </w:pPr>
      <w:bookmarkStart w:id="18" w:name="_Toc494182026"/>
      <w:r w:rsidRPr="00B2541D">
        <w:rPr>
          <w:color w:val="auto"/>
        </w:rPr>
        <w:t>H</w:t>
      </w:r>
      <w:r>
        <w:t>ealth conditions (Healthy)</w:t>
      </w:r>
      <w:bookmarkEnd w:id="18"/>
    </w:p>
    <w:p w:rsidR="00C73B66" w:rsidRDefault="00C73B66" w:rsidP="00C73B66">
      <w:pPr>
        <w:pStyle w:val="BodyCopy"/>
        <w:spacing w:before="240" w:line="276" w:lineRule="auto"/>
      </w:pPr>
      <w:r>
        <w:t xml:space="preserve">Overall, 13% indicated that they had </w:t>
      </w:r>
      <w:r w:rsidRPr="000E3629">
        <w:t>a physical or mental health condition or illness lasting (or expected to last</w:t>
      </w:r>
      <w:r>
        <w:t xml:space="preserve">) 12 months or more. </w:t>
      </w:r>
    </w:p>
    <w:p w:rsidR="00C73B66" w:rsidRDefault="00C73B66" w:rsidP="00C73B66">
      <w:pPr>
        <w:pStyle w:val="BodyCopy"/>
        <w:spacing w:before="240" w:line="276" w:lineRule="auto"/>
      </w:pPr>
      <w:r>
        <w:t xml:space="preserve">This is below the best available national comparison, from the </w:t>
      </w:r>
      <w:r w:rsidRPr="00E91D33">
        <w:t>Scottish Health Survey</w:t>
      </w:r>
      <w:r>
        <w:t xml:space="preserve"> for 2015, which indicated that across the whole of Scotland, 18% of children aged 12-15 reported having a long-term health condition.</w:t>
      </w:r>
    </w:p>
    <w:p w:rsidR="00C73B66" w:rsidRDefault="00C73B66" w:rsidP="00C73B66">
      <w:pPr>
        <w:pStyle w:val="BodyCopy"/>
        <w:spacing w:before="240" w:line="276" w:lineRule="auto"/>
      </w:pPr>
      <w:r>
        <w:t>As seen in relation to self-reported general health, the picture is worse among older pupils</w:t>
      </w:r>
      <w:r w:rsidR="00CF5B83">
        <w:t>. T</w:t>
      </w:r>
      <w:r>
        <w:t xml:space="preserve">he proportion reporting </w:t>
      </w:r>
      <w:r w:rsidR="00CF5B83">
        <w:t>a long-term condition</w:t>
      </w:r>
      <w:r>
        <w:t xml:space="preserve"> increased from 10% of those in S1 to 16% in S4. However, differences by gender and area deprivation were not statistically significant. </w:t>
      </w:r>
    </w:p>
    <w:p w:rsidR="00C73B66" w:rsidRDefault="00C73B66" w:rsidP="00C73B66">
      <w:pPr>
        <w:pStyle w:val="BodyCopy"/>
        <w:spacing w:before="240" w:line="276" w:lineRule="auto"/>
      </w:pPr>
      <w:r>
        <w:t xml:space="preserve">Those who reported living in the ‘other’ category of household type (for example, those living with other relatives, in foster care, or in a care home) were significantly more likely than others to have a long-term condition (20% compared with 11-18% of those living </w:t>
      </w:r>
      <w:r w:rsidR="00C61983">
        <w:t>with at least one parent or in</w:t>
      </w:r>
      <w:r>
        <w:t xml:space="preserve"> </w:t>
      </w:r>
      <w:r w:rsidR="00C61983">
        <w:t xml:space="preserve">a </w:t>
      </w:r>
      <w:r>
        <w:t>step</w:t>
      </w:r>
      <w:r w:rsidR="00C61983">
        <w:t xml:space="preserve"> </w:t>
      </w:r>
      <w:r>
        <w:t>family). Those with no siblings at home were also more likely to have a long-term condition (16% compared with 12% of those with one or more sibling at home).</w:t>
      </w:r>
      <w:r w:rsidR="00CF5B83">
        <w:t xml:space="preserve"> </w:t>
      </w:r>
      <w:r>
        <w:t xml:space="preserve">Those eligible for free schools meals were also more likely to have a long-term condition (17% compared with 12%). </w:t>
      </w:r>
    </w:p>
    <w:p w:rsidR="00C73B66" w:rsidRDefault="00C73B66" w:rsidP="00C73B66">
      <w:pPr>
        <w:pStyle w:val="BodyCopy"/>
        <w:spacing w:before="240" w:line="276" w:lineRule="auto"/>
      </w:pPr>
    </w:p>
    <w:tbl>
      <w:tblPr>
        <w:tblW w:w="4718" w:type="pct"/>
        <w:tblInd w:w="28" w:type="dxa"/>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3509"/>
        <w:gridCol w:w="974"/>
        <w:gridCol w:w="975"/>
        <w:gridCol w:w="975"/>
        <w:gridCol w:w="977"/>
      </w:tblGrid>
      <w:tr w:rsidR="00C73B66" w:rsidRPr="006736E7" w:rsidTr="00076EDD">
        <w:trPr>
          <w:trHeight w:val="340"/>
        </w:trPr>
        <w:tc>
          <w:tcPr>
            <w:tcW w:w="5000" w:type="pct"/>
            <w:gridSpan w:val="5"/>
            <w:tcBorders>
              <w:top w:val="single" w:sz="12" w:space="0" w:color="auto"/>
              <w:bottom w:val="nil"/>
            </w:tcBorders>
          </w:tcPr>
          <w:p w:rsidR="00C73B66" w:rsidRPr="00E91534" w:rsidRDefault="00C73B66" w:rsidP="00C73B66">
            <w:pPr>
              <w:pStyle w:val="BSATableNumber"/>
              <w:spacing w:line="276" w:lineRule="auto"/>
              <w:jc w:val="left"/>
              <w:rPr>
                <w:rFonts w:asciiTheme="minorHAnsi" w:hAnsiTheme="minorHAnsi" w:cstheme="minorHAnsi"/>
                <w:i/>
                <w:sz w:val="20"/>
              </w:rPr>
            </w:pPr>
            <w:r w:rsidRPr="00E91534">
              <w:rPr>
                <w:rFonts w:asciiTheme="minorHAnsi" w:hAnsiTheme="minorHAnsi" w:cstheme="minorHAnsi"/>
                <w:b/>
                <w:sz w:val="20"/>
              </w:rPr>
              <w:lastRenderedPageBreak/>
              <w:t>Table 2.</w:t>
            </w:r>
            <w:r w:rsidR="007155ED">
              <w:rPr>
                <w:rFonts w:asciiTheme="minorHAnsi" w:hAnsiTheme="minorHAnsi" w:cstheme="minorHAnsi"/>
                <w:b/>
                <w:sz w:val="20"/>
              </w:rPr>
              <w:t>2</w:t>
            </w:r>
            <w:r w:rsidRPr="00E91534">
              <w:rPr>
                <w:rFonts w:asciiTheme="minorHAnsi" w:hAnsiTheme="minorHAnsi" w:cstheme="minorHAnsi"/>
                <w:b/>
                <w:sz w:val="20"/>
              </w:rPr>
              <w:t>.</w:t>
            </w:r>
            <w:r>
              <w:rPr>
                <w:rFonts w:asciiTheme="minorHAnsi" w:hAnsiTheme="minorHAnsi" w:cstheme="minorHAnsi"/>
                <w:b/>
                <w:sz w:val="20"/>
              </w:rPr>
              <w:t>1c</w:t>
            </w:r>
            <w:r w:rsidRPr="00E91534">
              <w:rPr>
                <w:rFonts w:asciiTheme="minorHAnsi" w:hAnsiTheme="minorHAnsi" w:cstheme="minorHAnsi"/>
                <w:b/>
                <w:sz w:val="20"/>
              </w:rPr>
              <w:t xml:space="preserve"> Long-term condition</w:t>
            </w:r>
          </w:p>
        </w:tc>
      </w:tr>
      <w:tr w:rsidR="00C73B66" w:rsidRPr="006736E7" w:rsidTr="00AE3DD5">
        <w:trPr>
          <w:trHeight w:val="794"/>
        </w:trPr>
        <w:tc>
          <w:tcPr>
            <w:tcW w:w="2368" w:type="pct"/>
            <w:tcBorders>
              <w:top w:val="nil"/>
              <w:bottom w:val="single" w:sz="6" w:space="0" w:color="auto"/>
            </w:tcBorders>
            <w:vAlign w:val="center"/>
          </w:tcPr>
          <w:p w:rsidR="00C73B66" w:rsidRPr="00E91534" w:rsidRDefault="00C73B66" w:rsidP="00AE3DD5">
            <w:pPr>
              <w:pStyle w:val="BSATableText"/>
              <w:spacing w:after="0" w:line="240" w:lineRule="auto"/>
              <w:ind w:left="0" w:firstLine="0"/>
              <w:jc w:val="left"/>
              <w:rPr>
                <w:rFonts w:asciiTheme="minorHAnsi" w:hAnsiTheme="minorHAnsi" w:cstheme="minorHAnsi"/>
                <w:sz w:val="20"/>
              </w:rPr>
            </w:pPr>
            <w:r w:rsidRPr="00E91534">
              <w:rPr>
                <w:rFonts w:asciiTheme="minorHAnsi" w:hAnsiTheme="minorHAnsi" w:cstheme="minorHAnsi"/>
                <w:sz w:val="20"/>
              </w:rPr>
              <w:t>Do you have a physical or mental health condition or illness lasting or expected to last 12 months or more?</w:t>
            </w:r>
          </w:p>
        </w:tc>
        <w:tc>
          <w:tcPr>
            <w:tcW w:w="657" w:type="pct"/>
            <w:tcBorders>
              <w:top w:val="nil"/>
              <w:bottom w:val="single" w:sz="6" w:space="0" w:color="auto"/>
            </w:tcBorders>
            <w:vAlign w:val="center"/>
          </w:tcPr>
          <w:p w:rsidR="00C73B66" w:rsidRPr="00E91534" w:rsidRDefault="00C73B66" w:rsidP="00C61983">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Yes</w:t>
            </w:r>
          </w:p>
        </w:tc>
        <w:tc>
          <w:tcPr>
            <w:tcW w:w="658" w:type="pct"/>
            <w:tcBorders>
              <w:top w:val="nil"/>
              <w:bottom w:val="single" w:sz="6" w:space="0" w:color="auto"/>
            </w:tcBorders>
            <w:vAlign w:val="center"/>
          </w:tcPr>
          <w:p w:rsidR="00C73B66" w:rsidRPr="00E91534" w:rsidRDefault="00C73B66" w:rsidP="00C61983">
            <w:pPr>
              <w:pStyle w:val="BSATableNumber"/>
              <w:spacing w:line="276" w:lineRule="auto"/>
              <w:jc w:val="center"/>
              <w:rPr>
                <w:rFonts w:asciiTheme="minorHAnsi" w:hAnsiTheme="minorHAnsi" w:cstheme="minorHAnsi"/>
                <w:sz w:val="20"/>
              </w:rPr>
            </w:pPr>
            <w:r w:rsidRPr="00E91534">
              <w:rPr>
                <w:rFonts w:asciiTheme="minorHAnsi" w:hAnsiTheme="minorHAnsi" w:cstheme="minorHAnsi"/>
                <w:sz w:val="20"/>
              </w:rPr>
              <w:t>No</w:t>
            </w:r>
          </w:p>
        </w:tc>
        <w:tc>
          <w:tcPr>
            <w:tcW w:w="658" w:type="pct"/>
            <w:tcBorders>
              <w:top w:val="nil"/>
              <w:bottom w:val="single" w:sz="12" w:space="0" w:color="auto"/>
            </w:tcBorders>
            <w:vAlign w:val="center"/>
          </w:tcPr>
          <w:p w:rsidR="00C73B66" w:rsidRPr="00E91534" w:rsidRDefault="00C73B66" w:rsidP="00C61983">
            <w:pPr>
              <w:pStyle w:val="BSATableNumber"/>
              <w:spacing w:line="276" w:lineRule="auto"/>
              <w:jc w:val="center"/>
              <w:rPr>
                <w:rFonts w:asciiTheme="minorHAnsi" w:hAnsiTheme="minorHAnsi" w:cstheme="minorHAnsi"/>
                <w:i/>
                <w:sz w:val="16"/>
                <w:szCs w:val="16"/>
              </w:rPr>
            </w:pPr>
            <w:r w:rsidRPr="00E91534">
              <w:rPr>
                <w:rFonts w:asciiTheme="minorHAnsi" w:hAnsiTheme="minorHAnsi" w:cstheme="minorHAnsi"/>
                <w:i/>
                <w:sz w:val="16"/>
                <w:szCs w:val="16"/>
              </w:rPr>
              <w:t>Weighted base</w:t>
            </w:r>
            <w:r>
              <w:rPr>
                <w:rFonts w:asciiTheme="minorHAnsi" w:hAnsiTheme="minorHAnsi" w:cstheme="minorHAnsi"/>
                <w:i/>
                <w:sz w:val="16"/>
                <w:szCs w:val="16"/>
              </w:rPr>
              <w:t>s</w:t>
            </w:r>
          </w:p>
        </w:tc>
        <w:tc>
          <w:tcPr>
            <w:tcW w:w="659" w:type="pct"/>
            <w:tcBorders>
              <w:top w:val="nil"/>
              <w:bottom w:val="single" w:sz="12" w:space="0" w:color="auto"/>
            </w:tcBorders>
            <w:vAlign w:val="center"/>
          </w:tcPr>
          <w:p w:rsidR="00C73B66" w:rsidRPr="00E91534" w:rsidRDefault="00C73B66" w:rsidP="00C61983">
            <w:pPr>
              <w:pStyle w:val="BSATableNumber"/>
              <w:spacing w:line="276" w:lineRule="auto"/>
              <w:jc w:val="center"/>
              <w:rPr>
                <w:rFonts w:asciiTheme="minorHAnsi" w:hAnsiTheme="minorHAnsi" w:cstheme="minorHAnsi"/>
                <w:i/>
                <w:sz w:val="16"/>
                <w:szCs w:val="16"/>
              </w:rPr>
            </w:pPr>
            <w:r w:rsidRPr="00E91534">
              <w:rPr>
                <w:rFonts w:asciiTheme="minorHAnsi" w:hAnsiTheme="minorHAnsi" w:cstheme="minorHAnsi"/>
                <w:i/>
                <w:sz w:val="16"/>
                <w:szCs w:val="16"/>
              </w:rPr>
              <w:t>Unweighted base</w:t>
            </w:r>
            <w:r>
              <w:rPr>
                <w:rFonts w:asciiTheme="minorHAnsi" w:hAnsiTheme="minorHAnsi" w:cstheme="minorHAnsi"/>
                <w:i/>
                <w:sz w:val="16"/>
                <w:szCs w:val="16"/>
              </w:rPr>
              <w:t>s</w:t>
            </w:r>
          </w:p>
        </w:tc>
      </w:tr>
      <w:tr w:rsidR="00C73B66" w:rsidRPr="006736E7" w:rsidTr="00AE3DD5">
        <w:trPr>
          <w:trHeight w:val="283"/>
        </w:trPr>
        <w:tc>
          <w:tcPr>
            <w:tcW w:w="5000" w:type="pct"/>
            <w:gridSpan w:val="5"/>
            <w:tcBorders>
              <w:top w:val="single" w:sz="12" w:space="0" w:color="auto"/>
              <w:bottom w:val="single" w:sz="6" w:space="0" w:color="auto"/>
            </w:tcBorders>
            <w:vAlign w:val="bottom"/>
          </w:tcPr>
          <w:p w:rsidR="00C73B66" w:rsidRPr="00E91534" w:rsidRDefault="00C73B66" w:rsidP="00AE3DD5">
            <w:pPr>
              <w:pStyle w:val="BSATableNumber"/>
              <w:jc w:val="left"/>
              <w:rPr>
                <w:rFonts w:asciiTheme="minorHAnsi" w:hAnsiTheme="minorHAnsi" w:cstheme="minorHAnsi"/>
                <w:i/>
                <w:iCs/>
                <w:color w:val="000000"/>
                <w:sz w:val="20"/>
              </w:rPr>
            </w:pPr>
            <w:r>
              <w:rPr>
                <w:rFonts w:asciiTheme="minorHAnsi" w:hAnsiTheme="minorHAnsi" w:cstheme="minorHAnsi"/>
                <w:i/>
                <w:iCs/>
                <w:color w:val="000000"/>
                <w:sz w:val="20"/>
              </w:rPr>
              <w:t>Row percentages</w:t>
            </w:r>
          </w:p>
        </w:tc>
      </w:tr>
      <w:tr w:rsidR="00C73B66" w:rsidRPr="007C3905" w:rsidTr="007C3905">
        <w:trPr>
          <w:trHeight w:val="300"/>
        </w:trPr>
        <w:tc>
          <w:tcPr>
            <w:tcW w:w="2368" w:type="pct"/>
            <w:tcBorders>
              <w:top w:val="single" w:sz="6" w:space="0" w:color="auto"/>
              <w:bottom w:val="nil"/>
            </w:tcBorders>
            <w:vAlign w:val="center"/>
          </w:tcPr>
          <w:p w:rsidR="00C73B66" w:rsidRPr="007C3905" w:rsidRDefault="00C73B66" w:rsidP="00C61983">
            <w:pPr>
              <w:keepNext/>
              <w:spacing w:after="0"/>
              <w:rPr>
                <w:rFonts w:cstheme="minorHAnsi"/>
                <w:sz w:val="20"/>
                <w:szCs w:val="20"/>
              </w:rPr>
            </w:pPr>
            <w:r w:rsidRPr="007C3905">
              <w:rPr>
                <w:rFonts w:cstheme="minorHAnsi"/>
                <w:color w:val="000000"/>
                <w:sz w:val="20"/>
                <w:szCs w:val="20"/>
              </w:rPr>
              <w:t>All</w:t>
            </w:r>
          </w:p>
        </w:tc>
        <w:tc>
          <w:tcPr>
            <w:tcW w:w="657" w:type="pct"/>
            <w:tcBorders>
              <w:top w:val="single" w:sz="6" w:space="0" w:color="auto"/>
              <w:bottom w:val="nil"/>
            </w:tcBorders>
            <w:vAlign w:val="center"/>
          </w:tcPr>
          <w:p w:rsidR="00C73B66" w:rsidRPr="007C3905" w:rsidRDefault="00C73B66" w:rsidP="00C61983">
            <w:pPr>
              <w:pStyle w:val="BSATableNumber"/>
              <w:spacing w:line="276" w:lineRule="auto"/>
              <w:rPr>
                <w:rFonts w:asciiTheme="minorHAnsi" w:hAnsiTheme="minorHAnsi" w:cstheme="minorHAnsi"/>
                <w:sz w:val="20"/>
              </w:rPr>
            </w:pPr>
            <w:r w:rsidRPr="007C3905">
              <w:rPr>
                <w:rFonts w:asciiTheme="minorHAnsi" w:hAnsiTheme="minorHAnsi" w:cstheme="minorHAnsi"/>
                <w:color w:val="000000"/>
                <w:sz w:val="20"/>
              </w:rPr>
              <w:t>13</w:t>
            </w:r>
          </w:p>
        </w:tc>
        <w:tc>
          <w:tcPr>
            <w:tcW w:w="658" w:type="pct"/>
            <w:tcBorders>
              <w:top w:val="single" w:sz="6" w:space="0" w:color="auto"/>
              <w:bottom w:val="nil"/>
            </w:tcBorders>
            <w:vAlign w:val="center"/>
          </w:tcPr>
          <w:p w:rsidR="00C73B66" w:rsidRPr="007C3905" w:rsidRDefault="00C73B66" w:rsidP="00C61983">
            <w:pPr>
              <w:pStyle w:val="BSATableNumber"/>
              <w:spacing w:line="276" w:lineRule="auto"/>
              <w:rPr>
                <w:rFonts w:asciiTheme="minorHAnsi" w:hAnsiTheme="minorHAnsi" w:cstheme="minorHAnsi"/>
                <w:sz w:val="20"/>
              </w:rPr>
            </w:pPr>
            <w:r w:rsidRPr="007C3905">
              <w:rPr>
                <w:rFonts w:asciiTheme="minorHAnsi" w:hAnsiTheme="minorHAnsi" w:cstheme="minorHAnsi"/>
                <w:color w:val="000000"/>
                <w:sz w:val="20"/>
              </w:rPr>
              <w:t>87</w:t>
            </w:r>
          </w:p>
        </w:tc>
        <w:tc>
          <w:tcPr>
            <w:tcW w:w="658" w:type="pct"/>
            <w:tcBorders>
              <w:top w:val="single" w:sz="6" w:space="0" w:color="auto"/>
              <w:bottom w:val="nil"/>
            </w:tcBorders>
            <w:vAlign w:val="center"/>
          </w:tcPr>
          <w:p w:rsidR="00C73B66" w:rsidRPr="007C3905" w:rsidRDefault="00C73B66" w:rsidP="00C61983">
            <w:pPr>
              <w:pStyle w:val="BSATableNumber"/>
              <w:spacing w:line="276" w:lineRule="auto"/>
              <w:rPr>
                <w:rFonts w:asciiTheme="minorHAnsi" w:hAnsiTheme="minorHAnsi" w:cstheme="minorHAnsi"/>
                <w:i/>
                <w:sz w:val="20"/>
              </w:rPr>
            </w:pPr>
            <w:r w:rsidRPr="007C3905">
              <w:rPr>
                <w:rFonts w:asciiTheme="minorHAnsi" w:hAnsiTheme="minorHAnsi" w:cstheme="minorHAnsi"/>
                <w:i/>
                <w:iCs/>
                <w:color w:val="000000"/>
                <w:sz w:val="20"/>
              </w:rPr>
              <w:t>4128</w:t>
            </w:r>
          </w:p>
        </w:tc>
        <w:tc>
          <w:tcPr>
            <w:tcW w:w="659" w:type="pct"/>
            <w:tcBorders>
              <w:top w:val="single" w:sz="6" w:space="0" w:color="auto"/>
              <w:bottom w:val="nil"/>
            </w:tcBorders>
            <w:vAlign w:val="center"/>
          </w:tcPr>
          <w:p w:rsidR="00C73B66" w:rsidRPr="007C3905" w:rsidRDefault="00C73B66" w:rsidP="00C61983">
            <w:pPr>
              <w:pStyle w:val="BSATableNumber"/>
              <w:spacing w:line="276" w:lineRule="auto"/>
              <w:rPr>
                <w:rFonts w:asciiTheme="minorHAnsi" w:hAnsiTheme="minorHAnsi" w:cstheme="minorHAnsi"/>
                <w:i/>
                <w:sz w:val="20"/>
              </w:rPr>
            </w:pPr>
            <w:r w:rsidRPr="007C3905">
              <w:rPr>
                <w:rFonts w:asciiTheme="minorHAnsi" w:hAnsiTheme="minorHAnsi" w:cstheme="minorHAnsi"/>
                <w:i/>
                <w:iCs/>
                <w:color w:val="000000"/>
                <w:sz w:val="20"/>
              </w:rPr>
              <w:t>4129</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sz w:val="20"/>
              </w:rPr>
            </w:pPr>
          </w:p>
        </w:tc>
        <w:tc>
          <w:tcPr>
            <w:tcW w:w="659" w:type="pct"/>
            <w:tcBorders>
              <w:top w:val="nil"/>
            </w:tcBorders>
            <w:vAlign w:val="center"/>
          </w:tcPr>
          <w:p w:rsidR="00C73B66" w:rsidRPr="007C3905" w:rsidRDefault="00C73B66" w:rsidP="00C61983">
            <w:pPr>
              <w:pStyle w:val="BSATableNumber"/>
              <w:spacing w:line="276" w:lineRule="auto"/>
              <w:rPr>
                <w:rFonts w:asciiTheme="minorHAnsi" w:hAnsiTheme="minorHAnsi" w:cstheme="minorHAnsi"/>
                <w:i/>
                <w:sz w:val="20"/>
              </w:rPr>
            </w:pP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cstheme="minorHAnsi"/>
                <w:color w:val="000000"/>
                <w:sz w:val="20"/>
                <w:szCs w:val="20"/>
              </w:rPr>
              <w:t>S1</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10</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90</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1058</w:t>
            </w:r>
          </w:p>
        </w:tc>
        <w:tc>
          <w:tcPr>
            <w:tcW w:w="659" w:type="pct"/>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1122</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cstheme="minorHAnsi"/>
                <w:color w:val="000000"/>
                <w:sz w:val="20"/>
                <w:szCs w:val="20"/>
              </w:rPr>
              <w:t>S2</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12</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88</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1052</w:t>
            </w:r>
          </w:p>
        </w:tc>
        <w:tc>
          <w:tcPr>
            <w:tcW w:w="659" w:type="pct"/>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1088</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cstheme="minorHAnsi"/>
                <w:color w:val="000000"/>
                <w:sz w:val="20"/>
                <w:szCs w:val="20"/>
              </w:rPr>
              <w:t>S3</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13</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87</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1007</w:t>
            </w:r>
          </w:p>
        </w:tc>
        <w:tc>
          <w:tcPr>
            <w:tcW w:w="659" w:type="pct"/>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935</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cstheme="minorHAnsi"/>
                <w:color w:val="000000"/>
                <w:sz w:val="20"/>
                <w:szCs w:val="20"/>
              </w:rPr>
              <w:t>S4</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16</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84</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974</w:t>
            </w:r>
          </w:p>
        </w:tc>
        <w:tc>
          <w:tcPr>
            <w:tcW w:w="659" w:type="pct"/>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946</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p>
        </w:tc>
        <w:tc>
          <w:tcPr>
            <w:tcW w:w="659" w:type="pct"/>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eastAsia="Times New Roman" w:cstheme="minorHAnsi"/>
                <w:color w:val="000000"/>
                <w:sz w:val="20"/>
                <w:szCs w:val="20"/>
                <w:lang w:eastAsia="en-GB"/>
              </w:rPr>
              <w:t>Two parent household</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11</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89</w:t>
            </w:r>
          </w:p>
        </w:tc>
        <w:tc>
          <w:tcPr>
            <w:tcW w:w="658" w:type="pct"/>
            <w:tcBorders>
              <w:top w:val="nil"/>
              <w:bottom w:val="nil"/>
            </w:tcBorders>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2737</w:t>
            </w:r>
          </w:p>
        </w:tc>
        <w:tc>
          <w:tcPr>
            <w:tcW w:w="659" w:type="pct"/>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2740</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eastAsia="Times New Roman" w:cstheme="minorHAnsi"/>
                <w:color w:val="000000"/>
                <w:sz w:val="20"/>
                <w:szCs w:val="20"/>
                <w:lang w:eastAsia="en-GB"/>
              </w:rPr>
              <w:t>One parent household</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16</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84</w:t>
            </w:r>
          </w:p>
        </w:tc>
        <w:tc>
          <w:tcPr>
            <w:tcW w:w="658" w:type="pct"/>
            <w:tcBorders>
              <w:top w:val="nil"/>
              <w:bottom w:val="nil"/>
            </w:tcBorders>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751</w:t>
            </w:r>
          </w:p>
        </w:tc>
        <w:tc>
          <w:tcPr>
            <w:tcW w:w="659" w:type="pct"/>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750</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eastAsia="Times New Roman" w:cstheme="minorHAnsi"/>
                <w:color w:val="000000"/>
                <w:sz w:val="20"/>
                <w:szCs w:val="20"/>
                <w:lang w:eastAsia="en-GB"/>
              </w:rPr>
              <w:t>Step-family</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18</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82</w:t>
            </w:r>
          </w:p>
        </w:tc>
        <w:tc>
          <w:tcPr>
            <w:tcW w:w="658" w:type="pct"/>
            <w:tcBorders>
              <w:top w:val="nil"/>
              <w:bottom w:val="nil"/>
            </w:tcBorders>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457</w:t>
            </w:r>
          </w:p>
        </w:tc>
        <w:tc>
          <w:tcPr>
            <w:tcW w:w="659" w:type="pct"/>
            <w:vAlign w:val="center"/>
          </w:tcPr>
          <w:p w:rsidR="00C73B66" w:rsidRPr="007C3905" w:rsidRDefault="00C61983"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457</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cstheme="minorHAnsi"/>
                <w:sz w:val="20"/>
                <w:szCs w:val="20"/>
              </w:rPr>
            </w:pPr>
            <w:r w:rsidRPr="007C3905">
              <w:rPr>
                <w:rFonts w:eastAsia="Times New Roman" w:cstheme="minorHAnsi"/>
                <w:color w:val="000000"/>
                <w:sz w:val="20"/>
                <w:szCs w:val="20"/>
                <w:lang w:eastAsia="en-GB"/>
              </w:rPr>
              <w:t>Other household type</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20</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80</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92</w:t>
            </w:r>
          </w:p>
        </w:tc>
        <w:tc>
          <w:tcPr>
            <w:tcW w:w="659" w:type="pct"/>
            <w:tcBorders>
              <w:bottom w:val="nil"/>
            </w:tcBorders>
            <w:vAlign w:val="center"/>
          </w:tcPr>
          <w:p w:rsidR="00C73B66" w:rsidRPr="007C3905" w:rsidRDefault="00C73B66" w:rsidP="00C61983">
            <w:pPr>
              <w:pStyle w:val="BSATableNumber"/>
              <w:spacing w:line="276" w:lineRule="auto"/>
              <w:rPr>
                <w:rFonts w:asciiTheme="minorHAnsi" w:hAnsiTheme="minorHAnsi" w:cstheme="minorHAnsi"/>
                <w:i/>
                <w:color w:val="000000"/>
                <w:sz w:val="20"/>
              </w:rPr>
            </w:pPr>
            <w:r w:rsidRPr="007C3905">
              <w:rPr>
                <w:rFonts w:asciiTheme="minorHAnsi" w:hAnsiTheme="minorHAnsi" w:cstheme="minorHAnsi"/>
                <w:i/>
                <w:color w:val="000000"/>
                <w:sz w:val="20"/>
              </w:rPr>
              <w:t>90</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eastAsia="Times New Roman" w:cstheme="minorHAnsi"/>
                <w:color w:val="000000"/>
                <w:sz w:val="20"/>
                <w:szCs w:val="20"/>
                <w:lang w:eastAsia="en-GB"/>
              </w:rPr>
            </w:pP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iCs/>
                <w:color w:val="000000"/>
                <w:sz w:val="20"/>
              </w:rPr>
            </w:pPr>
          </w:p>
        </w:tc>
        <w:tc>
          <w:tcPr>
            <w:tcW w:w="659" w:type="pct"/>
            <w:tcBorders>
              <w:bottom w:val="nil"/>
            </w:tcBorders>
            <w:vAlign w:val="center"/>
          </w:tcPr>
          <w:p w:rsidR="00C73B66" w:rsidRPr="007C3905" w:rsidRDefault="00C73B66" w:rsidP="00C61983">
            <w:pPr>
              <w:pStyle w:val="BSATableNumber"/>
              <w:spacing w:line="276" w:lineRule="auto"/>
              <w:rPr>
                <w:rFonts w:asciiTheme="minorHAnsi" w:hAnsiTheme="minorHAnsi" w:cstheme="minorHAnsi"/>
                <w:i/>
                <w:iCs/>
                <w:color w:val="000000"/>
                <w:sz w:val="20"/>
              </w:rPr>
            </w:pP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keepNext/>
              <w:spacing w:after="0"/>
              <w:rPr>
                <w:rFonts w:eastAsia="Times New Roman" w:cstheme="minorHAnsi"/>
                <w:color w:val="000000"/>
                <w:sz w:val="20"/>
                <w:szCs w:val="20"/>
                <w:lang w:eastAsia="en-GB"/>
              </w:rPr>
            </w:pPr>
            <w:r w:rsidRPr="007C3905">
              <w:rPr>
                <w:rFonts w:eastAsia="Times New Roman" w:cstheme="minorHAnsi"/>
                <w:color w:val="000000"/>
                <w:sz w:val="20"/>
                <w:szCs w:val="20"/>
                <w:lang w:eastAsia="en-GB"/>
              </w:rPr>
              <w:t>No siblings at home</w:t>
            </w:r>
          </w:p>
        </w:tc>
        <w:tc>
          <w:tcPr>
            <w:tcW w:w="657"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16</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color w:val="000000"/>
                <w:sz w:val="20"/>
              </w:rPr>
            </w:pPr>
            <w:r w:rsidRPr="007C3905">
              <w:rPr>
                <w:rFonts w:asciiTheme="minorHAnsi" w:hAnsiTheme="minorHAnsi" w:cstheme="minorHAnsi"/>
                <w:color w:val="000000"/>
                <w:sz w:val="20"/>
              </w:rPr>
              <w:t>84</w:t>
            </w:r>
          </w:p>
        </w:tc>
        <w:tc>
          <w:tcPr>
            <w:tcW w:w="658" w:type="pct"/>
            <w:tcBorders>
              <w:top w:val="nil"/>
              <w:bottom w:val="nil"/>
            </w:tcBorders>
            <w:vAlign w:val="center"/>
          </w:tcPr>
          <w:p w:rsidR="00C73B66" w:rsidRPr="007C3905" w:rsidRDefault="00C73B66" w:rsidP="00C61983">
            <w:pPr>
              <w:pStyle w:val="BSATableNumber"/>
              <w:spacing w:line="276" w:lineRule="auto"/>
              <w:rPr>
                <w:rFonts w:asciiTheme="minorHAnsi" w:hAnsiTheme="minorHAnsi" w:cstheme="minorHAnsi"/>
                <w:i/>
                <w:iCs/>
                <w:color w:val="000000"/>
                <w:sz w:val="20"/>
              </w:rPr>
            </w:pPr>
            <w:r w:rsidRPr="007C3905">
              <w:rPr>
                <w:rFonts w:asciiTheme="minorHAnsi" w:hAnsiTheme="minorHAnsi" w:cstheme="minorHAnsi"/>
                <w:i/>
                <w:iCs/>
                <w:color w:val="000000"/>
                <w:sz w:val="20"/>
              </w:rPr>
              <w:t>896</w:t>
            </w:r>
          </w:p>
        </w:tc>
        <w:tc>
          <w:tcPr>
            <w:tcW w:w="659" w:type="pct"/>
            <w:tcBorders>
              <w:bottom w:val="nil"/>
            </w:tcBorders>
            <w:vAlign w:val="center"/>
          </w:tcPr>
          <w:p w:rsidR="00C73B66" w:rsidRPr="007C3905" w:rsidRDefault="00C73B66" w:rsidP="00C61983">
            <w:pPr>
              <w:pStyle w:val="BSATableNumber"/>
              <w:spacing w:line="276" w:lineRule="auto"/>
              <w:rPr>
                <w:rFonts w:asciiTheme="minorHAnsi" w:hAnsiTheme="minorHAnsi" w:cstheme="minorHAnsi"/>
                <w:i/>
                <w:iCs/>
                <w:color w:val="000000"/>
                <w:sz w:val="20"/>
              </w:rPr>
            </w:pPr>
            <w:r w:rsidRPr="007C3905">
              <w:rPr>
                <w:rFonts w:asciiTheme="minorHAnsi" w:hAnsiTheme="minorHAnsi" w:cstheme="minorHAnsi"/>
                <w:i/>
                <w:iCs/>
                <w:color w:val="000000"/>
                <w:sz w:val="20"/>
              </w:rPr>
              <w:t>894</w:t>
            </w:r>
          </w:p>
        </w:tc>
      </w:tr>
      <w:tr w:rsidR="00C73B66" w:rsidRPr="007C3905" w:rsidTr="007C3905">
        <w:trPr>
          <w:trHeight w:val="300"/>
        </w:trPr>
        <w:tc>
          <w:tcPr>
            <w:tcW w:w="2368" w:type="pct"/>
            <w:tcBorders>
              <w:top w:val="nil"/>
              <w:bottom w:val="nil"/>
            </w:tcBorders>
            <w:vAlign w:val="center"/>
          </w:tcPr>
          <w:p w:rsidR="00C73B66" w:rsidRPr="007C3905" w:rsidRDefault="00C73B66" w:rsidP="00C61983">
            <w:pPr>
              <w:pStyle w:val="BSATableBase"/>
              <w:spacing w:before="0" w:after="0" w:line="276" w:lineRule="auto"/>
              <w:rPr>
                <w:rFonts w:asciiTheme="minorHAnsi" w:hAnsiTheme="minorHAnsi" w:cstheme="minorHAnsi"/>
                <w:i w:val="0"/>
                <w:sz w:val="20"/>
              </w:rPr>
            </w:pPr>
            <w:r w:rsidRPr="007C3905">
              <w:rPr>
                <w:rFonts w:asciiTheme="minorHAnsi" w:hAnsiTheme="minorHAnsi" w:cstheme="minorHAnsi"/>
                <w:i w:val="0"/>
                <w:sz w:val="20"/>
              </w:rPr>
              <w:t>One or more sibling at home</w:t>
            </w:r>
          </w:p>
        </w:tc>
        <w:tc>
          <w:tcPr>
            <w:tcW w:w="657" w:type="pct"/>
            <w:tcBorders>
              <w:top w:val="nil"/>
              <w:bottom w:val="nil"/>
            </w:tcBorders>
            <w:vAlign w:val="center"/>
          </w:tcPr>
          <w:p w:rsidR="00C73B66" w:rsidRPr="007C3905" w:rsidRDefault="00C73B66" w:rsidP="00C61983">
            <w:pPr>
              <w:pStyle w:val="BSATableBaseNumber"/>
              <w:spacing w:before="0" w:after="0" w:line="276" w:lineRule="auto"/>
              <w:rPr>
                <w:rFonts w:asciiTheme="minorHAnsi" w:hAnsiTheme="minorHAnsi" w:cstheme="minorHAnsi"/>
                <w:i w:val="0"/>
                <w:sz w:val="20"/>
              </w:rPr>
            </w:pPr>
            <w:r w:rsidRPr="007C3905">
              <w:rPr>
                <w:rFonts w:asciiTheme="minorHAnsi" w:hAnsiTheme="minorHAnsi" w:cstheme="minorHAnsi"/>
                <w:i w:val="0"/>
                <w:sz w:val="20"/>
              </w:rPr>
              <w:t>12</w:t>
            </w:r>
          </w:p>
        </w:tc>
        <w:tc>
          <w:tcPr>
            <w:tcW w:w="658" w:type="pct"/>
            <w:tcBorders>
              <w:top w:val="nil"/>
              <w:bottom w:val="nil"/>
            </w:tcBorders>
            <w:vAlign w:val="center"/>
          </w:tcPr>
          <w:p w:rsidR="00C73B66" w:rsidRPr="007C3905" w:rsidRDefault="00C73B66" w:rsidP="00C61983">
            <w:pPr>
              <w:pStyle w:val="BSATableBaseNumber"/>
              <w:spacing w:before="0" w:after="0" w:line="276" w:lineRule="auto"/>
              <w:rPr>
                <w:rFonts w:asciiTheme="minorHAnsi" w:hAnsiTheme="minorHAnsi" w:cstheme="minorHAnsi"/>
                <w:i w:val="0"/>
                <w:sz w:val="20"/>
              </w:rPr>
            </w:pPr>
            <w:r w:rsidRPr="007C3905">
              <w:rPr>
                <w:rFonts w:asciiTheme="minorHAnsi" w:hAnsiTheme="minorHAnsi" w:cstheme="minorHAnsi"/>
                <w:i w:val="0"/>
                <w:sz w:val="20"/>
              </w:rPr>
              <w:t>88</w:t>
            </w:r>
          </w:p>
        </w:tc>
        <w:tc>
          <w:tcPr>
            <w:tcW w:w="658" w:type="pct"/>
            <w:tcBorders>
              <w:top w:val="nil"/>
              <w:bottom w:val="nil"/>
            </w:tcBorders>
            <w:vAlign w:val="center"/>
          </w:tcPr>
          <w:p w:rsidR="00C73B66" w:rsidRPr="007C3905" w:rsidRDefault="00C73B66" w:rsidP="00C61983">
            <w:pPr>
              <w:pStyle w:val="BSATableBaseNumber"/>
              <w:spacing w:before="0" w:after="0" w:line="276" w:lineRule="auto"/>
              <w:rPr>
                <w:rFonts w:asciiTheme="minorHAnsi" w:hAnsiTheme="minorHAnsi" w:cstheme="minorHAnsi"/>
                <w:sz w:val="20"/>
              </w:rPr>
            </w:pPr>
            <w:r w:rsidRPr="007C3905">
              <w:rPr>
                <w:rFonts w:asciiTheme="minorHAnsi" w:hAnsiTheme="minorHAnsi" w:cstheme="minorHAnsi"/>
                <w:sz w:val="20"/>
              </w:rPr>
              <w:t>3141</w:t>
            </w:r>
          </w:p>
        </w:tc>
        <w:tc>
          <w:tcPr>
            <w:tcW w:w="659" w:type="pct"/>
            <w:tcBorders>
              <w:top w:val="nil"/>
              <w:bottom w:val="nil"/>
            </w:tcBorders>
            <w:vAlign w:val="center"/>
          </w:tcPr>
          <w:p w:rsidR="00C73B66" w:rsidRPr="007C3905" w:rsidRDefault="00C73B66" w:rsidP="00C61983">
            <w:pPr>
              <w:pStyle w:val="BSATableBaseNumber"/>
              <w:spacing w:before="0" w:after="0" w:line="276" w:lineRule="auto"/>
              <w:rPr>
                <w:rFonts w:asciiTheme="minorHAnsi" w:hAnsiTheme="minorHAnsi" w:cstheme="minorHAnsi"/>
                <w:sz w:val="20"/>
              </w:rPr>
            </w:pPr>
            <w:r w:rsidRPr="007C3905">
              <w:rPr>
                <w:rFonts w:asciiTheme="minorHAnsi" w:hAnsiTheme="minorHAnsi" w:cstheme="minorHAnsi"/>
                <w:sz w:val="20"/>
              </w:rPr>
              <w:t>3143</w:t>
            </w:r>
          </w:p>
        </w:tc>
      </w:tr>
      <w:tr w:rsidR="00C61983" w:rsidRPr="00CD78C7" w:rsidTr="007C3905">
        <w:trPr>
          <w:trHeight w:val="227"/>
        </w:trPr>
        <w:tc>
          <w:tcPr>
            <w:tcW w:w="2368" w:type="pct"/>
            <w:tcBorders>
              <w:top w:val="nil"/>
              <w:bottom w:val="single" w:sz="12" w:space="0" w:color="auto"/>
            </w:tcBorders>
            <w:vAlign w:val="center"/>
          </w:tcPr>
          <w:p w:rsidR="00C61983" w:rsidRPr="00C61983" w:rsidRDefault="00C61983" w:rsidP="00C61983">
            <w:pPr>
              <w:pStyle w:val="BSATableBase"/>
              <w:spacing w:before="0" w:after="0" w:line="276" w:lineRule="auto"/>
              <w:rPr>
                <w:rFonts w:asciiTheme="minorHAnsi" w:hAnsiTheme="minorHAnsi" w:cstheme="minorHAnsi"/>
                <w:i w:val="0"/>
                <w:sz w:val="20"/>
              </w:rPr>
            </w:pPr>
          </w:p>
        </w:tc>
        <w:tc>
          <w:tcPr>
            <w:tcW w:w="657" w:type="pct"/>
            <w:tcBorders>
              <w:top w:val="nil"/>
              <w:bottom w:val="single" w:sz="12" w:space="0" w:color="auto"/>
            </w:tcBorders>
            <w:vAlign w:val="center"/>
          </w:tcPr>
          <w:p w:rsidR="00C61983" w:rsidRPr="00C61983" w:rsidRDefault="00C61983" w:rsidP="00C61983">
            <w:pPr>
              <w:pStyle w:val="BSATableBaseNumber"/>
              <w:spacing w:before="0" w:after="0" w:line="276" w:lineRule="auto"/>
              <w:rPr>
                <w:rFonts w:asciiTheme="minorHAnsi" w:hAnsiTheme="minorHAnsi" w:cstheme="minorHAnsi"/>
                <w:i w:val="0"/>
                <w:sz w:val="20"/>
              </w:rPr>
            </w:pPr>
          </w:p>
        </w:tc>
        <w:tc>
          <w:tcPr>
            <w:tcW w:w="658" w:type="pct"/>
            <w:tcBorders>
              <w:top w:val="nil"/>
              <w:bottom w:val="single" w:sz="12" w:space="0" w:color="auto"/>
            </w:tcBorders>
            <w:vAlign w:val="center"/>
          </w:tcPr>
          <w:p w:rsidR="00C61983" w:rsidRPr="00C61983" w:rsidRDefault="00C61983" w:rsidP="00C61983">
            <w:pPr>
              <w:pStyle w:val="BSATableBaseNumber"/>
              <w:spacing w:before="0" w:after="0" w:line="276" w:lineRule="auto"/>
              <w:rPr>
                <w:rFonts w:asciiTheme="minorHAnsi" w:hAnsiTheme="minorHAnsi" w:cstheme="minorHAnsi"/>
                <w:i w:val="0"/>
                <w:sz w:val="20"/>
              </w:rPr>
            </w:pPr>
          </w:p>
        </w:tc>
        <w:tc>
          <w:tcPr>
            <w:tcW w:w="658" w:type="pct"/>
            <w:tcBorders>
              <w:top w:val="nil"/>
              <w:bottom w:val="single" w:sz="12" w:space="0" w:color="auto"/>
            </w:tcBorders>
            <w:vAlign w:val="center"/>
          </w:tcPr>
          <w:p w:rsidR="00C61983" w:rsidRPr="00C61983" w:rsidRDefault="00C61983" w:rsidP="00C61983">
            <w:pPr>
              <w:pStyle w:val="BSATableBaseNumber"/>
              <w:spacing w:before="0" w:after="0" w:line="276" w:lineRule="auto"/>
              <w:rPr>
                <w:rFonts w:asciiTheme="minorHAnsi" w:hAnsiTheme="minorHAnsi" w:cstheme="minorHAnsi"/>
                <w:sz w:val="20"/>
              </w:rPr>
            </w:pPr>
          </w:p>
        </w:tc>
        <w:tc>
          <w:tcPr>
            <w:tcW w:w="659" w:type="pct"/>
            <w:tcBorders>
              <w:top w:val="nil"/>
              <w:bottom w:val="single" w:sz="12" w:space="0" w:color="auto"/>
            </w:tcBorders>
            <w:vAlign w:val="center"/>
          </w:tcPr>
          <w:p w:rsidR="00C61983" w:rsidRPr="00C61983" w:rsidRDefault="00C61983" w:rsidP="00C61983">
            <w:pPr>
              <w:pStyle w:val="BSATableBaseNumber"/>
              <w:spacing w:before="0" w:after="0" w:line="276" w:lineRule="auto"/>
              <w:rPr>
                <w:rFonts w:asciiTheme="minorHAnsi" w:hAnsiTheme="minorHAnsi" w:cstheme="minorHAnsi"/>
                <w:sz w:val="20"/>
              </w:rPr>
            </w:pPr>
          </w:p>
        </w:tc>
      </w:tr>
    </w:tbl>
    <w:p w:rsidR="00816EC1" w:rsidRPr="00A018E9"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C73B66" w:rsidRDefault="00C73B66" w:rsidP="00C61983">
      <w:pPr>
        <w:pStyle w:val="Heading3"/>
        <w:spacing w:line="276" w:lineRule="auto"/>
      </w:pPr>
      <w:bookmarkStart w:id="19" w:name="_Toc494182027"/>
      <w:r>
        <w:t>Healthy living</w:t>
      </w:r>
      <w:bookmarkEnd w:id="19"/>
    </w:p>
    <w:p w:rsidR="00C73B66" w:rsidRPr="009924B3" w:rsidRDefault="00C73B66" w:rsidP="00C73B66">
      <w:pPr>
        <w:pStyle w:val="BodyCopy"/>
        <w:spacing w:line="276" w:lineRule="auto"/>
      </w:pPr>
      <w:r>
        <w:t>In addition to measures of self-assessed health and health conditions, the secondary survey examined a range of health-related behaviours, including exercise, diet and substance use.</w:t>
      </w:r>
    </w:p>
    <w:p w:rsidR="00C73B66" w:rsidRDefault="00C73B66" w:rsidP="00C73B66">
      <w:pPr>
        <w:pStyle w:val="Heading3"/>
        <w:numPr>
          <w:ilvl w:val="3"/>
          <w:numId w:val="13"/>
        </w:numPr>
        <w:spacing w:line="276" w:lineRule="auto"/>
      </w:pPr>
      <w:bookmarkStart w:id="20" w:name="_Toc494182028"/>
      <w:r w:rsidRPr="00B2541D">
        <w:rPr>
          <w:color w:val="auto"/>
        </w:rPr>
        <w:t>P</w:t>
      </w:r>
      <w:r>
        <w:t>hysical activity (Healthy, Active)</w:t>
      </w:r>
      <w:bookmarkEnd w:id="20"/>
    </w:p>
    <w:p w:rsidR="00C73B66" w:rsidRDefault="00C73B66" w:rsidP="00C73B66">
      <w:pPr>
        <w:pStyle w:val="BodyCopy"/>
        <w:spacing w:before="240" w:line="276" w:lineRule="auto"/>
      </w:pPr>
      <w:r>
        <w:t>The Chief Medical Officers of the UK publish guidelines on physical activity, which recommend that all children from ages 5 to 18 should be active for at least 60 minutes a day on all seven days of the week.</w:t>
      </w:r>
      <w:r>
        <w:rPr>
          <w:rStyle w:val="EndnoteReference"/>
        </w:rPr>
        <w:endnoteReference w:id="3"/>
      </w:r>
      <w:r>
        <w:t xml:space="preserve"> Pupils</w:t>
      </w:r>
      <w:r w:rsidRPr="004A65C0">
        <w:t xml:space="preserve"> </w:t>
      </w:r>
      <w:r>
        <w:t xml:space="preserve">taking part in the secondary survey </w:t>
      </w:r>
      <w:r w:rsidRPr="004A65C0">
        <w:t xml:space="preserve">were asked </w:t>
      </w:r>
      <w:r>
        <w:t>on how many days of the previous week</w:t>
      </w:r>
      <w:r w:rsidRPr="004A65C0">
        <w:t xml:space="preserve"> they were physically active for at least 60 minutes.</w:t>
      </w:r>
      <w:r>
        <w:t xml:space="preserve"> </w:t>
      </w:r>
    </w:p>
    <w:p w:rsidR="00C73B66" w:rsidRDefault="00C73B66" w:rsidP="00C73B66">
      <w:pPr>
        <w:pStyle w:val="BodyCopy"/>
        <w:spacing w:before="240" w:line="276" w:lineRule="auto"/>
      </w:pPr>
      <w:r>
        <w:t xml:space="preserve">In total, only 20% of those in S1 to S4 in Falkirk reported that they were active for the recommended 60 minutes a day on all seven days of the week. A further 30% were active for at least 60 minutes on five or six days a week. </w:t>
      </w:r>
    </w:p>
    <w:p w:rsidR="00C73B66" w:rsidRDefault="00C73B66" w:rsidP="00C73B66">
      <w:pPr>
        <w:pStyle w:val="BodyCopy"/>
        <w:spacing w:before="240" w:line="276" w:lineRule="auto"/>
      </w:pPr>
      <w:r>
        <w:t xml:space="preserve">The question was formulated specially for the survey and so direct comparisons with other sources are difficult. </w:t>
      </w:r>
      <w:r w:rsidRPr="00C61983">
        <w:t>The Scottish Health Survey asks in much greater detail about a range of specific types of physical activity and found that 61% of 12-15 year-olds in Scotland were active on most days of the previous week for an average of 60 minutes.</w:t>
      </w:r>
      <w:r>
        <w:t xml:space="preserve"> </w:t>
      </w:r>
    </w:p>
    <w:p w:rsidR="00C73B66" w:rsidRDefault="00C73B66" w:rsidP="00C73B66">
      <w:pPr>
        <w:pStyle w:val="BodyCopy"/>
        <w:tabs>
          <w:tab w:val="left" w:pos="1701"/>
        </w:tabs>
        <w:spacing w:before="240" w:line="276" w:lineRule="auto"/>
      </w:pPr>
      <w:r>
        <w:t xml:space="preserve">Despite this discrepancy, the RCS figures provide useful insights into the patterning of reported physical activity across subgroups. Again, there are clear </w:t>
      </w:r>
      <w:r>
        <w:lastRenderedPageBreak/>
        <w:t xml:space="preserve">differences between year groups, with 25% of those in S1 reporting that they were active for at least an hour on all seven days of the previous week (with a further 35% active on five or six days) compared with 17% of those in S4 who stated they were active on all seven days (with 26% being active on five or six days). </w:t>
      </w:r>
    </w:p>
    <w:p w:rsidR="00C73B66" w:rsidRDefault="00826636" w:rsidP="00C73B66">
      <w:pPr>
        <w:pStyle w:val="BodyCopy"/>
        <w:spacing w:before="240" w:line="276" w:lineRule="auto"/>
      </w:pPr>
      <w:r>
        <w:t>Boys were also significantly more active than girls with 22% of all boys reporting</w:t>
      </w:r>
      <w:r w:rsidR="00C73B66">
        <w:t xml:space="preserve"> that they were active every day compared with 17% of girls. The interaction of year group and gender means that S3 and S4 girls are especially unlikely to engage in regular physical </w:t>
      </w:r>
      <w:r w:rsidR="00C73B66" w:rsidRPr="003519DA">
        <w:t>activity (</w:t>
      </w:r>
      <w:r w:rsidR="00C73B66" w:rsidRPr="00E91D33">
        <w:t>13% and 14% compared with 21</w:t>
      </w:r>
      <w:r w:rsidR="00C73B66" w:rsidRPr="003519DA">
        <w:t>%</w:t>
      </w:r>
      <w:r w:rsidR="00C73B66">
        <w:t xml:space="preserve"> of S3 boys and 19% </w:t>
      </w:r>
      <w:r w:rsidR="00C73B66" w:rsidRPr="003519DA">
        <w:t>of S4 boys).</w:t>
      </w:r>
      <w:r w:rsidR="00C73B66">
        <w:t xml:space="preserve"> </w:t>
      </w:r>
    </w:p>
    <w:p w:rsidR="00C73B66" w:rsidRDefault="00C73B66" w:rsidP="00C73B66">
      <w:pPr>
        <w:pStyle w:val="BodyCopy"/>
        <w:spacing w:before="240" w:line="276" w:lineRule="auto"/>
      </w:pPr>
      <w:r>
        <w:rPr>
          <w:noProof/>
        </w:rPr>
        <w:drawing>
          <wp:inline distT="0" distB="0" distL="0" distR="0" wp14:anchorId="727517F9" wp14:editId="1125A6B8">
            <wp:extent cx="5234940" cy="3627120"/>
            <wp:effectExtent l="0" t="0" r="381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3B66"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 xml:space="preserve">Falkirk </w:t>
      </w:r>
      <w:r w:rsidRPr="00A018E9">
        <w:rPr>
          <w:i/>
          <w:sz w:val="18"/>
          <w:szCs w:val="18"/>
        </w:rPr>
        <w:t>201</w:t>
      </w:r>
      <w:r>
        <w:rPr>
          <w:i/>
          <w:sz w:val="18"/>
          <w:szCs w:val="18"/>
        </w:rPr>
        <w:t>7</w:t>
      </w:r>
    </w:p>
    <w:p w:rsidR="00C73B66" w:rsidRDefault="00C73B66" w:rsidP="00C73B66">
      <w:pPr>
        <w:pStyle w:val="Heading3"/>
        <w:numPr>
          <w:ilvl w:val="3"/>
          <w:numId w:val="13"/>
        </w:numPr>
        <w:spacing w:line="276" w:lineRule="auto"/>
      </w:pPr>
      <w:bookmarkStart w:id="21" w:name="_Toc494182029"/>
      <w:r>
        <w:t>Diet and nutrition (Healthy)</w:t>
      </w:r>
      <w:bookmarkEnd w:id="21"/>
    </w:p>
    <w:p w:rsidR="004A0E50" w:rsidRDefault="004A0E50" w:rsidP="00C73B66">
      <w:pPr>
        <w:pStyle w:val="BodyCopy"/>
        <w:spacing w:before="240" w:line="276" w:lineRule="auto"/>
      </w:pPr>
      <w:r w:rsidRPr="004A0E50">
        <w:t>The overall picture in terms of diet is one of considerable variation between subgroups of S1 to S4 pupils in the frequency with which they consume both less healthy options of sweets / chocolate / sugary drinks and healthier options of fruit or vegetables.</w:t>
      </w:r>
    </w:p>
    <w:p w:rsidR="00C73B66" w:rsidRDefault="00C73B66" w:rsidP="00C73B66">
      <w:pPr>
        <w:pStyle w:val="BodyCopy"/>
        <w:spacing w:before="240" w:line="276" w:lineRule="auto"/>
      </w:pPr>
      <w:r>
        <w:t>More than a third (34%) of pupils in S1 to S4 reported that they ate fruit every day, with a quarter saying they did so once a week or less. A similar pattern was evident for the consumption of vegetables; 36% of pupils consumed these daily but 24% did so once a week or less often. In other words, daily (or near daily) fruit and vegetable consumption is by no means established as the norm among this age group.</w:t>
      </w:r>
    </w:p>
    <w:p w:rsidR="00C73B66" w:rsidRDefault="00826636" w:rsidP="00C73B66">
      <w:pPr>
        <w:pStyle w:val="BodyCopy"/>
        <w:spacing w:before="240" w:line="276" w:lineRule="auto"/>
      </w:pPr>
      <w:r>
        <w:lastRenderedPageBreak/>
        <w:t>Girls</w:t>
      </w:r>
      <w:r w:rsidR="00C73B66">
        <w:t xml:space="preserve"> were more likely than </w:t>
      </w:r>
      <w:r>
        <w:t>boys</w:t>
      </w:r>
      <w:r w:rsidR="00C73B66">
        <w:t xml:space="preserve"> to consume either fruit or vegetables every day (49% compared with 40%).  Daily fruit or vegetable consumption was highest amongst young people in S1 (51%) with lower levels in S2 (45%), S3 (39%) and S4 (43%). </w:t>
      </w:r>
    </w:p>
    <w:p w:rsidR="00C73B66" w:rsidRDefault="00C73B66" w:rsidP="00C73B66">
      <w:pPr>
        <w:pStyle w:val="BodyCopy"/>
        <w:spacing w:before="240" w:line="276" w:lineRule="auto"/>
      </w:pPr>
      <w:r>
        <w:t xml:space="preserve">While a link between diet and deprivation may not be surprising, the differences evident in the survey are stark: daily consumption of </w:t>
      </w:r>
      <w:r w:rsidRPr="009924B3">
        <w:t xml:space="preserve">either </w:t>
      </w:r>
      <w:r w:rsidRPr="006004DA">
        <w:t>fruit or</w:t>
      </w:r>
      <w:r>
        <w:t xml:space="preserve"> vegetables was higher within the least deprived quintile (52%) than the most deprived quintile (35%). Related to this, daily consumption of fruit or vegetables was lower amongst those eligible for free school meals than those who were not (38% compared with 46%).  </w:t>
      </w:r>
    </w:p>
    <w:p w:rsidR="00C73B66" w:rsidRDefault="00C73B66" w:rsidP="00C73B66">
      <w:pPr>
        <w:pStyle w:val="BodyCopy"/>
        <w:spacing w:before="240" w:line="276" w:lineRule="auto"/>
      </w:pPr>
      <w:r>
        <w:t>Family type and mealtimes were also linked to fruit or vegetable intake. Daily fruit or vegetable consumption was more common among those who had one or more sibling at home than among those with no siblings at home (46% compared with 40%) and among those living in a two parent household (48%) than those living in other household types (35% - 39%). It was also more common among those who eat breakfast everyday (53% compared with 35%-38% of those that never or sometimes eat breakfast). Those who eat with their parents every day were also more likely to eat fruit or vegetables every day (53% compared with 26% - 44% of those who did not sit down for a meal with parents daily). The nature of this association is not entirely clear, however – an issue we return to later in the report.</w:t>
      </w:r>
      <w:r w:rsidRPr="003C1335">
        <w:t xml:space="preserve"> </w:t>
      </w:r>
    </w:p>
    <w:p w:rsidR="00CF5B83" w:rsidRDefault="00C73B66" w:rsidP="00C73B66">
      <w:pPr>
        <w:pStyle w:val="BodyCopy"/>
        <w:spacing w:before="240" w:line="276" w:lineRule="auto"/>
      </w:pPr>
      <w:r>
        <w:t xml:space="preserve">Questions </w:t>
      </w:r>
      <w:r w:rsidR="00D4261C">
        <w:t xml:space="preserve">asked of secondary pupils in Falkirk </w:t>
      </w:r>
      <w:r>
        <w:t xml:space="preserve">about the consumption of sweets or chocolate, sugary drinks and diet drinks </w:t>
      </w:r>
      <w:r w:rsidR="00CF5B83">
        <w:t>are</w:t>
      </w:r>
      <w:r>
        <w:t xml:space="preserve"> similar </w:t>
      </w:r>
      <w:r w:rsidR="00CF5B83">
        <w:t>to</w:t>
      </w:r>
      <w:r>
        <w:t xml:space="preserve"> those </w:t>
      </w:r>
      <w:r w:rsidR="00CF5B83">
        <w:t xml:space="preserve">asked of those </w:t>
      </w:r>
      <w:r>
        <w:t xml:space="preserve">aged 13 to 15 in the </w:t>
      </w:r>
      <w:r w:rsidRPr="00E91D33">
        <w:t>Scottish Health Survey in 2015</w:t>
      </w:r>
      <w:r w:rsidR="00CF5B83">
        <w:t xml:space="preserve"> (</w:t>
      </w:r>
      <w:proofErr w:type="spellStart"/>
      <w:r w:rsidR="00CF5B83">
        <w:t>SHeS</w:t>
      </w:r>
      <w:proofErr w:type="spellEnd"/>
      <w:r w:rsidR="00CF5B83">
        <w:t>)</w:t>
      </w:r>
      <w:r w:rsidRPr="00E91D33">
        <w:t>.</w:t>
      </w:r>
      <w:r>
        <w:t xml:space="preserve"> For each of these, the proportion reporting that they consumed the items every day was lower in Falkirk than it was across the whole of Scotland</w:t>
      </w:r>
      <w:r w:rsidR="00CF5B83">
        <w:t>.</w:t>
      </w:r>
      <w:r>
        <w:t xml:space="preserve"> </w:t>
      </w:r>
      <w:r w:rsidR="00CF5B83">
        <w:t>However, this may be due to</w:t>
      </w:r>
      <w:r>
        <w:t xml:space="preserve"> methodological differences playing a part</w:t>
      </w:r>
      <w:r w:rsidRPr="00C156D1">
        <w:t xml:space="preserve">. </w:t>
      </w:r>
    </w:p>
    <w:p w:rsidR="00C73B66" w:rsidRPr="00C156D1" w:rsidRDefault="00C73B66" w:rsidP="00C73B66">
      <w:pPr>
        <w:pStyle w:val="BodyCopy"/>
        <w:spacing w:before="240" w:line="276" w:lineRule="auto"/>
      </w:pPr>
      <w:r w:rsidRPr="00C156D1">
        <w:t xml:space="preserve">For instance, </w:t>
      </w:r>
      <w:r w:rsidRPr="00B84B4E">
        <w:t>3</w:t>
      </w:r>
      <w:r>
        <w:t>6</w:t>
      </w:r>
      <w:r w:rsidRPr="00B84B4E">
        <w:t>% of</w:t>
      </w:r>
      <w:r w:rsidRPr="00C156D1">
        <w:t xml:space="preserve"> those in S1 to S4 in </w:t>
      </w:r>
      <w:r>
        <w:t>Falkirk</w:t>
      </w:r>
      <w:r w:rsidRPr="00C156D1">
        <w:t xml:space="preserve"> consumed sweets or chocolate </w:t>
      </w:r>
      <w:r w:rsidRPr="000C1247">
        <w:t xml:space="preserve">every day </w:t>
      </w:r>
      <w:r w:rsidRPr="00D1717B">
        <w:t xml:space="preserve">compared with 46% of those aged 13 to 15 in </w:t>
      </w:r>
      <w:proofErr w:type="spellStart"/>
      <w:r w:rsidRPr="00D1717B">
        <w:t>SHeS</w:t>
      </w:r>
      <w:proofErr w:type="spellEnd"/>
      <w:r w:rsidRPr="000C1247">
        <w:t xml:space="preserve">; 24% consumed sugary drinks every day compared with </w:t>
      </w:r>
      <w:r w:rsidRPr="00D1717B">
        <w:t>42% nationally</w:t>
      </w:r>
      <w:r w:rsidRPr="000C1247">
        <w:t>; and 1</w:t>
      </w:r>
      <w:r w:rsidR="00D1717B">
        <w:t>7</w:t>
      </w:r>
      <w:r w:rsidRPr="000C1247">
        <w:t>% consumed diet drinks every day</w:t>
      </w:r>
      <w:r w:rsidRPr="009D0C62">
        <w:t xml:space="preserve"> compared with </w:t>
      </w:r>
      <w:r w:rsidRPr="00D1717B">
        <w:t>24% nationally</w:t>
      </w:r>
      <w:r w:rsidRPr="000C1247">
        <w:t xml:space="preserve">. The proportion reporting </w:t>
      </w:r>
      <w:r w:rsidRPr="009D0C62">
        <w:t xml:space="preserve">consumption of crisps or fried potatoes every day (23%) was also lower than the national figure for the proportion of those aged 13 to 15 who ate crisps (not including fried potatoes) every day </w:t>
      </w:r>
      <w:r w:rsidRPr="00D1717B">
        <w:t>(32%).</w:t>
      </w:r>
      <w:r w:rsidRPr="00C156D1">
        <w:t xml:space="preserve"> </w:t>
      </w:r>
    </w:p>
    <w:tbl>
      <w:tblPr>
        <w:tblW w:w="5071"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986"/>
        <w:gridCol w:w="762"/>
        <w:gridCol w:w="761"/>
        <w:gridCol w:w="761"/>
        <w:gridCol w:w="761"/>
        <w:gridCol w:w="924"/>
        <w:gridCol w:w="1010"/>
      </w:tblGrid>
      <w:tr w:rsidR="00C73B66" w:rsidRPr="00C156D1" w:rsidTr="007C3905">
        <w:trPr>
          <w:trHeight w:val="340"/>
        </w:trPr>
        <w:tc>
          <w:tcPr>
            <w:tcW w:w="5000" w:type="pct"/>
            <w:gridSpan w:val="7"/>
            <w:tcBorders>
              <w:top w:val="single" w:sz="12" w:space="0" w:color="auto"/>
              <w:bottom w:val="nil"/>
            </w:tcBorders>
          </w:tcPr>
          <w:p w:rsidR="00C73B66" w:rsidRPr="00C156D1" w:rsidRDefault="00C73B66" w:rsidP="00C73B66">
            <w:pPr>
              <w:pStyle w:val="BSATableNumber"/>
              <w:spacing w:line="276" w:lineRule="auto"/>
              <w:jc w:val="left"/>
              <w:rPr>
                <w:rFonts w:asciiTheme="minorHAnsi" w:hAnsiTheme="minorHAnsi" w:cstheme="minorHAnsi"/>
                <w:i/>
                <w:sz w:val="20"/>
              </w:rPr>
            </w:pPr>
            <w:r w:rsidRPr="00B84B4E">
              <w:rPr>
                <w:rFonts w:asciiTheme="minorHAnsi" w:hAnsiTheme="minorHAnsi" w:cstheme="minorHAnsi"/>
                <w:b/>
                <w:sz w:val="20"/>
              </w:rPr>
              <w:lastRenderedPageBreak/>
              <w:t>Table 2.2.2b Diet and nutrition</w:t>
            </w:r>
          </w:p>
        </w:tc>
      </w:tr>
      <w:tr w:rsidR="00C73B66" w:rsidRPr="00C156D1" w:rsidTr="00826636">
        <w:tc>
          <w:tcPr>
            <w:tcW w:w="1874" w:type="pct"/>
            <w:tcBorders>
              <w:top w:val="nil"/>
              <w:bottom w:val="single" w:sz="6" w:space="0" w:color="auto"/>
            </w:tcBorders>
            <w:vAlign w:val="center"/>
          </w:tcPr>
          <w:p w:rsidR="00C73B66" w:rsidRPr="00C156D1" w:rsidRDefault="00C73B66" w:rsidP="00AE3DD5">
            <w:pPr>
              <w:pStyle w:val="BSATableText"/>
              <w:spacing w:after="0" w:line="240" w:lineRule="auto"/>
              <w:ind w:left="0" w:firstLine="0"/>
              <w:jc w:val="left"/>
              <w:rPr>
                <w:rFonts w:asciiTheme="minorHAnsi" w:hAnsiTheme="minorHAnsi" w:cstheme="minorHAnsi"/>
                <w:sz w:val="20"/>
              </w:rPr>
            </w:pPr>
            <w:r w:rsidRPr="00C156D1">
              <w:rPr>
                <w:rFonts w:asciiTheme="minorHAnsi" w:hAnsiTheme="minorHAnsi" w:cstheme="minorHAnsi"/>
                <w:sz w:val="20"/>
              </w:rPr>
              <w:t xml:space="preserve">How many times a week do you normally eat </w:t>
            </w:r>
            <w:r>
              <w:rPr>
                <w:rFonts w:asciiTheme="minorHAnsi" w:hAnsiTheme="minorHAnsi" w:cstheme="minorHAnsi"/>
                <w:sz w:val="20"/>
              </w:rPr>
              <w:t xml:space="preserve">or drink </w:t>
            </w:r>
            <w:r w:rsidRPr="00C156D1">
              <w:rPr>
                <w:rFonts w:asciiTheme="minorHAnsi" w:hAnsiTheme="minorHAnsi" w:cstheme="minorHAnsi"/>
                <w:sz w:val="20"/>
              </w:rPr>
              <w:t>the following things?</w:t>
            </w:r>
          </w:p>
        </w:tc>
        <w:tc>
          <w:tcPr>
            <w:tcW w:w="478" w:type="pct"/>
            <w:tcBorders>
              <w:top w:val="nil"/>
              <w:bottom w:val="single" w:sz="6"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sz w:val="20"/>
              </w:rPr>
            </w:pPr>
            <w:r w:rsidRPr="00C156D1">
              <w:rPr>
                <w:rFonts w:asciiTheme="minorHAnsi" w:hAnsiTheme="minorHAnsi" w:cstheme="minorHAnsi"/>
                <w:color w:val="000000"/>
                <w:sz w:val="20"/>
              </w:rPr>
              <w:t>Every day</w:t>
            </w:r>
          </w:p>
        </w:tc>
        <w:tc>
          <w:tcPr>
            <w:tcW w:w="478" w:type="pct"/>
            <w:tcBorders>
              <w:top w:val="nil"/>
              <w:bottom w:val="single" w:sz="6"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sz w:val="20"/>
              </w:rPr>
            </w:pPr>
            <w:r w:rsidRPr="00C156D1">
              <w:rPr>
                <w:rFonts w:asciiTheme="minorHAnsi" w:hAnsiTheme="minorHAnsi" w:cstheme="minorHAnsi"/>
                <w:color w:val="000000"/>
                <w:sz w:val="20"/>
              </w:rPr>
              <w:t>5 or 6 days a week</w:t>
            </w:r>
          </w:p>
        </w:tc>
        <w:tc>
          <w:tcPr>
            <w:tcW w:w="478" w:type="pct"/>
            <w:tcBorders>
              <w:top w:val="nil"/>
              <w:bottom w:val="single" w:sz="12"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i/>
                <w:sz w:val="20"/>
              </w:rPr>
            </w:pPr>
            <w:r w:rsidRPr="00C156D1">
              <w:rPr>
                <w:rFonts w:asciiTheme="minorHAnsi" w:hAnsiTheme="minorHAnsi" w:cstheme="minorHAnsi"/>
                <w:color w:val="000000"/>
                <w:sz w:val="20"/>
              </w:rPr>
              <w:t>2 to 4 days a week</w:t>
            </w:r>
          </w:p>
        </w:tc>
        <w:tc>
          <w:tcPr>
            <w:tcW w:w="478" w:type="pct"/>
            <w:tcBorders>
              <w:top w:val="nil"/>
              <w:bottom w:val="single" w:sz="12"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i/>
                <w:sz w:val="20"/>
              </w:rPr>
            </w:pPr>
            <w:r w:rsidRPr="00C156D1">
              <w:rPr>
                <w:rFonts w:asciiTheme="minorHAnsi" w:hAnsiTheme="minorHAnsi" w:cstheme="minorHAnsi"/>
                <w:color w:val="000000"/>
                <w:sz w:val="20"/>
              </w:rPr>
              <w:t>Once a week or less</w:t>
            </w:r>
          </w:p>
        </w:tc>
        <w:tc>
          <w:tcPr>
            <w:tcW w:w="580" w:type="pct"/>
            <w:tcBorders>
              <w:top w:val="nil"/>
              <w:bottom w:val="single" w:sz="12"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i/>
                <w:sz w:val="16"/>
                <w:szCs w:val="16"/>
              </w:rPr>
            </w:pPr>
            <w:r w:rsidRPr="00C156D1">
              <w:rPr>
                <w:rFonts w:asciiTheme="minorHAnsi" w:hAnsiTheme="minorHAnsi" w:cstheme="minorHAnsi"/>
                <w:i/>
                <w:sz w:val="16"/>
                <w:szCs w:val="16"/>
              </w:rPr>
              <w:t>Weighted base</w:t>
            </w:r>
            <w:r>
              <w:rPr>
                <w:rFonts w:asciiTheme="minorHAnsi" w:hAnsiTheme="minorHAnsi" w:cstheme="minorHAnsi"/>
                <w:i/>
                <w:sz w:val="16"/>
                <w:szCs w:val="16"/>
              </w:rPr>
              <w:t>s</w:t>
            </w:r>
          </w:p>
        </w:tc>
        <w:tc>
          <w:tcPr>
            <w:tcW w:w="634" w:type="pct"/>
            <w:tcBorders>
              <w:top w:val="nil"/>
              <w:bottom w:val="single" w:sz="12" w:space="0" w:color="auto"/>
            </w:tcBorders>
            <w:vAlign w:val="center"/>
          </w:tcPr>
          <w:p w:rsidR="00C73B66" w:rsidRPr="00C156D1" w:rsidRDefault="00C73B66" w:rsidP="00D1717B">
            <w:pPr>
              <w:pStyle w:val="BSATableNumber"/>
              <w:spacing w:line="276" w:lineRule="auto"/>
              <w:jc w:val="center"/>
              <w:rPr>
                <w:rFonts w:asciiTheme="minorHAnsi" w:hAnsiTheme="minorHAnsi" w:cstheme="minorHAnsi"/>
                <w:i/>
                <w:sz w:val="16"/>
                <w:szCs w:val="16"/>
              </w:rPr>
            </w:pPr>
            <w:r w:rsidRPr="00C156D1">
              <w:rPr>
                <w:rFonts w:asciiTheme="minorHAnsi" w:hAnsiTheme="minorHAnsi" w:cstheme="minorHAnsi"/>
                <w:i/>
                <w:sz w:val="16"/>
                <w:szCs w:val="16"/>
              </w:rPr>
              <w:t>Unweighted base</w:t>
            </w:r>
            <w:r>
              <w:rPr>
                <w:rFonts w:asciiTheme="minorHAnsi" w:hAnsiTheme="minorHAnsi" w:cstheme="minorHAnsi"/>
                <w:i/>
                <w:sz w:val="16"/>
                <w:szCs w:val="16"/>
              </w:rPr>
              <w:t>s</w:t>
            </w:r>
          </w:p>
        </w:tc>
      </w:tr>
      <w:tr w:rsidR="00C73B66" w:rsidRPr="00C156D1" w:rsidTr="00AE3DD5">
        <w:trPr>
          <w:trHeight w:val="283"/>
        </w:trPr>
        <w:tc>
          <w:tcPr>
            <w:tcW w:w="5000" w:type="pct"/>
            <w:gridSpan w:val="7"/>
            <w:tcBorders>
              <w:top w:val="single" w:sz="12" w:space="0" w:color="auto"/>
              <w:bottom w:val="single" w:sz="6" w:space="0" w:color="auto"/>
            </w:tcBorders>
            <w:vAlign w:val="bottom"/>
          </w:tcPr>
          <w:p w:rsidR="00C73B66" w:rsidRPr="00C156D1" w:rsidRDefault="00C73B66" w:rsidP="00AE3DD5">
            <w:pPr>
              <w:pStyle w:val="BSATableNumber"/>
              <w:spacing w:line="276" w:lineRule="auto"/>
              <w:jc w:val="left"/>
              <w:rPr>
                <w:rFonts w:asciiTheme="minorHAnsi" w:hAnsiTheme="minorHAnsi" w:cstheme="minorHAnsi"/>
                <w:i/>
                <w:iCs/>
                <w:color w:val="000000"/>
                <w:sz w:val="20"/>
              </w:rPr>
            </w:pPr>
            <w:r>
              <w:rPr>
                <w:rFonts w:asciiTheme="minorHAnsi" w:hAnsiTheme="minorHAnsi" w:cstheme="minorHAnsi"/>
                <w:i/>
                <w:iCs/>
                <w:color w:val="000000"/>
                <w:sz w:val="20"/>
              </w:rPr>
              <w:t>Row percentages</w:t>
            </w:r>
          </w:p>
        </w:tc>
      </w:tr>
      <w:tr w:rsidR="00C73B66" w:rsidRPr="00B84B4E" w:rsidTr="00826636">
        <w:trPr>
          <w:trHeight w:val="300"/>
        </w:trPr>
        <w:tc>
          <w:tcPr>
            <w:tcW w:w="1874" w:type="pct"/>
            <w:tcBorders>
              <w:top w:val="single" w:sz="6" w:space="0" w:color="auto"/>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Fruit</w:t>
            </w:r>
          </w:p>
        </w:tc>
        <w:tc>
          <w:tcPr>
            <w:tcW w:w="478" w:type="pct"/>
            <w:tcBorders>
              <w:top w:val="single" w:sz="6" w:space="0" w:color="auto"/>
              <w:bottom w:val="nil"/>
            </w:tcBorders>
            <w:vAlign w:val="center"/>
          </w:tcPr>
          <w:p w:rsidR="00C73B66" w:rsidRPr="007155ED" w:rsidRDefault="00C73B66" w:rsidP="00D1717B">
            <w:pPr>
              <w:pStyle w:val="BSATableNumber"/>
              <w:spacing w:line="276" w:lineRule="auto"/>
              <w:rPr>
                <w:rFonts w:asciiTheme="minorHAnsi" w:hAnsiTheme="minorHAnsi" w:cstheme="minorHAnsi"/>
                <w:sz w:val="20"/>
              </w:rPr>
            </w:pPr>
            <w:r w:rsidRPr="007155ED">
              <w:rPr>
                <w:rFonts w:asciiTheme="minorHAnsi" w:hAnsiTheme="minorHAnsi" w:cstheme="minorHAnsi"/>
                <w:color w:val="000000"/>
                <w:sz w:val="20"/>
              </w:rPr>
              <w:t>34</w:t>
            </w:r>
          </w:p>
        </w:tc>
        <w:tc>
          <w:tcPr>
            <w:tcW w:w="478" w:type="pct"/>
            <w:tcBorders>
              <w:top w:val="single" w:sz="6" w:space="0" w:color="auto"/>
              <w:bottom w:val="nil"/>
            </w:tcBorders>
            <w:vAlign w:val="center"/>
          </w:tcPr>
          <w:p w:rsidR="00C73B66" w:rsidRPr="007155ED" w:rsidRDefault="00C73B66" w:rsidP="00D1717B">
            <w:pPr>
              <w:pStyle w:val="BSATableNumber"/>
              <w:spacing w:line="276" w:lineRule="auto"/>
              <w:rPr>
                <w:rFonts w:asciiTheme="minorHAnsi" w:hAnsiTheme="minorHAnsi" w:cstheme="minorHAnsi"/>
                <w:sz w:val="20"/>
              </w:rPr>
            </w:pPr>
            <w:r w:rsidRPr="007155ED">
              <w:rPr>
                <w:rFonts w:asciiTheme="minorHAnsi" w:hAnsiTheme="minorHAnsi" w:cstheme="minorHAnsi"/>
                <w:color w:val="000000"/>
                <w:sz w:val="20"/>
              </w:rPr>
              <w:t>14</w:t>
            </w:r>
          </w:p>
        </w:tc>
        <w:tc>
          <w:tcPr>
            <w:tcW w:w="478" w:type="pct"/>
            <w:tcBorders>
              <w:top w:val="single" w:sz="6" w:space="0" w:color="auto"/>
              <w:bottom w:val="nil"/>
            </w:tcBorders>
            <w:vAlign w:val="center"/>
          </w:tcPr>
          <w:p w:rsidR="00C73B66" w:rsidRPr="007155ED" w:rsidRDefault="00EF4F17" w:rsidP="00D1717B">
            <w:pPr>
              <w:pStyle w:val="BSATableNumber"/>
              <w:spacing w:line="276" w:lineRule="auto"/>
              <w:rPr>
                <w:rFonts w:asciiTheme="minorHAnsi" w:hAnsiTheme="minorHAnsi" w:cstheme="minorHAnsi"/>
                <w:i/>
                <w:iCs/>
                <w:color w:val="000000"/>
                <w:sz w:val="20"/>
              </w:rPr>
            </w:pPr>
            <w:r w:rsidRPr="007155ED">
              <w:rPr>
                <w:rFonts w:asciiTheme="minorHAnsi" w:hAnsiTheme="minorHAnsi" w:cstheme="minorHAnsi"/>
                <w:color w:val="000000"/>
                <w:sz w:val="20"/>
              </w:rPr>
              <w:t>26</w:t>
            </w:r>
          </w:p>
        </w:tc>
        <w:tc>
          <w:tcPr>
            <w:tcW w:w="478" w:type="pct"/>
            <w:tcBorders>
              <w:top w:val="single" w:sz="6" w:space="0" w:color="auto"/>
              <w:bottom w:val="nil"/>
            </w:tcBorders>
            <w:vAlign w:val="center"/>
          </w:tcPr>
          <w:p w:rsidR="00C73B66" w:rsidRPr="007155ED" w:rsidRDefault="00C73B66" w:rsidP="00D1717B">
            <w:pPr>
              <w:pStyle w:val="BSATableNumber"/>
              <w:spacing w:line="276" w:lineRule="auto"/>
              <w:rPr>
                <w:rFonts w:asciiTheme="minorHAnsi" w:hAnsiTheme="minorHAnsi" w:cstheme="minorHAnsi"/>
                <w:i/>
                <w:iCs/>
                <w:color w:val="000000"/>
                <w:sz w:val="20"/>
              </w:rPr>
            </w:pPr>
            <w:r w:rsidRPr="007155ED">
              <w:rPr>
                <w:rFonts w:asciiTheme="minorHAnsi" w:hAnsiTheme="minorHAnsi" w:cstheme="minorHAnsi"/>
                <w:color w:val="000000"/>
                <w:sz w:val="20"/>
              </w:rPr>
              <w:t>25</w:t>
            </w:r>
          </w:p>
        </w:tc>
        <w:tc>
          <w:tcPr>
            <w:tcW w:w="580" w:type="pct"/>
            <w:tcBorders>
              <w:top w:val="single" w:sz="6" w:space="0" w:color="auto"/>
              <w:bottom w:val="nil"/>
            </w:tcBorders>
            <w:vAlign w:val="center"/>
          </w:tcPr>
          <w:p w:rsidR="00C73B66" w:rsidRPr="007155ED" w:rsidRDefault="00C73B66" w:rsidP="00D1717B">
            <w:pPr>
              <w:pStyle w:val="BSATableNumber"/>
              <w:spacing w:line="276" w:lineRule="auto"/>
              <w:rPr>
                <w:rFonts w:asciiTheme="minorHAnsi" w:hAnsiTheme="minorHAnsi" w:cstheme="minorHAnsi"/>
                <w:i/>
                <w:sz w:val="20"/>
              </w:rPr>
            </w:pPr>
            <w:r w:rsidRPr="007155ED">
              <w:rPr>
                <w:rFonts w:asciiTheme="minorHAnsi" w:hAnsiTheme="minorHAnsi" w:cstheme="minorHAnsi"/>
                <w:i/>
                <w:color w:val="000000"/>
                <w:sz w:val="20"/>
              </w:rPr>
              <w:t>4107</w:t>
            </w:r>
          </w:p>
        </w:tc>
        <w:tc>
          <w:tcPr>
            <w:tcW w:w="634" w:type="pct"/>
            <w:tcBorders>
              <w:top w:val="single" w:sz="6" w:space="0" w:color="auto"/>
              <w:bottom w:val="nil"/>
            </w:tcBorders>
            <w:vAlign w:val="center"/>
          </w:tcPr>
          <w:p w:rsidR="00C73B66" w:rsidRPr="007155ED" w:rsidRDefault="00C73B66" w:rsidP="00D1717B">
            <w:pPr>
              <w:pStyle w:val="BSATableNumber"/>
              <w:spacing w:line="276" w:lineRule="auto"/>
              <w:rPr>
                <w:rFonts w:asciiTheme="minorHAnsi" w:hAnsiTheme="minorHAnsi" w:cstheme="minorHAnsi"/>
                <w:i/>
                <w:sz w:val="20"/>
              </w:rPr>
            </w:pPr>
            <w:r w:rsidRPr="007155ED">
              <w:rPr>
                <w:rFonts w:asciiTheme="minorHAnsi" w:hAnsiTheme="minorHAnsi" w:cstheme="minorHAnsi"/>
                <w:i/>
                <w:color w:val="000000"/>
                <w:sz w:val="20"/>
              </w:rPr>
              <w:t>4107</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Vegetables</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36</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17</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23</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24</w:t>
            </w:r>
          </w:p>
        </w:tc>
        <w:tc>
          <w:tcPr>
            <w:tcW w:w="580"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4064</w:t>
            </w:r>
          </w:p>
        </w:tc>
        <w:tc>
          <w:tcPr>
            <w:tcW w:w="634" w:type="pct"/>
            <w:tcBorders>
              <w:top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4064</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Sweets or chocolate</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36</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20</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29</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15</w:t>
            </w:r>
          </w:p>
        </w:tc>
        <w:tc>
          <w:tcPr>
            <w:tcW w:w="580"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4081</w:t>
            </w:r>
          </w:p>
        </w:tc>
        <w:tc>
          <w:tcPr>
            <w:tcW w:w="634" w:type="pct"/>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4079</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Crisps or fried potatoes</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23</w:t>
            </w:r>
          </w:p>
        </w:tc>
        <w:tc>
          <w:tcPr>
            <w:tcW w:w="478" w:type="pct"/>
            <w:tcBorders>
              <w:top w:val="nil"/>
              <w:bottom w:val="nil"/>
            </w:tcBorders>
            <w:vAlign w:val="center"/>
          </w:tcPr>
          <w:p w:rsidR="00C73B66" w:rsidRPr="007155ED" w:rsidRDefault="00EF4F17"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18</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29</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30</w:t>
            </w:r>
          </w:p>
        </w:tc>
        <w:tc>
          <w:tcPr>
            <w:tcW w:w="580"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4069</w:t>
            </w:r>
          </w:p>
        </w:tc>
        <w:tc>
          <w:tcPr>
            <w:tcW w:w="634" w:type="pct"/>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4068</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Sugary drinks</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24</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13</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23</w:t>
            </w:r>
          </w:p>
        </w:tc>
        <w:tc>
          <w:tcPr>
            <w:tcW w:w="478" w:type="pct"/>
            <w:tcBorders>
              <w:top w:val="nil"/>
              <w:bottom w:val="nil"/>
            </w:tcBorders>
            <w:vAlign w:val="center"/>
          </w:tcPr>
          <w:p w:rsidR="00C73B66" w:rsidRPr="007155ED" w:rsidRDefault="00C73B66" w:rsidP="00EF4F17">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4</w:t>
            </w:r>
            <w:r w:rsidR="00EF4F17" w:rsidRPr="007155ED">
              <w:rPr>
                <w:rFonts w:asciiTheme="minorHAnsi" w:hAnsiTheme="minorHAnsi" w:cstheme="minorHAnsi"/>
                <w:color w:val="000000"/>
                <w:sz w:val="20"/>
              </w:rPr>
              <w:t>0</w:t>
            </w:r>
          </w:p>
        </w:tc>
        <w:tc>
          <w:tcPr>
            <w:tcW w:w="580"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4082</w:t>
            </w:r>
          </w:p>
        </w:tc>
        <w:tc>
          <w:tcPr>
            <w:tcW w:w="634" w:type="pct"/>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4082</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Diet drinks</w:t>
            </w:r>
          </w:p>
        </w:tc>
        <w:tc>
          <w:tcPr>
            <w:tcW w:w="478" w:type="pct"/>
            <w:tcBorders>
              <w:top w:val="nil"/>
              <w:bottom w:val="nil"/>
            </w:tcBorders>
            <w:vAlign w:val="center"/>
          </w:tcPr>
          <w:p w:rsidR="00C73B66" w:rsidRPr="007155ED" w:rsidRDefault="00C73B66" w:rsidP="00EF4F17">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w:t>
            </w:r>
            <w:r w:rsidR="00EF4F17" w:rsidRPr="007155ED">
              <w:rPr>
                <w:rFonts w:asciiTheme="minorHAnsi" w:hAnsiTheme="minorHAnsi" w:cstheme="minorHAnsi"/>
                <w:color w:val="000000"/>
                <w:sz w:val="20"/>
              </w:rPr>
              <w:t>7</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11</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20</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52</w:t>
            </w:r>
          </w:p>
        </w:tc>
        <w:tc>
          <w:tcPr>
            <w:tcW w:w="580"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4057</w:t>
            </w:r>
          </w:p>
        </w:tc>
        <w:tc>
          <w:tcPr>
            <w:tcW w:w="634" w:type="pct"/>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4056</w:t>
            </w:r>
          </w:p>
        </w:tc>
      </w:tr>
      <w:tr w:rsidR="00C73B66" w:rsidRPr="00B84B4E" w:rsidTr="00826636">
        <w:trPr>
          <w:trHeight w:val="300"/>
        </w:trPr>
        <w:tc>
          <w:tcPr>
            <w:tcW w:w="1874" w:type="pct"/>
            <w:tcBorders>
              <w:top w:val="nil"/>
              <w:bottom w:val="nil"/>
            </w:tcBorders>
            <w:vAlign w:val="center"/>
          </w:tcPr>
          <w:p w:rsidR="00C73B66" w:rsidRPr="00C156D1" w:rsidRDefault="00C73B66" w:rsidP="00D1717B">
            <w:pPr>
              <w:keepNext/>
              <w:spacing w:after="0"/>
              <w:rPr>
                <w:rFonts w:cstheme="minorHAnsi"/>
                <w:sz w:val="20"/>
                <w:szCs w:val="20"/>
              </w:rPr>
            </w:pPr>
            <w:r w:rsidRPr="00C156D1">
              <w:rPr>
                <w:rFonts w:cstheme="minorHAnsi"/>
                <w:color w:val="000000"/>
                <w:sz w:val="20"/>
                <w:szCs w:val="20"/>
              </w:rPr>
              <w:t>Fruit juice or smoothies</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28</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16</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19</w:t>
            </w:r>
          </w:p>
        </w:tc>
        <w:tc>
          <w:tcPr>
            <w:tcW w:w="478" w:type="pct"/>
            <w:tcBorders>
              <w:top w:val="nil"/>
              <w:bottom w:val="nil"/>
            </w:tcBorders>
            <w:vAlign w:val="center"/>
          </w:tcPr>
          <w:p w:rsidR="00C73B66" w:rsidRPr="007155ED" w:rsidRDefault="00C73B66" w:rsidP="00D1717B">
            <w:pPr>
              <w:pStyle w:val="BSATableNumber"/>
              <w:spacing w:line="276" w:lineRule="auto"/>
              <w:rPr>
                <w:rFonts w:asciiTheme="minorHAnsi" w:hAnsiTheme="minorHAnsi" w:cstheme="minorHAnsi"/>
                <w:color w:val="000000"/>
                <w:sz w:val="20"/>
              </w:rPr>
            </w:pPr>
            <w:r w:rsidRPr="007155ED">
              <w:rPr>
                <w:rFonts w:asciiTheme="minorHAnsi" w:hAnsiTheme="minorHAnsi" w:cstheme="minorHAnsi"/>
                <w:color w:val="000000"/>
                <w:sz w:val="20"/>
              </w:rPr>
              <w:t>38</w:t>
            </w:r>
          </w:p>
        </w:tc>
        <w:tc>
          <w:tcPr>
            <w:tcW w:w="580" w:type="pct"/>
            <w:tcBorders>
              <w:top w:val="nil"/>
              <w:bottom w:val="nil"/>
            </w:tcBorders>
            <w:vAlign w:val="center"/>
          </w:tcPr>
          <w:p w:rsidR="00C73B66" w:rsidRPr="007155ED" w:rsidRDefault="00C73B66" w:rsidP="00EF4F17">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w:t>
            </w:r>
            <w:r w:rsidR="00EF4F17" w:rsidRPr="007155ED">
              <w:rPr>
                <w:rFonts w:asciiTheme="minorHAnsi" w:hAnsiTheme="minorHAnsi" w:cstheme="minorHAnsi"/>
                <w:i/>
                <w:color w:val="000000"/>
                <w:sz w:val="20"/>
              </w:rPr>
              <w:t>080</w:t>
            </w:r>
          </w:p>
        </w:tc>
        <w:tc>
          <w:tcPr>
            <w:tcW w:w="634" w:type="pct"/>
            <w:vAlign w:val="center"/>
          </w:tcPr>
          <w:p w:rsidR="00C73B66" w:rsidRPr="007155ED" w:rsidRDefault="00C73B66" w:rsidP="00D1717B">
            <w:pPr>
              <w:pStyle w:val="BSATableNumber"/>
              <w:spacing w:line="276" w:lineRule="auto"/>
              <w:rPr>
                <w:rFonts w:asciiTheme="minorHAnsi" w:hAnsiTheme="minorHAnsi" w:cstheme="minorHAnsi"/>
                <w:i/>
                <w:color w:val="000000"/>
                <w:sz w:val="20"/>
              </w:rPr>
            </w:pPr>
            <w:r w:rsidRPr="007155ED">
              <w:rPr>
                <w:rFonts w:asciiTheme="minorHAnsi" w:hAnsiTheme="minorHAnsi" w:cstheme="minorHAnsi"/>
                <w:i/>
                <w:color w:val="000000"/>
                <w:sz w:val="20"/>
              </w:rPr>
              <w:t>4079</w:t>
            </w:r>
          </w:p>
        </w:tc>
      </w:tr>
      <w:tr w:rsidR="00C73B66" w:rsidRPr="00CD78C7" w:rsidTr="00826636">
        <w:trPr>
          <w:trHeight w:val="227"/>
        </w:trPr>
        <w:tc>
          <w:tcPr>
            <w:tcW w:w="1874" w:type="pct"/>
            <w:tcBorders>
              <w:top w:val="nil"/>
              <w:bottom w:val="single" w:sz="12" w:space="0" w:color="auto"/>
            </w:tcBorders>
          </w:tcPr>
          <w:p w:rsidR="00C73B66" w:rsidRPr="00CD78C7" w:rsidRDefault="00C73B66" w:rsidP="00C73B66">
            <w:pPr>
              <w:pStyle w:val="BSATableBase"/>
              <w:spacing w:before="0" w:after="0" w:line="276" w:lineRule="auto"/>
              <w:rPr>
                <w:rFonts w:asciiTheme="minorHAnsi" w:hAnsiTheme="minorHAnsi" w:cstheme="minorHAnsi"/>
                <w:i w:val="0"/>
                <w:sz w:val="20"/>
              </w:rPr>
            </w:pPr>
          </w:p>
        </w:tc>
        <w:tc>
          <w:tcPr>
            <w:tcW w:w="478"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78"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78"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478"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580" w:type="pct"/>
            <w:tcBorders>
              <w:top w:val="nil"/>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c>
          <w:tcPr>
            <w:tcW w:w="634" w:type="pct"/>
            <w:tcBorders>
              <w:bottom w:val="single" w:sz="12" w:space="0" w:color="auto"/>
            </w:tcBorders>
          </w:tcPr>
          <w:p w:rsidR="00C73B66" w:rsidRPr="00CD78C7" w:rsidRDefault="00C73B66" w:rsidP="00C73B66">
            <w:pPr>
              <w:pStyle w:val="BSATableBaseNumber"/>
              <w:spacing w:before="0" w:after="0" w:line="276" w:lineRule="auto"/>
              <w:rPr>
                <w:rFonts w:asciiTheme="minorHAnsi" w:hAnsiTheme="minorHAnsi" w:cstheme="minorHAnsi"/>
                <w:i w:val="0"/>
                <w:sz w:val="20"/>
              </w:rPr>
            </w:pPr>
          </w:p>
        </w:tc>
      </w:tr>
    </w:tbl>
    <w:p w:rsidR="00816EC1" w:rsidRPr="00A018E9"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C73B66" w:rsidRDefault="00C73B66" w:rsidP="00C73B66">
      <w:pPr>
        <w:pStyle w:val="BodyCopy"/>
        <w:spacing w:before="240" w:line="276" w:lineRule="auto"/>
      </w:pPr>
      <w:r>
        <w:t xml:space="preserve">Those in S1 were less likely than older children to consume sugary drinks daily (20% compared with 22-27%). And </w:t>
      </w:r>
      <w:r w:rsidRPr="00C156D1">
        <w:t>boys were more likely than girls to consume such drinks daily (2</w:t>
      </w:r>
      <w:r>
        <w:t>6</w:t>
      </w:r>
      <w:r w:rsidRPr="00C156D1">
        <w:t>% compared with 2</w:t>
      </w:r>
      <w:r>
        <w:t>1</w:t>
      </w:r>
      <w:r w:rsidRPr="00C156D1">
        <w:t xml:space="preserve">%), meaning that the highest figures for daily consumption were found among boys in S3 </w:t>
      </w:r>
      <w:r>
        <w:t xml:space="preserve">(28%) </w:t>
      </w:r>
      <w:r w:rsidRPr="00C156D1">
        <w:t xml:space="preserve">and </w:t>
      </w:r>
      <w:r w:rsidRPr="000C1247">
        <w:t>S4 (29%).</w:t>
      </w:r>
      <w:r>
        <w:t xml:space="preserve"> </w:t>
      </w:r>
    </w:p>
    <w:p w:rsidR="00C73B66" w:rsidRDefault="00C73B66" w:rsidP="00C73B66">
      <w:pPr>
        <w:pStyle w:val="BodyCopy"/>
        <w:spacing w:before="240" w:line="276" w:lineRule="auto"/>
      </w:pPr>
      <w:r>
        <w:t xml:space="preserve">A lower proportion of those living with two parents (21%) drank sugary drinks every day in comparison with those in other </w:t>
      </w:r>
      <w:r w:rsidR="00F0112C">
        <w:t xml:space="preserve">types of </w:t>
      </w:r>
      <w:r>
        <w:t>household (29% to 33%). Those with no siblings at home were also more likely to consume sugary drinks every day (27%) compared with those with one or more sibling at home (23%).</w:t>
      </w:r>
    </w:p>
    <w:p w:rsidR="00C73B66" w:rsidRDefault="00C73B66" w:rsidP="00C73B66">
      <w:pPr>
        <w:pStyle w:val="BodyCopy"/>
        <w:spacing w:before="240" w:line="276" w:lineRule="auto"/>
      </w:pPr>
      <w:r>
        <w:t xml:space="preserve">Consumption of sugary drinks was also </w:t>
      </w:r>
      <w:r w:rsidR="00F0112C">
        <w:t xml:space="preserve">strongly </w:t>
      </w:r>
      <w:r>
        <w:t xml:space="preserve">associated with the absence of family mealtimes. Those who never sat down to a meal with either parent were much more likely to consume sugary drinks daily: 37% doing so compared with 21% of those who sat down to a meal with at least one parent every day. Those who never (36%) or sometimes (25%) ate breakfast were </w:t>
      </w:r>
      <w:r w:rsidR="00F0112C" w:rsidRPr="00F0112C">
        <w:t xml:space="preserve">substantially </w:t>
      </w:r>
      <w:r>
        <w:t>more likely to consume sugary drinks every day compared with 17% of those who ate breakfast every day.</w:t>
      </w:r>
    </w:p>
    <w:p w:rsidR="00C73B66" w:rsidRDefault="00C73B66" w:rsidP="00C73B66">
      <w:pPr>
        <w:pStyle w:val="BodyCopy"/>
        <w:spacing w:before="240" w:line="276" w:lineRule="auto"/>
      </w:pPr>
      <w:r>
        <w:t>Daily consumption of sugary drinks was also associated with higher levels of deprivation: consumption was nearly twice as high (31%) in the most deprived quintile as in the least deprived (17%). Similarly, daily consumption was higher among those eligible for free school meals (33% compared with 22% among those not eligible).</w:t>
      </w:r>
    </w:p>
    <w:p w:rsidR="00C73B66" w:rsidRDefault="00C73B66" w:rsidP="00C73B66">
      <w:pPr>
        <w:pStyle w:val="BodyCopy"/>
        <w:spacing w:before="240" w:line="276" w:lineRule="auto"/>
      </w:pPr>
      <w:r>
        <w:rPr>
          <w:noProof/>
        </w:rPr>
        <w:lastRenderedPageBreak/>
        <w:drawing>
          <wp:inline distT="0" distB="0" distL="0" distR="0" wp14:anchorId="6C79A39A" wp14:editId="11864515">
            <wp:extent cx="5288280" cy="3627120"/>
            <wp:effectExtent l="0" t="0" r="762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2017</w:t>
      </w:r>
    </w:p>
    <w:p w:rsidR="004A0E50" w:rsidRDefault="00C8044A" w:rsidP="004A0E50">
      <w:pPr>
        <w:pStyle w:val="BodyCopy"/>
        <w:spacing w:before="240" w:line="276" w:lineRule="auto"/>
      </w:pPr>
      <w:r>
        <w:t>Around</w:t>
      </w:r>
      <w:r w:rsidR="004A0E50">
        <w:t xml:space="preserve"> half of pupils (4</w:t>
      </w:r>
      <w:r>
        <w:t>9</w:t>
      </w:r>
      <w:r w:rsidR="004A0E50">
        <w:t>%) reported eating breakfast every day with a further 3</w:t>
      </w:r>
      <w:r>
        <w:t>3</w:t>
      </w:r>
      <w:r w:rsidR="004A0E50">
        <w:t xml:space="preserve">% eating breakfast some, but not all, days and </w:t>
      </w:r>
      <w:r>
        <w:t>18</w:t>
      </w:r>
      <w:r w:rsidR="004A0E50">
        <w:t xml:space="preserve">% never eating breakfast. The proportion of pupils never eating breakfast </w:t>
      </w:r>
      <w:r>
        <w:t>tended to increase</w:t>
      </w:r>
      <w:r w:rsidR="004A0E50">
        <w:t xml:space="preserve"> with age, rising from 1</w:t>
      </w:r>
      <w:r>
        <w:t>3</w:t>
      </w:r>
      <w:r w:rsidR="004A0E50">
        <w:t>% in S1 to 2</w:t>
      </w:r>
      <w:r>
        <w:t>2</w:t>
      </w:r>
      <w:r w:rsidR="004A0E50">
        <w:t>% in S</w:t>
      </w:r>
      <w:r>
        <w:t>3</w:t>
      </w:r>
      <w:r w:rsidR="004A0E50">
        <w:t>. Girls were also more likely to consistently skip breakfast compared with boys (2</w:t>
      </w:r>
      <w:r>
        <w:t>1</w:t>
      </w:r>
      <w:r w:rsidR="004A0E50">
        <w:t>% compared with 1</w:t>
      </w:r>
      <w:r>
        <w:t>4</w:t>
      </w:r>
      <w:r w:rsidR="004A0E50">
        <w:t xml:space="preserve">%). </w:t>
      </w:r>
    </w:p>
    <w:p w:rsidR="004A0E50" w:rsidRDefault="004A0E50" w:rsidP="004A0E50">
      <w:pPr>
        <w:pStyle w:val="BodyCopy"/>
        <w:spacing w:before="240" w:line="276" w:lineRule="auto"/>
      </w:pPr>
      <w:r>
        <w:t>Whether pupils skipped breakfast varied by area deprivation and free school meal eligibility. Those in the most deprived quintile (2</w:t>
      </w:r>
      <w:r w:rsidR="00C8044A">
        <w:t>4</w:t>
      </w:r>
      <w:r>
        <w:t>%) and those eligible for free school meals (2</w:t>
      </w:r>
      <w:r w:rsidR="00C8044A">
        <w:t>8</w:t>
      </w:r>
      <w:r>
        <w:t>%) were both more likely to regularly skip breakfast compared with those in the least deprived quintile (1</w:t>
      </w:r>
      <w:r w:rsidR="00C8044A">
        <w:t>3</w:t>
      </w:r>
      <w:r>
        <w:t>%) and those ineligible for free school meals (1</w:t>
      </w:r>
      <w:r w:rsidR="00C8044A">
        <w:t>7</w:t>
      </w:r>
      <w:r>
        <w:t xml:space="preserve">%). </w:t>
      </w:r>
    </w:p>
    <w:p w:rsidR="004A0E50" w:rsidRPr="004A0E50" w:rsidRDefault="004A0E50" w:rsidP="004A0E50">
      <w:pPr>
        <w:spacing w:before="240" w:after="0"/>
      </w:pPr>
      <w:r w:rsidRPr="004A0E50">
        <w:t>Children living with two parents were less likely to skip breakfast (1</w:t>
      </w:r>
      <w:r w:rsidR="00C8044A">
        <w:t>5</w:t>
      </w:r>
      <w:r w:rsidRPr="004A0E50">
        <w:t>%) compared with children living in single parent households (2</w:t>
      </w:r>
      <w:r w:rsidR="00C8044A">
        <w:t>6</w:t>
      </w:r>
      <w:r w:rsidRPr="004A0E50">
        <w:t>%) or in step-families (2</w:t>
      </w:r>
      <w:r w:rsidR="00C8044A">
        <w:t>1</w:t>
      </w:r>
      <w:r w:rsidRPr="004A0E50">
        <w:t>%).</w:t>
      </w:r>
    </w:p>
    <w:p w:rsidR="00C73B66" w:rsidRDefault="00C73B66" w:rsidP="00EF4F17">
      <w:pPr>
        <w:pStyle w:val="Heading3"/>
        <w:spacing w:line="276" w:lineRule="auto"/>
      </w:pPr>
      <w:bookmarkStart w:id="22" w:name="_Toc494182030"/>
      <w:r>
        <w:t>Mental health and wellbeing</w:t>
      </w:r>
      <w:bookmarkEnd w:id="22"/>
    </w:p>
    <w:p w:rsidR="00C73B66" w:rsidRDefault="00C73B66" w:rsidP="00EF4F17">
      <w:pPr>
        <w:pStyle w:val="BodyCopy"/>
        <w:spacing w:line="276" w:lineRule="auto"/>
      </w:pPr>
      <w:r>
        <w:t xml:space="preserve">While there has been an increasing recognition in recent years that children’s mental and emotional wellbeing is as important as their physical health – and that problems associated with mental </w:t>
      </w:r>
      <w:r w:rsidRPr="00FB3F66">
        <w:t>ill</w:t>
      </w:r>
      <w:r>
        <w:rPr>
          <w:i/>
        </w:rPr>
        <w:t xml:space="preserve"> </w:t>
      </w:r>
      <w:r w:rsidRPr="00FB3F66">
        <w:t>health</w:t>
      </w:r>
      <w:r>
        <w:t xml:space="preserve"> often first emerge in late childhood and adolescence - local authority level data relating to such issues are not available. </w:t>
      </w:r>
    </w:p>
    <w:p w:rsidR="00C73B66" w:rsidRDefault="00C73B66" w:rsidP="00C73B66">
      <w:pPr>
        <w:pStyle w:val="Heading3"/>
        <w:numPr>
          <w:ilvl w:val="3"/>
          <w:numId w:val="13"/>
        </w:numPr>
        <w:spacing w:line="276" w:lineRule="auto"/>
      </w:pPr>
      <w:bookmarkStart w:id="23" w:name="_Toc494182031"/>
      <w:r w:rsidRPr="00C11BA3">
        <w:lastRenderedPageBreak/>
        <w:t>Strengths and Difficulties</w:t>
      </w:r>
      <w:r>
        <w:t xml:space="preserve"> Questionnaire (SDQ) (Healthy, Achieving, Included)</w:t>
      </w:r>
      <w:bookmarkEnd w:id="23"/>
    </w:p>
    <w:p w:rsidR="00CF5B83" w:rsidRDefault="00C73B66" w:rsidP="00C73B66">
      <w:pPr>
        <w:pStyle w:val="BodyCopy"/>
        <w:spacing w:before="240" w:line="276" w:lineRule="auto"/>
      </w:pPr>
      <w:r>
        <w:t>The secondary school survey incorporated a commonly used tool for assessing social, emotional and behavioural development in children: Goodman’s Strengths and Difficulties Questionnaire (SDQ).</w:t>
      </w:r>
      <w:r>
        <w:rPr>
          <w:rStyle w:val="EndnoteReference"/>
        </w:rPr>
        <w:endnoteReference w:id="4"/>
      </w:r>
      <w:r>
        <w:t xml:space="preserve"> This consists of 25 statements about the child’s behaviour, to which they can respond ‘not true’, ‘somewhat true’ or ‘certainly true’. </w:t>
      </w:r>
    </w:p>
    <w:p w:rsidR="00CF5B83" w:rsidRDefault="00C73B66" w:rsidP="00C73B66">
      <w:pPr>
        <w:pStyle w:val="BodyCopy"/>
        <w:spacing w:before="240" w:line="276" w:lineRule="auto"/>
      </w:pPr>
      <w:r>
        <w:t xml:space="preserve">Responses can be combined to form five different measures, namely emotional symptoms (for example, excessive worrying), conduct problems (for example, often fighting with other children), hyperactivity (for example, constantly fidgeting), peer problems (for example, not having close friends), and prosocial behaviour (for example, being kind to others). The first four of these can also be combined into a total difficulties scale. </w:t>
      </w:r>
    </w:p>
    <w:p w:rsidR="00CF5B83" w:rsidRDefault="00C73B66" w:rsidP="00C73B66">
      <w:pPr>
        <w:pStyle w:val="BodyCopy"/>
        <w:spacing w:before="240" w:line="276" w:lineRule="auto"/>
      </w:pPr>
      <w:r>
        <w:t xml:space="preserve">The scoring of SDQ previously resulted in the categories of ‘Normal’, ‘Borderline’ and ‘Abnormal’. In 2016 these were re-banded and different categories are now used. </w:t>
      </w:r>
      <w:r>
        <w:rPr>
          <w:rFonts w:cs="Arial"/>
        </w:rPr>
        <w:t>The scoring cut-offs have also been standardised to reflect a more recent, British sample.</w:t>
      </w:r>
      <w:r>
        <w:rPr>
          <w:rFonts w:cs="Arial"/>
          <w:sz w:val="24"/>
        </w:rPr>
        <w:t xml:space="preserve"> </w:t>
      </w:r>
      <w:r>
        <w:t xml:space="preserve">For the new banding, responses are classified as being </w:t>
      </w:r>
      <w:r w:rsidR="00CF5B83">
        <w:t>‘</w:t>
      </w:r>
      <w:r>
        <w:t>close to average</w:t>
      </w:r>
      <w:r w:rsidR="00CF5B83">
        <w:t>’</w:t>
      </w:r>
      <w:r>
        <w:t xml:space="preserve">, </w:t>
      </w:r>
      <w:r w:rsidR="00CF5B83">
        <w:t>‘</w:t>
      </w:r>
      <w:r>
        <w:t>slightly raised</w:t>
      </w:r>
      <w:r w:rsidR="00CF5B83">
        <w:t>’</w:t>
      </w:r>
      <w:r>
        <w:t xml:space="preserve">, </w:t>
      </w:r>
      <w:r w:rsidR="00CF5B83">
        <w:t>‘</w:t>
      </w:r>
      <w:r>
        <w:t>high</w:t>
      </w:r>
      <w:r w:rsidR="00CF5B83">
        <w:t>’</w:t>
      </w:r>
      <w:r>
        <w:t xml:space="preserve"> and </w:t>
      </w:r>
      <w:r w:rsidR="00CF5B83">
        <w:t>‘</w:t>
      </w:r>
      <w:r>
        <w:t>very high</w:t>
      </w:r>
      <w:r w:rsidR="00CF5B83">
        <w:t>’</w:t>
      </w:r>
      <w:r>
        <w:t xml:space="preserve"> on each of the scales</w:t>
      </w:r>
      <w:r w:rsidR="00CF5B83">
        <w:t>. The</w:t>
      </w:r>
      <w:r>
        <w:t xml:space="preserve"> ‘very high’ </w:t>
      </w:r>
      <w:r w:rsidR="00CF5B83">
        <w:t xml:space="preserve">category </w:t>
      </w:r>
      <w:r>
        <w:t>indicat</w:t>
      </w:r>
      <w:r w:rsidR="00CF5B83">
        <w:t>es</w:t>
      </w:r>
      <w:r>
        <w:t xml:space="preserve"> multiple </w:t>
      </w:r>
      <w:r w:rsidR="00CF5B83">
        <w:t xml:space="preserve">emotional and behaviour </w:t>
      </w:r>
      <w:r>
        <w:t xml:space="preserve">problems </w:t>
      </w:r>
      <w:r w:rsidR="00CF5B83">
        <w:t xml:space="preserve">have been </w:t>
      </w:r>
      <w:r>
        <w:t>identified</w:t>
      </w:r>
    </w:p>
    <w:p w:rsidR="00826636" w:rsidRDefault="00CF5B83" w:rsidP="00C73B66">
      <w:pPr>
        <w:pStyle w:val="BodyCopy"/>
        <w:spacing w:before="240" w:line="276" w:lineRule="auto"/>
      </w:pPr>
      <w:r>
        <w:t>The exception being</w:t>
      </w:r>
      <w:r w:rsidR="00C73B66">
        <w:t xml:space="preserve"> the prosocial scale which is divided into </w:t>
      </w:r>
      <w:r>
        <w:t>‘</w:t>
      </w:r>
      <w:r w:rsidR="00C73B66">
        <w:t>close to average</w:t>
      </w:r>
      <w:r>
        <w:t>’</w:t>
      </w:r>
      <w:r w:rsidR="00C73B66">
        <w:t xml:space="preserve">, </w:t>
      </w:r>
      <w:r>
        <w:t>‘</w:t>
      </w:r>
      <w:r w:rsidR="00C73B66">
        <w:t>slightly lowered</w:t>
      </w:r>
      <w:r>
        <w:t>’</w:t>
      </w:r>
      <w:r w:rsidR="00C73B66">
        <w:t xml:space="preserve">, </w:t>
      </w:r>
      <w:r>
        <w:t>‘</w:t>
      </w:r>
      <w:r w:rsidR="00C73B66">
        <w:t>low</w:t>
      </w:r>
      <w:r>
        <w:t>’</w:t>
      </w:r>
      <w:r w:rsidR="00C73B66">
        <w:t xml:space="preserve"> and </w:t>
      </w:r>
      <w:r>
        <w:t>‘</w:t>
      </w:r>
      <w:r w:rsidR="00C73B66">
        <w:t>very low</w:t>
      </w:r>
      <w:r w:rsidR="00826636">
        <w:t>’.</w:t>
      </w:r>
      <w:r w:rsidR="00C73B66">
        <w:t xml:space="preserve"> </w:t>
      </w:r>
      <w:r w:rsidR="00826636">
        <w:t>W</w:t>
      </w:r>
      <w:r w:rsidR="00C73B66">
        <w:t xml:space="preserve">ith ‘very low’ indicating </w:t>
      </w:r>
      <w:r w:rsidR="00826636">
        <w:t>very little prosocial behaviour identified</w:t>
      </w:r>
      <w:r w:rsidR="00C73B66">
        <w:t xml:space="preserve">. The further the response from close to the average, the greater the potential cause for concern. </w:t>
      </w:r>
    </w:p>
    <w:p w:rsidR="00C73B66" w:rsidRDefault="00C73B66" w:rsidP="00C73B66">
      <w:pPr>
        <w:pStyle w:val="BodyCopy"/>
        <w:spacing w:before="240" w:line="276" w:lineRule="auto"/>
      </w:pPr>
      <w:r>
        <w:t>The legend on the chart below shows the categories for each of the difficulties scales, with the categories for the prosocial behaviour scale in brackets.</w:t>
      </w:r>
      <w:r w:rsidR="00C415A0">
        <w:t xml:space="preserve"> More details of how the SDQ scales were created are provided in the appendix.</w:t>
      </w:r>
    </w:p>
    <w:p w:rsidR="00C73B66" w:rsidRDefault="00C73B66" w:rsidP="007155ED">
      <w:pPr>
        <w:pStyle w:val="BodyCopy"/>
        <w:spacing w:before="240" w:line="276" w:lineRule="auto"/>
      </w:pPr>
      <w:r>
        <w:t xml:space="preserve">Across the various scales, between 61% and 81% of pupils in S1 to S4 were categorised as being close to average. </w:t>
      </w:r>
      <w:r w:rsidRPr="00477616">
        <w:t xml:space="preserve">The proportion deviating from the average was greatest in relation to </w:t>
      </w:r>
      <w:r>
        <w:t xml:space="preserve">both </w:t>
      </w:r>
      <w:r w:rsidRPr="00477616">
        <w:t>prosocial behaviour</w:t>
      </w:r>
      <w:r>
        <w:t xml:space="preserve">, </w:t>
      </w:r>
      <w:r w:rsidRPr="00477616">
        <w:t xml:space="preserve">implying there was less of this </w:t>
      </w:r>
      <w:r w:rsidR="00826636">
        <w:t>kind</w:t>
      </w:r>
      <w:r w:rsidRPr="00477616">
        <w:t xml:space="preserve"> of positive behaviour (being kind to younger children, volunteering to help others, etc.) than might be expected</w:t>
      </w:r>
      <w:r>
        <w:t xml:space="preserve"> and emotional symptoms, </w:t>
      </w:r>
      <w:r w:rsidRPr="00477616">
        <w:t>indicating a higher than expected level of emotional issues, such as feeling unhappy or being nervous in new situations</w:t>
      </w:r>
      <w:r>
        <w:t>.</w:t>
      </w:r>
    </w:p>
    <w:p w:rsidR="00C73B66" w:rsidRDefault="00C73B66" w:rsidP="00C73B66">
      <w:pPr>
        <w:rPr>
          <w:lang w:eastAsia="en-GB"/>
        </w:rPr>
      </w:pPr>
      <w:r>
        <w:rPr>
          <w:noProof/>
          <w:lang w:eastAsia="en-GB"/>
        </w:rPr>
        <w:lastRenderedPageBreak/>
        <w:drawing>
          <wp:inline distT="0" distB="0" distL="0" distR="0" wp14:anchorId="6714ECF3" wp14:editId="28D31A91">
            <wp:extent cx="5400675" cy="3670628"/>
            <wp:effectExtent l="0" t="0" r="0" b="63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BodyCopy"/>
        <w:spacing w:before="240" w:line="276" w:lineRule="auto"/>
      </w:pPr>
      <w:r>
        <w:t xml:space="preserve">Although SDQ has been reported on as part of SALSUS, the revision to the cut-off points means it is not possible to make direct comparisons with national data. </w:t>
      </w:r>
      <w:r w:rsidR="00EC327A" w:rsidRPr="00EC327A">
        <w:t xml:space="preserve">Comparisons using the </w:t>
      </w:r>
      <w:r w:rsidR="00D27384">
        <w:t>previous</w:t>
      </w:r>
      <w:r w:rsidR="00EC327A" w:rsidRPr="00EC327A">
        <w:t xml:space="preserve"> categories are provided at the end of this section. </w:t>
      </w:r>
      <w:r>
        <w:t xml:space="preserve">The revised measures were, however, validated on a UK sample of children aged 4 to 17, which found around 80% were categorised as close to average on each sub-scale. The higher score in the validated UK sample may be due to higher scores for the younger age group, although this presumes that the general </w:t>
      </w:r>
      <w:r w:rsidRPr="00477616">
        <w:t>pattern of scores declining as age increases shown in the RCS sample in Table 2.2.3</w:t>
      </w:r>
      <w:r>
        <w:t>b</w:t>
      </w:r>
      <w:r w:rsidRPr="00477616">
        <w:t>, are applicable to other age groups.</w:t>
      </w:r>
      <w:r>
        <w:t xml:space="preserve"> </w:t>
      </w:r>
    </w:p>
    <w:p w:rsidR="00C73B66" w:rsidRDefault="00EC327A" w:rsidP="00C73B66">
      <w:pPr>
        <w:pStyle w:val="BodyCopy"/>
        <w:spacing w:before="240" w:line="276" w:lineRule="auto"/>
      </w:pPr>
      <w:r>
        <w:t>Within S1 to S4, o</w:t>
      </w:r>
      <w:r w:rsidR="00C73B66">
        <w:t xml:space="preserve">lder pupils were </w:t>
      </w:r>
      <w:r>
        <w:t xml:space="preserve">certainly </w:t>
      </w:r>
      <w:r w:rsidR="00C73B66">
        <w:t>more likely to have a raised total difficulty score: the proportion in this group increased from 27% in S1 (including 10% very high) to 42% in S4 (including 18% very high). This is largely driven by differences by age on the emotional symptoms scale (with the proportion with a raised score increasing from 32% in S1 to 48% in S4) and on the hyperactivity scale (the proportion with raised scores increased from 28% in S1 to 42% in S4); there were also raised difficulty scores by school year group for conduct problems and peer problems. On one set of measures, the prosocial scale, those in S1 scored worse than older pupils (30% with lowered prosocial behaviour, indicative of greater problems on this sub-scale compared with 40% to 45% in subsequent year groups).</w:t>
      </w:r>
    </w:p>
    <w:p w:rsidR="00C73B66" w:rsidRDefault="00C73B66" w:rsidP="00C73B66">
      <w:pPr>
        <w:pStyle w:val="BodyCopy"/>
        <w:spacing w:before="240" w:line="276" w:lineRule="auto"/>
      </w:pPr>
      <w:r>
        <w:t xml:space="preserve">Girls were more likely than boys to have a raised score on the total difficulties scale (37% raised, including 15% very high compared with 31% raised, including 12% very high for boys). This gender gap was especially pronounced in relation to the emotional symptoms scale (51% of girls with a raised score, including 25% very high compared with 25% of boys with a raised score, </w:t>
      </w:r>
      <w:r>
        <w:lastRenderedPageBreak/>
        <w:t>including 9% very high). The reverse pattern was found for the conduct scale (22</w:t>
      </w:r>
      <w:r w:rsidRPr="00C156D1">
        <w:t xml:space="preserve">% of boys raised including </w:t>
      </w:r>
      <w:r>
        <w:t>5</w:t>
      </w:r>
      <w:r w:rsidRPr="00C156D1">
        <w:t>% very high compared with 1</w:t>
      </w:r>
      <w:r>
        <w:t>5</w:t>
      </w:r>
      <w:r w:rsidRPr="00C156D1">
        <w:t xml:space="preserve">% and </w:t>
      </w:r>
      <w:r>
        <w:t>4</w:t>
      </w:r>
      <w:r w:rsidRPr="00C156D1">
        <w:t>% respectively for girls). This reverse pattern was also seen on the prosocial scale, with a higher proportion of boys having a lowered score (</w:t>
      </w:r>
      <w:r>
        <w:t>50</w:t>
      </w:r>
      <w:r w:rsidRPr="00C156D1">
        <w:t>% lowered, including 1</w:t>
      </w:r>
      <w:r>
        <w:t>7</w:t>
      </w:r>
      <w:r w:rsidRPr="00C156D1">
        <w:t>% very low compared with 2</w:t>
      </w:r>
      <w:r>
        <w:t>8</w:t>
      </w:r>
      <w:r w:rsidRPr="00C156D1">
        <w:t xml:space="preserve">% of girls with a lowered score, including </w:t>
      </w:r>
      <w:r>
        <w:t>8</w:t>
      </w:r>
      <w:r w:rsidRPr="00C156D1">
        <w:t>% very low).</w:t>
      </w:r>
    </w:p>
    <w:p w:rsidR="00C73B66" w:rsidRPr="00C156D1" w:rsidRDefault="00C73B66" w:rsidP="00C73B66">
      <w:pPr>
        <w:pStyle w:val="BodyCopy"/>
        <w:spacing w:before="240" w:line="276" w:lineRule="auto"/>
      </w:pPr>
      <w:r>
        <w:t xml:space="preserve">Taken together, age and </w:t>
      </w:r>
      <w:r w:rsidR="00826636">
        <w:t>gender</w:t>
      </w:r>
      <w:r>
        <w:t xml:space="preserve"> had a pronounced effect, such that almost half the girls in S4 (47%) had a raised total difficulties score, including 20% very high, and 66% of S4 girls had a raised emotional symptoms score, including 37% very high.</w:t>
      </w:r>
    </w:p>
    <w:p w:rsidR="00C73B66" w:rsidRPr="00C156D1" w:rsidRDefault="00C73B66" w:rsidP="00C73B66">
      <w:pPr>
        <w:pStyle w:val="BodyCopy"/>
        <w:spacing w:before="240" w:line="276" w:lineRule="auto"/>
      </w:pPr>
      <w:r w:rsidRPr="00C156D1">
        <w:t>A higher proportion of those eligible for free school meals had a raised score on the total difficulties scale (</w:t>
      </w:r>
      <w:r>
        <w:t>50</w:t>
      </w:r>
      <w:r w:rsidRPr="00C156D1">
        <w:t>% compared with 3</w:t>
      </w:r>
      <w:r>
        <w:t>3</w:t>
      </w:r>
      <w:r w:rsidRPr="00C156D1">
        <w:t>% of non-eligible pupils). The same was true for emotional problems (</w:t>
      </w:r>
      <w:r>
        <w:t>45</w:t>
      </w:r>
      <w:r w:rsidRPr="00C156D1">
        <w:t>% and 3</w:t>
      </w:r>
      <w:r>
        <w:t>8</w:t>
      </w:r>
      <w:r w:rsidRPr="00C156D1">
        <w:t>% respectively) conduct problems (</w:t>
      </w:r>
      <w:r>
        <w:t>32</w:t>
      </w:r>
      <w:r w:rsidRPr="00C156D1">
        <w:t xml:space="preserve">% and </w:t>
      </w:r>
      <w:r>
        <w:t>18</w:t>
      </w:r>
      <w:r w:rsidRPr="00C156D1">
        <w:t>% respectively), hyperactivity (</w:t>
      </w:r>
      <w:r>
        <w:t>45</w:t>
      </w:r>
      <w:r w:rsidRPr="00C156D1">
        <w:t>% and 3</w:t>
      </w:r>
      <w:r>
        <w:t>3</w:t>
      </w:r>
      <w:r w:rsidRPr="00C156D1">
        <w:t>% respectively) and peer problems (4</w:t>
      </w:r>
      <w:r>
        <w:t>2</w:t>
      </w:r>
      <w:r w:rsidRPr="00C156D1">
        <w:t xml:space="preserve">% and 32% respectively). </w:t>
      </w:r>
      <w:r>
        <w:t xml:space="preserve">There was no significant relationship between eligibility for free school meals and </w:t>
      </w:r>
      <w:r w:rsidRPr="00C156D1">
        <w:t xml:space="preserve">prosocial </w:t>
      </w:r>
      <w:r>
        <w:t>behaviour.</w:t>
      </w:r>
    </w:p>
    <w:p w:rsidR="00C73B66" w:rsidRDefault="00C73B66" w:rsidP="00C73B66">
      <w:pPr>
        <w:pStyle w:val="BodyCopy"/>
        <w:spacing w:before="240" w:line="276" w:lineRule="auto"/>
      </w:pPr>
      <w:r w:rsidRPr="00C156D1">
        <w:t xml:space="preserve">Those living with </w:t>
      </w:r>
      <w:r>
        <w:t>two</w:t>
      </w:r>
      <w:r w:rsidRPr="00C156D1">
        <w:t xml:space="preserve"> parents were less likely to have a raised score on the total</w:t>
      </w:r>
      <w:r>
        <w:t xml:space="preserve"> difficulties scale (30% compared with 44% of children living with just one parent and 45% of those in a step-family). The same was true for each of the subscales: emotional symptoms scale (36% compared with 44% and 46% respectively); conduct problems (16% compared with 24% and 25%); hyperactivity (30% compared with 42% and 41%); and peer problems (30% compared with 38% and 36%). On the prosocial scale, those in two parent households were less likely than those in single parent households to have a lowered (i.e. problematic) score (37% compared with 42%).</w:t>
      </w:r>
    </w:p>
    <w:p w:rsidR="00C73B66" w:rsidRDefault="00C73B66" w:rsidP="00C73B66">
      <w:pPr>
        <w:pStyle w:val="BodyCopy"/>
        <w:spacing w:before="240" w:line="276" w:lineRule="auto"/>
      </w:pPr>
      <w:r w:rsidRPr="00C156D1">
        <w:t xml:space="preserve">Those living with </w:t>
      </w:r>
      <w:r>
        <w:t>one or more siblings at home</w:t>
      </w:r>
      <w:r w:rsidRPr="00C156D1">
        <w:t xml:space="preserve"> were less likely to have a raised score on the total</w:t>
      </w:r>
      <w:r>
        <w:t xml:space="preserve"> difficulties scale (33%) compared with children with no siblings at home (42%). The same was true for the following sub scales: conduct problems (18% compared with 23%); hyperactivity (33% compared with 38%); and peer problems (31% compared with 37%). On the prosocial scale, those </w:t>
      </w:r>
      <w:r w:rsidRPr="00C156D1">
        <w:t xml:space="preserve">with </w:t>
      </w:r>
      <w:r>
        <w:t>one or more siblings at home</w:t>
      </w:r>
      <w:r w:rsidRPr="00C156D1">
        <w:t xml:space="preserve"> were less likely</w:t>
      </w:r>
      <w:r>
        <w:t xml:space="preserve"> than those with no siblings at home to have a lowered (i.e. problematic) score (38% compared with 42%).</w:t>
      </w:r>
    </w:p>
    <w:p w:rsidR="001B39A3" w:rsidRDefault="001B39A3" w:rsidP="00C73B66">
      <w:pPr>
        <w:pStyle w:val="BodyCopy"/>
        <w:spacing w:before="240" w:line="276" w:lineRule="auto"/>
      </w:pPr>
      <w:r>
        <w:t>There were also differences in SDQ scores according to area deprivation. In relation to the total difficulties scale, 44% living in the most deprived quintile had raised scores (i.e. not close to average), including 19% very high compared with 25% in the least deprived quintile, including 10% very high. Similar patterns were seen on each of the subscales.</w:t>
      </w:r>
    </w:p>
    <w:p w:rsidR="00B64757" w:rsidRDefault="00B64757" w:rsidP="00B64757">
      <w:pPr>
        <w:pStyle w:val="BodyCopy"/>
      </w:pPr>
    </w:p>
    <w:tbl>
      <w:tblPr>
        <w:tblW w:w="8628" w:type="dxa"/>
        <w:tblInd w:w="93" w:type="dxa"/>
        <w:tblLook w:val="04A0" w:firstRow="1" w:lastRow="0" w:firstColumn="1" w:lastColumn="0" w:noHBand="0" w:noVBand="1"/>
      </w:tblPr>
      <w:tblGrid>
        <w:gridCol w:w="3242"/>
        <w:gridCol w:w="939"/>
        <w:gridCol w:w="876"/>
        <w:gridCol w:w="811"/>
        <w:gridCol w:w="807"/>
        <w:gridCol w:w="892"/>
        <w:gridCol w:w="1061"/>
      </w:tblGrid>
      <w:tr w:rsidR="00C73B66" w:rsidRPr="001D071F" w:rsidTr="007C3905">
        <w:trPr>
          <w:trHeight w:val="340"/>
        </w:trPr>
        <w:tc>
          <w:tcPr>
            <w:tcW w:w="8628" w:type="dxa"/>
            <w:gridSpan w:val="7"/>
            <w:tcBorders>
              <w:top w:val="single" w:sz="12" w:space="0" w:color="auto"/>
              <w:left w:val="nil"/>
              <w:right w:val="nil"/>
            </w:tcBorders>
            <w:shd w:val="clear" w:color="auto" w:fill="auto"/>
            <w:hideMark/>
          </w:tcPr>
          <w:p w:rsidR="00C73B66" w:rsidRPr="001D071F" w:rsidRDefault="00C73B66" w:rsidP="007C3905">
            <w:pPr>
              <w:keepNext/>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2.2.3</w:t>
            </w:r>
            <w:r w:rsidR="00F84577">
              <w:rPr>
                <w:rFonts w:ascii="Arial" w:eastAsia="Times New Roman" w:hAnsi="Arial" w:cs="Arial"/>
                <w:b/>
                <w:bCs/>
                <w:color w:val="000000"/>
                <w:sz w:val="20"/>
                <w:szCs w:val="20"/>
                <w:lang w:eastAsia="en-GB"/>
              </w:rPr>
              <w:t>b</w:t>
            </w:r>
            <w:r w:rsidRPr="001D071F">
              <w:rPr>
                <w:rFonts w:ascii="Arial" w:eastAsia="Times New Roman" w:hAnsi="Arial" w:cs="Arial"/>
                <w:b/>
                <w:bCs/>
                <w:color w:val="000000"/>
                <w:sz w:val="20"/>
                <w:szCs w:val="20"/>
                <w:lang w:eastAsia="en-GB"/>
              </w:rPr>
              <w:t xml:space="preserve"> </w:t>
            </w:r>
            <w:r w:rsidRPr="00342347">
              <w:rPr>
                <w:rFonts w:ascii="Arial" w:eastAsia="Times New Roman" w:hAnsi="Arial" w:cs="Arial"/>
                <w:b/>
                <w:bCs/>
                <w:color w:val="000000"/>
                <w:sz w:val="20"/>
                <w:szCs w:val="20"/>
                <w:lang w:eastAsia="en-GB"/>
              </w:rPr>
              <w:t>SDQ total difficulties</w:t>
            </w:r>
          </w:p>
        </w:tc>
      </w:tr>
      <w:tr w:rsidR="00C73B66" w:rsidRPr="001D071F" w:rsidTr="00076EDD">
        <w:trPr>
          <w:trHeight w:val="525"/>
        </w:trPr>
        <w:tc>
          <w:tcPr>
            <w:tcW w:w="3242" w:type="dxa"/>
            <w:tcBorders>
              <w:left w:val="nil"/>
              <w:bottom w:val="single" w:sz="12" w:space="0" w:color="auto"/>
              <w:right w:val="nil"/>
            </w:tcBorders>
            <w:shd w:val="clear" w:color="auto" w:fill="auto"/>
            <w:vAlign w:val="center"/>
            <w:hideMark/>
          </w:tcPr>
          <w:p w:rsidR="00C73B66" w:rsidRPr="007C3905" w:rsidRDefault="00C73B66" w:rsidP="00076EDD">
            <w:pPr>
              <w:keepNext/>
              <w:spacing w:after="0" w:line="240" w:lineRule="auto"/>
              <w:rPr>
                <w:rFonts w:ascii="Arial" w:eastAsia="Times New Roman" w:hAnsi="Arial" w:cs="Arial"/>
                <w:color w:val="000000"/>
                <w:sz w:val="20"/>
                <w:szCs w:val="20"/>
                <w:lang w:eastAsia="en-GB"/>
              </w:rPr>
            </w:pPr>
            <w:r w:rsidRPr="007C3905">
              <w:rPr>
                <w:rFonts w:ascii="Arial" w:eastAsia="Times New Roman" w:hAnsi="Arial" w:cs="Arial"/>
                <w:color w:val="000000"/>
                <w:sz w:val="20"/>
                <w:szCs w:val="20"/>
                <w:lang w:eastAsia="en-GB"/>
              </w:rPr>
              <w:t>SDQ total difficulties score</w:t>
            </w:r>
          </w:p>
        </w:tc>
        <w:tc>
          <w:tcPr>
            <w:tcW w:w="939" w:type="dxa"/>
            <w:tcBorders>
              <w:left w:val="nil"/>
              <w:bottom w:val="single" w:sz="12" w:space="0" w:color="auto"/>
              <w:right w:val="nil"/>
            </w:tcBorders>
            <w:shd w:val="clear" w:color="auto" w:fill="auto"/>
            <w:vAlign w:val="center"/>
            <w:hideMark/>
          </w:tcPr>
          <w:p w:rsidR="00C73B66" w:rsidRPr="001D071F" w:rsidRDefault="00C73B66" w:rsidP="00F84577">
            <w:pPr>
              <w:keepNext/>
              <w:spacing w:after="0" w:line="240" w:lineRule="auto"/>
              <w:jc w:val="center"/>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Close to average</w:t>
            </w:r>
          </w:p>
        </w:tc>
        <w:tc>
          <w:tcPr>
            <w:tcW w:w="876" w:type="dxa"/>
            <w:tcBorders>
              <w:left w:val="nil"/>
              <w:bottom w:val="single" w:sz="12" w:space="0" w:color="auto"/>
              <w:right w:val="nil"/>
            </w:tcBorders>
            <w:shd w:val="clear" w:color="auto" w:fill="auto"/>
            <w:vAlign w:val="center"/>
            <w:hideMark/>
          </w:tcPr>
          <w:p w:rsidR="00C73B66" w:rsidRPr="001D071F" w:rsidRDefault="00C73B66" w:rsidP="00F84577">
            <w:pPr>
              <w:keepNext/>
              <w:spacing w:after="0" w:line="240" w:lineRule="auto"/>
              <w:jc w:val="center"/>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Slightly raised</w:t>
            </w:r>
          </w:p>
        </w:tc>
        <w:tc>
          <w:tcPr>
            <w:tcW w:w="811" w:type="dxa"/>
            <w:tcBorders>
              <w:left w:val="nil"/>
              <w:bottom w:val="single" w:sz="12" w:space="0" w:color="auto"/>
              <w:right w:val="nil"/>
            </w:tcBorders>
            <w:shd w:val="clear" w:color="auto" w:fill="auto"/>
            <w:vAlign w:val="center"/>
            <w:hideMark/>
          </w:tcPr>
          <w:p w:rsidR="00C73B66" w:rsidRPr="001D071F" w:rsidRDefault="00C73B66" w:rsidP="00F84577">
            <w:pPr>
              <w:keepNext/>
              <w:spacing w:after="0" w:line="240" w:lineRule="auto"/>
              <w:jc w:val="center"/>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High</w:t>
            </w:r>
          </w:p>
        </w:tc>
        <w:tc>
          <w:tcPr>
            <w:tcW w:w="807" w:type="dxa"/>
            <w:tcBorders>
              <w:left w:val="nil"/>
              <w:bottom w:val="single" w:sz="12" w:space="0" w:color="auto"/>
              <w:right w:val="nil"/>
            </w:tcBorders>
            <w:shd w:val="clear" w:color="auto" w:fill="auto"/>
            <w:vAlign w:val="center"/>
            <w:hideMark/>
          </w:tcPr>
          <w:p w:rsidR="00C73B66" w:rsidRPr="001D071F" w:rsidRDefault="00C73B66" w:rsidP="00F84577">
            <w:pPr>
              <w:keepNext/>
              <w:spacing w:after="0" w:line="240" w:lineRule="auto"/>
              <w:jc w:val="center"/>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Very high</w:t>
            </w:r>
          </w:p>
        </w:tc>
        <w:tc>
          <w:tcPr>
            <w:tcW w:w="892" w:type="dxa"/>
            <w:tcBorders>
              <w:left w:val="nil"/>
              <w:bottom w:val="single" w:sz="12" w:space="0" w:color="auto"/>
              <w:right w:val="nil"/>
            </w:tcBorders>
            <w:shd w:val="clear" w:color="auto" w:fill="auto"/>
            <w:vAlign w:val="center"/>
            <w:hideMark/>
          </w:tcPr>
          <w:p w:rsidR="00C73B66" w:rsidRPr="001D071F" w:rsidRDefault="00C73B66" w:rsidP="00C73B66">
            <w:pPr>
              <w:keepNext/>
              <w:spacing w:after="0" w:line="240" w:lineRule="auto"/>
              <w:jc w:val="center"/>
              <w:rPr>
                <w:rFonts w:ascii="Arial" w:eastAsia="Times New Roman" w:hAnsi="Arial" w:cs="Arial"/>
                <w:i/>
                <w:iCs/>
                <w:color w:val="000000"/>
                <w:sz w:val="16"/>
                <w:szCs w:val="16"/>
                <w:lang w:eastAsia="en-GB"/>
              </w:rPr>
            </w:pPr>
            <w:r w:rsidRPr="001D071F">
              <w:rPr>
                <w:rFonts w:ascii="Arial" w:eastAsia="Times New Roman" w:hAnsi="Arial" w:cs="Arial"/>
                <w:i/>
                <w:iCs/>
                <w:color w:val="000000"/>
                <w:sz w:val="16"/>
                <w:szCs w:val="16"/>
                <w:lang w:eastAsia="en-GB"/>
              </w:rPr>
              <w:t>Weighted base</w:t>
            </w:r>
            <w:r w:rsidR="00F84577">
              <w:rPr>
                <w:rFonts w:ascii="Arial" w:eastAsia="Times New Roman" w:hAnsi="Arial" w:cs="Arial"/>
                <w:i/>
                <w:iCs/>
                <w:color w:val="000000"/>
                <w:sz w:val="16"/>
                <w:szCs w:val="16"/>
                <w:lang w:eastAsia="en-GB"/>
              </w:rPr>
              <w:t>s</w:t>
            </w:r>
          </w:p>
        </w:tc>
        <w:tc>
          <w:tcPr>
            <w:tcW w:w="1061" w:type="dxa"/>
            <w:tcBorders>
              <w:left w:val="nil"/>
              <w:bottom w:val="single" w:sz="12" w:space="0" w:color="auto"/>
              <w:right w:val="nil"/>
            </w:tcBorders>
            <w:shd w:val="clear" w:color="auto" w:fill="auto"/>
            <w:vAlign w:val="center"/>
            <w:hideMark/>
          </w:tcPr>
          <w:p w:rsidR="00C73B66" w:rsidRPr="001D071F" w:rsidRDefault="00C73B66" w:rsidP="00C73B66">
            <w:pPr>
              <w:keepNext/>
              <w:spacing w:after="0" w:line="240" w:lineRule="auto"/>
              <w:jc w:val="center"/>
              <w:rPr>
                <w:rFonts w:ascii="Arial" w:eastAsia="Times New Roman" w:hAnsi="Arial" w:cs="Arial"/>
                <w:i/>
                <w:iCs/>
                <w:color w:val="000000"/>
                <w:sz w:val="16"/>
                <w:szCs w:val="16"/>
                <w:lang w:eastAsia="en-GB"/>
              </w:rPr>
            </w:pPr>
            <w:r w:rsidRPr="001D071F">
              <w:rPr>
                <w:rFonts w:ascii="Arial" w:eastAsia="Times New Roman" w:hAnsi="Arial" w:cs="Arial"/>
                <w:i/>
                <w:iCs/>
                <w:color w:val="000000"/>
                <w:sz w:val="16"/>
                <w:szCs w:val="16"/>
                <w:lang w:eastAsia="en-GB"/>
              </w:rPr>
              <w:t>Unweighted base</w:t>
            </w:r>
            <w:r w:rsidR="00F84577">
              <w:rPr>
                <w:rFonts w:ascii="Arial" w:eastAsia="Times New Roman" w:hAnsi="Arial" w:cs="Arial"/>
                <w:i/>
                <w:iCs/>
                <w:color w:val="000000"/>
                <w:sz w:val="16"/>
                <w:szCs w:val="16"/>
                <w:lang w:eastAsia="en-GB"/>
              </w:rPr>
              <w:t>s</w:t>
            </w:r>
          </w:p>
        </w:tc>
      </w:tr>
      <w:tr w:rsidR="00C73B66" w:rsidRPr="001D071F" w:rsidTr="007C3905">
        <w:trPr>
          <w:trHeight w:val="283"/>
        </w:trPr>
        <w:tc>
          <w:tcPr>
            <w:tcW w:w="8628" w:type="dxa"/>
            <w:gridSpan w:val="7"/>
            <w:tcBorders>
              <w:top w:val="nil"/>
              <w:left w:val="nil"/>
              <w:bottom w:val="single" w:sz="4" w:space="0" w:color="auto"/>
              <w:right w:val="nil"/>
            </w:tcBorders>
            <w:shd w:val="clear" w:color="auto" w:fill="auto"/>
            <w:noWrap/>
            <w:vAlign w:val="center"/>
            <w:hideMark/>
          </w:tcPr>
          <w:p w:rsidR="00C73B66" w:rsidRPr="001D071F" w:rsidRDefault="00C73B66" w:rsidP="00C73B66">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C73B66" w:rsidRPr="001D071F" w:rsidTr="00F84577">
        <w:trPr>
          <w:trHeight w:val="300"/>
        </w:trPr>
        <w:tc>
          <w:tcPr>
            <w:tcW w:w="3242"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All</w:t>
            </w:r>
          </w:p>
        </w:tc>
        <w:tc>
          <w:tcPr>
            <w:tcW w:w="939"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6</w:t>
            </w:r>
            <w:r>
              <w:rPr>
                <w:rFonts w:ascii="Arial" w:eastAsia="Times New Roman" w:hAnsi="Arial" w:cs="Arial"/>
                <w:color w:val="000000"/>
                <w:sz w:val="20"/>
                <w:szCs w:val="20"/>
                <w:lang w:eastAsia="en-GB"/>
              </w:rPr>
              <w:t>6</w:t>
            </w:r>
          </w:p>
        </w:tc>
        <w:tc>
          <w:tcPr>
            <w:tcW w:w="876"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4</w:t>
            </w:r>
          </w:p>
        </w:tc>
        <w:tc>
          <w:tcPr>
            <w:tcW w:w="811"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7</w:t>
            </w:r>
          </w:p>
        </w:tc>
        <w:tc>
          <w:tcPr>
            <w:tcW w:w="807"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14</w:t>
            </w:r>
          </w:p>
        </w:tc>
        <w:tc>
          <w:tcPr>
            <w:tcW w:w="892"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4090</w:t>
            </w:r>
          </w:p>
        </w:tc>
        <w:tc>
          <w:tcPr>
            <w:tcW w:w="1061"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4090</w:t>
            </w:r>
          </w:p>
        </w:tc>
      </w:tr>
      <w:tr w:rsidR="00C73B66" w:rsidRPr="001D071F"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p>
        </w:tc>
        <w:tc>
          <w:tcPr>
            <w:tcW w:w="106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S1</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73</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1032</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1094</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S2</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69</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1052</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1088</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S3</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61</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999</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928</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S4</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58</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18</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974</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946</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Boys</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69</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1924</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1901</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Girls</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63</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2093</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2116</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1 (most deprived)</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56</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19</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543</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541</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2</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60</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1112</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1113</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3</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64</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729</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729</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4</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71</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825</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827</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5 (least deprived)</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75</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4</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874</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873</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Eligible for free school meals</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50</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18</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21</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433</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435</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Not eligible for free school meals</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67</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3656</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3655</w:t>
            </w:r>
          </w:p>
        </w:tc>
      </w:tr>
      <w:tr w:rsidR="00C73B66" w:rsidRPr="00342347" w:rsidTr="00F84577">
        <w:trPr>
          <w:trHeight w:val="300"/>
        </w:trPr>
        <w:tc>
          <w:tcPr>
            <w:tcW w:w="3242"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061"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 siblings at home</w:t>
            </w:r>
          </w:p>
        </w:tc>
        <w:tc>
          <w:tcPr>
            <w:tcW w:w="939"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58</w:t>
            </w:r>
          </w:p>
        </w:tc>
        <w:tc>
          <w:tcPr>
            <w:tcW w:w="876"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811"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807"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892"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858</w:t>
            </w:r>
          </w:p>
        </w:tc>
        <w:tc>
          <w:tcPr>
            <w:tcW w:w="1061"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856</w:t>
            </w:r>
          </w:p>
        </w:tc>
      </w:tr>
      <w:tr w:rsidR="00C73B66" w:rsidRPr="00342347" w:rsidTr="00F84577">
        <w:trPr>
          <w:trHeight w:val="300"/>
        </w:trPr>
        <w:tc>
          <w:tcPr>
            <w:tcW w:w="3242"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 or more siblings at home</w:t>
            </w:r>
          </w:p>
        </w:tc>
        <w:tc>
          <w:tcPr>
            <w:tcW w:w="939"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67</w:t>
            </w:r>
          </w:p>
        </w:tc>
        <w:tc>
          <w:tcPr>
            <w:tcW w:w="876"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w:t>
            </w:r>
          </w:p>
        </w:tc>
        <w:tc>
          <w:tcPr>
            <w:tcW w:w="807"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92"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3144</w:t>
            </w:r>
          </w:p>
        </w:tc>
        <w:tc>
          <w:tcPr>
            <w:tcW w:w="1061"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3147</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7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11"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07"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Two parent household</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70</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2712</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2715</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One parent household</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56</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18</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754</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754</w:t>
            </w:r>
          </w:p>
        </w:tc>
      </w:tr>
      <w:tr w:rsidR="00C73B66" w:rsidRPr="00342347" w:rsidTr="00F84577">
        <w:trPr>
          <w:trHeight w:val="300"/>
        </w:trPr>
        <w:tc>
          <w:tcPr>
            <w:tcW w:w="3242"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Step-family</w:t>
            </w:r>
          </w:p>
        </w:tc>
        <w:tc>
          <w:tcPr>
            <w:tcW w:w="939"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55</w:t>
            </w:r>
          </w:p>
        </w:tc>
        <w:tc>
          <w:tcPr>
            <w:tcW w:w="876"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81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807"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21</w:t>
            </w:r>
          </w:p>
        </w:tc>
        <w:tc>
          <w:tcPr>
            <w:tcW w:w="892"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448</w:t>
            </w:r>
          </w:p>
        </w:tc>
        <w:tc>
          <w:tcPr>
            <w:tcW w:w="1061"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448</w:t>
            </w:r>
          </w:p>
        </w:tc>
      </w:tr>
      <w:tr w:rsidR="00C73B66" w:rsidRPr="00342347" w:rsidTr="00B64757">
        <w:trPr>
          <w:trHeight w:val="300"/>
        </w:trPr>
        <w:tc>
          <w:tcPr>
            <w:tcW w:w="3242" w:type="dxa"/>
            <w:tcBorders>
              <w:top w:val="nil"/>
              <w:left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Other household type</w:t>
            </w:r>
          </w:p>
        </w:tc>
        <w:tc>
          <w:tcPr>
            <w:tcW w:w="939"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40</w:t>
            </w:r>
          </w:p>
        </w:tc>
        <w:tc>
          <w:tcPr>
            <w:tcW w:w="876"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20</w:t>
            </w:r>
          </w:p>
        </w:tc>
        <w:tc>
          <w:tcPr>
            <w:tcW w:w="811"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807"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32</w:t>
            </w:r>
          </w:p>
        </w:tc>
        <w:tc>
          <w:tcPr>
            <w:tcW w:w="892"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87</w:t>
            </w:r>
          </w:p>
        </w:tc>
        <w:tc>
          <w:tcPr>
            <w:tcW w:w="1061"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86</w:t>
            </w:r>
          </w:p>
        </w:tc>
      </w:tr>
      <w:tr w:rsidR="00C73B66" w:rsidRPr="001D071F" w:rsidTr="007C3905">
        <w:trPr>
          <w:trHeight w:val="227"/>
        </w:trPr>
        <w:tc>
          <w:tcPr>
            <w:tcW w:w="3242"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939"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876"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811"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807"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892"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1061" w:type="dxa"/>
            <w:tcBorders>
              <w:top w:val="nil"/>
              <w:left w:val="nil"/>
              <w:bottom w:val="single" w:sz="12" w:space="0" w:color="auto"/>
              <w:right w:val="nil"/>
            </w:tcBorders>
            <w:shd w:val="clear" w:color="auto" w:fill="auto"/>
            <w:noWrap/>
            <w:vAlign w:val="bottom"/>
            <w:hideMark/>
          </w:tcPr>
          <w:p w:rsidR="00C73B66" w:rsidRPr="001D071F" w:rsidRDefault="00C73B66" w:rsidP="00B64757">
            <w:pPr>
              <w:keepNext/>
              <w:spacing w:after="0" w:line="240" w:lineRule="auto"/>
              <w:rPr>
                <w:rFonts w:ascii="Arial" w:eastAsia="Times New Roman" w:hAnsi="Arial" w:cs="Arial"/>
                <w:i/>
                <w:iCs/>
                <w:color w:val="000000"/>
                <w:sz w:val="20"/>
                <w:szCs w:val="20"/>
                <w:lang w:eastAsia="en-GB"/>
              </w:rPr>
            </w:pPr>
            <w:r w:rsidRPr="001D071F">
              <w:rPr>
                <w:rFonts w:ascii="Arial" w:eastAsia="Times New Roman" w:hAnsi="Arial" w:cs="Arial"/>
                <w:i/>
                <w:iCs/>
                <w:color w:val="000000"/>
                <w:sz w:val="20"/>
                <w:szCs w:val="20"/>
                <w:lang w:eastAsia="en-GB"/>
              </w:rPr>
              <w:t> </w:t>
            </w:r>
          </w:p>
        </w:tc>
      </w:tr>
    </w:tbl>
    <w:p w:rsidR="00816EC1" w:rsidRPr="00A018E9"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C73B66" w:rsidRDefault="00C73B66" w:rsidP="00C73B66">
      <w:pPr>
        <w:pStyle w:val="BodyCopy"/>
        <w:spacing w:before="240" w:line="276" w:lineRule="auto"/>
      </w:pPr>
    </w:p>
    <w:tbl>
      <w:tblPr>
        <w:tblW w:w="9088" w:type="dxa"/>
        <w:tblInd w:w="93" w:type="dxa"/>
        <w:tblLayout w:type="fixed"/>
        <w:tblLook w:val="04A0" w:firstRow="1" w:lastRow="0" w:firstColumn="1" w:lastColumn="0" w:noHBand="0" w:noVBand="1"/>
      </w:tblPr>
      <w:tblGrid>
        <w:gridCol w:w="3096"/>
        <w:gridCol w:w="938"/>
        <w:gridCol w:w="55"/>
        <w:gridCol w:w="998"/>
        <w:gridCol w:w="908"/>
        <w:gridCol w:w="14"/>
        <w:gridCol w:w="950"/>
        <w:gridCol w:w="30"/>
        <w:gridCol w:w="966"/>
        <w:gridCol w:w="1133"/>
      </w:tblGrid>
      <w:tr w:rsidR="00C73B66" w:rsidRPr="001D071F" w:rsidTr="000C1594">
        <w:trPr>
          <w:trHeight w:val="340"/>
        </w:trPr>
        <w:tc>
          <w:tcPr>
            <w:tcW w:w="9088" w:type="dxa"/>
            <w:gridSpan w:val="10"/>
            <w:tcBorders>
              <w:top w:val="single" w:sz="12" w:space="0" w:color="auto"/>
              <w:left w:val="nil"/>
              <w:bottom w:val="nil"/>
              <w:right w:val="nil"/>
            </w:tcBorders>
            <w:shd w:val="clear" w:color="auto" w:fill="auto"/>
            <w:hideMark/>
          </w:tcPr>
          <w:p w:rsidR="00C73B66" w:rsidRPr="001D071F" w:rsidRDefault="00C73B66" w:rsidP="00B64757">
            <w:pPr>
              <w:keepNext/>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Table 2.2.3</w:t>
            </w:r>
            <w:r w:rsidR="00F84577">
              <w:rPr>
                <w:rFonts w:ascii="Arial" w:eastAsia="Times New Roman" w:hAnsi="Arial" w:cs="Arial"/>
                <w:b/>
                <w:bCs/>
                <w:color w:val="000000"/>
                <w:sz w:val="20"/>
                <w:szCs w:val="20"/>
                <w:lang w:eastAsia="en-GB"/>
              </w:rPr>
              <w:t>c</w:t>
            </w:r>
            <w:r w:rsidRPr="001D071F">
              <w:rPr>
                <w:rFonts w:ascii="Arial" w:eastAsia="Times New Roman" w:hAnsi="Arial" w:cs="Arial"/>
                <w:b/>
                <w:bCs/>
                <w:color w:val="000000"/>
                <w:sz w:val="20"/>
                <w:szCs w:val="20"/>
                <w:lang w:eastAsia="en-GB"/>
              </w:rPr>
              <w:t xml:space="preserve"> </w:t>
            </w:r>
            <w:r w:rsidRPr="00342347">
              <w:rPr>
                <w:rFonts w:ascii="Arial" w:eastAsia="Times New Roman" w:hAnsi="Arial" w:cs="Arial"/>
                <w:b/>
                <w:bCs/>
                <w:color w:val="000000"/>
                <w:sz w:val="20"/>
                <w:szCs w:val="20"/>
                <w:lang w:eastAsia="en-GB"/>
              </w:rPr>
              <w:t>SDQ prosocial behaviour</w:t>
            </w:r>
          </w:p>
        </w:tc>
      </w:tr>
      <w:tr w:rsidR="00C73B66" w:rsidRPr="001D071F" w:rsidTr="000C1594">
        <w:trPr>
          <w:trHeight w:val="567"/>
        </w:trPr>
        <w:tc>
          <w:tcPr>
            <w:tcW w:w="3096" w:type="dxa"/>
            <w:tcBorders>
              <w:top w:val="nil"/>
              <w:left w:val="nil"/>
              <w:bottom w:val="single" w:sz="12" w:space="0" w:color="auto"/>
              <w:right w:val="nil"/>
            </w:tcBorders>
            <w:shd w:val="clear" w:color="auto" w:fill="auto"/>
            <w:vAlign w:val="center"/>
            <w:hideMark/>
          </w:tcPr>
          <w:p w:rsidR="00C73B66" w:rsidRPr="007C3905" w:rsidRDefault="00C73B66" w:rsidP="00076EDD">
            <w:pPr>
              <w:keepNext/>
              <w:spacing w:after="0" w:line="240" w:lineRule="auto"/>
              <w:rPr>
                <w:rFonts w:ascii="Arial" w:eastAsia="Times New Roman" w:hAnsi="Arial" w:cs="Arial"/>
                <w:color w:val="000000"/>
                <w:sz w:val="20"/>
                <w:szCs w:val="20"/>
                <w:lang w:eastAsia="en-GB"/>
              </w:rPr>
            </w:pPr>
            <w:r w:rsidRPr="007C3905">
              <w:rPr>
                <w:rFonts w:ascii="Arial" w:eastAsia="Times New Roman" w:hAnsi="Arial" w:cs="Arial"/>
                <w:color w:val="000000"/>
                <w:sz w:val="20"/>
                <w:szCs w:val="20"/>
                <w:lang w:eastAsia="en-GB"/>
              </w:rPr>
              <w:t>SDQ prosocial behaviour score</w:t>
            </w:r>
          </w:p>
        </w:tc>
        <w:tc>
          <w:tcPr>
            <w:tcW w:w="993" w:type="dxa"/>
            <w:gridSpan w:val="2"/>
            <w:tcBorders>
              <w:top w:val="nil"/>
              <w:left w:val="nil"/>
              <w:bottom w:val="single" w:sz="12" w:space="0" w:color="auto"/>
              <w:right w:val="nil"/>
            </w:tcBorders>
            <w:shd w:val="clear" w:color="auto" w:fill="auto"/>
            <w:vAlign w:val="center"/>
            <w:hideMark/>
          </w:tcPr>
          <w:p w:rsidR="00C73B66" w:rsidRPr="001D071F" w:rsidRDefault="00C73B66" w:rsidP="00C73B66">
            <w:pPr>
              <w:keepNext/>
              <w:spacing w:after="0" w:line="240" w:lineRule="auto"/>
              <w:jc w:val="center"/>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Close to average</w:t>
            </w:r>
          </w:p>
        </w:tc>
        <w:tc>
          <w:tcPr>
            <w:tcW w:w="998" w:type="dxa"/>
            <w:tcBorders>
              <w:top w:val="nil"/>
              <w:left w:val="nil"/>
              <w:bottom w:val="single" w:sz="12" w:space="0" w:color="auto"/>
              <w:right w:val="nil"/>
            </w:tcBorders>
            <w:shd w:val="clear" w:color="auto" w:fill="auto"/>
            <w:vAlign w:val="center"/>
            <w:hideMark/>
          </w:tcPr>
          <w:p w:rsidR="00C73B66" w:rsidRPr="00AA5C0C" w:rsidRDefault="00C73B66" w:rsidP="008E0187">
            <w:pPr>
              <w:keepNext/>
              <w:spacing w:after="0" w:line="240" w:lineRule="auto"/>
              <w:jc w:val="center"/>
              <w:rPr>
                <w:rFonts w:ascii="Arial" w:eastAsia="Times New Roman" w:hAnsi="Arial" w:cs="Arial"/>
                <w:color w:val="000000"/>
                <w:sz w:val="20"/>
                <w:szCs w:val="20"/>
                <w:lang w:eastAsia="en-GB"/>
              </w:rPr>
            </w:pPr>
            <w:r w:rsidRPr="00AA5C0C">
              <w:rPr>
                <w:rFonts w:ascii="Arial" w:eastAsia="Times New Roman" w:hAnsi="Arial" w:cs="Arial"/>
                <w:color w:val="000000"/>
                <w:sz w:val="20"/>
                <w:szCs w:val="20"/>
                <w:lang w:eastAsia="en-GB"/>
              </w:rPr>
              <w:t xml:space="preserve">Slightly </w:t>
            </w:r>
            <w:r w:rsidR="008E0187" w:rsidRPr="00AA5C0C">
              <w:rPr>
                <w:rFonts w:ascii="Arial" w:eastAsia="Times New Roman" w:hAnsi="Arial" w:cs="Arial"/>
                <w:color w:val="000000"/>
                <w:sz w:val="20"/>
                <w:szCs w:val="20"/>
                <w:lang w:eastAsia="en-GB"/>
              </w:rPr>
              <w:t>lowered</w:t>
            </w:r>
          </w:p>
        </w:tc>
        <w:tc>
          <w:tcPr>
            <w:tcW w:w="922" w:type="dxa"/>
            <w:gridSpan w:val="2"/>
            <w:tcBorders>
              <w:top w:val="nil"/>
              <w:left w:val="nil"/>
              <w:bottom w:val="single" w:sz="12" w:space="0" w:color="auto"/>
              <w:right w:val="nil"/>
            </w:tcBorders>
            <w:shd w:val="clear" w:color="auto" w:fill="auto"/>
            <w:vAlign w:val="center"/>
            <w:hideMark/>
          </w:tcPr>
          <w:p w:rsidR="00C73B66" w:rsidRPr="00AA5C0C" w:rsidRDefault="008E0187" w:rsidP="00C73B66">
            <w:pPr>
              <w:keepNext/>
              <w:spacing w:after="0" w:line="240" w:lineRule="auto"/>
              <w:jc w:val="center"/>
              <w:rPr>
                <w:rFonts w:ascii="Arial" w:eastAsia="Times New Roman" w:hAnsi="Arial" w:cs="Arial"/>
                <w:color w:val="000000"/>
                <w:sz w:val="20"/>
                <w:szCs w:val="20"/>
                <w:lang w:eastAsia="en-GB"/>
              </w:rPr>
            </w:pPr>
            <w:r w:rsidRPr="00AA5C0C">
              <w:rPr>
                <w:rFonts w:ascii="Arial" w:eastAsia="Times New Roman" w:hAnsi="Arial" w:cs="Arial"/>
                <w:color w:val="000000"/>
                <w:sz w:val="20"/>
                <w:szCs w:val="20"/>
                <w:lang w:eastAsia="en-GB"/>
              </w:rPr>
              <w:t>Low</w:t>
            </w:r>
          </w:p>
        </w:tc>
        <w:tc>
          <w:tcPr>
            <w:tcW w:w="980" w:type="dxa"/>
            <w:gridSpan w:val="2"/>
            <w:tcBorders>
              <w:top w:val="nil"/>
              <w:left w:val="nil"/>
              <w:bottom w:val="single" w:sz="12" w:space="0" w:color="auto"/>
              <w:right w:val="nil"/>
            </w:tcBorders>
            <w:shd w:val="clear" w:color="auto" w:fill="auto"/>
            <w:vAlign w:val="center"/>
            <w:hideMark/>
          </w:tcPr>
          <w:p w:rsidR="00C73B66" w:rsidRPr="00AA5C0C" w:rsidRDefault="00C73B66" w:rsidP="008E0187">
            <w:pPr>
              <w:keepNext/>
              <w:spacing w:after="0" w:line="240" w:lineRule="auto"/>
              <w:jc w:val="center"/>
              <w:rPr>
                <w:rFonts w:ascii="Arial" w:eastAsia="Times New Roman" w:hAnsi="Arial" w:cs="Arial"/>
                <w:color w:val="000000"/>
                <w:sz w:val="20"/>
                <w:szCs w:val="20"/>
                <w:lang w:eastAsia="en-GB"/>
              </w:rPr>
            </w:pPr>
            <w:r w:rsidRPr="00AA5C0C">
              <w:rPr>
                <w:rFonts w:ascii="Arial" w:eastAsia="Times New Roman" w:hAnsi="Arial" w:cs="Arial"/>
                <w:color w:val="000000"/>
                <w:sz w:val="20"/>
                <w:szCs w:val="20"/>
                <w:lang w:eastAsia="en-GB"/>
              </w:rPr>
              <w:t xml:space="preserve">Very </w:t>
            </w:r>
            <w:r w:rsidR="008E0187" w:rsidRPr="00AA5C0C">
              <w:rPr>
                <w:rFonts w:ascii="Arial" w:eastAsia="Times New Roman" w:hAnsi="Arial" w:cs="Arial"/>
                <w:color w:val="000000"/>
                <w:sz w:val="20"/>
                <w:szCs w:val="20"/>
                <w:lang w:eastAsia="en-GB"/>
              </w:rPr>
              <w:t>low</w:t>
            </w:r>
          </w:p>
        </w:tc>
        <w:tc>
          <w:tcPr>
            <w:tcW w:w="966" w:type="dxa"/>
            <w:tcBorders>
              <w:top w:val="nil"/>
              <w:left w:val="nil"/>
              <w:bottom w:val="single" w:sz="12" w:space="0" w:color="auto"/>
              <w:right w:val="nil"/>
            </w:tcBorders>
            <w:shd w:val="clear" w:color="auto" w:fill="auto"/>
            <w:vAlign w:val="center"/>
            <w:hideMark/>
          </w:tcPr>
          <w:p w:rsidR="00C73B66" w:rsidRPr="001D071F" w:rsidRDefault="00C73B66" w:rsidP="00C73B66">
            <w:pPr>
              <w:keepNext/>
              <w:spacing w:after="0" w:line="240" w:lineRule="auto"/>
              <w:jc w:val="center"/>
              <w:rPr>
                <w:rFonts w:ascii="Arial" w:eastAsia="Times New Roman" w:hAnsi="Arial" w:cs="Arial"/>
                <w:i/>
                <w:iCs/>
                <w:color w:val="000000"/>
                <w:sz w:val="16"/>
                <w:szCs w:val="16"/>
                <w:lang w:eastAsia="en-GB"/>
              </w:rPr>
            </w:pPr>
            <w:r w:rsidRPr="001D071F">
              <w:rPr>
                <w:rFonts w:ascii="Arial" w:eastAsia="Times New Roman" w:hAnsi="Arial" w:cs="Arial"/>
                <w:i/>
                <w:iCs/>
                <w:color w:val="000000"/>
                <w:sz w:val="16"/>
                <w:szCs w:val="16"/>
                <w:lang w:eastAsia="en-GB"/>
              </w:rPr>
              <w:t>Weighted base</w:t>
            </w:r>
            <w:r w:rsidR="00F84577">
              <w:rPr>
                <w:rFonts w:ascii="Arial" w:eastAsia="Times New Roman" w:hAnsi="Arial" w:cs="Arial"/>
                <w:i/>
                <w:iCs/>
                <w:color w:val="000000"/>
                <w:sz w:val="16"/>
                <w:szCs w:val="16"/>
                <w:lang w:eastAsia="en-GB"/>
              </w:rPr>
              <w:t>s</w:t>
            </w:r>
          </w:p>
        </w:tc>
        <w:tc>
          <w:tcPr>
            <w:tcW w:w="1133" w:type="dxa"/>
            <w:tcBorders>
              <w:top w:val="nil"/>
              <w:left w:val="nil"/>
              <w:bottom w:val="single" w:sz="12" w:space="0" w:color="auto"/>
              <w:right w:val="nil"/>
            </w:tcBorders>
            <w:shd w:val="clear" w:color="auto" w:fill="auto"/>
            <w:vAlign w:val="center"/>
            <w:hideMark/>
          </w:tcPr>
          <w:p w:rsidR="00C73B66" w:rsidRPr="001D071F" w:rsidRDefault="00C73B66" w:rsidP="00C73B66">
            <w:pPr>
              <w:keepNext/>
              <w:spacing w:after="0" w:line="240" w:lineRule="auto"/>
              <w:jc w:val="center"/>
              <w:rPr>
                <w:rFonts w:ascii="Arial" w:eastAsia="Times New Roman" w:hAnsi="Arial" w:cs="Arial"/>
                <w:i/>
                <w:iCs/>
                <w:color w:val="000000"/>
                <w:sz w:val="16"/>
                <w:szCs w:val="16"/>
                <w:lang w:eastAsia="en-GB"/>
              </w:rPr>
            </w:pPr>
            <w:r w:rsidRPr="001D071F">
              <w:rPr>
                <w:rFonts w:ascii="Arial" w:eastAsia="Times New Roman" w:hAnsi="Arial" w:cs="Arial"/>
                <w:i/>
                <w:iCs/>
                <w:color w:val="000000"/>
                <w:sz w:val="16"/>
                <w:szCs w:val="16"/>
                <w:lang w:eastAsia="en-GB"/>
              </w:rPr>
              <w:t>Unweighted base</w:t>
            </w:r>
            <w:r w:rsidR="00F84577">
              <w:rPr>
                <w:rFonts w:ascii="Arial" w:eastAsia="Times New Roman" w:hAnsi="Arial" w:cs="Arial"/>
                <w:i/>
                <w:iCs/>
                <w:color w:val="000000"/>
                <w:sz w:val="16"/>
                <w:szCs w:val="16"/>
                <w:lang w:eastAsia="en-GB"/>
              </w:rPr>
              <w:t>s</w:t>
            </w:r>
          </w:p>
        </w:tc>
      </w:tr>
      <w:tr w:rsidR="00C73B66" w:rsidRPr="001D071F" w:rsidTr="000C1594">
        <w:trPr>
          <w:trHeight w:val="283"/>
        </w:trPr>
        <w:tc>
          <w:tcPr>
            <w:tcW w:w="9088" w:type="dxa"/>
            <w:gridSpan w:val="10"/>
            <w:tcBorders>
              <w:top w:val="nil"/>
              <w:left w:val="nil"/>
              <w:bottom w:val="single" w:sz="4" w:space="0" w:color="auto"/>
              <w:right w:val="nil"/>
            </w:tcBorders>
            <w:shd w:val="clear" w:color="auto" w:fill="auto"/>
            <w:noWrap/>
            <w:vAlign w:val="center"/>
            <w:hideMark/>
          </w:tcPr>
          <w:p w:rsidR="00C73B66" w:rsidRPr="001D071F" w:rsidRDefault="00C73B66" w:rsidP="00C73B66">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C73B66" w:rsidRPr="001D071F" w:rsidTr="000C1594">
        <w:trPr>
          <w:trHeight w:val="300"/>
        </w:trPr>
        <w:tc>
          <w:tcPr>
            <w:tcW w:w="3096"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All</w:t>
            </w:r>
          </w:p>
        </w:tc>
        <w:tc>
          <w:tcPr>
            <w:tcW w:w="938"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6</w:t>
            </w:r>
            <w:r>
              <w:rPr>
                <w:rFonts w:ascii="Arial" w:eastAsia="Times New Roman" w:hAnsi="Arial" w:cs="Arial"/>
                <w:color w:val="000000"/>
                <w:sz w:val="20"/>
                <w:szCs w:val="20"/>
                <w:lang w:eastAsia="en-GB"/>
              </w:rPr>
              <w:t>1</w:t>
            </w:r>
          </w:p>
        </w:tc>
        <w:tc>
          <w:tcPr>
            <w:tcW w:w="1053" w:type="dxa"/>
            <w:gridSpan w:val="2"/>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14</w:t>
            </w:r>
          </w:p>
        </w:tc>
        <w:tc>
          <w:tcPr>
            <w:tcW w:w="908"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2</w:t>
            </w:r>
          </w:p>
        </w:tc>
        <w:tc>
          <w:tcPr>
            <w:tcW w:w="964" w:type="dxa"/>
            <w:gridSpan w:val="2"/>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3</w:t>
            </w:r>
          </w:p>
        </w:tc>
        <w:tc>
          <w:tcPr>
            <w:tcW w:w="996" w:type="dxa"/>
            <w:gridSpan w:val="2"/>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4185</w:t>
            </w:r>
          </w:p>
        </w:tc>
        <w:tc>
          <w:tcPr>
            <w:tcW w:w="1133" w:type="dxa"/>
            <w:tcBorders>
              <w:top w:val="nil"/>
              <w:left w:val="nil"/>
              <w:bottom w:val="nil"/>
              <w:right w:val="nil"/>
            </w:tcBorders>
            <w:shd w:val="clear" w:color="auto" w:fill="auto"/>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4186</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S1</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70</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1070</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1135</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S2</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60</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1073</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1110</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S3</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58</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1017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945</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S4</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55</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987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959</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Boys</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50</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17</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1979</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1957</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Girls</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72</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9</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8</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2128</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2152</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1 (most deprived)</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59</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562</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561</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2</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61</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1147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1148</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3</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60</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743</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743</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4</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61</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838</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840</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5 (least deprived)</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63</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887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886</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Eligible for free school meals</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57</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450</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452</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Not eligible for free school meals</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61</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3734</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3734</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 siblings at home</w:t>
            </w:r>
          </w:p>
        </w:tc>
        <w:tc>
          <w:tcPr>
            <w:tcW w:w="938"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58</w:t>
            </w:r>
          </w:p>
        </w:tc>
        <w:tc>
          <w:tcPr>
            <w:tcW w:w="1053"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08"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96"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884</w:t>
            </w:r>
          </w:p>
        </w:tc>
        <w:tc>
          <w:tcPr>
            <w:tcW w:w="1133"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882</w:t>
            </w:r>
          </w:p>
        </w:tc>
      </w:tr>
      <w:tr w:rsidR="00C73B66" w:rsidRPr="001D071F" w:rsidTr="000C1594">
        <w:trPr>
          <w:trHeight w:val="300"/>
        </w:trPr>
        <w:tc>
          <w:tcPr>
            <w:tcW w:w="3096"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 or more siblings at home</w:t>
            </w:r>
          </w:p>
        </w:tc>
        <w:tc>
          <w:tcPr>
            <w:tcW w:w="938"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62</w:t>
            </w:r>
          </w:p>
        </w:tc>
        <w:tc>
          <w:tcPr>
            <w:tcW w:w="1053"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08"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3208</w:t>
            </w:r>
          </w:p>
        </w:tc>
        <w:tc>
          <w:tcPr>
            <w:tcW w:w="1133"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3211</w:t>
            </w:r>
          </w:p>
        </w:tc>
      </w:tr>
      <w:tr w:rsidR="00C73B66" w:rsidRPr="001D071F" w:rsidTr="000C1594">
        <w:trPr>
          <w:trHeight w:val="300"/>
        </w:trPr>
        <w:tc>
          <w:tcPr>
            <w:tcW w:w="3096"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rPr>
                <w:rFonts w:ascii="Arial" w:eastAsia="Times New Roman" w:hAnsi="Arial" w:cs="Arial"/>
                <w:color w:val="000000"/>
                <w:sz w:val="20"/>
                <w:szCs w:val="20"/>
                <w:lang w:eastAsia="en-GB"/>
              </w:rPr>
            </w:pPr>
          </w:p>
        </w:tc>
        <w:tc>
          <w:tcPr>
            <w:tcW w:w="938"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1053" w:type="dxa"/>
            <w:gridSpan w:val="2"/>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08" w:type="dxa"/>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64" w:type="dxa"/>
            <w:gridSpan w:val="2"/>
            <w:tcBorders>
              <w:top w:val="nil"/>
              <w:left w:val="nil"/>
              <w:bottom w:val="nil"/>
              <w:right w:val="nil"/>
            </w:tcBorders>
            <w:shd w:val="clear" w:color="auto" w:fill="auto"/>
            <w:noWrap/>
            <w:vAlign w:val="center"/>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p>
        </w:tc>
        <w:tc>
          <w:tcPr>
            <w:tcW w:w="996" w:type="dxa"/>
            <w:gridSpan w:val="2"/>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c>
          <w:tcPr>
            <w:tcW w:w="1133" w:type="dxa"/>
            <w:tcBorders>
              <w:top w:val="nil"/>
              <w:left w:val="nil"/>
              <w:bottom w:val="nil"/>
              <w:right w:val="nil"/>
            </w:tcBorders>
            <w:shd w:val="clear" w:color="auto" w:fill="auto"/>
            <w:noWrap/>
            <w:vAlign w:val="center"/>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Two parent household</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63</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13</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2767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2771</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One parent household</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58</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11</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15</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777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777</w:t>
            </w:r>
          </w:p>
        </w:tc>
      </w:tr>
      <w:tr w:rsidR="00C73B66" w:rsidRPr="001D071F" w:rsidTr="000C1594">
        <w:trPr>
          <w:trHeight w:val="300"/>
        </w:trPr>
        <w:tc>
          <w:tcPr>
            <w:tcW w:w="3096" w:type="dxa"/>
            <w:tcBorders>
              <w:top w:val="nil"/>
              <w:left w:val="nil"/>
              <w:bottom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Step-family</w:t>
            </w:r>
          </w:p>
        </w:tc>
        <w:tc>
          <w:tcPr>
            <w:tcW w:w="93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56</w:t>
            </w:r>
          </w:p>
        </w:tc>
        <w:tc>
          <w:tcPr>
            <w:tcW w:w="1053"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08"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16</w:t>
            </w:r>
          </w:p>
        </w:tc>
        <w:tc>
          <w:tcPr>
            <w:tcW w:w="964"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12</w:t>
            </w:r>
          </w:p>
        </w:tc>
        <w:tc>
          <w:tcPr>
            <w:tcW w:w="996" w:type="dxa"/>
            <w:gridSpan w:val="2"/>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457</w:t>
            </w:r>
          </w:p>
        </w:tc>
        <w:tc>
          <w:tcPr>
            <w:tcW w:w="1133" w:type="dxa"/>
            <w:tcBorders>
              <w:top w:val="nil"/>
              <w:left w:val="nil"/>
              <w:bottom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457</w:t>
            </w:r>
          </w:p>
        </w:tc>
      </w:tr>
      <w:tr w:rsidR="00C73B66" w:rsidRPr="001D071F" w:rsidTr="000C1594">
        <w:trPr>
          <w:trHeight w:val="300"/>
        </w:trPr>
        <w:tc>
          <w:tcPr>
            <w:tcW w:w="3096" w:type="dxa"/>
            <w:tcBorders>
              <w:top w:val="nil"/>
              <w:left w:val="nil"/>
              <w:right w:val="nil"/>
            </w:tcBorders>
            <w:shd w:val="clear" w:color="auto" w:fill="auto"/>
            <w:noWrap/>
            <w:vAlign w:val="center"/>
            <w:hideMark/>
          </w:tcPr>
          <w:p w:rsidR="00C73B66" w:rsidRPr="001D071F" w:rsidRDefault="00C73B66" w:rsidP="00F84577">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Other household type</w:t>
            </w:r>
          </w:p>
        </w:tc>
        <w:tc>
          <w:tcPr>
            <w:tcW w:w="938"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46</w:t>
            </w:r>
          </w:p>
        </w:tc>
        <w:tc>
          <w:tcPr>
            <w:tcW w:w="1053" w:type="dxa"/>
            <w:gridSpan w:val="2"/>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14</w:t>
            </w:r>
          </w:p>
        </w:tc>
        <w:tc>
          <w:tcPr>
            <w:tcW w:w="908"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10</w:t>
            </w:r>
          </w:p>
        </w:tc>
        <w:tc>
          <w:tcPr>
            <w:tcW w:w="964" w:type="dxa"/>
            <w:gridSpan w:val="2"/>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color w:val="000000"/>
                <w:sz w:val="20"/>
                <w:szCs w:val="20"/>
                <w:lang w:eastAsia="en-GB"/>
              </w:rPr>
            </w:pPr>
            <w:r w:rsidRPr="00342347">
              <w:rPr>
                <w:rFonts w:ascii="Arial" w:eastAsia="Times New Roman" w:hAnsi="Arial" w:cs="Arial"/>
                <w:color w:val="000000"/>
                <w:sz w:val="20"/>
                <w:szCs w:val="20"/>
                <w:lang w:eastAsia="en-GB"/>
              </w:rPr>
              <w:t>30</w:t>
            </w:r>
          </w:p>
        </w:tc>
        <w:tc>
          <w:tcPr>
            <w:tcW w:w="996" w:type="dxa"/>
            <w:gridSpan w:val="2"/>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89</w:t>
            </w:r>
          </w:p>
        </w:tc>
        <w:tc>
          <w:tcPr>
            <w:tcW w:w="1133" w:type="dxa"/>
            <w:tcBorders>
              <w:top w:val="nil"/>
              <w:left w:val="nil"/>
              <w:right w:val="nil"/>
            </w:tcBorders>
            <w:shd w:val="clear" w:color="auto" w:fill="auto"/>
            <w:noWrap/>
            <w:vAlign w:val="center"/>
            <w:hideMark/>
          </w:tcPr>
          <w:p w:rsidR="00C73B66" w:rsidRPr="00342347" w:rsidRDefault="00C73B66" w:rsidP="00F84577">
            <w:pPr>
              <w:keepNext/>
              <w:spacing w:after="0" w:line="240" w:lineRule="auto"/>
              <w:jc w:val="right"/>
              <w:rPr>
                <w:rFonts w:ascii="Arial" w:eastAsia="Times New Roman" w:hAnsi="Arial" w:cs="Arial"/>
                <w:i/>
                <w:color w:val="000000"/>
                <w:sz w:val="20"/>
                <w:szCs w:val="20"/>
                <w:lang w:eastAsia="en-GB"/>
              </w:rPr>
            </w:pPr>
            <w:r w:rsidRPr="00342347">
              <w:rPr>
                <w:rFonts w:ascii="Arial" w:eastAsia="Times New Roman" w:hAnsi="Arial" w:cs="Arial"/>
                <w:i/>
                <w:color w:val="000000"/>
                <w:sz w:val="20"/>
                <w:szCs w:val="20"/>
                <w:lang w:eastAsia="en-GB"/>
              </w:rPr>
              <w:t>88</w:t>
            </w:r>
          </w:p>
        </w:tc>
      </w:tr>
      <w:tr w:rsidR="00C73B66" w:rsidRPr="001D071F" w:rsidTr="000C1594">
        <w:trPr>
          <w:trHeight w:val="227"/>
        </w:trPr>
        <w:tc>
          <w:tcPr>
            <w:tcW w:w="3096" w:type="dxa"/>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938" w:type="dxa"/>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1053" w:type="dxa"/>
            <w:gridSpan w:val="2"/>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908" w:type="dxa"/>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964" w:type="dxa"/>
            <w:gridSpan w:val="2"/>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996" w:type="dxa"/>
            <w:gridSpan w:val="2"/>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 </w:t>
            </w:r>
          </w:p>
        </w:tc>
        <w:tc>
          <w:tcPr>
            <w:tcW w:w="1133" w:type="dxa"/>
            <w:tcBorders>
              <w:top w:val="nil"/>
              <w:left w:val="nil"/>
              <w:bottom w:val="single" w:sz="12" w:space="0" w:color="auto"/>
              <w:right w:val="nil"/>
            </w:tcBorders>
            <w:shd w:val="clear" w:color="auto" w:fill="auto"/>
            <w:noWrap/>
            <w:vAlign w:val="center"/>
            <w:hideMark/>
          </w:tcPr>
          <w:p w:rsidR="00C73B66" w:rsidRPr="001D071F" w:rsidRDefault="00C73B66" w:rsidP="00F84577">
            <w:pPr>
              <w:keepNext/>
              <w:spacing w:after="0" w:line="240" w:lineRule="auto"/>
              <w:jc w:val="right"/>
              <w:rPr>
                <w:rFonts w:ascii="Arial" w:eastAsia="Times New Roman" w:hAnsi="Arial" w:cs="Arial"/>
                <w:i/>
                <w:iCs/>
                <w:color w:val="000000"/>
                <w:sz w:val="20"/>
                <w:szCs w:val="20"/>
                <w:lang w:eastAsia="en-GB"/>
              </w:rPr>
            </w:pPr>
            <w:r w:rsidRPr="001D071F">
              <w:rPr>
                <w:rFonts w:ascii="Arial" w:eastAsia="Times New Roman" w:hAnsi="Arial" w:cs="Arial"/>
                <w:i/>
                <w:iCs/>
                <w:color w:val="000000"/>
                <w:sz w:val="20"/>
                <w:szCs w:val="20"/>
                <w:lang w:eastAsia="en-GB"/>
              </w:rPr>
              <w:t> </w:t>
            </w:r>
          </w:p>
        </w:tc>
      </w:tr>
    </w:tbl>
    <w:p w:rsidR="00816EC1"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067565" w:rsidRPr="00F02233" w:rsidRDefault="00067565" w:rsidP="00067565">
      <w:pPr>
        <w:spacing w:before="240" w:after="0"/>
      </w:pPr>
      <w:r w:rsidRPr="00F02233">
        <w:t xml:space="preserve">To allow for some comparison, the chart below shows the SDQ scores </w:t>
      </w:r>
      <w:r w:rsidR="005417D0">
        <w:t xml:space="preserve">for S2 and S4 </w:t>
      </w:r>
      <w:r w:rsidR="007524C3">
        <w:t>pupils</w:t>
      </w:r>
      <w:r w:rsidR="005417D0">
        <w:t xml:space="preserve"> </w:t>
      </w:r>
      <w:r w:rsidRPr="00F02233">
        <w:t xml:space="preserve">using the previous bandings for Scotland across 2010, 2013, and 2015, all from the Scottish Schools Adolescent Lifestyle and Substance Use Survey (SALSUS) as well as for </w:t>
      </w:r>
      <w:r>
        <w:t>Falkirk</w:t>
      </w:r>
      <w:r w:rsidRPr="00F02233">
        <w:t xml:space="preserve"> in 2010 and 2013 (from SALSUS) and 2017 (from th</w:t>
      </w:r>
      <w:r>
        <w:t>e RCS secondary school</w:t>
      </w:r>
      <w:r w:rsidRPr="00F02233">
        <w:t xml:space="preserve"> survey). Although they cannot be directly compared with the new banding, it is possible to see that </w:t>
      </w:r>
      <w:r w:rsidR="005417D0">
        <w:rPr>
          <w:rFonts w:cstheme="minorHAnsi"/>
        </w:rPr>
        <w:t>the proportion of S2 and S4 pupils in the</w:t>
      </w:r>
      <w:r w:rsidRPr="00F02233">
        <w:t xml:space="preserve"> ‘Normal’ </w:t>
      </w:r>
      <w:r w:rsidR="005417D0">
        <w:t xml:space="preserve">band </w:t>
      </w:r>
      <w:r>
        <w:t>in 2017</w:t>
      </w:r>
      <w:r w:rsidRPr="00F02233">
        <w:t xml:space="preserve"> </w:t>
      </w:r>
      <w:r w:rsidR="005417D0">
        <w:t>was the same as for</w:t>
      </w:r>
      <w:r w:rsidRPr="00F02233">
        <w:t xml:space="preserve"> Scotland </w:t>
      </w:r>
      <w:r w:rsidR="005417D0">
        <w:t>in</w:t>
      </w:r>
      <w:r>
        <w:t xml:space="preserve"> 2015</w:t>
      </w:r>
      <w:r w:rsidRPr="00F02233">
        <w:t xml:space="preserve">. </w:t>
      </w:r>
      <w:r>
        <w:t xml:space="preserve">The 2017 Falkirk figure </w:t>
      </w:r>
      <w:r w:rsidR="005417D0">
        <w:t>halt</w:t>
      </w:r>
      <w:r>
        <w:t xml:space="preserve">ed the decline </w:t>
      </w:r>
      <w:r w:rsidRPr="00F02233">
        <w:t>over time in the proportion categorised as ‘Normal’</w:t>
      </w:r>
      <w:r>
        <w:t xml:space="preserve"> that had been seen in Scotland from 2010 to 2015 and in Falkirk from 2010 to 2013. </w:t>
      </w:r>
    </w:p>
    <w:p w:rsidR="00067565" w:rsidRPr="00A018E9" w:rsidRDefault="00067565" w:rsidP="00816EC1">
      <w:pPr>
        <w:pStyle w:val="BodyCopy"/>
        <w:spacing w:after="200" w:line="276" w:lineRule="auto"/>
        <w:rPr>
          <w:i/>
          <w:sz w:val="18"/>
          <w:szCs w:val="18"/>
        </w:rPr>
      </w:pPr>
    </w:p>
    <w:p w:rsidR="00F02233" w:rsidRPr="00F02233" w:rsidRDefault="005417D0" w:rsidP="00F02233">
      <w:pPr>
        <w:spacing w:before="240" w:after="0"/>
      </w:pPr>
      <w:r>
        <w:rPr>
          <w:noProof/>
          <w:lang w:eastAsia="en-GB"/>
        </w:rPr>
        <w:lastRenderedPageBreak/>
        <w:drawing>
          <wp:inline distT="0" distB="0" distL="0" distR="0" wp14:anchorId="45AF02EB" wp14:editId="660FCDD5">
            <wp:extent cx="4951095" cy="3440591"/>
            <wp:effectExtent l="0" t="0" r="1905"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73B66" w:rsidRDefault="00F02233" w:rsidP="00CF7A67">
      <w:pPr>
        <w:spacing w:after="0"/>
      </w:pPr>
      <w:r w:rsidRPr="002733E8">
        <w:rPr>
          <w:rFonts w:ascii="Arial" w:eastAsia="Times New Roman" w:hAnsi="Arial" w:cs="Times New Roman"/>
          <w:i/>
          <w:sz w:val="18"/>
          <w:szCs w:val="18"/>
          <w:lang w:eastAsia="en-GB"/>
        </w:rPr>
        <w:t>Source: RCS secondary school survey</w:t>
      </w:r>
      <w:r w:rsidRPr="00F02233">
        <w:rPr>
          <w:i/>
          <w:sz w:val="18"/>
          <w:szCs w:val="18"/>
        </w:rPr>
        <w:t xml:space="preserve">, </w:t>
      </w:r>
      <w:r>
        <w:rPr>
          <w:i/>
          <w:sz w:val="18"/>
          <w:szCs w:val="18"/>
        </w:rPr>
        <w:t>Falkirk</w:t>
      </w:r>
      <w:r w:rsidRPr="00F02233">
        <w:rPr>
          <w:i/>
          <w:sz w:val="18"/>
          <w:szCs w:val="18"/>
        </w:rPr>
        <w:t xml:space="preserve"> 2017</w:t>
      </w:r>
      <w:r w:rsidRPr="002733E8">
        <w:rPr>
          <w:rFonts w:ascii="Arial" w:eastAsia="Times New Roman" w:hAnsi="Arial" w:cs="Times New Roman"/>
          <w:i/>
          <w:sz w:val="18"/>
          <w:szCs w:val="18"/>
          <w:lang w:eastAsia="en-GB"/>
        </w:rPr>
        <w:t xml:space="preserve"> / SALSUS</w:t>
      </w:r>
      <w:r w:rsidRPr="00F02233">
        <w:rPr>
          <w:rFonts w:ascii="Arial" w:eastAsia="Times New Roman" w:hAnsi="Arial" w:cs="Times New Roman"/>
          <w:i/>
          <w:sz w:val="18"/>
          <w:szCs w:val="18"/>
          <w:lang w:eastAsia="en-GB"/>
        </w:rPr>
        <w:t xml:space="preserve"> 2010, 2013 &amp; 2015</w:t>
      </w:r>
    </w:p>
    <w:p w:rsidR="00C73B66" w:rsidRDefault="00C73B66" w:rsidP="00C73B66">
      <w:pPr>
        <w:pStyle w:val="Heading3"/>
        <w:numPr>
          <w:ilvl w:val="3"/>
          <w:numId w:val="13"/>
        </w:numPr>
        <w:spacing w:line="276" w:lineRule="auto"/>
      </w:pPr>
      <w:bookmarkStart w:id="24" w:name="_Toc494182032"/>
      <w:r>
        <w:t>Mental wellbeing (Healthy)</w:t>
      </w:r>
      <w:bookmarkEnd w:id="24"/>
    </w:p>
    <w:p w:rsidR="00C73B66" w:rsidRDefault="00C73B66" w:rsidP="00CF7A67">
      <w:pPr>
        <w:pStyle w:val="BodyCopy"/>
        <w:spacing w:line="276" w:lineRule="auto"/>
      </w:pPr>
      <w:r>
        <w:t xml:space="preserve">The secondary school survey also included the Warwick-Edinburgh Mental Wellbeing Scale (WEMWBS). This is another commonly used tool and provides a summary measure of </w:t>
      </w:r>
      <w:r w:rsidRPr="00FB3F66">
        <w:rPr>
          <w:i/>
        </w:rPr>
        <w:t>positive mental wellbeing</w:t>
      </w:r>
      <w:r>
        <w:t xml:space="preserve"> in adults and older children. It comprises 14 questions concerning how often the respondent had certain thoughts or feelings over the previous two weeks. Answer options ranged from ‘1 – None of the time’ to ‘5 – All of the time’. Responses to each question are added together, to give a scale from 14 to 70. Average scores are reported, with higher scores indicating greater wellbeing.</w:t>
      </w:r>
    </w:p>
    <w:p w:rsidR="00C73B66" w:rsidRDefault="00C73B66" w:rsidP="00C73B66">
      <w:pPr>
        <w:pStyle w:val="BodyCopy"/>
        <w:spacing w:before="240" w:line="276" w:lineRule="auto"/>
      </w:pPr>
      <w:r>
        <w:t xml:space="preserve">The average (mean) score for </w:t>
      </w:r>
      <w:r>
        <w:rPr>
          <w:rFonts w:asciiTheme="minorHAnsi" w:hAnsiTheme="minorHAnsi" w:cstheme="minorHAnsi"/>
          <w:szCs w:val="22"/>
        </w:rPr>
        <w:t>Falkirk</w:t>
      </w:r>
      <w:r>
        <w:t xml:space="preserve"> pupils in S1 to S4 in 2016/17 was 49.4. </w:t>
      </w:r>
      <w:r w:rsidR="007F3770" w:rsidRPr="007F3770">
        <w:t>This is slightly above the most recently published national figures from SALSUS for 2015 which showed an average of 48.4 for pupils in S2 and S4, a noticeable decline from 50.0 in 2010.</w:t>
      </w:r>
    </w:p>
    <w:p w:rsidR="00C73B66" w:rsidRDefault="00C73B66" w:rsidP="00C73B66">
      <w:pPr>
        <w:pStyle w:val="BodyCopy"/>
        <w:spacing w:before="240" w:line="276" w:lineRule="auto"/>
      </w:pPr>
      <w:r>
        <w:t>As with the SDQ scores, there was an age effect with WEMWBS mean scores declining from 51.0 in S1 to 47.5 in S4. A similar decline between S2 and S4 was seen in the national figures. Girls had a lower mean score than boys (47.6 and 51.3 respectively) – a gap which was similar t</w:t>
      </w:r>
      <w:r w:rsidR="007F3770">
        <w:t>o the national figures from 2015</w:t>
      </w:r>
      <w:r>
        <w:t xml:space="preserve"> </w:t>
      </w:r>
      <w:r w:rsidR="007F3770" w:rsidRPr="007F3770">
        <w:t>(for 13 year olds, girls scored 48.2 and boys 51.4; for 15 year olds figures were 44.4 and 50.1 respectively).</w:t>
      </w:r>
    </w:p>
    <w:p w:rsidR="00C73B66" w:rsidRDefault="00C73B66" w:rsidP="00C73B66">
      <w:pPr>
        <w:pStyle w:val="BodyCopy"/>
        <w:spacing w:before="240" w:line="276" w:lineRule="auto"/>
      </w:pPr>
      <w:r w:rsidRPr="00C156D1">
        <w:t xml:space="preserve">The combined effects of age and gender mean that the highest mean scores were found </w:t>
      </w:r>
      <w:r w:rsidRPr="002A24A8">
        <w:t>among S3</w:t>
      </w:r>
      <w:r w:rsidRPr="00C156D1">
        <w:t xml:space="preserve"> boys (5</w:t>
      </w:r>
      <w:r>
        <w:t>2</w:t>
      </w:r>
      <w:r w:rsidRPr="00C156D1">
        <w:t>.</w:t>
      </w:r>
      <w:r>
        <w:t>4</w:t>
      </w:r>
      <w:r w:rsidRPr="00C156D1">
        <w:t>), and the lowest among S4 girls (44.</w:t>
      </w:r>
      <w:r>
        <w:t>9</w:t>
      </w:r>
      <w:r w:rsidRPr="00C156D1">
        <w:t>).</w:t>
      </w:r>
    </w:p>
    <w:p w:rsidR="00C73B66" w:rsidRDefault="00C73B66" w:rsidP="00C73B66">
      <w:pPr>
        <w:pStyle w:val="BodyCopy"/>
        <w:spacing w:before="240" w:line="276" w:lineRule="auto"/>
      </w:pPr>
      <w:r>
        <w:t xml:space="preserve">Children in single-parent households and step-families had lower mean scores than those in two parent households (47.2 and 46.9 compared with 50.5) and those with no siblings at home also had a lower mean score than those with one </w:t>
      </w:r>
      <w:r>
        <w:lastRenderedPageBreak/>
        <w:t>or more siblings at home (48.5 compared with 49.6). There was a significant difference in mean scores between those that reported being very likely to talk to a family member about worries and those that were not at all likely (54.5 compared with 40.6).</w:t>
      </w:r>
    </w:p>
    <w:p w:rsidR="00CF7A67" w:rsidRDefault="00C73B66" w:rsidP="00C73B66">
      <w:pPr>
        <w:pStyle w:val="BodyCopy"/>
        <w:spacing w:before="240" w:line="276" w:lineRule="auto"/>
      </w:pPr>
      <w:r>
        <w:t xml:space="preserve">Lower mean scores were also likely for those with additional support needs when compared with those without (mean scores of 48.2 and 49.6 respectively) and for those in receipt of children’s services (45.0 compared with 49.5 for those not in receipt). </w:t>
      </w:r>
    </w:p>
    <w:p w:rsidR="00C73B66" w:rsidRDefault="00C73B66" w:rsidP="00C73B66">
      <w:pPr>
        <w:pStyle w:val="BodyCopy"/>
        <w:spacing w:before="240" w:line="276" w:lineRule="auto"/>
      </w:pPr>
      <w:r>
        <w:t>There was also a significant difference by area deprivation, with mean scores of 48.1 to 49.0 in the three most deprived quintiles and 50.1 to 50.3 in the two least deprived quintiles. Similarly, pupils that were eligible for free school meals had lower mean scores than those that were not eligible (47.0 compared with 49.6).</w:t>
      </w:r>
    </w:p>
    <w:p w:rsidR="00840BA3" w:rsidRDefault="00840BA3" w:rsidP="00C73B66">
      <w:pPr>
        <w:pStyle w:val="BodyCopy"/>
        <w:spacing w:before="240" w:line="276" w:lineRule="auto"/>
      </w:pPr>
      <w:r w:rsidRPr="00840BA3">
        <w:t>Pupils who ate breakfast every day had a mean wellbeing score of 52.</w:t>
      </w:r>
      <w:r>
        <w:t>2</w:t>
      </w:r>
      <w:r w:rsidRPr="00840BA3">
        <w:t xml:space="preserve"> compared with a score of 48.</w:t>
      </w:r>
      <w:r>
        <w:t>1</w:t>
      </w:r>
      <w:r w:rsidRPr="00840BA3">
        <w:t xml:space="preserve"> among those who ate breakfast sometimes and </w:t>
      </w:r>
      <w:r>
        <w:t>44.1</w:t>
      </w:r>
      <w:r w:rsidRPr="00840BA3">
        <w:t xml:space="preserve"> among those who never ate breakfast. The nature and direction of this relationship is not clear from the analysis conducted here.</w:t>
      </w:r>
    </w:p>
    <w:p w:rsidR="00C73B66" w:rsidRDefault="00C73B66" w:rsidP="00C73B66">
      <w:pPr>
        <w:pStyle w:val="BodyCopy"/>
        <w:spacing w:before="240" w:line="276" w:lineRule="auto"/>
      </w:pPr>
      <w:r>
        <w:t xml:space="preserve">A higher proportion </w:t>
      </w:r>
      <w:r w:rsidRPr="00C156D1">
        <w:t xml:space="preserve">of those </w:t>
      </w:r>
      <w:r>
        <w:t>who might be considered as having</w:t>
      </w:r>
      <w:r w:rsidRPr="00C156D1">
        <w:t xml:space="preserve"> low wellbeing (</w:t>
      </w:r>
      <w:r w:rsidR="0086416D">
        <w:t>see appendix</w:t>
      </w:r>
      <w:r w:rsidRPr="00C156D1">
        <w:t xml:space="preserve">) were identified as having additional support needs </w:t>
      </w:r>
      <w:r w:rsidRPr="0098502E">
        <w:t>(</w:t>
      </w:r>
      <w:r w:rsidR="0098502E" w:rsidRPr="0098502E">
        <w:t>19</w:t>
      </w:r>
      <w:r w:rsidRPr="0098502E">
        <w:t>% compared with 1</w:t>
      </w:r>
      <w:r w:rsidR="0098502E" w:rsidRPr="0098502E">
        <w:t>5</w:t>
      </w:r>
      <w:r w:rsidRPr="0098502E">
        <w:t>% of those with average levels of wellbeing</w:t>
      </w:r>
      <w:r w:rsidR="0098502E" w:rsidRPr="0098502E">
        <w:t xml:space="preserve"> and 13% of those with high levels of wellbeing</w:t>
      </w:r>
      <w:r w:rsidRPr="0098502E">
        <w:t>).</w:t>
      </w:r>
      <w:r>
        <w:t xml:space="preserve"> </w:t>
      </w:r>
    </w:p>
    <w:p w:rsidR="00C73B66" w:rsidRDefault="00C73B66" w:rsidP="00BC1943">
      <w:pPr>
        <w:pStyle w:val="BodyCopy"/>
        <w:spacing w:line="276" w:lineRule="auto"/>
      </w:pPr>
    </w:p>
    <w:tbl>
      <w:tblPr>
        <w:tblW w:w="8238" w:type="dxa"/>
        <w:tblInd w:w="93" w:type="dxa"/>
        <w:tblLayout w:type="fixed"/>
        <w:tblLook w:val="04A0" w:firstRow="1" w:lastRow="0" w:firstColumn="1" w:lastColumn="0" w:noHBand="0" w:noVBand="1"/>
      </w:tblPr>
      <w:tblGrid>
        <w:gridCol w:w="3418"/>
        <w:gridCol w:w="1276"/>
        <w:gridCol w:w="1276"/>
        <w:gridCol w:w="1134"/>
        <w:gridCol w:w="14"/>
        <w:gridCol w:w="1120"/>
      </w:tblGrid>
      <w:tr w:rsidR="00C73B66" w:rsidRPr="004124DA" w:rsidTr="00CF7A67">
        <w:trPr>
          <w:trHeight w:val="257"/>
        </w:trPr>
        <w:tc>
          <w:tcPr>
            <w:tcW w:w="8238" w:type="dxa"/>
            <w:gridSpan w:val="6"/>
            <w:tcBorders>
              <w:top w:val="single" w:sz="12" w:space="0" w:color="auto"/>
              <w:left w:val="nil"/>
              <w:bottom w:val="nil"/>
              <w:right w:val="nil"/>
            </w:tcBorders>
            <w:shd w:val="clear" w:color="auto" w:fill="auto"/>
            <w:hideMark/>
          </w:tcPr>
          <w:p w:rsidR="00C73B66" w:rsidRPr="004124DA" w:rsidRDefault="00C73B66" w:rsidP="007C3905">
            <w:pPr>
              <w:spacing w:after="0" w:line="240" w:lineRule="auto"/>
              <w:rPr>
                <w:rFonts w:ascii="Arial" w:eastAsia="Times New Roman" w:hAnsi="Arial" w:cs="Arial"/>
                <w:b/>
                <w:bCs/>
                <w:color w:val="000000"/>
                <w:sz w:val="20"/>
                <w:szCs w:val="20"/>
                <w:lang w:eastAsia="en-GB"/>
              </w:rPr>
            </w:pPr>
            <w:r w:rsidRPr="00EC6B33">
              <w:rPr>
                <w:rFonts w:ascii="Arial" w:eastAsia="Times New Roman" w:hAnsi="Arial" w:cs="Arial"/>
                <w:b/>
                <w:bCs/>
                <w:color w:val="000000"/>
                <w:sz w:val="20"/>
                <w:szCs w:val="20"/>
                <w:lang w:eastAsia="en-GB"/>
              </w:rPr>
              <w:t>Table 2.2.3</w:t>
            </w:r>
            <w:r w:rsidR="00067565">
              <w:rPr>
                <w:rFonts w:ascii="Arial" w:eastAsia="Times New Roman" w:hAnsi="Arial" w:cs="Arial"/>
                <w:b/>
                <w:bCs/>
                <w:color w:val="000000"/>
                <w:sz w:val="20"/>
                <w:szCs w:val="20"/>
                <w:lang w:eastAsia="en-GB"/>
              </w:rPr>
              <w:t>e</w:t>
            </w:r>
            <w:r w:rsidR="00DB7AD1">
              <w:rPr>
                <w:rFonts w:ascii="Arial" w:eastAsia="Times New Roman" w:hAnsi="Arial" w:cs="Arial"/>
                <w:b/>
                <w:bCs/>
                <w:color w:val="000000"/>
                <w:sz w:val="20"/>
                <w:szCs w:val="20"/>
                <w:lang w:eastAsia="en-GB"/>
              </w:rPr>
              <w:t xml:space="preserve"> </w:t>
            </w:r>
            <w:r w:rsidRPr="00EC6B33">
              <w:rPr>
                <w:rFonts w:ascii="Arial" w:eastAsia="Times New Roman" w:hAnsi="Arial" w:cs="Arial"/>
                <w:b/>
                <w:bCs/>
                <w:color w:val="000000"/>
                <w:sz w:val="20"/>
                <w:szCs w:val="20"/>
                <w:lang w:eastAsia="en-GB"/>
              </w:rPr>
              <w:t xml:space="preserve">WEMWBS </w:t>
            </w:r>
          </w:p>
        </w:tc>
      </w:tr>
      <w:tr w:rsidR="00C73B66" w:rsidRPr="004124DA" w:rsidTr="00076EDD">
        <w:trPr>
          <w:trHeight w:val="465"/>
        </w:trPr>
        <w:tc>
          <w:tcPr>
            <w:tcW w:w="3418" w:type="dxa"/>
            <w:tcBorders>
              <w:top w:val="nil"/>
              <w:left w:val="nil"/>
              <w:bottom w:val="single" w:sz="12" w:space="0" w:color="auto"/>
              <w:right w:val="nil"/>
            </w:tcBorders>
            <w:shd w:val="clear" w:color="auto" w:fill="auto"/>
            <w:vAlign w:val="center"/>
            <w:hideMark/>
          </w:tcPr>
          <w:p w:rsidR="00C73B66" w:rsidRPr="00076EDD" w:rsidRDefault="00C73B66" w:rsidP="00076EDD">
            <w:pPr>
              <w:spacing w:after="0" w:line="240" w:lineRule="auto"/>
              <w:rPr>
                <w:rFonts w:ascii="Arial" w:eastAsia="Times New Roman" w:hAnsi="Arial" w:cs="Arial"/>
                <w:color w:val="000000"/>
                <w:sz w:val="20"/>
                <w:szCs w:val="20"/>
                <w:lang w:eastAsia="en-GB"/>
              </w:rPr>
            </w:pPr>
            <w:r w:rsidRPr="00076EDD">
              <w:rPr>
                <w:rFonts w:ascii="Arial" w:eastAsia="Times New Roman" w:hAnsi="Arial" w:cs="Arial"/>
                <w:color w:val="000000"/>
                <w:sz w:val="20"/>
                <w:szCs w:val="20"/>
                <w:lang w:eastAsia="en-GB"/>
              </w:rPr>
              <w:t>Overall WEMWBS score</w:t>
            </w:r>
          </w:p>
        </w:tc>
        <w:tc>
          <w:tcPr>
            <w:tcW w:w="1276" w:type="dxa"/>
            <w:tcBorders>
              <w:top w:val="nil"/>
              <w:left w:val="nil"/>
              <w:bottom w:val="single" w:sz="12" w:space="0" w:color="auto"/>
              <w:right w:val="nil"/>
            </w:tcBorders>
            <w:shd w:val="clear" w:color="auto" w:fill="auto"/>
            <w:vAlign w:val="center"/>
            <w:hideMark/>
          </w:tcPr>
          <w:p w:rsidR="00C73B66" w:rsidRPr="004124DA" w:rsidRDefault="00C73B66" w:rsidP="00C73B66">
            <w:pPr>
              <w:spacing w:after="0" w:line="240" w:lineRule="auto"/>
              <w:jc w:val="center"/>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Mean</w:t>
            </w:r>
          </w:p>
        </w:tc>
        <w:tc>
          <w:tcPr>
            <w:tcW w:w="1276" w:type="dxa"/>
            <w:tcBorders>
              <w:top w:val="nil"/>
              <w:left w:val="nil"/>
              <w:bottom w:val="single" w:sz="12" w:space="0" w:color="auto"/>
              <w:right w:val="nil"/>
            </w:tcBorders>
            <w:shd w:val="clear" w:color="auto" w:fill="auto"/>
            <w:vAlign w:val="center"/>
            <w:hideMark/>
          </w:tcPr>
          <w:p w:rsidR="00C73B66" w:rsidRPr="004124DA" w:rsidRDefault="00C73B66" w:rsidP="00C73B66">
            <w:pPr>
              <w:spacing w:after="0" w:line="240" w:lineRule="auto"/>
              <w:jc w:val="center"/>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Median</w:t>
            </w:r>
          </w:p>
        </w:tc>
        <w:tc>
          <w:tcPr>
            <w:tcW w:w="1134" w:type="dxa"/>
            <w:tcBorders>
              <w:top w:val="nil"/>
              <w:left w:val="nil"/>
              <w:bottom w:val="single" w:sz="12" w:space="0" w:color="auto"/>
              <w:right w:val="nil"/>
            </w:tcBorders>
            <w:shd w:val="clear" w:color="auto" w:fill="auto"/>
            <w:vAlign w:val="center"/>
            <w:hideMark/>
          </w:tcPr>
          <w:p w:rsidR="00C73B66" w:rsidRPr="004124DA" w:rsidRDefault="00C73B66" w:rsidP="00C73B66">
            <w:pPr>
              <w:spacing w:after="0" w:line="240" w:lineRule="auto"/>
              <w:jc w:val="center"/>
              <w:rPr>
                <w:rFonts w:ascii="Arial" w:eastAsia="Times New Roman" w:hAnsi="Arial" w:cs="Arial"/>
                <w:i/>
                <w:iCs/>
                <w:color w:val="000000"/>
                <w:sz w:val="16"/>
                <w:szCs w:val="16"/>
                <w:lang w:eastAsia="en-GB"/>
              </w:rPr>
            </w:pPr>
            <w:r w:rsidRPr="004124DA">
              <w:rPr>
                <w:rFonts w:ascii="Arial" w:eastAsia="Times New Roman" w:hAnsi="Arial" w:cs="Arial"/>
                <w:i/>
                <w:iCs/>
                <w:color w:val="000000"/>
                <w:sz w:val="16"/>
                <w:szCs w:val="16"/>
                <w:lang w:eastAsia="en-GB"/>
              </w:rPr>
              <w:t>Weighted base</w:t>
            </w:r>
            <w:r>
              <w:rPr>
                <w:rFonts w:ascii="Arial" w:eastAsia="Times New Roman" w:hAnsi="Arial" w:cs="Arial"/>
                <w:i/>
                <w:iCs/>
                <w:color w:val="000000"/>
                <w:sz w:val="16"/>
                <w:szCs w:val="16"/>
                <w:lang w:eastAsia="en-GB"/>
              </w:rPr>
              <w:t>s</w:t>
            </w:r>
          </w:p>
        </w:tc>
        <w:tc>
          <w:tcPr>
            <w:tcW w:w="1134" w:type="dxa"/>
            <w:gridSpan w:val="2"/>
            <w:tcBorders>
              <w:top w:val="nil"/>
              <w:left w:val="nil"/>
              <w:bottom w:val="single" w:sz="12" w:space="0" w:color="auto"/>
              <w:right w:val="nil"/>
            </w:tcBorders>
            <w:shd w:val="clear" w:color="auto" w:fill="auto"/>
            <w:vAlign w:val="center"/>
            <w:hideMark/>
          </w:tcPr>
          <w:p w:rsidR="00C73B66" w:rsidRPr="004124DA" w:rsidRDefault="00C73B66" w:rsidP="00C73B66">
            <w:pPr>
              <w:spacing w:after="0" w:line="240" w:lineRule="auto"/>
              <w:jc w:val="center"/>
              <w:rPr>
                <w:rFonts w:ascii="Arial" w:eastAsia="Times New Roman" w:hAnsi="Arial" w:cs="Arial"/>
                <w:i/>
                <w:iCs/>
                <w:color w:val="000000"/>
                <w:sz w:val="16"/>
                <w:szCs w:val="16"/>
                <w:lang w:eastAsia="en-GB"/>
              </w:rPr>
            </w:pPr>
            <w:r w:rsidRPr="004124DA">
              <w:rPr>
                <w:rFonts w:ascii="Arial" w:eastAsia="Times New Roman" w:hAnsi="Arial" w:cs="Arial"/>
                <w:i/>
                <w:iCs/>
                <w:color w:val="000000"/>
                <w:sz w:val="16"/>
                <w:szCs w:val="16"/>
                <w:lang w:eastAsia="en-GB"/>
              </w:rPr>
              <w:t>Unweighted base</w:t>
            </w:r>
            <w:r>
              <w:rPr>
                <w:rFonts w:ascii="Arial" w:eastAsia="Times New Roman" w:hAnsi="Arial" w:cs="Arial"/>
                <w:i/>
                <w:iCs/>
                <w:color w:val="000000"/>
                <w:sz w:val="16"/>
                <w:szCs w:val="16"/>
                <w:lang w:eastAsia="en-GB"/>
              </w:rPr>
              <w:t>s</w:t>
            </w:r>
          </w:p>
        </w:tc>
      </w:tr>
      <w:tr w:rsidR="00C73B66" w:rsidRPr="004124DA" w:rsidTr="007C3905">
        <w:trPr>
          <w:trHeight w:val="283"/>
        </w:trPr>
        <w:tc>
          <w:tcPr>
            <w:tcW w:w="3418" w:type="dxa"/>
            <w:tcBorders>
              <w:top w:val="nil"/>
              <w:left w:val="nil"/>
              <w:bottom w:val="single" w:sz="8" w:space="0" w:color="auto"/>
              <w:right w:val="nil"/>
            </w:tcBorders>
            <w:shd w:val="clear" w:color="auto" w:fill="auto"/>
            <w:noWrap/>
            <w:vAlign w:val="center"/>
            <w:hideMark/>
          </w:tcPr>
          <w:p w:rsidR="00C73B66" w:rsidRPr="004124DA" w:rsidRDefault="00C73B66" w:rsidP="00C73B66">
            <w:pPr>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r w:rsidRPr="004124DA">
              <w:rPr>
                <w:rFonts w:ascii="Arial" w:eastAsia="Times New Roman" w:hAnsi="Arial" w:cs="Arial"/>
                <w:i/>
                <w:iCs/>
                <w:color w:val="000000"/>
                <w:sz w:val="20"/>
                <w:szCs w:val="20"/>
                <w:lang w:eastAsia="en-GB"/>
              </w:rPr>
              <w:t> </w:t>
            </w:r>
          </w:p>
        </w:tc>
        <w:tc>
          <w:tcPr>
            <w:tcW w:w="1276" w:type="dxa"/>
            <w:tcBorders>
              <w:top w:val="nil"/>
              <w:left w:val="nil"/>
              <w:bottom w:val="single" w:sz="8" w:space="0" w:color="auto"/>
              <w:right w:val="nil"/>
            </w:tcBorders>
            <w:shd w:val="clear" w:color="auto" w:fill="auto"/>
            <w:noWrap/>
            <w:vAlign w:val="center"/>
            <w:hideMark/>
          </w:tcPr>
          <w:p w:rsidR="00C73B66" w:rsidRPr="004124DA" w:rsidRDefault="00C73B66" w:rsidP="00C73B66">
            <w:pPr>
              <w:spacing w:after="0" w:line="240" w:lineRule="auto"/>
              <w:rPr>
                <w:rFonts w:ascii="Arial" w:eastAsia="Times New Roman" w:hAnsi="Arial" w:cs="Arial"/>
                <w:i/>
                <w:iCs/>
                <w:color w:val="000000"/>
                <w:sz w:val="20"/>
                <w:szCs w:val="20"/>
                <w:lang w:eastAsia="en-GB"/>
              </w:rPr>
            </w:pPr>
            <w:r w:rsidRPr="004124DA">
              <w:rPr>
                <w:rFonts w:ascii="Arial" w:eastAsia="Times New Roman" w:hAnsi="Arial" w:cs="Arial"/>
                <w:i/>
                <w:iCs/>
                <w:color w:val="000000"/>
                <w:sz w:val="20"/>
                <w:szCs w:val="20"/>
                <w:lang w:eastAsia="en-GB"/>
              </w:rPr>
              <w:t> </w:t>
            </w:r>
          </w:p>
        </w:tc>
        <w:tc>
          <w:tcPr>
            <w:tcW w:w="1276" w:type="dxa"/>
            <w:tcBorders>
              <w:top w:val="nil"/>
              <w:left w:val="nil"/>
              <w:bottom w:val="single" w:sz="8" w:space="0" w:color="auto"/>
              <w:right w:val="nil"/>
            </w:tcBorders>
            <w:shd w:val="clear" w:color="auto" w:fill="auto"/>
            <w:noWrap/>
            <w:vAlign w:val="center"/>
            <w:hideMark/>
          </w:tcPr>
          <w:p w:rsidR="00C73B66" w:rsidRPr="004124DA" w:rsidRDefault="00C73B66" w:rsidP="00C73B66">
            <w:pPr>
              <w:spacing w:after="0" w:line="240" w:lineRule="auto"/>
              <w:rPr>
                <w:rFonts w:ascii="Arial" w:eastAsia="Times New Roman" w:hAnsi="Arial" w:cs="Arial"/>
                <w:i/>
                <w:iCs/>
                <w:color w:val="000000"/>
                <w:sz w:val="20"/>
                <w:szCs w:val="20"/>
                <w:lang w:eastAsia="en-GB"/>
              </w:rPr>
            </w:pPr>
            <w:r w:rsidRPr="004124DA">
              <w:rPr>
                <w:rFonts w:ascii="Arial" w:eastAsia="Times New Roman" w:hAnsi="Arial" w:cs="Arial"/>
                <w:i/>
                <w:iCs/>
                <w:color w:val="000000"/>
                <w:sz w:val="20"/>
                <w:szCs w:val="20"/>
                <w:lang w:eastAsia="en-GB"/>
              </w:rPr>
              <w:t> </w:t>
            </w:r>
          </w:p>
        </w:tc>
        <w:tc>
          <w:tcPr>
            <w:tcW w:w="2268" w:type="dxa"/>
            <w:gridSpan w:val="3"/>
            <w:tcBorders>
              <w:top w:val="single" w:sz="12" w:space="0" w:color="auto"/>
              <w:left w:val="nil"/>
              <w:bottom w:val="single" w:sz="8" w:space="0" w:color="auto"/>
              <w:right w:val="nil"/>
            </w:tcBorders>
            <w:shd w:val="clear" w:color="auto" w:fill="auto"/>
            <w:noWrap/>
            <w:vAlign w:val="center"/>
            <w:hideMark/>
          </w:tcPr>
          <w:p w:rsidR="00C73B66" w:rsidRPr="004124DA" w:rsidRDefault="00C73B66" w:rsidP="00C73B66">
            <w:pPr>
              <w:spacing w:after="0" w:line="240" w:lineRule="auto"/>
              <w:rPr>
                <w:rFonts w:ascii="Arial" w:eastAsia="Times New Roman" w:hAnsi="Arial" w:cs="Arial"/>
                <w:i/>
                <w:iCs/>
                <w:color w:val="000000"/>
                <w:sz w:val="20"/>
                <w:szCs w:val="20"/>
                <w:lang w:eastAsia="en-GB"/>
              </w:rPr>
            </w:pPr>
          </w:p>
        </w:tc>
      </w:tr>
      <w:tr w:rsidR="00C73B66" w:rsidRPr="004124DA" w:rsidTr="00044567">
        <w:trPr>
          <w:trHeight w:val="300"/>
        </w:trPr>
        <w:tc>
          <w:tcPr>
            <w:tcW w:w="3418" w:type="dxa"/>
            <w:tcBorders>
              <w:top w:val="nil"/>
              <w:left w:val="nil"/>
              <w:bottom w:val="nil"/>
              <w:right w:val="nil"/>
            </w:tcBorders>
            <w:shd w:val="clear" w:color="auto" w:fill="auto"/>
            <w:vAlign w:val="center"/>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All</w:t>
            </w:r>
          </w:p>
        </w:tc>
        <w:tc>
          <w:tcPr>
            <w:tcW w:w="1276" w:type="dxa"/>
            <w:tcBorders>
              <w:top w:val="nil"/>
              <w:left w:val="nil"/>
              <w:bottom w:val="nil"/>
              <w:right w:val="nil"/>
            </w:tcBorders>
            <w:shd w:val="clear" w:color="auto" w:fill="auto"/>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49.</w:t>
            </w:r>
            <w:r>
              <w:rPr>
                <w:rFonts w:ascii="Arial" w:eastAsia="Times New Roman" w:hAnsi="Arial" w:cs="Arial"/>
                <w:color w:val="000000"/>
                <w:sz w:val="20"/>
                <w:szCs w:val="20"/>
                <w:lang w:eastAsia="en-GB"/>
              </w:rPr>
              <w:t>4</w:t>
            </w:r>
          </w:p>
        </w:tc>
        <w:tc>
          <w:tcPr>
            <w:tcW w:w="1276" w:type="dxa"/>
            <w:tcBorders>
              <w:top w:val="nil"/>
              <w:left w:val="nil"/>
              <w:bottom w:val="nil"/>
              <w:right w:val="nil"/>
            </w:tcBorders>
            <w:shd w:val="clear" w:color="auto" w:fill="auto"/>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0</w:t>
            </w:r>
          </w:p>
        </w:tc>
        <w:tc>
          <w:tcPr>
            <w:tcW w:w="1148" w:type="dxa"/>
            <w:gridSpan w:val="2"/>
            <w:tcBorders>
              <w:top w:val="nil"/>
              <w:left w:val="nil"/>
              <w:bottom w:val="nil"/>
              <w:right w:val="nil"/>
            </w:tcBorders>
            <w:shd w:val="clear" w:color="auto" w:fill="auto"/>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3388</w:t>
            </w:r>
          </w:p>
        </w:tc>
        <w:tc>
          <w:tcPr>
            <w:tcW w:w="1120" w:type="dxa"/>
            <w:tcBorders>
              <w:top w:val="nil"/>
              <w:left w:val="nil"/>
              <w:bottom w:val="nil"/>
              <w:right w:val="nil"/>
            </w:tcBorders>
            <w:shd w:val="clear" w:color="auto" w:fill="auto"/>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3382</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p>
        </w:tc>
        <w:tc>
          <w:tcPr>
            <w:tcW w:w="1148" w:type="dxa"/>
            <w:gridSpan w:val="2"/>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p>
        </w:tc>
        <w:tc>
          <w:tcPr>
            <w:tcW w:w="1120"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ind w:left="77"/>
              <w:jc w:val="right"/>
              <w:rPr>
                <w:rFonts w:ascii="Arial" w:eastAsia="Times New Roman" w:hAnsi="Arial" w:cs="Arial"/>
                <w:i/>
                <w:iCs/>
                <w:color w:val="000000"/>
                <w:sz w:val="20"/>
                <w:szCs w:val="20"/>
                <w:lang w:eastAsia="en-GB"/>
              </w:rPr>
            </w:pP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S1</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51.0</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51</w:t>
            </w:r>
          </w:p>
        </w:tc>
        <w:tc>
          <w:tcPr>
            <w:tcW w:w="1148" w:type="dxa"/>
            <w:gridSpan w:val="2"/>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808</w:t>
            </w:r>
          </w:p>
        </w:tc>
        <w:tc>
          <w:tcPr>
            <w:tcW w:w="1120"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857</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S2</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w:t>
            </w:r>
            <w:r w:rsidRPr="004124DA">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8</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0</w:t>
            </w:r>
          </w:p>
        </w:tc>
        <w:tc>
          <w:tcPr>
            <w:tcW w:w="1148" w:type="dxa"/>
            <w:gridSpan w:val="2"/>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852</w:t>
            </w:r>
          </w:p>
        </w:tc>
        <w:tc>
          <w:tcPr>
            <w:tcW w:w="1120" w:type="dxa"/>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882</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S3</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49.</w:t>
            </w:r>
            <w:r>
              <w:rPr>
                <w:rFonts w:ascii="Arial" w:eastAsia="Times New Roman" w:hAnsi="Arial" w:cs="Arial"/>
                <w:color w:val="000000"/>
                <w:sz w:val="20"/>
                <w:szCs w:val="20"/>
                <w:lang w:eastAsia="en-GB"/>
              </w:rPr>
              <w:t>4</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1</w:t>
            </w:r>
          </w:p>
        </w:tc>
        <w:tc>
          <w:tcPr>
            <w:tcW w:w="1148" w:type="dxa"/>
            <w:gridSpan w:val="2"/>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825</w:t>
            </w:r>
          </w:p>
        </w:tc>
        <w:tc>
          <w:tcPr>
            <w:tcW w:w="1120" w:type="dxa"/>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766</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S4</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47.</w:t>
            </w:r>
            <w:r>
              <w:rPr>
                <w:rFonts w:ascii="Arial" w:eastAsia="Times New Roman" w:hAnsi="Arial" w:cs="Arial"/>
                <w:color w:val="000000"/>
                <w:sz w:val="20"/>
                <w:szCs w:val="20"/>
                <w:lang w:eastAsia="en-GB"/>
              </w:rPr>
              <w:t>5</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w:t>
            </w:r>
          </w:p>
        </w:tc>
        <w:tc>
          <w:tcPr>
            <w:tcW w:w="1148" w:type="dxa"/>
            <w:gridSpan w:val="2"/>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878</w:t>
            </w:r>
          </w:p>
        </w:tc>
        <w:tc>
          <w:tcPr>
            <w:tcW w:w="1120" w:type="dxa"/>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853</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p>
        </w:tc>
        <w:tc>
          <w:tcPr>
            <w:tcW w:w="1148" w:type="dxa"/>
            <w:gridSpan w:val="2"/>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p>
        </w:tc>
        <w:tc>
          <w:tcPr>
            <w:tcW w:w="1120"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Boys</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51.</w:t>
            </w:r>
            <w:r>
              <w:rPr>
                <w:rFonts w:ascii="Arial" w:eastAsia="Times New Roman" w:hAnsi="Arial" w:cs="Arial"/>
                <w:color w:val="000000"/>
                <w:sz w:val="20"/>
                <w:szCs w:val="20"/>
                <w:lang w:eastAsia="en-GB"/>
              </w:rPr>
              <w:t>3</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52</w:t>
            </w:r>
          </w:p>
        </w:tc>
        <w:tc>
          <w:tcPr>
            <w:tcW w:w="1148" w:type="dxa"/>
            <w:gridSpan w:val="2"/>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1617</w:t>
            </w:r>
          </w:p>
        </w:tc>
        <w:tc>
          <w:tcPr>
            <w:tcW w:w="1120" w:type="dxa"/>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1594</w:t>
            </w:r>
          </w:p>
        </w:tc>
      </w:tr>
      <w:tr w:rsidR="00C73B66" w:rsidRPr="004124DA" w:rsidTr="00044567">
        <w:trPr>
          <w:trHeight w:val="300"/>
        </w:trPr>
        <w:tc>
          <w:tcPr>
            <w:tcW w:w="3418" w:type="dxa"/>
            <w:tcBorders>
              <w:top w:val="nil"/>
              <w:left w:val="nil"/>
              <w:bottom w:val="nil"/>
              <w:right w:val="nil"/>
            </w:tcBorders>
            <w:shd w:val="clear" w:color="auto" w:fill="auto"/>
            <w:noWrap/>
            <w:vAlign w:val="bottom"/>
            <w:hideMark/>
          </w:tcPr>
          <w:p w:rsidR="00C73B66" w:rsidRPr="004124DA" w:rsidRDefault="00C73B66" w:rsidP="00C73B66">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Girls</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47.6</w:t>
            </w:r>
          </w:p>
        </w:tc>
        <w:tc>
          <w:tcPr>
            <w:tcW w:w="1276" w:type="dxa"/>
            <w:tcBorders>
              <w:top w:val="nil"/>
              <w:left w:val="nil"/>
              <w:bottom w:val="nil"/>
              <w:right w:val="nil"/>
            </w:tcBorders>
            <w:shd w:val="clear" w:color="auto" w:fill="auto"/>
            <w:noWrap/>
            <w:vAlign w:val="center"/>
            <w:hideMark/>
          </w:tcPr>
          <w:p w:rsidR="00C73B66" w:rsidRPr="004124DA" w:rsidRDefault="00C73B66" w:rsidP="00914E62">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w:t>
            </w:r>
          </w:p>
        </w:tc>
        <w:tc>
          <w:tcPr>
            <w:tcW w:w="1148" w:type="dxa"/>
            <w:gridSpan w:val="2"/>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1711</w:t>
            </w:r>
          </w:p>
        </w:tc>
        <w:tc>
          <w:tcPr>
            <w:tcW w:w="1120" w:type="dxa"/>
            <w:tcBorders>
              <w:top w:val="nil"/>
              <w:left w:val="nil"/>
              <w:bottom w:val="nil"/>
              <w:right w:val="nil"/>
            </w:tcBorders>
            <w:shd w:val="clear" w:color="auto" w:fill="auto"/>
            <w:noWrap/>
            <w:vAlign w:val="center"/>
          </w:tcPr>
          <w:p w:rsidR="00C73B66" w:rsidRPr="004124DA" w:rsidRDefault="00C73B66"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1728</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4124DA" w:rsidRDefault="00044567" w:rsidP="00C73B66">
            <w:pPr>
              <w:spacing w:after="0" w:line="240" w:lineRule="auto"/>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1148" w:type="dxa"/>
            <w:gridSpan w:val="2"/>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i/>
                <w:iCs/>
                <w:color w:val="000000"/>
                <w:sz w:val="20"/>
                <w:szCs w:val="20"/>
                <w:lang w:eastAsia="en-GB"/>
              </w:rPr>
            </w:pPr>
          </w:p>
        </w:tc>
        <w:tc>
          <w:tcPr>
            <w:tcW w:w="1120"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i/>
                <w:iCs/>
                <w:color w:val="000000"/>
                <w:sz w:val="20"/>
                <w:szCs w:val="20"/>
                <w:lang w:eastAsia="en-GB"/>
              </w:rPr>
            </w:pP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1D071F" w:rsidRDefault="00044567" w:rsidP="00327835">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1 (most deprived)</w:t>
            </w:r>
          </w:p>
        </w:tc>
        <w:tc>
          <w:tcPr>
            <w:tcW w:w="1276" w:type="dxa"/>
            <w:tcBorders>
              <w:top w:val="nil"/>
              <w:left w:val="nil"/>
              <w:bottom w:val="nil"/>
              <w:right w:val="nil"/>
            </w:tcBorders>
            <w:shd w:val="clear" w:color="auto" w:fill="auto"/>
            <w:noWrap/>
            <w:vAlign w:val="center"/>
          </w:tcPr>
          <w:p w:rsidR="00044567" w:rsidRPr="00342347"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48.1</w:t>
            </w:r>
          </w:p>
        </w:tc>
        <w:tc>
          <w:tcPr>
            <w:tcW w:w="1276" w:type="dxa"/>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w:t>
            </w:r>
          </w:p>
        </w:tc>
        <w:tc>
          <w:tcPr>
            <w:tcW w:w="1148" w:type="dxa"/>
            <w:gridSpan w:val="2"/>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i/>
                <w:color w:val="000000"/>
                <w:sz w:val="20"/>
                <w:szCs w:val="20"/>
                <w:lang w:eastAsia="en-GB"/>
              </w:rPr>
            </w:pPr>
            <w:r>
              <w:rPr>
                <w:rFonts w:ascii="Arial" w:eastAsia="Times New Roman" w:hAnsi="Arial" w:cs="Arial"/>
                <w:i/>
                <w:color w:val="000000"/>
                <w:sz w:val="20"/>
                <w:szCs w:val="20"/>
                <w:lang w:eastAsia="en-GB"/>
              </w:rPr>
              <w:t>438</w:t>
            </w:r>
          </w:p>
        </w:tc>
        <w:tc>
          <w:tcPr>
            <w:tcW w:w="1120" w:type="dxa"/>
            <w:tcBorders>
              <w:top w:val="nil"/>
              <w:left w:val="nil"/>
              <w:bottom w:val="nil"/>
              <w:right w:val="nil"/>
            </w:tcBorders>
            <w:shd w:val="clear" w:color="auto" w:fill="auto"/>
            <w:noWrap/>
            <w:vAlign w:val="center"/>
          </w:tcPr>
          <w:p w:rsidR="00044567" w:rsidRPr="00EC6B33" w:rsidRDefault="00044567" w:rsidP="00327835">
            <w:pPr>
              <w:keepNext/>
              <w:spacing w:after="0" w:line="240" w:lineRule="auto"/>
              <w:jc w:val="right"/>
              <w:rPr>
                <w:rFonts w:ascii="Arial" w:eastAsia="Times New Roman" w:hAnsi="Arial" w:cs="Arial"/>
                <w:i/>
                <w:color w:val="000000"/>
                <w:sz w:val="20"/>
                <w:szCs w:val="20"/>
                <w:lang w:eastAsia="en-GB"/>
              </w:rPr>
            </w:pPr>
            <w:r w:rsidRPr="00EC6B33">
              <w:rPr>
                <w:rFonts w:ascii="Arial" w:eastAsia="Times New Roman" w:hAnsi="Arial" w:cs="Arial"/>
                <w:i/>
                <w:color w:val="000000"/>
                <w:sz w:val="20"/>
                <w:szCs w:val="20"/>
                <w:lang w:eastAsia="en-GB"/>
              </w:rPr>
              <w:t>435</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1D071F" w:rsidRDefault="00044567" w:rsidP="00327835">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2</w:t>
            </w:r>
          </w:p>
        </w:tc>
        <w:tc>
          <w:tcPr>
            <w:tcW w:w="1276" w:type="dxa"/>
            <w:tcBorders>
              <w:top w:val="nil"/>
              <w:left w:val="nil"/>
              <w:bottom w:val="nil"/>
              <w:right w:val="nil"/>
            </w:tcBorders>
            <w:shd w:val="clear" w:color="auto" w:fill="auto"/>
            <w:noWrap/>
            <w:vAlign w:val="center"/>
          </w:tcPr>
          <w:p w:rsidR="00044567" w:rsidRPr="00342347"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48.9</w:t>
            </w:r>
          </w:p>
        </w:tc>
        <w:tc>
          <w:tcPr>
            <w:tcW w:w="1276" w:type="dxa"/>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w:t>
            </w:r>
          </w:p>
        </w:tc>
        <w:tc>
          <w:tcPr>
            <w:tcW w:w="1148" w:type="dxa"/>
            <w:gridSpan w:val="2"/>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i/>
                <w:color w:val="000000"/>
                <w:sz w:val="20"/>
                <w:szCs w:val="20"/>
                <w:lang w:eastAsia="en-GB"/>
              </w:rPr>
            </w:pPr>
            <w:r>
              <w:rPr>
                <w:rFonts w:ascii="Arial" w:eastAsia="Times New Roman" w:hAnsi="Arial" w:cs="Arial"/>
                <w:i/>
                <w:color w:val="000000"/>
                <w:sz w:val="20"/>
                <w:szCs w:val="20"/>
                <w:lang w:eastAsia="en-GB"/>
              </w:rPr>
              <w:t>920</w:t>
            </w:r>
          </w:p>
        </w:tc>
        <w:tc>
          <w:tcPr>
            <w:tcW w:w="1120" w:type="dxa"/>
            <w:tcBorders>
              <w:top w:val="nil"/>
              <w:left w:val="nil"/>
              <w:bottom w:val="nil"/>
              <w:right w:val="nil"/>
            </w:tcBorders>
            <w:shd w:val="clear" w:color="auto" w:fill="auto"/>
            <w:noWrap/>
            <w:vAlign w:val="center"/>
          </w:tcPr>
          <w:p w:rsidR="00044567" w:rsidRPr="00EC6B33" w:rsidRDefault="00044567" w:rsidP="00327835">
            <w:pPr>
              <w:keepNext/>
              <w:spacing w:after="0" w:line="240" w:lineRule="auto"/>
              <w:jc w:val="right"/>
              <w:rPr>
                <w:rFonts w:ascii="Arial" w:eastAsia="Times New Roman" w:hAnsi="Arial" w:cs="Arial"/>
                <w:i/>
                <w:color w:val="000000"/>
                <w:sz w:val="20"/>
                <w:szCs w:val="20"/>
                <w:lang w:eastAsia="en-GB"/>
              </w:rPr>
            </w:pPr>
            <w:r w:rsidRPr="00EC6B33">
              <w:rPr>
                <w:rFonts w:ascii="Arial" w:eastAsia="Times New Roman" w:hAnsi="Arial" w:cs="Arial"/>
                <w:i/>
                <w:color w:val="000000"/>
                <w:sz w:val="20"/>
                <w:szCs w:val="20"/>
                <w:lang w:eastAsia="en-GB"/>
              </w:rPr>
              <w:t>918</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1D071F" w:rsidRDefault="00044567" w:rsidP="00327835">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3</w:t>
            </w:r>
          </w:p>
        </w:tc>
        <w:tc>
          <w:tcPr>
            <w:tcW w:w="1276" w:type="dxa"/>
            <w:tcBorders>
              <w:top w:val="nil"/>
              <w:left w:val="nil"/>
              <w:bottom w:val="nil"/>
              <w:right w:val="nil"/>
            </w:tcBorders>
            <w:shd w:val="clear" w:color="auto" w:fill="auto"/>
            <w:noWrap/>
            <w:vAlign w:val="center"/>
          </w:tcPr>
          <w:p w:rsidR="00044567" w:rsidRPr="00342347"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49.0</w:t>
            </w:r>
          </w:p>
        </w:tc>
        <w:tc>
          <w:tcPr>
            <w:tcW w:w="1276" w:type="dxa"/>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w:t>
            </w:r>
          </w:p>
        </w:tc>
        <w:tc>
          <w:tcPr>
            <w:tcW w:w="1148" w:type="dxa"/>
            <w:gridSpan w:val="2"/>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i/>
                <w:color w:val="000000"/>
                <w:sz w:val="20"/>
                <w:szCs w:val="20"/>
                <w:lang w:eastAsia="en-GB"/>
              </w:rPr>
            </w:pPr>
            <w:r>
              <w:rPr>
                <w:rFonts w:ascii="Arial" w:eastAsia="Times New Roman" w:hAnsi="Arial" w:cs="Arial"/>
                <w:i/>
                <w:color w:val="000000"/>
                <w:sz w:val="20"/>
                <w:szCs w:val="20"/>
                <w:lang w:eastAsia="en-GB"/>
              </w:rPr>
              <w:t>609</w:t>
            </w:r>
          </w:p>
        </w:tc>
        <w:tc>
          <w:tcPr>
            <w:tcW w:w="1120" w:type="dxa"/>
            <w:tcBorders>
              <w:top w:val="nil"/>
              <w:left w:val="nil"/>
              <w:bottom w:val="nil"/>
              <w:right w:val="nil"/>
            </w:tcBorders>
            <w:shd w:val="clear" w:color="auto" w:fill="auto"/>
            <w:noWrap/>
            <w:vAlign w:val="center"/>
          </w:tcPr>
          <w:p w:rsidR="00044567" w:rsidRPr="00EC6B33" w:rsidRDefault="00044567" w:rsidP="00327835">
            <w:pPr>
              <w:keepNext/>
              <w:spacing w:after="0" w:line="240" w:lineRule="auto"/>
              <w:jc w:val="right"/>
              <w:rPr>
                <w:rFonts w:ascii="Arial" w:eastAsia="Times New Roman" w:hAnsi="Arial" w:cs="Arial"/>
                <w:i/>
                <w:color w:val="000000"/>
                <w:sz w:val="20"/>
                <w:szCs w:val="20"/>
                <w:lang w:eastAsia="en-GB"/>
              </w:rPr>
            </w:pPr>
            <w:r w:rsidRPr="00EC6B33">
              <w:rPr>
                <w:rFonts w:ascii="Arial" w:eastAsia="Times New Roman" w:hAnsi="Arial" w:cs="Arial"/>
                <w:i/>
                <w:color w:val="000000"/>
                <w:sz w:val="20"/>
                <w:szCs w:val="20"/>
                <w:lang w:eastAsia="en-GB"/>
              </w:rPr>
              <w:t>608</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1D071F" w:rsidRDefault="00044567" w:rsidP="00327835">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4</w:t>
            </w:r>
          </w:p>
        </w:tc>
        <w:tc>
          <w:tcPr>
            <w:tcW w:w="1276" w:type="dxa"/>
            <w:tcBorders>
              <w:top w:val="nil"/>
              <w:left w:val="nil"/>
              <w:bottom w:val="nil"/>
              <w:right w:val="nil"/>
            </w:tcBorders>
            <w:shd w:val="clear" w:color="auto" w:fill="auto"/>
            <w:noWrap/>
            <w:vAlign w:val="center"/>
          </w:tcPr>
          <w:p w:rsidR="00044567" w:rsidRPr="00342347"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50.1</w:t>
            </w:r>
          </w:p>
        </w:tc>
        <w:tc>
          <w:tcPr>
            <w:tcW w:w="1276" w:type="dxa"/>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51</w:t>
            </w:r>
          </w:p>
        </w:tc>
        <w:tc>
          <w:tcPr>
            <w:tcW w:w="1148" w:type="dxa"/>
            <w:gridSpan w:val="2"/>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i/>
                <w:color w:val="000000"/>
                <w:sz w:val="20"/>
                <w:szCs w:val="20"/>
                <w:lang w:eastAsia="en-GB"/>
              </w:rPr>
            </w:pPr>
            <w:r>
              <w:rPr>
                <w:rFonts w:ascii="Arial" w:eastAsia="Times New Roman" w:hAnsi="Arial" w:cs="Arial"/>
                <w:i/>
                <w:color w:val="000000"/>
                <w:sz w:val="20"/>
                <w:szCs w:val="20"/>
                <w:lang w:eastAsia="en-GB"/>
              </w:rPr>
              <w:t>684</w:t>
            </w:r>
          </w:p>
        </w:tc>
        <w:tc>
          <w:tcPr>
            <w:tcW w:w="1120" w:type="dxa"/>
            <w:tcBorders>
              <w:top w:val="nil"/>
              <w:left w:val="nil"/>
              <w:bottom w:val="nil"/>
              <w:right w:val="nil"/>
            </w:tcBorders>
            <w:shd w:val="clear" w:color="auto" w:fill="auto"/>
            <w:noWrap/>
            <w:vAlign w:val="center"/>
          </w:tcPr>
          <w:p w:rsidR="00044567" w:rsidRPr="00EC6B33" w:rsidRDefault="00044567" w:rsidP="00327835">
            <w:pPr>
              <w:keepNext/>
              <w:spacing w:after="0" w:line="240" w:lineRule="auto"/>
              <w:jc w:val="right"/>
              <w:rPr>
                <w:rFonts w:ascii="Arial" w:eastAsia="Times New Roman" w:hAnsi="Arial" w:cs="Arial"/>
                <w:i/>
                <w:color w:val="000000"/>
                <w:sz w:val="20"/>
                <w:szCs w:val="20"/>
                <w:lang w:eastAsia="en-GB"/>
              </w:rPr>
            </w:pPr>
            <w:r w:rsidRPr="00EC6B33">
              <w:rPr>
                <w:rFonts w:ascii="Arial" w:eastAsia="Times New Roman" w:hAnsi="Arial" w:cs="Arial"/>
                <w:i/>
                <w:color w:val="000000"/>
                <w:sz w:val="20"/>
                <w:szCs w:val="20"/>
                <w:lang w:eastAsia="en-GB"/>
              </w:rPr>
              <w:t>685</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1D071F" w:rsidRDefault="00044567" w:rsidP="00327835">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5 (least deprived)</w:t>
            </w:r>
          </w:p>
        </w:tc>
        <w:tc>
          <w:tcPr>
            <w:tcW w:w="1276" w:type="dxa"/>
            <w:tcBorders>
              <w:top w:val="nil"/>
              <w:left w:val="nil"/>
              <w:bottom w:val="nil"/>
              <w:right w:val="nil"/>
            </w:tcBorders>
            <w:shd w:val="clear" w:color="auto" w:fill="auto"/>
            <w:noWrap/>
            <w:vAlign w:val="center"/>
          </w:tcPr>
          <w:p w:rsidR="00044567" w:rsidRPr="00342347"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50.3</w:t>
            </w:r>
          </w:p>
        </w:tc>
        <w:tc>
          <w:tcPr>
            <w:tcW w:w="1276" w:type="dxa"/>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51</w:t>
            </w:r>
          </w:p>
        </w:tc>
        <w:tc>
          <w:tcPr>
            <w:tcW w:w="1148" w:type="dxa"/>
            <w:gridSpan w:val="2"/>
            <w:tcBorders>
              <w:top w:val="nil"/>
              <w:left w:val="nil"/>
              <w:bottom w:val="nil"/>
              <w:right w:val="nil"/>
            </w:tcBorders>
            <w:shd w:val="clear" w:color="auto" w:fill="auto"/>
            <w:noWrap/>
            <w:vAlign w:val="center"/>
          </w:tcPr>
          <w:p w:rsidR="00044567" w:rsidRPr="00342347" w:rsidRDefault="00044567" w:rsidP="00327835">
            <w:pPr>
              <w:keepNext/>
              <w:spacing w:after="0" w:line="240" w:lineRule="auto"/>
              <w:jc w:val="right"/>
              <w:rPr>
                <w:rFonts w:ascii="Arial" w:eastAsia="Times New Roman" w:hAnsi="Arial" w:cs="Arial"/>
                <w:i/>
                <w:color w:val="000000"/>
                <w:sz w:val="20"/>
                <w:szCs w:val="20"/>
                <w:lang w:eastAsia="en-GB"/>
              </w:rPr>
            </w:pPr>
            <w:r>
              <w:rPr>
                <w:rFonts w:ascii="Arial" w:eastAsia="Times New Roman" w:hAnsi="Arial" w:cs="Arial"/>
                <w:i/>
                <w:color w:val="000000"/>
                <w:sz w:val="20"/>
                <w:szCs w:val="20"/>
                <w:lang w:eastAsia="en-GB"/>
              </w:rPr>
              <w:t>731</w:t>
            </w:r>
          </w:p>
        </w:tc>
        <w:tc>
          <w:tcPr>
            <w:tcW w:w="1120" w:type="dxa"/>
            <w:tcBorders>
              <w:top w:val="nil"/>
              <w:left w:val="nil"/>
              <w:bottom w:val="nil"/>
              <w:right w:val="nil"/>
            </w:tcBorders>
            <w:shd w:val="clear" w:color="auto" w:fill="auto"/>
            <w:noWrap/>
            <w:vAlign w:val="center"/>
          </w:tcPr>
          <w:p w:rsidR="00044567" w:rsidRPr="00EC6B33" w:rsidRDefault="00044567" w:rsidP="00327835">
            <w:pPr>
              <w:keepNext/>
              <w:spacing w:after="0" w:line="240" w:lineRule="auto"/>
              <w:jc w:val="right"/>
              <w:rPr>
                <w:rFonts w:ascii="Arial" w:eastAsia="Times New Roman" w:hAnsi="Arial" w:cs="Arial"/>
                <w:i/>
                <w:color w:val="000000"/>
                <w:sz w:val="20"/>
                <w:szCs w:val="20"/>
                <w:lang w:eastAsia="en-GB"/>
              </w:rPr>
            </w:pPr>
            <w:r w:rsidRPr="00EC6B33">
              <w:rPr>
                <w:rFonts w:ascii="Arial" w:eastAsia="Times New Roman" w:hAnsi="Arial" w:cs="Arial"/>
                <w:i/>
                <w:color w:val="000000"/>
                <w:sz w:val="20"/>
                <w:szCs w:val="20"/>
                <w:lang w:eastAsia="en-GB"/>
              </w:rPr>
              <w:t>730</w:t>
            </w:r>
          </w:p>
        </w:tc>
      </w:tr>
      <w:tr w:rsidR="00044567" w:rsidRPr="004124DA" w:rsidTr="00044567">
        <w:trPr>
          <w:trHeight w:val="300"/>
        </w:trPr>
        <w:tc>
          <w:tcPr>
            <w:tcW w:w="3418" w:type="dxa"/>
            <w:tcBorders>
              <w:top w:val="nil"/>
              <w:left w:val="nil"/>
              <w:bottom w:val="nil"/>
              <w:right w:val="nil"/>
            </w:tcBorders>
            <w:shd w:val="clear" w:color="auto" w:fill="auto"/>
            <w:noWrap/>
            <w:vAlign w:val="bottom"/>
          </w:tcPr>
          <w:p w:rsidR="00044567" w:rsidRPr="004124DA" w:rsidRDefault="00044567" w:rsidP="00C73B66">
            <w:pPr>
              <w:spacing w:after="0" w:line="240" w:lineRule="auto"/>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1276"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1148" w:type="dxa"/>
            <w:gridSpan w:val="2"/>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i/>
                <w:iCs/>
                <w:color w:val="000000"/>
                <w:sz w:val="20"/>
                <w:szCs w:val="20"/>
                <w:lang w:eastAsia="en-GB"/>
              </w:rPr>
            </w:pPr>
          </w:p>
        </w:tc>
        <w:tc>
          <w:tcPr>
            <w:tcW w:w="1120" w:type="dxa"/>
            <w:tcBorders>
              <w:top w:val="nil"/>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i/>
                <w:iCs/>
                <w:color w:val="000000"/>
                <w:sz w:val="20"/>
                <w:szCs w:val="20"/>
                <w:lang w:eastAsia="en-GB"/>
              </w:rPr>
            </w:pPr>
          </w:p>
        </w:tc>
      </w:tr>
      <w:tr w:rsidR="00044567" w:rsidRPr="004124DA" w:rsidTr="00044567">
        <w:trPr>
          <w:trHeight w:val="300"/>
        </w:trPr>
        <w:tc>
          <w:tcPr>
            <w:tcW w:w="3418" w:type="dxa"/>
            <w:tcBorders>
              <w:top w:val="nil"/>
              <w:left w:val="nil"/>
              <w:right w:val="nil"/>
            </w:tcBorders>
            <w:shd w:val="clear" w:color="auto" w:fill="auto"/>
            <w:noWrap/>
            <w:vAlign w:val="bottom"/>
          </w:tcPr>
          <w:p w:rsidR="00044567" w:rsidRPr="004124DA" w:rsidRDefault="00044567" w:rsidP="00327835">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Eligible for free school meals</w:t>
            </w:r>
          </w:p>
        </w:tc>
        <w:tc>
          <w:tcPr>
            <w:tcW w:w="1276" w:type="dxa"/>
            <w:tcBorders>
              <w:top w:val="nil"/>
              <w:left w:val="nil"/>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7</w:t>
            </w:r>
            <w:r w:rsidRPr="004124DA">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0</w:t>
            </w:r>
          </w:p>
        </w:tc>
        <w:tc>
          <w:tcPr>
            <w:tcW w:w="1276" w:type="dxa"/>
            <w:tcBorders>
              <w:top w:val="nil"/>
              <w:left w:val="nil"/>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48</w:t>
            </w:r>
          </w:p>
        </w:tc>
        <w:tc>
          <w:tcPr>
            <w:tcW w:w="1148" w:type="dxa"/>
            <w:gridSpan w:val="2"/>
            <w:tcBorders>
              <w:top w:val="nil"/>
              <w:left w:val="nil"/>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347</w:t>
            </w:r>
          </w:p>
        </w:tc>
        <w:tc>
          <w:tcPr>
            <w:tcW w:w="1120" w:type="dxa"/>
            <w:tcBorders>
              <w:top w:val="nil"/>
              <w:left w:val="nil"/>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347</w:t>
            </w:r>
          </w:p>
        </w:tc>
      </w:tr>
      <w:tr w:rsidR="00044567" w:rsidRPr="004124DA" w:rsidTr="00044567">
        <w:trPr>
          <w:trHeight w:val="300"/>
        </w:trPr>
        <w:tc>
          <w:tcPr>
            <w:tcW w:w="3418" w:type="dxa"/>
            <w:tcBorders>
              <w:top w:val="nil"/>
              <w:left w:val="nil"/>
              <w:bottom w:val="single" w:sz="12" w:space="0" w:color="auto"/>
              <w:right w:val="nil"/>
            </w:tcBorders>
            <w:shd w:val="clear" w:color="auto" w:fill="auto"/>
            <w:noWrap/>
            <w:vAlign w:val="bottom"/>
          </w:tcPr>
          <w:p w:rsidR="00044567" w:rsidRPr="004124DA" w:rsidRDefault="00044567" w:rsidP="00327835">
            <w:pPr>
              <w:spacing w:after="0" w:line="240" w:lineRule="auto"/>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Not eligible for free school meals</w:t>
            </w:r>
          </w:p>
        </w:tc>
        <w:tc>
          <w:tcPr>
            <w:tcW w:w="1276" w:type="dxa"/>
            <w:tcBorders>
              <w:top w:val="nil"/>
              <w:left w:val="nil"/>
              <w:bottom w:val="single" w:sz="12" w:space="0" w:color="auto"/>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49.6</w:t>
            </w:r>
          </w:p>
        </w:tc>
        <w:tc>
          <w:tcPr>
            <w:tcW w:w="1276" w:type="dxa"/>
            <w:tcBorders>
              <w:top w:val="nil"/>
              <w:left w:val="nil"/>
              <w:bottom w:val="single" w:sz="12" w:space="0" w:color="auto"/>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5</w:t>
            </w:r>
            <w:r>
              <w:rPr>
                <w:rFonts w:ascii="Arial" w:eastAsia="Times New Roman" w:hAnsi="Arial" w:cs="Arial"/>
                <w:color w:val="000000"/>
                <w:sz w:val="20"/>
                <w:szCs w:val="20"/>
                <w:lang w:eastAsia="en-GB"/>
              </w:rPr>
              <w:t>0</w:t>
            </w:r>
          </w:p>
        </w:tc>
        <w:tc>
          <w:tcPr>
            <w:tcW w:w="1148" w:type="dxa"/>
            <w:gridSpan w:val="2"/>
            <w:tcBorders>
              <w:top w:val="nil"/>
              <w:left w:val="nil"/>
              <w:bottom w:val="single" w:sz="12" w:space="0" w:color="auto"/>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3041</w:t>
            </w:r>
          </w:p>
        </w:tc>
        <w:tc>
          <w:tcPr>
            <w:tcW w:w="1120" w:type="dxa"/>
            <w:tcBorders>
              <w:top w:val="nil"/>
              <w:left w:val="nil"/>
              <w:bottom w:val="single" w:sz="12" w:space="0" w:color="auto"/>
              <w:right w:val="nil"/>
            </w:tcBorders>
            <w:shd w:val="clear" w:color="auto" w:fill="auto"/>
            <w:noWrap/>
            <w:vAlign w:val="center"/>
          </w:tcPr>
          <w:p w:rsidR="00044567" w:rsidRPr="004124DA" w:rsidRDefault="00044567" w:rsidP="0032783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3035</w:t>
            </w:r>
          </w:p>
        </w:tc>
      </w:tr>
      <w:tr w:rsidR="00044567" w:rsidRPr="004124DA" w:rsidTr="00044567">
        <w:trPr>
          <w:trHeight w:val="300"/>
        </w:trPr>
        <w:tc>
          <w:tcPr>
            <w:tcW w:w="3418" w:type="dxa"/>
            <w:tcBorders>
              <w:top w:val="single" w:sz="12" w:space="0" w:color="auto"/>
              <w:left w:val="nil"/>
              <w:bottom w:val="nil"/>
              <w:right w:val="nil"/>
            </w:tcBorders>
            <w:shd w:val="clear" w:color="auto" w:fill="auto"/>
            <w:noWrap/>
            <w:vAlign w:val="bottom"/>
          </w:tcPr>
          <w:p w:rsidR="00044567" w:rsidRPr="004124DA" w:rsidRDefault="00044567" w:rsidP="00C73B66">
            <w:pPr>
              <w:spacing w:after="0" w:line="240" w:lineRule="auto"/>
              <w:rPr>
                <w:rFonts w:ascii="Arial" w:eastAsia="Times New Roman" w:hAnsi="Arial" w:cs="Arial"/>
                <w:color w:val="000000"/>
                <w:sz w:val="20"/>
                <w:szCs w:val="20"/>
                <w:lang w:eastAsia="en-GB"/>
              </w:rPr>
            </w:pPr>
          </w:p>
        </w:tc>
        <w:tc>
          <w:tcPr>
            <w:tcW w:w="1276" w:type="dxa"/>
            <w:tcBorders>
              <w:top w:val="single" w:sz="12" w:space="0" w:color="auto"/>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1276" w:type="dxa"/>
            <w:tcBorders>
              <w:top w:val="single" w:sz="12" w:space="0" w:color="auto"/>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color w:val="000000"/>
                <w:sz w:val="20"/>
                <w:szCs w:val="20"/>
                <w:lang w:eastAsia="en-GB"/>
              </w:rPr>
            </w:pPr>
          </w:p>
        </w:tc>
        <w:tc>
          <w:tcPr>
            <w:tcW w:w="2268" w:type="dxa"/>
            <w:gridSpan w:val="3"/>
            <w:tcBorders>
              <w:top w:val="single" w:sz="12" w:space="0" w:color="auto"/>
              <w:left w:val="nil"/>
              <w:bottom w:val="nil"/>
              <w:right w:val="nil"/>
            </w:tcBorders>
            <w:shd w:val="clear" w:color="auto" w:fill="auto"/>
            <w:noWrap/>
            <w:vAlign w:val="center"/>
          </w:tcPr>
          <w:p w:rsidR="00044567" w:rsidRDefault="00044567" w:rsidP="00914E62">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Continued…</w:t>
            </w:r>
          </w:p>
        </w:tc>
      </w:tr>
    </w:tbl>
    <w:p w:rsidR="00044567" w:rsidRDefault="00044567" w:rsidP="00044567">
      <w:pPr>
        <w:spacing w:after="0" w:line="240" w:lineRule="auto"/>
      </w:pPr>
    </w:p>
    <w:tbl>
      <w:tblPr>
        <w:tblW w:w="8237" w:type="dxa"/>
        <w:tblInd w:w="93" w:type="dxa"/>
        <w:tblLayout w:type="fixed"/>
        <w:tblLook w:val="04A0" w:firstRow="1" w:lastRow="0" w:firstColumn="1" w:lastColumn="0" w:noHBand="0" w:noVBand="1"/>
      </w:tblPr>
      <w:tblGrid>
        <w:gridCol w:w="3417"/>
        <w:gridCol w:w="1276"/>
        <w:gridCol w:w="1134"/>
        <w:gridCol w:w="1134"/>
        <w:gridCol w:w="1276"/>
      </w:tblGrid>
      <w:tr w:rsidR="00044567" w:rsidRPr="004124DA" w:rsidTr="00044567">
        <w:trPr>
          <w:trHeight w:val="340"/>
        </w:trPr>
        <w:tc>
          <w:tcPr>
            <w:tcW w:w="8237" w:type="dxa"/>
            <w:gridSpan w:val="5"/>
            <w:tcBorders>
              <w:top w:val="single" w:sz="12" w:space="0" w:color="auto"/>
              <w:left w:val="nil"/>
              <w:bottom w:val="nil"/>
              <w:right w:val="nil"/>
            </w:tcBorders>
            <w:shd w:val="clear" w:color="auto" w:fill="auto"/>
            <w:hideMark/>
          </w:tcPr>
          <w:p w:rsidR="00044567" w:rsidRPr="004124DA" w:rsidRDefault="00044567" w:rsidP="00044567">
            <w:pPr>
              <w:spacing w:after="0" w:line="240" w:lineRule="auto"/>
              <w:rPr>
                <w:rFonts w:ascii="Arial" w:eastAsia="Times New Roman" w:hAnsi="Arial" w:cs="Arial"/>
                <w:b/>
                <w:bCs/>
                <w:color w:val="000000"/>
                <w:sz w:val="20"/>
                <w:szCs w:val="20"/>
                <w:lang w:eastAsia="en-GB"/>
              </w:rPr>
            </w:pPr>
            <w:r w:rsidRPr="00EC6B33">
              <w:rPr>
                <w:rFonts w:ascii="Arial" w:eastAsia="Times New Roman" w:hAnsi="Arial" w:cs="Arial"/>
                <w:b/>
                <w:bCs/>
                <w:color w:val="000000"/>
                <w:sz w:val="20"/>
                <w:szCs w:val="20"/>
                <w:lang w:eastAsia="en-GB"/>
              </w:rPr>
              <w:t>Table 2.2.3</w:t>
            </w:r>
            <w:r>
              <w:rPr>
                <w:rFonts w:ascii="Arial" w:eastAsia="Times New Roman" w:hAnsi="Arial" w:cs="Arial"/>
                <w:b/>
                <w:bCs/>
                <w:color w:val="000000"/>
                <w:sz w:val="20"/>
                <w:szCs w:val="20"/>
                <w:lang w:eastAsia="en-GB"/>
              </w:rPr>
              <w:t>e - Continued</w:t>
            </w:r>
          </w:p>
        </w:tc>
      </w:tr>
      <w:tr w:rsidR="00044567" w:rsidRPr="004124DA" w:rsidTr="00076EDD">
        <w:trPr>
          <w:trHeight w:val="465"/>
        </w:trPr>
        <w:tc>
          <w:tcPr>
            <w:tcW w:w="3417" w:type="dxa"/>
            <w:tcBorders>
              <w:top w:val="nil"/>
              <w:left w:val="nil"/>
              <w:bottom w:val="single" w:sz="12" w:space="0" w:color="auto"/>
              <w:right w:val="nil"/>
            </w:tcBorders>
            <w:shd w:val="clear" w:color="auto" w:fill="auto"/>
            <w:vAlign w:val="center"/>
            <w:hideMark/>
          </w:tcPr>
          <w:p w:rsidR="00044567" w:rsidRPr="00076EDD" w:rsidRDefault="00044567" w:rsidP="00076EDD">
            <w:pPr>
              <w:spacing w:after="0" w:line="240" w:lineRule="auto"/>
              <w:rPr>
                <w:rFonts w:ascii="Arial" w:eastAsia="Times New Roman" w:hAnsi="Arial" w:cs="Arial"/>
                <w:color w:val="000000"/>
                <w:sz w:val="20"/>
                <w:szCs w:val="20"/>
                <w:lang w:eastAsia="en-GB"/>
              </w:rPr>
            </w:pPr>
            <w:r w:rsidRPr="00076EDD">
              <w:rPr>
                <w:rFonts w:ascii="Arial" w:eastAsia="Times New Roman" w:hAnsi="Arial" w:cs="Arial"/>
                <w:color w:val="000000"/>
                <w:sz w:val="20"/>
                <w:szCs w:val="20"/>
                <w:lang w:eastAsia="en-GB"/>
              </w:rPr>
              <w:t>Overall WEMWBS score</w:t>
            </w:r>
          </w:p>
        </w:tc>
        <w:tc>
          <w:tcPr>
            <w:tcW w:w="1276" w:type="dxa"/>
            <w:tcBorders>
              <w:top w:val="nil"/>
              <w:left w:val="nil"/>
              <w:bottom w:val="single" w:sz="12" w:space="0" w:color="auto"/>
              <w:right w:val="nil"/>
            </w:tcBorders>
            <w:shd w:val="clear" w:color="auto" w:fill="auto"/>
            <w:vAlign w:val="center"/>
            <w:hideMark/>
          </w:tcPr>
          <w:p w:rsidR="00044567" w:rsidRPr="004124DA" w:rsidRDefault="00044567" w:rsidP="00327835">
            <w:pPr>
              <w:spacing w:after="0" w:line="240" w:lineRule="auto"/>
              <w:jc w:val="center"/>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Mean</w:t>
            </w:r>
          </w:p>
        </w:tc>
        <w:tc>
          <w:tcPr>
            <w:tcW w:w="1134" w:type="dxa"/>
            <w:tcBorders>
              <w:top w:val="nil"/>
              <w:left w:val="nil"/>
              <w:bottom w:val="single" w:sz="12" w:space="0" w:color="auto"/>
              <w:right w:val="nil"/>
            </w:tcBorders>
            <w:shd w:val="clear" w:color="auto" w:fill="auto"/>
            <w:vAlign w:val="center"/>
            <w:hideMark/>
          </w:tcPr>
          <w:p w:rsidR="00044567" w:rsidRPr="004124DA" w:rsidRDefault="00044567" w:rsidP="00327835">
            <w:pPr>
              <w:spacing w:after="0" w:line="240" w:lineRule="auto"/>
              <w:jc w:val="center"/>
              <w:rPr>
                <w:rFonts w:ascii="Arial" w:eastAsia="Times New Roman" w:hAnsi="Arial" w:cs="Arial"/>
                <w:color w:val="000000"/>
                <w:sz w:val="20"/>
                <w:szCs w:val="20"/>
                <w:lang w:eastAsia="en-GB"/>
              </w:rPr>
            </w:pPr>
            <w:r w:rsidRPr="004124DA">
              <w:rPr>
                <w:rFonts w:ascii="Arial" w:eastAsia="Times New Roman" w:hAnsi="Arial" w:cs="Arial"/>
                <w:color w:val="000000"/>
                <w:sz w:val="20"/>
                <w:szCs w:val="20"/>
                <w:lang w:eastAsia="en-GB"/>
              </w:rPr>
              <w:t>Median</w:t>
            </w:r>
          </w:p>
        </w:tc>
        <w:tc>
          <w:tcPr>
            <w:tcW w:w="1134" w:type="dxa"/>
            <w:tcBorders>
              <w:top w:val="nil"/>
              <w:left w:val="nil"/>
              <w:bottom w:val="single" w:sz="12" w:space="0" w:color="auto"/>
              <w:right w:val="nil"/>
            </w:tcBorders>
            <w:shd w:val="clear" w:color="auto" w:fill="auto"/>
            <w:vAlign w:val="center"/>
            <w:hideMark/>
          </w:tcPr>
          <w:p w:rsidR="00044567" w:rsidRPr="004124DA" w:rsidRDefault="00044567" w:rsidP="00327835">
            <w:pPr>
              <w:spacing w:after="0" w:line="240" w:lineRule="auto"/>
              <w:jc w:val="center"/>
              <w:rPr>
                <w:rFonts w:ascii="Arial" w:eastAsia="Times New Roman" w:hAnsi="Arial" w:cs="Arial"/>
                <w:i/>
                <w:iCs/>
                <w:color w:val="000000"/>
                <w:sz w:val="16"/>
                <w:szCs w:val="16"/>
                <w:lang w:eastAsia="en-GB"/>
              </w:rPr>
            </w:pPr>
            <w:r w:rsidRPr="004124DA">
              <w:rPr>
                <w:rFonts w:ascii="Arial" w:eastAsia="Times New Roman" w:hAnsi="Arial" w:cs="Arial"/>
                <w:i/>
                <w:iCs/>
                <w:color w:val="000000"/>
                <w:sz w:val="16"/>
                <w:szCs w:val="16"/>
                <w:lang w:eastAsia="en-GB"/>
              </w:rPr>
              <w:t>Weighted base</w:t>
            </w:r>
            <w:r>
              <w:rPr>
                <w:rFonts w:ascii="Arial" w:eastAsia="Times New Roman" w:hAnsi="Arial" w:cs="Arial"/>
                <w:i/>
                <w:iCs/>
                <w:color w:val="000000"/>
                <w:sz w:val="16"/>
                <w:szCs w:val="16"/>
                <w:lang w:eastAsia="en-GB"/>
              </w:rPr>
              <w:t>s</w:t>
            </w:r>
          </w:p>
        </w:tc>
        <w:tc>
          <w:tcPr>
            <w:tcW w:w="1276" w:type="dxa"/>
            <w:tcBorders>
              <w:top w:val="nil"/>
              <w:left w:val="nil"/>
              <w:bottom w:val="single" w:sz="12" w:space="0" w:color="auto"/>
              <w:right w:val="nil"/>
            </w:tcBorders>
            <w:shd w:val="clear" w:color="auto" w:fill="auto"/>
            <w:vAlign w:val="center"/>
            <w:hideMark/>
          </w:tcPr>
          <w:p w:rsidR="00044567" w:rsidRPr="004124DA" w:rsidRDefault="00044567" w:rsidP="00327835">
            <w:pPr>
              <w:spacing w:after="0" w:line="240" w:lineRule="auto"/>
              <w:jc w:val="center"/>
              <w:rPr>
                <w:rFonts w:ascii="Arial" w:eastAsia="Times New Roman" w:hAnsi="Arial" w:cs="Arial"/>
                <w:i/>
                <w:iCs/>
                <w:color w:val="000000"/>
                <w:sz w:val="16"/>
                <w:szCs w:val="16"/>
                <w:lang w:eastAsia="en-GB"/>
              </w:rPr>
            </w:pPr>
            <w:r w:rsidRPr="004124DA">
              <w:rPr>
                <w:rFonts w:ascii="Arial" w:eastAsia="Times New Roman" w:hAnsi="Arial" w:cs="Arial"/>
                <w:i/>
                <w:iCs/>
                <w:color w:val="000000"/>
                <w:sz w:val="16"/>
                <w:szCs w:val="16"/>
                <w:lang w:eastAsia="en-GB"/>
              </w:rPr>
              <w:t>Unweighted base</w:t>
            </w:r>
            <w:r>
              <w:rPr>
                <w:rFonts w:ascii="Arial" w:eastAsia="Times New Roman" w:hAnsi="Arial" w:cs="Arial"/>
                <w:i/>
                <w:iCs/>
                <w:color w:val="000000"/>
                <w:sz w:val="16"/>
                <w:szCs w:val="16"/>
                <w:lang w:eastAsia="en-GB"/>
              </w:rPr>
              <w:t>s</w:t>
            </w:r>
          </w:p>
        </w:tc>
      </w:tr>
      <w:tr w:rsidR="00044567" w:rsidRPr="004124DA" w:rsidTr="00327835">
        <w:trPr>
          <w:trHeight w:val="283"/>
        </w:trPr>
        <w:tc>
          <w:tcPr>
            <w:tcW w:w="3417" w:type="dxa"/>
            <w:tcBorders>
              <w:top w:val="nil"/>
              <w:left w:val="nil"/>
              <w:bottom w:val="single" w:sz="8" w:space="0" w:color="auto"/>
              <w:right w:val="nil"/>
            </w:tcBorders>
            <w:shd w:val="clear" w:color="auto" w:fill="auto"/>
            <w:noWrap/>
            <w:vAlign w:val="center"/>
            <w:hideMark/>
          </w:tcPr>
          <w:p w:rsidR="00044567" w:rsidRPr="004124DA" w:rsidRDefault="00044567" w:rsidP="00327835">
            <w:pPr>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r w:rsidRPr="004124DA">
              <w:rPr>
                <w:rFonts w:ascii="Arial" w:eastAsia="Times New Roman" w:hAnsi="Arial" w:cs="Arial"/>
                <w:i/>
                <w:iCs/>
                <w:color w:val="000000"/>
                <w:sz w:val="20"/>
                <w:szCs w:val="20"/>
                <w:lang w:eastAsia="en-GB"/>
              </w:rPr>
              <w:t> </w:t>
            </w:r>
          </w:p>
        </w:tc>
        <w:tc>
          <w:tcPr>
            <w:tcW w:w="1276" w:type="dxa"/>
            <w:tcBorders>
              <w:top w:val="nil"/>
              <w:left w:val="nil"/>
              <w:bottom w:val="single" w:sz="8" w:space="0" w:color="auto"/>
              <w:right w:val="nil"/>
            </w:tcBorders>
            <w:shd w:val="clear" w:color="auto" w:fill="auto"/>
            <w:noWrap/>
            <w:vAlign w:val="center"/>
            <w:hideMark/>
          </w:tcPr>
          <w:p w:rsidR="00044567" w:rsidRPr="004124DA" w:rsidRDefault="00044567" w:rsidP="00327835">
            <w:pPr>
              <w:spacing w:after="0" w:line="240" w:lineRule="auto"/>
              <w:rPr>
                <w:rFonts w:ascii="Arial" w:eastAsia="Times New Roman" w:hAnsi="Arial" w:cs="Arial"/>
                <w:i/>
                <w:iCs/>
                <w:color w:val="000000"/>
                <w:sz w:val="20"/>
                <w:szCs w:val="20"/>
                <w:lang w:eastAsia="en-GB"/>
              </w:rPr>
            </w:pPr>
            <w:r w:rsidRPr="004124DA">
              <w:rPr>
                <w:rFonts w:ascii="Arial" w:eastAsia="Times New Roman" w:hAnsi="Arial" w:cs="Arial"/>
                <w:i/>
                <w:iCs/>
                <w:color w:val="000000"/>
                <w:sz w:val="20"/>
                <w:szCs w:val="20"/>
                <w:lang w:eastAsia="en-GB"/>
              </w:rPr>
              <w:t> </w:t>
            </w:r>
          </w:p>
        </w:tc>
        <w:tc>
          <w:tcPr>
            <w:tcW w:w="1134" w:type="dxa"/>
            <w:tcBorders>
              <w:top w:val="nil"/>
              <w:left w:val="nil"/>
              <w:bottom w:val="single" w:sz="8" w:space="0" w:color="auto"/>
              <w:right w:val="nil"/>
            </w:tcBorders>
            <w:shd w:val="clear" w:color="auto" w:fill="auto"/>
            <w:noWrap/>
            <w:vAlign w:val="center"/>
            <w:hideMark/>
          </w:tcPr>
          <w:p w:rsidR="00044567" w:rsidRPr="004124DA" w:rsidRDefault="00044567" w:rsidP="00327835">
            <w:pPr>
              <w:spacing w:after="0" w:line="240" w:lineRule="auto"/>
              <w:rPr>
                <w:rFonts w:ascii="Arial" w:eastAsia="Times New Roman" w:hAnsi="Arial" w:cs="Arial"/>
                <w:i/>
                <w:iCs/>
                <w:color w:val="000000"/>
                <w:sz w:val="20"/>
                <w:szCs w:val="20"/>
                <w:lang w:eastAsia="en-GB"/>
              </w:rPr>
            </w:pPr>
            <w:r w:rsidRPr="004124DA">
              <w:rPr>
                <w:rFonts w:ascii="Arial" w:eastAsia="Times New Roman" w:hAnsi="Arial" w:cs="Arial"/>
                <w:i/>
                <w:iCs/>
                <w:color w:val="000000"/>
                <w:sz w:val="20"/>
                <w:szCs w:val="20"/>
                <w:lang w:eastAsia="en-GB"/>
              </w:rPr>
              <w:t> </w:t>
            </w:r>
          </w:p>
        </w:tc>
        <w:tc>
          <w:tcPr>
            <w:tcW w:w="2410" w:type="dxa"/>
            <w:gridSpan w:val="2"/>
            <w:tcBorders>
              <w:top w:val="single" w:sz="12" w:space="0" w:color="auto"/>
              <w:left w:val="nil"/>
              <w:bottom w:val="single" w:sz="8" w:space="0" w:color="auto"/>
              <w:right w:val="nil"/>
            </w:tcBorders>
            <w:shd w:val="clear" w:color="auto" w:fill="auto"/>
            <w:noWrap/>
            <w:vAlign w:val="center"/>
            <w:hideMark/>
          </w:tcPr>
          <w:p w:rsidR="00044567" w:rsidRPr="004124DA" w:rsidRDefault="00044567" w:rsidP="00327835">
            <w:pPr>
              <w:spacing w:after="0" w:line="240" w:lineRule="auto"/>
              <w:rPr>
                <w:rFonts w:ascii="Arial" w:eastAsia="Times New Roman" w:hAnsi="Arial" w:cs="Arial"/>
                <w:i/>
                <w:iCs/>
                <w:color w:val="000000"/>
                <w:sz w:val="20"/>
                <w:szCs w:val="20"/>
                <w:lang w:eastAsia="en-GB"/>
              </w:rPr>
            </w:pPr>
          </w:p>
        </w:tc>
      </w:tr>
      <w:tr w:rsidR="00C73B66" w:rsidRPr="004124DA" w:rsidTr="007C3905">
        <w:trPr>
          <w:trHeight w:val="300"/>
        </w:trPr>
        <w:tc>
          <w:tcPr>
            <w:tcW w:w="3417" w:type="dxa"/>
            <w:tcBorders>
              <w:top w:val="nil"/>
              <w:left w:val="nil"/>
              <w:bottom w:val="nil"/>
              <w:right w:val="nil"/>
            </w:tcBorders>
            <w:shd w:val="clear" w:color="auto" w:fill="auto"/>
            <w:noWrap/>
            <w:vAlign w:val="bottom"/>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No siblings at home</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48.5</w:t>
            </w: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w:t>
            </w: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727</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725</w:t>
            </w:r>
          </w:p>
        </w:tc>
      </w:tr>
      <w:tr w:rsidR="00C73B66" w:rsidRPr="004124DA" w:rsidTr="007C3905">
        <w:trPr>
          <w:trHeight w:val="300"/>
        </w:trPr>
        <w:tc>
          <w:tcPr>
            <w:tcW w:w="3417" w:type="dxa"/>
            <w:tcBorders>
              <w:top w:val="nil"/>
              <w:left w:val="nil"/>
              <w:bottom w:val="nil"/>
              <w:right w:val="nil"/>
            </w:tcBorders>
            <w:shd w:val="clear" w:color="auto" w:fill="auto"/>
            <w:noWrap/>
            <w:vAlign w:val="bottom"/>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One or more siblings at home</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49.6</w:t>
            </w: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51</w:t>
            </w: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2586</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2584</w:t>
            </w:r>
          </w:p>
        </w:tc>
      </w:tr>
      <w:tr w:rsidR="00C73B66" w:rsidRPr="004124DA" w:rsidTr="007C3905">
        <w:trPr>
          <w:trHeight w:val="300"/>
        </w:trPr>
        <w:tc>
          <w:tcPr>
            <w:tcW w:w="3417" w:type="dxa"/>
            <w:tcBorders>
              <w:top w:val="nil"/>
              <w:left w:val="nil"/>
              <w:bottom w:val="nil"/>
              <w:right w:val="nil"/>
            </w:tcBorders>
            <w:shd w:val="clear" w:color="auto" w:fill="auto"/>
            <w:noWrap/>
            <w:vAlign w:val="bottom"/>
          </w:tcPr>
          <w:p w:rsidR="00C73B66" w:rsidRPr="00044567" w:rsidRDefault="00C73B66" w:rsidP="00C73B66">
            <w:pPr>
              <w:spacing w:after="0" w:line="240" w:lineRule="auto"/>
              <w:rPr>
                <w:rFonts w:eastAsia="Times New Roman" w:cstheme="minorHAnsi"/>
                <w:color w:val="000000"/>
                <w:sz w:val="20"/>
                <w:szCs w:val="20"/>
                <w:lang w:eastAsia="en-GB"/>
              </w:rPr>
            </w:pP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p>
        </w:tc>
      </w:tr>
      <w:tr w:rsidR="00C73B66" w:rsidRPr="009A5403"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Two parent household</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50.5</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51</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2250</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2250</w:t>
            </w:r>
          </w:p>
        </w:tc>
      </w:tr>
      <w:tr w:rsidR="00C73B66" w:rsidRPr="009A5403"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One parent household</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47.2</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48</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620</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617</w:t>
            </w:r>
          </w:p>
        </w:tc>
      </w:tr>
      <w:tr w:rsidR="00C73B66" w:rsidRPr="009A5403"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Step-family</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46.9</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48</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371</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371</w:t>
            </w:r>
          </w:p>
        </w:tc>
      </w:tr>
      <w:tr w:rsidR="00C73B66" w:rsidRPr="004124DA"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Other household type</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45.0</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73</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71</w:t>
            </w:r>
          </w:p>
        </w:tc>
      </w:tr>
      <w:tr w:rsidR="00C73B66" w:rsidRPr="004124DA"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r>
      <w:tr w:rsidR="00C73B66" w:rsidRPr="006E54F9"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Additional support need</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48.2</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522</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519</w:t>
            </w:r>
          </w:p>
        </w:tc>
      </w:tr>
      <w:tr w:rsidR="00C73B66" w:rsidRPr="006E54F9"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No additional support need</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49.6</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50</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2866</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2863</w:t>
            </w:r>
          </w:p>
        </w:tc>
      </w:tr>
      <w:tr w:rsidR="00C73B66" w:rsidRPr="004124DA"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highlight w:val="yellow"/>
                <w:lang w:eastAsia="en-GB"/>
              </w:rPr>
            </w:pP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highlight w:val="yellow"/>
                <w:lang w:eastAsia="en-GB"/>
              </w:rPr>
            </w:pP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highlight w:val="yellow"/>
                <w:lang w:eastAsia="en-GB"/>
              </w:rPr>
            </w:pP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highlight w:val="yellow"/>
                <w:lang w:eastAsia="en-GB"/>
              </w:rPr>
            </w:pP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highlight w:val="yellow"/>
                <w:lang w:eastAsia="en-GB"/>
              </w:rPr>
            </w:pPr>
          </w:p>
        </w:tc>
      </w:tr>
      <w:tr w:rsidR="00C73B66" w:rsidRPr="006E54F9" w:rsidTr="007C3905">
        <w:trPr>
          <w:trHeight w:val="300"/>
        </w:trPr>
        <w:tc>
          <w:tcPr>
            <w:tcW w:w="3417" w:type="dxa"/>
            <w:tcBorders>
              <w:top w:val="nil"/>
              <w:left w:val="nil"/>
              <w:bottom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In receipt of children's services</w:t>
            </w:r>
          </w:p>
        </w:tc>
        <w:tc>
          <w:tcPr>
            <w:tcW w:w="1276"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45.0</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45</w:t>
            </w:r>
          </w:p>
        </w:tc>
        <w:tc>
          <w:tcPr>
            <w:tcW w:w="1134" w:type="dxa"/>
            <w:tcBorders>
              <w:top w:val="nil"/>
              <w:left w:val="nil"/>
              <w:bottom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104</w:t>
            </w:r>
          </w:p>
        </w:tc>
        <w:tc>
          <w:tcPr>
            <w:tcW w:w="1276" w:type="dxa"/>
            <w:tcBorders>
              <w:top w:val="nil"/>
              <w:left w:val="nil"/>
              <w:bottom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104</w:t>
            </w:r>
          </w:p>
        </w:tc>
      </w:tr>
      <w:tr w:rsidR="00C73B66" w:rsidRPr="006E54F9" w:rsidTr="007C3905">
        <w:trPr>
          <w:trHeight w:val="300"/>
        </w:trPr>
        <w:tc>
          <w:tcPr>
            <w:tcW w:w="3417" w:type="dxa"/>
            <w:tcBorders>
              <w:top w:val="nil"/>
              <w:left w:val="nil"/>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r w:rsidRPr="00044567">
              <w:rPr>
                <w:rFonts w:eastAsia="Times New Roman" w:cstheme="minorHAnsi"/>
                <w:color w:val="000000"/>
                <w:sz w:val="20"/>
                <w:szCs w:val="20"/>
                <w:lang w:eastAsia="en-GB"/>
              </w:rPr>
              <w:t>Not in receipt of children's service</w:t>
            </w:r>
          </w:p>
        </w:tc>
        <w:tc>
          <w:tcPr>
            <w:tcW w:w="1276" w:type="dxa"/>
            <w:tcBorders>
              <w:top w:val="nil"/>
              <w:left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49.5</w:t>
            </w:r>
          </w:p>
        </w:tc>
        <w:tc>
          <w:tcPr>
            <w:tcW w:w="1134" w:type="dxa"/>
            <w:tcBorders>
              <w:top w:val="nil"/>
              <w:left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r w:rsidRPr="00044567">
              <w:rPr>
                <w:rFonts w:eastAsia="Times New Roman" w:cstheme="minorHAnsi"/>
                <w:color w:val="000000"/>
                <w:sz w:val="20"/>
                <w:szCs w:val="20"/>
                <w:lang w:eastAsia="en-GB"/>
              </w:rPr>
              <w:t>50</w:t>
            </w:r>
          </w:p>
        </w:tc>
        <w:tc>
          <w:tcPr>
            <w:tcW w:w="1134" w:type="dxa"/>
            <w:tcBorders>
              <w:top w:val="nil"/>
              <w:left w:val="nil"/>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3284</w:t>
            </w:r>
          </w:p>
        </w:tc>
        <w:tc>
          <w:tcPr>
            <w:tcW w:w="1276" w:type="dxa"/>
            <w:tcBorders>
              <w:top w:val="nil"/>
              <w:left w:val="nil"/>
              <w:right w:val="nil"/>
            </w:tcBorders>
            <w:shd w:val="clear" w:color="auto" w:fill="auto"/>
            <w:noWrap/>
            <w:vAlign w:val="center"/>
          </w:tcPr>
          <w:p w:rsidR="00C73B66" w:rsidRPr="00044567" w:rsidRDefault="00C73B66" w:rsidP="00914E62">
            <w:pPr>
              <w:spacing w:after="0" w:line="240" w:lineRule="auto"/>
              <w:jc w:val="right"/>
              <w:rPr>
                <w:rFonts w:eastAsia="Times New Roman" w:cstheme="minorHAnsi"/>
                <w:i/>
                <w:iCs/>
                <w:color w:val="000000"/>
                <w:sz w:val="20"/>
                <w:szCs w:val="20"/>
                <w:lang w:eastAsia="en-GB"/>
              </w:rPr>
            </w:pPr>
            <w:r w:rsidRPr="00044567">
              <w:rPr>
                <w:rFonts w:eastAsia="Times New Roman" w:cstheme="minorHAnsi"/>
                <w:i/>
                <w:iCs/>
                <w:color w:val="000000"/>
                <w:sz w:val="20"/>
                <w:szCs w:val="20"/>
                <w:lang w:eastAsia="en-GB"/>
              </w:rPr>
              <w:t>3278</w:t>
            </w:r>
          </w:p>
        </w:tc>
      </w:tr>
      <w:tr w:rsidR="00C73B66" w:rsidRPr="004124DA" w:rsidTr="007C3905">
        <w:trPr>
          <w:trHeight w:val="227"/>
        </w:trPr>
        <w:tc>
          <w:tcPr>
            <w:tcW w:w="3417" w:type="dxa"/>
            <w:tcBorders>
              <w:top w:val="nil"/>
              <w:left w:val="nil"/>
              <w:bottom w:val="single" w:sz="12" w:space="0" w:color="auto"/>
              <w:right w:val="nil"/>
            </w:tcBorders>
            <w:shd w:val="clear" w:color="auto" w:fill="auto"/>
            <w:noWrap/>
            <w:vAlign w:val="bottom"/>
            <w:hideMark/>
          </w:tcPr>
          <w:p w:rsidR="00C73B66" w:rsidRPr="00044567" w:rsidRDefault="00C73B66" w:rsidP="00C73B66">
            <w:pPr>
              <w:spacing w:after="0" w:line="240" w:lineRule="auto"/>
              <w:rPr>
                <w:rFonts w:eastAsia="Times New Roman" w:cstheme="minorHAnsi"/>
                <w:color w:val="000000"/>
                <w:sz w:val="20"/>
                <w:szCs w:val="20"/>
                <w:lang w:eastAsia="en-GB"/>
              </w:rPr>
            </w:pPr>
          </w:p>
        </w:tc>
        <w:tc>
          <w:tcPr>
            <w:tcW w:w="1276" w:type="dxa"/>
            <w:tcBorders>
              <w:top w:val="nil"/>
              <w:left w:val="nil"/>
              <w:bottom w:val="single" w:sz="12" w:space="0" w:color="auto"/>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single" w:sz="12" w:space="0" w:color="auto"/>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color w:val="000000"/>
                <w:sz w:val="20"/>
                <w:szCs w:val="20"/>
                <w:lang w:eastAsia="en-GB"/>
              </w:rPr>
            </w:pPr>
          </w:p>
        </w:tc>
        <w:tc>
          <w:tcPr>
            <w:tcW w:w="1134" w:type="dxa"/>
            <w:tcBorders>
              <w:top w:val="nil"/>
              <w:left w:val="nil"/>
              <w:bottom w:val="single" w:sz="12" w:space="0" w:color="auto"/>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p>
        </w:tc>
        <w:tc>
          <w:tcPr>
            <w:tcW w:w="1276" w:type="dxa"/>
            <w:tcBorders>
              <w:top w:val="nil"/>
              <w:left w:val="nil"/>
              <w:bottom w:val="single" w:sz="12" w:space="0" w:color="auto"/>
              <w:right w:val="nil"/>
            </w:tcBorders>
            <w:shd w:val="clear" w:color="auto" w:fill="auto"/>
            <w:noWrap/>
            <w:vAlign w:val="center"/>
            <w:hideMark/>
          </w:tcPr>
          <w:p w:rsidR="00C73B66" w:rsidRPr="00044567" w:rsidRDefault="00C73B66" w:rsidP="00914E62">
            <w:pPr>
              <w:spacing w:after="0" w:line="240" w:lineRule="auto"/>
              <w:jc w:val="right"/>
              <w:rPr>
                <w:rFonts w:eastAsia="Times New Roman" w:cstheme="minorHAnsi"/>
                <w:i/>
                <w:iCs/>
                <w:color w:val="000000"/>
                <w:sz w:val="20"/>
                <w:szCs w:val="20"/>
                <w:lang w:eastAsia="en-GB"/>
              </w:rPr>
            </w:pPr>
          </w:p>
        </w:tc>
      </w:tr>
    </w:tbl>
    <w:p w:rsidR="00816EC1" w:rsidRPr="00A018E9"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C73B66" w:rsidRDefault="00C73B66" w:rsidP="00C73B66">
      <w:pPr>
        <w:pStyle w:val="BodyCopy"/>
        <w:spacing w:before="240" w:line="276" w:lineRule="auto"/>
      </w:pPr>
      <w:r>
        <w:t>Consistent with evidence from elsewhere about key predictors of subjective wellbeing among children and young people,</w:t>
      </w:r>
      <w:r>
        <w:rPr>
          <w:rStyle w:val="EndnoteReference"/>
        </w:rPr>
        <w:endnoteReference w:id="5"/>
      </w:r>
      <w:r>
        <w:t xml:space="preserve"> WEMWBS scores were also related to many aspects of the social and place domains. For example, higher mean wellbeing scores were observed for children who </w:t>
      </w:r>
      <w:r w:rsidR="00150318">
        <w:t>agreed</w:t>
      </w:r>
      <w:r w:rsidR="00987B09">
        <w:t xml:space="preserve"> they enjoyed spending time with their family (50.7 compared with 40.5 for those who disagreed)</w:t>
      </w:r>
      <w:r w:rsidR="00F8419A">
        <w:t>.</w:t>
      </w:r>
      <w:r>
        <w:t xml:space="preserve"> Similarly, mean wellbeing scores were higher for those who </w:t>
      </w:r>
      <w:r w:rsidR="00987B09">
        <w:t xml:space="preserve">agreed that pupils at their school treated each other with respect (51.9 compared with 45.5 for those who disagreed), and for those who </w:t>
      </w:r>
      <w:r>
        <w:t>agreed their teachers made them want to do well (51.4 compared with 42.7 for those who disagreed).</w:t>
      </w:r>
      <w:r w:rsidRPr="004D0123">
        <w:t xml:space="preserve"> </w:t>
      </w:r>
    </w:p>
    <w:p w:rsidR="00C73B66" w:rsidRPr="00F62330" w:rsidRDefault="00C73B66" w:rsidP="00C73B66">
      <w:pPr>
        <w:pStyle w:val="BodyCopy"/>
        <w:spacing w:before="240" w:line="276" w:lineRule="auto"/>
      </w:pPr>
      <w:r>
        <w:t>Attitude towards school as a whole appears to be a particularly powerful predictor of positive mental wellbeing: mean wellbeing was particularly high for those who liked school a lot (55.2 compared with just 39.4 for those who did not like it at all).</w:t>
      </w:r>
    </w:p>
    <w:p w:rsidR="00C73B66" w:rsidRDefault="00826636" w:rsidP="00C73B66">
      <w:pPr>
        <w:pStyle w:val="BodyCopy"/>
        <w:spacing w:before="240" w:line="276" w:lineRule="auto"/>
      </w:pPr>
      <w:r>
        <w:t>Other social scientific studies have suggested that</w:t>
      </w:r>
      <w:r w:rsidR="00C73B66">
        <w:t xml:space="preserve"> there </w:t>
      </w:r>
      <w:r>
        <w:t>i</w:t>
      </w:r>
      <w:r w:rsidR="00C73B66">
        <w:t>s a link between wellbeing and experience of being bullied. Those who said they had been hit, kicked, punched or physically threatened in the last month had a mean score of 44.8, compared with 50.2 for those who had not been physically bullied. Those who said they had been teased or called names, either in person or online, had a mean wellbeing score of 45.8, compared with 51.2 for those who had not been teased. And those who had rumours or lies spread about them, or were excluded from groups, either online or in person, had a mean wellbeing score of 45.8, compared with 51.3 for those who were not excluded in this way.</w:t>
      </w:r>
    </w:p>
    <w:p w:rsidR="00C73B66" w:rsidRDefault="00C73B66" w:rsidP="00C73B66">
      <w:pPr>
        <w:pStyle w:val="BodyCopy"/>
        <w:spacing w:before="240" w:line="276" w:lineRule="auto"/>
      </w:pPr>
      <w:r>
        <w:t>Pupils with more friends tended to have higher levels of wellbeing: those with three or more close friends had a mean score of 50.4, compared with 43.6 for those with none or just one close friend.</w:t>
      </w:r>
    </w:p>
    <w:p w:rsidR="00C73B66" w:rsidRDefault="00C73B66" w:rsidP="00C73B66">
      <w:pPr>
        <w:pStyle w:val="BodyCopy"/>
        <w:spacing w:before="240" w:line="276" w:lineRule="auto"/>
      </w:pPr>
      <w:r>
        <w:lastRenderedPageBreak/>
        <w:t xml:space="preserve">Body image is another factor that has been shown to be related to subjective wellbeing in other studies. Those who said in the secondary survey that they were very happy with the way they look had a mean WEMWBS score of 55.4, while those who said they were not at all happy with the way they look had a mean score of </w:t>
      </w:r>
      <w:r w:rsidR="00914E62">
        <w:t>36.6</w:t>
      </w:r>
      <w:r>
        <w:t xml:space="preserve"> (those who said they didn’t care about the way they look had a mean score of 49.2).</w:t>
      </w:r>
    </w:p>
    <w:p w:rsidR="00C73B66" w:rsidRDefault="00C73B66" w:rsidP="00C73B66">
      <w:pPr>
        <w:pStyle w:val="BodyCopy"/>
        <w:spacing w:before="240" w:line="276" w:lineRule="auto"/>
      </w:pPr>
      <w:r>
        <w:t>Wellbeing scores were also related to pupils’ feelings about the area in which they lived. For example, those who agreed that they could trust people in the area had a mean score of 51.5 compared with 44.6 for those who disagreed.</w:t>
      </w:r>
    </w:p>
    <w:p w:rsidR="00C73B66" w:rsidRDefault="00556B00" w:rsidP="00C73B66">
      <w:pPr>
        <w:pStyle w:val="BodyCopy"/>
        <w:spacing w:before="240" w:line="276" w:lineRule="auto"/>
      </w:pPr>
      <w:r>
        <w:rPr>
          <w:noProof/>
        </w:rPr>
        <w:drawing>
          <wp:inline distT="0" distB="0" distL="0" distR="0" wp14:anchorId="075843C4" wp14:editId="602C7272">
            <wp:extent cx="4951095" cy="3323108"/>
            <wp:effectExtent l="0" t="0" r="190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3B66" w:rsidRPr="00A018E9" w:rsidRDefault="00C73B66" w:rsidP="00C73B66">
      <w:pPr>
        <w:pStyle w:val="BodyCopy"/>
        <w:spacing w:after="200" w:line="276" w:lineRule="auto"/>
        <w:rPr>
          <w:i/>
          <w:sz w:val="18"/>
          <w:szCs w:val="18"/>
        </w:rPr>
      </w:pPr>
      <w:r w:rsidRPr="00A018E9">
        <w:rPr>
          <w:i/>
          <w:sz w:val="18"/>
          <w:szCs w:val="18"/>
        </w:rPr>
        <w:t>Source: RCS secondary school surve</w:t>
      </w:r>
      <w:r w:rsidR="00816EC1">
        <w:rPr>
          <w:i/>
          <w:sz w:val="18"/>
          <w:szCs w:val="18"/>
        </w:rPr>
        <w:t>y</w:t>
      </w:r>
      <w:r w:rsidRPr="00A018E9">
        <w:rPr>
          <w:i/>
          <w:sz w:val="18"/>
          <w:szCs w:val="18"/>
        </w:rPr>
        <w:t xml:space="preserve">, </w:t>
      </w:r>
      <w:r>
        <w:rPr>
          <w:i/>
          <w:sz w:val="18"/>
          <w:szCs w:val="18"/>
        </w:rPr>
        <w:t>Falkirk</w:t>
      </w:r>
      <w:r w:rsidRPr="00A018E9">
        <w:rPr>
          <w:i/>
          <w:sz w:val="18"/>
          <w:szCs w:val="18"/>
        </w:rPr>
        <w:t xml:space="preserve"> 201</w:t>
      </w:r>
      <w:r>
        <w:rPr>
          <w:i/>
          <w:sz w:val="18"/>
          <w:szCs w:val="18"/>
        </w:rPr>
        <w:t>7</w:t>
      </w:r>
    </w:p>
    <w:p w:rsidR="00C73B66" w:rsidRPr="003B4B03" w:rsidRDefault="00C73B66" w:rsidP="00C73B66">
      <w:pPr>
        <w:pStyle w:val="Heading3"/>
        <w:spacing w:line="276" w:lineRule="auto"/>
      </w:pPr>
      <w:bookmarkStart w:id="25" w:name="_Toc494182033"/>
      <w:r w:rsidRPr="003B4B03">
        <w:t>Smoking, drinking and drugs</w:t>
      </w:r>
      <w:bookmarkEnd w:id="25"/>
    </w:p>
    <w:p w:rsidR="00C73B66" w:rsidRDefault="00C73B66" w:rsidP="00C73B66">
      <w:pPr>
        <w:pStyle w:val="Heading3"/>
        <w:numPr>
          <w:ilvl w:val="3"/>
          <w:numId w:val="13"/>
        </w:numPr>
        <w:spacing w:line="276" w:lineRule="auto"/>
      </w:pPr>
      <w:bookmarkStart w:id="26" w:name="_Toc494182034"/>
      <w:r>
        <w:t>Smoking (Healthy, Responsible)</w:t>
      </w:r>
      <w:bookmarkEnd w:id="26"/>
    </w:p>
    <w:p w:rsidR="00C73B66" w:rsidRDefault="00C73B66" w:rsidP="00C73B66">
      <w:pPr>
        <w:pStyle w:val="BodyCopy"/>
        <w:spacing w:before="240" w:line="276" w:lineRule="auto"/>
      </w:pPr>
      <w:r w:rsidRPr="005F7FF9">
        <w:t xml:space="preserve">The survey suggests that </w:t>
      </w:r>
      <w:r>
        <w:t>the</w:t>
      </w:r>
      <w:r w:rsidRPr="005F7FF9">
        <w:t xml:space="preserve"> general downward trend in smoking rates across the UK as a whole </w:t>
      </w:r>
      <w:r>
        <w:t xml:space="preserve">is </w:t>
      </w:r>
      <w:r w:rsidR="00FE03F0">
        <w:t xml:space="preserve">being </w:t>
      </w:r>
      <w:r>
        <w:t xml:space="preserve">mirrored among </w:t>
      </w:r>
      <w:r w:rsidRPr="005F7FF9">
        <w:t xml:space="preserve">S1 to S4 pupils in </w:t>
      </w:r>
      <w:r>
        <w:t>Falkirk</w:t>
      </w:r>
      <w:r w:rsidRPr="005F7FF9">
        <w:t xml:space="preserve"> </w:t>
      </w:r>
      <w:r>
        <w:t>– although</w:t>
      </w:r>
      <w:r w:rsidRPr="005F7FF9">
        <w:t xml:space="preserve"> particular groups of young people </w:t>
      </w:r>
      <w:r>
        <w:t>remain</w:t>
      </w:r>
      <w:r w:rsidRPr="005F7FF9">
        <w:t xml:space="preserve"> disproportionately affected.</w:t>
      </w:r>
    </w:p>
    <w:p w:rsidR="00C73B66" w:rsidRDefault="00C73B66" w:rsidP="00C73B66">
      <w:pPr>
        <w:pStyle w:val="BodyCopy"/>
        <w:spacing w:before="240" w:line="276" w:lineRule="auto"/>
      </w:pPr>
      <w:r>
        <w:t xml:space="preserve">Overall, </w:t>
      </w:r>
      <w:r w:rsidR="009B1D24">
        <w:t>5</w:t>
      </w:r>
      <w:r>
        <w:t>% of pupils in S1 to S4 in Falkirk indicated that they currently smoke. Comparison with national figures from SALSUS showed similar levels of current smoking in Falkirk both for pupils in S2 (4% in Falkirk compared with 3% in the national SALSUS sample) and S4 (9% compared with 12% respectively). (These comparisons are especially robust because they are based on the same survey vehicle.)</w:t>
      </w:r>
    </w:p>
    <w:p w:rsidR="00C73B66" w:rsidRDefault="00C73B66" w:rsidP="00C73B66">
      <w:pPr>
        <w:pStyle w:val="BodyCopy"/>
        <w:spacing w:before="240" w:line="276" w:lineRule="auto"/>
      </w:pPr>
      <w:r>
        <w:lastRenderedPageBreak/>
        <w:t xml:space="preserve">The </w:t>
      </w:r>
      <w:r w:rsidR="009B1D24">
        <w:t>5</w:t>
      </w:r>
      <w:r>
        <w:t>% who currently smoke comprised 2% who usually smoke more than six cigarettes a week; 1% who smoke between one and six per week; and 2% who only smoked occasionally.</w:t>
      </w:r>
    </w:p>
    <w:p w:rsidR="00C73B66" w:rsidRDefault="00C73B66" w:rsidP="00C73B66">
      <w:pPr>
        <w:pStyle w:val="BodyCopy"/>
        <w:spacing w:before="240" w:line="276" w:lineRule="auto"/>
      </w:pPr>
      <w:r>
        <w:t xml:space="preserve">Not surprisingly, smoking prevalence rose with age: 5% of children in S1 had </w:t>
      </w:r>
      <w:r w:rsidRPr="00C37BDE">
        <w:rPr>
          <w:i/>
        </w:rPr>
        <w:t>ever</w:t>
      </w:r>
      <w:r>
        <w:t xml:space="preserve"> smoked, including less </w:t>
      </w:r>
      <w:r w:rsidRPr="00C156D1">
        <w:t xml:space="preserve">than </w:t>
      </w:r>
      <w:r>
        <w:t>1</w:t>
      </w:r>
      <w:r w:rsidRPr="00C156D1">
        <w:t xml:space="preserve">% who currently smoke compared with </w:t>
      </w:r>
      <w:r>
        <w:t>30</w:t>
      </w:r>
      <w:r w:rsidRPr="00C156D1">
        <w:t xml:space="preserve">% in S4, including </w:t>
      </w:r>
      <w:r w:rsidR="009B1D24">
        <w:t>9</w:t>
      </w:r>
      <w:r w:rsidRPr="00C156D1">
        <w:t xml:space="preserve">% who currently smoke. </w:t>
      </w:r>
      <w:r>
        <w:t>Gender was not significantly associated with smoking in Falkirk.</w:t>
      </w:r>
    </w:p>
    <w:p w:rsidR="00C73B66" w:rsidRDefault="00C73B66" w:rsidP="00C73B66">
      <w:pPr>
        <w:pStyle w:val="BodyCopy"/>
        <w:spacing w:before="240" w:line="276" w:lineRule="auto"/>
      </w:pPr>
      <w:r>
        <w:t>Current smoking was more prevalent in the most deprived quintile than in the least deprived (</w:t>
      </w:r>
      <w:r w:rsidR="009B1D24">
        <w:t>6</w:t>
      </w:r>
      <w:r>
        <w:t xml:space="preserve">% compared with </w:t>
      </w:r>
      <w:r w:rsidR="009B1D24">
        <w:t>3</w:t>
      </w:r>
      <w:r>
        <w:t xml:space="preserve">%), with experience of smoking </w:t>
      </w:r>
      <w:r w:rsidR="00FE03F0">
        <w:t xml:space="preserve">ever </w:t>
      </w:r>
      <w:r>
        <w:t xml:space="preserve">reducing from 24% in the most deprived quintile to 13% in the least deprived.  Current smoking was similarly more prevalent among those eligible for free school meals than among those not eligible (8% and 5% respectively). </w:t>
      </w:r>
    </w:p>
    <w:p w:rsidR="009B1D24" w:rsidRDefault="00C73B66" w:rsidP="00C73B66">
      <w:pPr>
        <w:pStyle w:val="BodyCopy"/>
        <w:spacing w:before="240" w:line="276" w:lineRule="auto"/>
      </w:pPr>
      <w:r>
        <w:t>Those who lived with two parents were less likely to currently smoke (4% of current smokers compared with 7% to 2</w:t>
      </w:r>
      <w:r w:rsidR="009B1D24">
        <w:t>8</w:t>
      </w:r>
      <w:r>
        <w:t xml:space="preserve">% in other </w:t>
      </w:r>
      <w:r w:rsidR="009B1D24">
        <w:t>household types</w:t>
      </w:r>
      <w:r>
        <w:t>) or to have ever smoked (13% compared with 25% to 46% in other situations). Those with siblings were also less likely to smoke (4% compared with 9% of those without siblings).</w:t>
      </w:r>
    </w:p>
    <w:p w:rsidR="00C73B66" w:rsidRDefault="00C73B66" w:rsidP="00C73B66">
      <w:pPr>
        <w:pStyle w:val="BodyCopy"/>
        <w:spacing w:before="240" w:line="276" w:lineRule="auto"/>
      </w:pPr>
      <w:r>
        <w:t>S</w:t>
      </w:r>
      <w:r w:rsidRPr="005F439A">
        <w:t xml:space="preserve">moking was noticeably more prevalent among those with low wellbeing. Of those with low wellbeing (classed as one or more standard deviation below the mean on the WEMWBS scale), 12% were current smokers compared with 4% of those with average wellbeing. </w:t>
      </w:r>
    </w:p>
    <w:p w:rsidR="00FE03F0" w:rsidRDefault="00FE03F0" w:rsidP="00F8419A">
      <w:pPr>
        <w:pStyle w:val="BodyCopy"/>
        <w:spacing w:before="240" w:line="276" w:lineRule="auto"/>
      </w:pPr>
      <w:r>
        <w:t xml:space="preserve">Current smoking among pupils was also powerfully related to the extent to which those around them smoked. More than half (59%) of those who reported that all or almost all of their friends smoked were current smokers compared with less than </w:t>
      </w:r>
      <w:r w:rsidR="00AD0EB6">
        <w:t>1</w:t>
      </w:r>
      <w:r>
        <w:t xml:space="preserve">% of those who reported that none of their friends smoked. And 11% of pupils who reported that family members smoked were current smokers compared with 4% of those who reported that no family members smoked. </w:t>
      </w:r>
    </w:p>
    <w:p w:rsidR="00FE03F0" w:rsidRPr="005F439A" w:rsidRDefault="00FE03F0" w:rsidP="00FE03F0">
      <w:pPr>
        <w:pStyle w:val="BodyCopy"/>
        <w:spacing w:before="240" w:line="276" w:lineRule="auto"/>
      </w:pPr>
      <w:r>
        <w:t>Smoking habits were also related to peer pressure and other behaviours like alcohol consumption</w:t>
      </w:r>
      <w:r w:rsidR="00AD0EB6">
        <w:t>,</w:t>
      </w:r>
      <w:r>
        <w:t xml:space="preserve"> with 11% of pupils who reported feeling pressured by friends or people they know to act tough or hard being current smokers compared with 5% of pupils who felt only a little or no such pressure from those around them. The link with alcohol use was especially pronounced: around a third (32%) of pupils who drank in the past week were current smokers compared with less than </w:t>
      </w:r>
      <w:r w:rsidR="00AD0EB6">
        <w:t>1</w:t>
      </w:r>
      <w:r>
        <w:t>% of those who never drank alcohol.</w:t>
      </w:r>
    </w:p>
    <w:p w:rsidR="00C73B66" w:rsidRDefault="00C73B66" w:rsidP="00C73B66">
      <w:pPr>
        <w:pStyle w:val="BodyCopy"/>
        <w:spacing w:before="240" w:line="276" w:lineRule="auto"/>
      </w:pPr>
      <w:r w:rsidRPr="005F439A">
        <w:t>Those who agreed there was nothing for young people to do where they lived were also more likely to be current smokers (6% compared with 3% of those who disagreed) – although it is not possible to determine whether one drives the other and, if so, which.</w:t>
      </w:r>
      <w:r>
        <w:t xml:space="preserve"> </w:t>
      </w:r>
    </w:p>
    <w:p w:rsidR="00C73B66" w:rsidRDefault="00C73B66" w:rsidP="00C73B66">
      <w:pPr>
        <w:pStyle w:val="BodyCopy"/>
        <w:spacing w:before="240" w:line="276" w:lineRule="auto"/>
      </w:pPr>
      <w:r>
        <w:rPr>
          <w:noProof/>
        </w:rPr>
        <w:lastRenderedPageBreak/>
        <w:drawing>
          <wp:inline distT="0" distB="0" distL="0" distR="0" wp14:anchorId="242F5AC1" wp14:editId="47B961B3">
            <wp:extent cx="5400675" cy="3670628"/>
            <wp:effectExtent l="0" t="0" r="0" b="635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2017</w:t>
      </w:r>
    </w:p>
    <w:p w:rsidR="00C73B66" w:rsidRPr="00BC1943" w:rsidRDefault="00C73B66" w:rsidP="00C73B66">
      <w:pPr>
        <w:pStyle w:val="Heading3"/>
        <w:numPr>
          <w:ilvl w:val="3"/>
          <w:numId w:val="13"/>
        </w:numPr>
        <w:spacing w:line="276" w:lineRule="auto"/>
      </w:pPr>
      <w:bookmarkStart w:id="27" w:name="_Toc494182035"/>
      <w:r w:rsidRPr="00BC1943">
        <w:t>E-cigarette use (Healthy, Responsible)</w:t>
      </w:r>
      <w:bookmarkEnd w:id="27"/>
    </w:p>
    <w:p w:rsidR="00C73B66" w:rsidRDefault="00C73B66" w:rsidP="00C73B66">
      <w:pPr>
        <w:pStyle w:val="BodyCopy"/>
        <w:spacing w:before="240" w:line="276" w:lineRule="auto"/>
      </w:pPr>
      <w:r>
        <w:t xml:space="preserve">Secondary pupils were also asked about their use of electronic cigarettes. Around one in five children (23%) had </w:t>
      </w:r>
      <w:r w:rsidRPr="007E3044">
        <w:rPr>
          <w:i/>
        </w:rPr>
        <w:t>ever</w:t>
      </w:r>
      <w:r>
        <w:t xml:space="preserve"> used e-cigarettes, although only 2% used them regularly (at least once a week).</w:t>
      </w:r>
    </w:p>
    <w:p w:rsidR="00C73B66" w:rsidRDefault="00C73B66" w:rsidP="00690D3B">
      <w:pPr>
        <w:pStyle w:val="BodyCopy"/>
      </w:pPr>
    </w:p>
    <w:tbl>
      <w:tblPr>
        <w:tblW w:w="4200" w:type="pct"/>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5557"/>
        <w:gridCol w:w="1040"/>
      </w:tblGrid>
      <w:tr w:rsidR="00C73B66" w:rsidRPr="00D856AA" w:rsidTr="007C3905">
        <w:trPr>
          <w:trHeight w:val="340"/>
        </w:trPr>
        <w:tc>
          <w:tcPr>
            <w:tcW w:w="5000" w:type="pct"/>
            <w:gridSpan w:val="2"/>
            <w:tcBorders>
              <w:top w:val="single" w:sz="12" w:space="0" w:color="auto"/>
              <w:left w:val="nil"/>
              <w:bottom w:val="nil"/>
              <w:right w:val="nil"/>
            </w:tcBorders>
            <w:hideMark/>
          </w:tcPr>
          <w:p w:rsidR="00C73B66" w:rsidRPr="00D856AA" w:rsidRDefault="00C73B66" w:rsidP="007C3905">
            <w:pPr>
              <w:pStyle w:val="BSATableHeading"/>
              <w:spacing w:before="0" w:after="0"/>
              <w:rPr>
                <w:rFonts w:asciiTheme="minorHAnsi" w:hAnsiTheme="minorHAnsi" w:cstheme="minorHAnsi"/>
                <w:sz w:val="20"/>
              </w:rPr>
            </w:pPr>
            <w:r>
              <w:rPr>
                <w:rFonts w:asciiTheme="minorHAnsi" w:hAnsiTheme="minorHAnsi" w:cstheme="minorHAnsi"/>
                <w:sz w:val="20"/>
              </w:rPr>
              <w:t>Table 2.2.4b</w:t>
            </w:r>
            <w:r w:rsidRPr="00D856AA">
              <w:rPr>
                <w:rFonts w:asciiTheme="minorHAnsi" w:hAnsiTheme="minorHAnsi" w:cstheme="minorHAnsi"/>
                <w:sz w:val="20"/>
              </w:rPr>
              <w:t xml:space="preserve"> E-cigarette smoking status</w:t>
            </w:r>
            <w:r>
              <w:rPr>
                <w:rFonts w:asciiTheme="minorHAnsi" w:hAnsiTheme="minorHAnsi" w:cstheme="minorHAnsi"/>
                <w:b w:val="0"/>
                <w:sz w:val="20"/>
              </w:rPr>
              <w:t xml:space="preserve"> </w:t>
            </w:r>
          </w:p>
        </w:tc>
      </w:tr>
      <w:tr w:rsidR="00C73B66" w:rsidRPr="00D856AA" w:rsidTr="007C3905">
        <w:trPr>
          <w:trHeight w:val="283"/>
        </w:trPr>
        <w:tc>
          <w:tcPr>
            <w:tcW w:w="5000" w:type="pct"/>
            <w:gridSpan w:val="2"/>
            <w:tcBorders>
              <w:top w:val="nil"/>
              <w:left w:val="nil"/>
              <w:bottom w:val="single" w:sz="12" w:space="0" w:color="auto"/>
              <w:right w:val="nil"/>
            </w:tcBorders>
            <w:hideMark/>
          </w:tcPr>
          <w:p w:rsidR="00C73B66" w:rsidRPr="009B6B40" w:rsidRDefault="00C73B66" w:rsidP="00C73B66">
            <w:pPr>
              <w:pStyle w:val="BSATableNumber"/>
              <w:spacing w:before="40" w:after="40"/>
              <w:rPr>
                <w:rFonts w:asciiTheme="minorHAnsi" w:hAnsiTheme="minorHAnsi" w:cstheme="minorHAnsi"/>
                <w:i/>
                <w:sz w:val="20"/>
              </w:rPr>
            </w:pPr>
            <w:r w:rsidRPr="009B6B40">
              <w:rPr>
                <w:rFonts w:asciiTheme="minorHAnsi" w:hAnsiTheme="minorHAnsi" w:cstheme="minorHAnsi"/>
                <w:i/>
                <w:sz w:val="20"/>
              </w:rPr>
              <w:t>Column percentage</w:t>
            </w:r>
            <w:r>
              <w:rPr>
                <w:rFonts w:asciiTheme="minorHAnsi" w:hAnsiTheme="minorHAnsi" w:cstheme="minorHAnsi"/>
                <w:i/>
                <w:sz w:val="20"/>
              </w:rPr>
              <w:t>s</w:t>
            </w:r>
          </w:p>
        </w:tc>
      </w:tr>
      <w:tr w:rsidR="00C73B66" w:rsidRPr="00D856AA" w:rsidTr="007C3905">
        <w:trPr>
          <w:trHeight w:val="300"/>
        </w:trPr>
        <w:tc>
          <w:tcPr>
            <w:tcW w:w="4212" w:type="pct"/>
            <w:tcBorders>
              <w:top w:val="single" w:sz="12" w:space="0" w:color="auto"/>
              <w:left w:val="nil"/>
              <w:bottom w:val="nil"/>
              <w:right w:val="nil"/>
            </w:tcBorders>
            <w:vAlign w:val="center"/>
            <w:hideMark/>
          </w:tcPr>
          <w:p w:rsidR="00C73B66" w:rsidRPr="00D856AA" w:rsidRDefault="00C73B66" w:rsidP="003B4B03">
            <w:pPr>
              <w:keepNext/>
              <w:spacing w:before="40" w:after="40" w:line="240" w:lineRule="auto"/>
              <w:rPr>
                <w:rFonts w:eastAsia="Calibri" w:cstheme="minorHAnsi"/>
                <w:sz w:val="20"/>
                <w:szCs w:val="20"/>
              </w:rPr>
            </w:pPr>
            <w:r w:rsidRPr="00D856AA">
              <w:rPr>
                <w:rFonts w:cstheme="minorHAnsi"/>
                <w:color w:val="000000"/>
                <w:sz w:val="20"/>
                <w:szCs w:val="20"/>
              </w:rPr>
              <w:t>Never used an e-cigarette</w:t>
            </w:r>
          </w:p>
        </w:tc>
        <w:tc>
          <w:tcPr>
            <w:tcW w:w="788" w:type="pct"/>
            <w:tcBorders>
              <w:top w:val="single" w:sz="12" w:space="0" w:color="auto"/>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7</w:t>
            </w:r>
            <w:r>
              <w:rPr>
                <w:rFonts w:cs="Arial"/>
                <w:color w:val="000000"/>
                <w:sz w:val="20"/>
              </w:rPr>
              <w:t>7</w:t>
            </w:r>
          </w:p>
        </w:tc>
      </w:tr>
      <w:tr w:rsidR="00C73B66" w:rsidRPr="00D856AA" w:rsidTr="007C3905">
        <w:trPr>
          <w:trHeight w:val="300"/>
        </w:trPr>
        <w:tc>
          <w:tcPr>
            <w:tcW w:w="4212" w:type="pct"/>
            <w:tcBorders>
              <w:top w:val="nil"/>
              <w:left w:val="nil"/>
              <w:bottom w:val="nil"/>
              <w:right w:val="nil"/>
            </w:tcBorders>
            <w:vAlign w:val="center"/>
            <w:hideMark/>
          </w:tcPr>
          <w:p w:rsidR="00C73B66" w:rsidRPr="00D856AA" w:rsidRDefault="00C73B66" w:rsidP="003B4B03">
            <w:pPr>
              <w:keepNext/>
              <w:spacing w:before="40" w:after="40" w:line="240" w:lineRule="auto"/>
              <w:rPr>
                <w:rFonts w:eastAsia="Calibri" w:cstheme="minorHAnsi"/>
                <w:sz w:val="20"/>
                <w:szCs w:val="20"/>
              </w:rPr>
            </w:pPr>
            <w:r w:rsidRPr="00D856AA">
              <w:rPr>
                <w:rFonts w:cstheme="minorHAnsi"/>
                <w:color w:val="000000"/>
                <w:sz w:val="20"/>
                <w:szCs w:val="20"/>
              </w:rPr>
              <w:t>Used to use e-cigarettes but don't use them anymore</w:t>
            </w:r>
          </w:p>
        </w:tc>
        <w:tc>
          <w:tcPr>
            <w:tcW w:w="788" w:type="pct"/>
            <w:tcBorders>
              <w:top w:val="nil"/>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2</w:t>
            </w:r>
          </w:p>
        </w:tc>
      </w:tr>
      <w:tr w:rsidR="00C73B66" w:rsidRPr="00D856AA" w:rsidTr="007C3905">
        <w:trPr>
          <w:trHeight w:val="300"/>
        </w:trPr>
        <w:tc>
          <w:tcPr>
            <w:tcW w:w="4212" w:type="pct"/>
            <w:tcBorders>
              <w:top w:val="nil"/>
              <w:left w:val="nil"/>
              <w:bottom w:val="nil"/>
              <w:right w:val="nil"/>
            </w:tcBorders>
            <w:vAlign w:val="center"/>
            <w:hideMark/>
          </w:tcPr>
          <w:p w:rsidR="00C73B66" w:rsidRPr="00D856AA" w:rsidRDefault="00C73B66" w:rsidP="003B4B03">
            <w:pPr>
              <w:keepNext/>
              <w:spacing w:before="40" w:after="40" w:line="240" w:lineRule="auto"/>
              <w:rPr>
                <w:rFonts w:eastAsia="Calibri" w:cstheme="minorHAnsi"/>
                <w:sz w:val="20"/>
                <w:szCs w:val="20"/>
              </w:rPr>
            </w:pPr>
            <w:r w:rsidRPr="00D856AA">
              <w:rPr>
                <w:rFonts w:cstheme="minorHAnsi"/>
                <w:color w:val="000000"/>
                <w:sz w:val="20"/>
                <w:szCs w:val="20"/>
              </w:rPr>
              <w:t>Tried an e-cigarette once</w:t>
            </w:r>
          </w:p>
        </w:tc>
        <w:tc>
          <w:tcPr>
            <w:tcW w:w="788" w:type="pct"/>
            <w:tcBorders>
              <w:top w:val="nil"/>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8</w:t>
            </w:r>
          </w:p>
        </w:tc>
      </w:tr>
      <w:tr w:rsidR="00C73B66" w:rsidRPr="00D856AA" w:rsidTr="007C3905">
        <w:trPr>
          <w:trHeight w:val="300"/>
        </w:trPr>
        <w:tc>
          <w:tcPr>
            <w:tcW w:w="4212" w:type="pct"/>
            <w:tcBorders>
              <w:top w:val="nil"/>
              <w:left w:val="nil"/>
              <w:bottom w:val="nil"/>
              <w:right w:val="nil"/>
            </w:tcBorders>
            <w:vAlign w:val="center"/>
          </w:tcPr>
          <w:p w:rsidR="00C73B66" w:rsidRPr="00D856AA" w:rsidRDefault="00C73B66" w:rsidP="003B4B03">
            <w:pPr>
              <w:keepNext/>
              <w:spacing w:before="40" w:after="40" w:line="240" w:lineRule="auto"/>
              <w:rPr>
                <w:rFonts w:cstheme="minorHAnsi"/>
                <w:sz w:val="20"/>
                <w:szCs w:val="20"/>
              </w:rPr>
            </w:pPr>
            <w:r w:rsidRPr="00D856AA">
              <w:rPr>
                <w:rFonts w:cstheme="minorHAnsi"/>
                <w:color w:val="000000"/>
                <w:sz w:val="20"/>
                <w:szCs w:val="20"/>
              </w:rPr>
              <w:t>Tried e-cigarettes a few times</w:t>
            </w:r>
          </w:p>
        </w:tc>
        <w:tc>
          <w:tcPr>
            <w:tcW w:w="788" w:type="pct"/>
            <w:tcBorders>
              <w:top w:val="nil"/>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8</w:t>
            </w:r>
          </w:p>
        </w:tc>
      </w:tr>
      <w:tr w:rsidR="00C73B66" w:rsidRPr="00D856AA" w:rsidTr="007C3905">
        <w:trPr>
          <w:trHeight w:val="300"/>
        </w:trPr>
        <w:tc>
          <w:tcPr>
            <w:tcW w:w="4212" w:type="pct"/>
            <w:tcBorders>
              <w:top w:val="nil"/>
              <w:left w:val="nil"/>
              <w:bottom w:val="nil"/>
              <w:right w:val="nil"/>
            </w:tcBorders>
            <w:vAlign w:val="center"/>
            <w:hideMark/>
          </w:tcPr>
          <w:p w:rsidR="00C73B66" w:rsidRPr="00D856AA" w:rsidRDefault="00C73B66" w:rsidP="003B4B03">
            <w:pPr>
              <w:keepNext/>
              <w:spacing w:before="40" w:after="40" w:line="240" w:lineRule="auto"/>
              <w:rPr>
                <w:rFonts w:eastAsia="Calibri" w:cstheme="minorHAnsi"/>
                <w:sz w:val="20"/>
                <w:szCs w:val="20"/>
              </w:rPr>
            </w:pPr>
            <w:r w:rsidRPr="00D856AA">
              <w:rPr>
                <w:rFonts w:cstheme="minorHAnsi"/>
                <w:color w:val="000000"/>
                <w:sz w:val="20"/>
                <w:szCs w:val="20"/>
              </w:rPr>
              <w:t>Use e-cigarettes sometimes, but no more than once a month</w:t>
            </w:r>
          </w:p>
        </w:tc>
        <w:tc>
          <w:tcPr>
            <w:tcW w:w="788" w:type="pct"/>
            <w:tcBorders>
              <w:top w:val="nil"/>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1</w:t>
            </w:r>
          </w:p>
        </w:tc>
      </w:tr>
      <w:tr w:rsidR="00C73B66" w:rsidRPr="00D856AA" w:rsidTr="007C3905">
        <w:trPr>
          <w:trHeight w:val="300"/>
        </w:trPr>
        <w:tc>
          <w:tcPr>
            <w:tcW w:w="4212" w:type="pct"/>
            <w:tcBorders>
              <w:top w:val="nil"/>
              <w:left w:val="nil"/>
              <w:bottom w:val="nil"/>
              <w:right w:val="nil"/>
            </w:tcBorders>
            <w:vAlign w:val="center"/>
            <w:hideMark/>
          </w:tcPr>
          <w:p w:rsidR="00C73B66" w:rsidRPr="00D856AA" w:rsidRDefault="00C73B66" w:rsidP="003B4B03">
            <w:pPr>
              <w:keepNext/>
              <w:spacing w:before="40" w:after="40" w:line="240" w:lineRule="auto"/>
              <w:rPr>
                <w:rFonts w:eastAsia="Calibri" w:cstheme="minorHAnsi"/>
                <w:sz w:val="20"/>
                <w:szCs w:val="20"/>
              </w:rPr>
            </w:pPr>
            <w:r w:rsidRPr="00D856AA">
              <w:rPr>
                <w:rFonts w:cstheme="minorHAnsi"/>
                <w:color w:val="000000"/>
                <w:sz w:val="20"/>
                <w:szCs w:val="20"/>
              </w:rPr>
              <w:t>Use e-cigarettes once a week or more</w:t>
            </w:r>
          </w:p>
        </w:tc>
        <w:tc>
          <w:tcPr>
            <w:tcW w:w="788" w:type="pct"/>
            <w:tcBorders>
              <w:top w:val="nil"/>
              <w:left w:val="nil"/>
              <w:bottom w:val="nil"/>
              <w:right w:val="nil"/>
            </w:tcBorders>
            <w:vAlign w:val="center"/>
          </w:tcPr>
          <w:p w:rsidR="00C73B66" w:rsidRPr="002512B4" w:rsidRDefault="00C73B66" w:rsidP="003B4B03">
            <w:pPr>
              <w:pStyle w:val="BSATableNumber"/>
              <w:spacing w:before="40" w:after="40"/>
              <w:rPr>
                <w:rFonts w:cs="Arial"/>
                <w:sz w:val="20"/>
              </w:rPr>
            </w:pPr>
            <w:r w:rsidRPr="002512B4">
              <w:rPr>
                <w:rFonts w:cs="Arial"/>
                <w:color w:val="000000"/>
                <w:sz w:val="20"/>
              </w:rPr>
              <w:t>2</w:t>
            </w:r>
          </w:p>
        </w:tc>
      </w:tr>
      <w:tr w:rsidR="00C73B66" w:rsidRPr="00D856AA" w:rsidTr="007C3905">
        <w:trPr>
          <w:trHeight w:val="300"/>
        </w:trPr>
        <w:tc>
          <w:tcPr>
            <w:tcW w:w="4212" w:type="pct"/>
            <w:tcBorders>
              <w:top w:val="single" w:sz="6" w:space="0" w:color="auto"/>
              <w:left w:val="nil"/>
              <w:bottom w:val="nil"/>
              <w:right w:val="nil"/>
            </w:tcBorders>
            <w:vAlign w:val="center"/>
            <w:hideMark/>
          </w:tcPr>
          <w:p w:rsidR="00C73B66" w:rsidRPr="00D856AA" w:rsidRDefault="00C73B66" w:rsidP="003B4B03">
            <w:pPr>
              <w:pStyle w:val="BSATableBase"/>
              <w:keepNext/>
              <w:spacing w:before="40" w:after="40"/>
              <w:rPr>
                <w:rFonts w:asciiTheme="minorHAnsi" w:hAnsiTheme="minorHAnsi" w:cstheme="minorHAnsi"/>
                <w:sz w:val="20"/>
              </w:rPr>
            </w:pPr>
            <w:r w:rsidRPr="00D856AA">
              <w:rPr>
                <w:rFonts w:asciiTheme="minorHAnsi" w:hAnsiTheme="minorHAnsi" w:cstheme="minorHAnsi"/>
                <w:sz w:val="20"/>
              </w:rPr>
              <w:t xml:space="preserve">Weighted base </w:t>
            </w:r>
          </w:p>
        </w:tc>
        <w:tc>
          <w:tcPr>
            <w:tcW w:w="788" w:type="pct"/>
            <w:tcBorders>
              <w:top w:val="single" w:sz="6" w:space="0" w:color="auto"/>
              <w:left w:val="nil"/>
              <w:bottom w:val="nil"/>
              <w:right w:val="nil"/>
            </w:tcBorders>
            <w:vAlign w:val="center"/>
          </w:tcPr>
          <w:p w:rsidR="00C73B66" w:rsidRPr="002512B4" w:rsidRDefault="00C73B66" w:rsidP="003B4B03">
            <w:pPr>
              <w:pStyle w:val="BSATableBaseNumber"/>
              <w:keepNext/>
              <w:spacing w:before="40" w:after="40"/>
              <w:rPr>
                <w:rFonts w:asciiTheme="minorHAnsi" w:hAnsiTheme="minorHAnsi" w:cstheme="minorHAnsi"/>
                <w:sz w:val="20"/>
              </w:rPr>
            </w:pPr>
            <w:r>
              <w:rPr>
                <w:rFonts w:asciiTheme="minorHAnsi" w:hAnsiTheme="minorHAnsi" w:cstheme="minorHAnsi"/>
                <w:iCs/>
                <w:color w:val="000000"/>
                <w:sz w:val="20"/>
              </w:rPr>
              <w:t>4342</w:t>
            </w:r>
          </w:p>
        </w:tc>
      </w:tr>
      <w:tr w:rsidR="00C73B66" w:rsidRPr="00D856AA" w:rsidTr="007C3905">
        <w:trPr>
          <w:trHeight w:val="300"/>
        </w:trPr>
        <w:tc>
          <w:tcPr>
            <w:tcW w:w="4212" w:type="pct"/>
            <w:tcBorders>
              <w:top w:val="nil"/>
              <w:left w:val="nil"/>
              <w:bottom w:val="single" w:sz="12" w:space="0" w:color="auto"/>
              <w:right w:val="nil"/>
            </w:tcBorders>
            <w:vAlign w:val="center"/>
            <w:hideMark/>
          </w:tcPr>
          <w:p w:rsidR="00C73B66" w:rsidRPr="00D856AA" w:rsidRDefault="00C73B66" w:rsidP="003B4B03">
            <w:pPr>
              <w:pStyle w:val="BSATableBase"/>
              <w:spacing w:before="40" w:after="40"/>
              <w:rPr>
                <w:rFonts w:asciiTheme="minorHAnsi" w:hAnsiTheme="minorHAnsi" w:cstheme="minorHAnsi"/>
                <w:sz w:val="20"/>
              </w:rPr>
            </w:pPr>
            <w:r w:rsidRPr="00D856AA">
              <w:rPr>
                <w:rFonts w:asciiTheme="minorHAnsi" w:hAnsiTheme="minorHAnsi" w:cstheme="minorHAnsi"/>
                <w:sz w:val="20"/>
              </w:rPr>
              <w:t>Unweighted base</w:t>
            </w:r>
          </w:p>
        </w:tc>
        <w:tc>
          <w:tcPr>
            <w:tcW w:w="788" w:type="pct"/>
            <w:tcBorders>
              <w:top w:val="nil"/>
              <w:left w:val="nil"/>
              <w:bottom w:val="single" w:sz="12" w:space="0" w:color="auto"/>
              <w:right w:val="nil"/>
            </w:tcBorders>
            <w:vAlign w:val="center"/>
          </w:tcPr>
          <w:p w:rsidR="00C73B66" w:rsidRPr="002512B4" w:rsidRDefault="00C73B66" w:rsidP="003B4B03">
            <w:pPr>
              <w:pStyle w:val="BSATableBaseNumber"/>
              <w:spacing w:before="40" w:after="40"/>
              <w:rPr>
                <w:rFonts w:asciiTheme="minorHAnsi" w:hAnsiTheme="minorHAnsi" w:cstheme="minorHAnsi"/>
                <w:sz w:val="20"/>
              </w:rPr>
            </w:pPr>
            <w:r>
              <w:rPr>
                <w:rFonts w:asciiTheme="minorHAnsi" w:hAnsiTheme="minorHAnsi" w:cstheme="minorHAnsi"/>
                <w:iCs/>
                <w:color w:val="000000"/>
                <w:sz w:val="20"/>
              </w:rPr>
              <w:t>4342</w:t>
            </w:r>
          </w:p>
        </w:tc>
      </w:tr>
    </w:tbl>
    <w:p w:rsidR="00816EC1" w:rsidRPr="00A018E9" w:rsidRDefault="00816EC1" w:rsidP="00816EC1">
      <w:pPr>
        <w:pStyle w:val="BodyCopy"/>
        <w:spacing w:after="200" w:line="276" w:lineRule="auto"/>
        <w:rPr>
          <w:i/>
          <w:sz w:val="18"/>
          <w:szCs w:val="18"/>
        </w:rPr>
      </w:pPr>
      <w:r w:rsidRPr="00A018E9">
        <w:rPr>
          <w:i/>
          <w:sz w:val="18"/>
          <w:szCs w:val="18"/>
        </w:rPr>
        <w:t xml:space="preserve">Source: RCS secondary school survey, </w:t>
      </w:r>
      <w:r>
        <w:rPr>
          <w:i/>
          <w:sz w:val="18"/>
          <w:szCs w:val="18"/>
        </w:rPr>
        <w:t>Falkirk 20</w:t>
      </w:r>
      <w:r w:rsidRPr="00A018E9">
        <w:rPr>
          <w:i/>
          <w:sz w:val="18"/>
          <w:szCs w:val="18"/>
        </w:rPr>
        <w:t>1</w:t>
      </w:r>
      <w:r>
        <w:rPr>
          <w:i/>
          <w:sz w:val="18"/>
          <w:szCs w:val="18"/>
        </w:rPr>
        <w:t xml:space="preserve">7  </w:t>
      </w:r>
    </w:p>
    <w:p w:rsidR="00C73B66" w:rsidRDefault="00C73B66" w:rsidP="00C73B66">
      <w:pPr>
        <w:pStyle w:val="BodyCopy"/>
        <w:spacing w:before="240" w:line="276" w:lineRule="auto"/>
      </w:pPr>
      <w:r>
        <w:t xml:space="preserve">Again, use of e-cigarettes tended to increase with age. Only 1% of children in S1 described themselves as current users of e-cigarettes, compared with 6% in S4. Only </w:t>
      </w:r>
      <w:r w:rsidR="00BB27CC">
        <w:t>8</w:t>
      </w:r>
      <w:r>
        <w:t>% of those in S1 had ever tried e-cigarettes, rising to 3</w:t>
      </w:r>
      <w:r w:rsidR="00BB27CC">
        <w:t>4</w:t>
      </w:r>
      <w:r>
        <w:t>% in S4. Figures for S2 (1</w:t>
      </w:r>
      <w:r w:rsidR="00BB27CC">
        <w:t>9</w:t>
      </w:r>
      <w:r>
        <w:t>%) and S4 (</w:t>
      </w:r>
      <w:r w:rsidR="00BB27CC">
        <w:t>34</w:t>
      </w:r>
      <w:r>
        <w:t xml:space="preserve">%) were </w:t>
      </w:r>
      <w:r w:rsidR="00D37A43">
        <w:t>quite close to</w:t>
      </w:r>
      <w:r>
        <w:t xml:space="preserve"> the national averages of 15% and 32% respectively from the full SALSUS survey.</w:t>
      </w:r>
      <w:r>
        <w:rPr>
          <w:rStyle w:val="EndnoteReference"/>
        </w:rPr>
        <w:endnoteReference w:id="6"/>
      </w:r>
      <w:r w:rsidRPr="00373B0F">
        <w:t xml:space="preserve"> </w:t>
      </w:r>
      <w:r>
        <w:t>Prevalence of having ever used e-cigarettes was higher among boys than girls (25% compared with 20% respectively).</w:t>
      </w:r>
    </w:p>
    <w:p w:rsidR="00C73B66" w:rsidRPr="00DE3199" w:rsidRDefault="00C73B66" w:rsidP="00C73B66">
      <w:pPr>
        <w:pStyle w:val="BodyCopy"/>
        <w:spacing w:before="240" w:line="276" w:lineRule="auto"/>
      </w:pPr>
      <w:r>
        <w:lastRenderedPageBreak/>
        <w:t xml:space="preserve">Prevalence of </w:t>
      </w:r>
      <w:r w:rsidRPr="000F17E3">
        <w:t xml:space="preserve">ever </w:t>
      </w:r>
      <w:r>
        <w:t xml:space="preserve">having tried e-cigarettes </w:t>
      </w:r>
      <w:r w:rsidR="00E709FD">
        <w:t xml:space="preserve">mirrored </w:t>
      </w:r>
      <w:r>
        <w:t xml:space="preserve">the patterns </w:t>
      </w:r>
      <w:r w:rsidR="00E709FD">
        <w:t>for</w:t>
      </w:r>
      <w:r>
        <w:t xml:space="preserve"> smoking </w:t>
      </w:r>
      <w:r w:rsidR="00E709FD">
        <w:t xml:space="preserve">in terms of </w:t>
      </w:r>
      <w:r w:rsidR="00DE0FC5">
        <w:t>area deprivation</w:t>
      </w:r>
      <w:r>
        <w:t xml:space="preserve">, eligibility for free school meals, type of household and number of siblings. </w:t>
      </w:r>
    </w:p>
    <w:p w:rsidR="00C73B66" w:rsidRDefault="00C73B66" w:rsidP="00C73B66">
      <w:pPr>
        <w:pStyle w:val="BodyCopy"/>
        <w:spacing w:before="240" w:line="276" w:lineRule="auto"/>
      </w:pPr>
      <w:r w:rsidRPr="000F17E3">
        <w:t>Current</w:t>
      </w:r>
      <w:r w:rsidRPr="00373B0F">
        <w:rPr>
          <w:i/>
        </w:rPr>
        <w:t xml:space="preserve"> </w:t>
      </w:r>
      <w:r>
        <w:t xml:space="preserve">cigarette smokers were more likely to also be current e-cigarette users compared with ex-cigarette smokers (39% compared with 8% respectively).  </w:t>
      </w:r>
    </w:p>
    <w:p w:rsidR="00C73B66" w:rsidRDefault="00C73B66" w:rsidP="00C73B66">
      <w:pPr>
        <w:pStyle w:val="Heading3"/>
        <w:numPr>
          <w:ilvl w:val="0"/>
          <w:numId w:val="0"/>
        </w:numPr>
        <w:spacing w:line="276" w:lineRule="auto"/>
      </w:pPr>
      <w:bookmarkStart w:id="28" w:name="_Toc494182036"/>
      <w:r>
        <w:t>Exposure to smoke in the home (Safe, Healthy)</w:t>
      </w:r>
      <w:bookmarkEnd w:id="28"/>
    </w:p>
    <w:p w:rsidR="00C73B66" w:rsidRDefault="00C73B66" w:rsidP="00C73B66">
      <w:pPr>
        <w:pStyle w:val="BodyCopy"/>
        <w:spacing w:before="240" w:line="276" w:lineRule="auto"/>
      </w:pPr>
      <w:r w:rsidRPr="007E3044">
        <w:t>Children who a</w:t>
      </w:r>
      <w:r w:rsidRPr="00D53295">
        <w:t>re exposed to second</w:t>
      </w:r>
      <w:r>
        <w:t>-</w:t>
      </w:r>
      <w:r w:rsidRPr="00D53295">
        <w:t xml:space="preserve">hand smoke </w:t>
      </w:r>
      <w:r w:rsidRPr="007E3044">
        <w:t>have an increased risk of a wide range of health problems and illnesses</w:t>
      </w:r>
      <w:r>
        <w:t>.</w:t>
      </w:r>
      <w:r>
        <w:rPr>
          <w:rStyle w:val="EndnoteReference"/>
        </w:rPr>
        <w:endnoteReference w:id="7"/>
      </w:r>
      <w:r w:rsidRPr="007E3044">
        <w:t xml:space="preserve"> </w:t>
      </w:r>
      <w:r>
        <w:t>Secondary pupils</w:t>
      </w:r>
      <w:r w:rsidRPr="00460CDE">
        <w:t xml:space="preserve"> were asked whether anyone smokes inside their home (including smoking out of a window or at</w:t>
      </w:r>
      <w:r>
        <w:t xml:space="preserve"> </w:t>
      </w:r>
      <w:r w:rsidRPr="00460CDE">
        <w:t>/</w:t>
      </w:r>
      <w:r>
        <w:t xml:space="preserve"> </w:t>
      </w:r>
      <w:r w:rsidRPr="00460CDE">
        <w:t>just outside an open door)</w:t>
      </w:r>
      <w:r>
        <w:t xml:space="preserve">. </w:t>
      </w:r>
    </w:p>
    <w:p w:rsidR="00C73B66" w:rsidRDefault="009D5E08" w:rsidP="00C73B66">
      <w:pPr>
        <w:pStyle w:val="BodyCopy"/>
        <w:spacing w:before="240" w:line="276" w:lineRule="auto"/>
      </w:pPr>
      <w:r>
        <w:t>W</w:t>
      </w:r>
      <w:r w:rsidR="00C73B66">
        <w:t>ider evidence indicates that smoking rates in the adult population are reducing,</w:t>
      </w:r>
      <w:r w:rsidR="00C73B66">
        <w:rPr>
          <w:rStyle w:val="EndnoteReference"/>
        </w:rPr>
        <w:endnoteReference w:id="8"/>
      </w:r>
      <w:r w:rsidR="00C73B66">
        <w:t xml:space="preserve"> and that there is also a downward trend in exposure to second-hand smoke</w:t>
      </w:r>
      <w:r w:rsidR="00600C1E">
        <w:t>. However</w:t>
      </w:r>
      <w:r w:rsidR="00C73B66">
        <w:t xml:space="preserve"> around one in s</w:t>
      </w:r>
      <w:r w:rsidR="00600C1E">
        <w:t>even</w:t>
      </w:r>
      <w:r w:rsidR="00C73B66">
        <w:t xml:space="preserve"> S1 to S4 pupils (15%) said they were exposed every day or most days</w:t>
      </w:r>
      <w:r w:rsidR="00600C1E">
        <w:t xml:space="preserve"> to smoke inside their home</w:t>
      </w:r>
      <w:r w:rsidR="00C73B66">
        <w:t xml:space="preserve">, and a further 13% said they were exposed sometimes. Moreover, risk of exposure was markedly higher among </w:t>
      </w:r>
      <w:r w:rsidR="00600C1E">
        <w:t>those living in deprived areas and those eligible for free school meals.</w:t>
      </w:r>
    </w:p>
    <w:p w:rsidR="00C73B66" w:rsidRDefault="00C73B66" w:rsidP="00C73B66">
      <w:pPr>
        <w:pStyle w:val="BodyCopy"/>
        <w:spacing w:before="240" w:line="276" w:lineRule="auto"/>
      </w:pPr>
      <w:r>
        <w:t xml:space="preserve">For example, pupils living in the most deprived quintile were markedly more likely </w:t>
      </w:r>
      <w:r w:rsidR="00E709FD" w:rsidRPr="00E709FD">
        <w:t xml:space="preserve">than those in the least deprived quintile </w:t>
      </w:r>
      <w:r>
        <w:t>to be exposed to second-hand smoke every day or most days (22%</w:t>
      </w:r>
      <w:r w:rsidR="00E709FD">
        <w:t xml:space="preserve"> compared with</w:t>
      </w:r>
      <w:r>
        <w:t xml:space="preserve"> 6%). Prevalence of exposure to smoke every day or most days was also much higher among those eligible for free school meals (28% compared with 13% of those not eligible). </w:t>
      </w:r>
    </w:p>
    <w:p w:rsidR="00C73B66" w:rsidRDefault="00C73B66" w:rsidP="00C73B66">
      <w:pPr>
        <w:pStyle w:val="BodyCopy"/>
        <w:spacing w:before="240" w:line="276" w:lineRule="auto"/>
      </w:pPr>
      <w:r>
        <w:t>Prevalence of exposure also varied with family type: 12% of those living with two parents were exposed most days, compared with 20-32% of those living in other situations. Those without siblings were also more likely to be exposed every day (18%) compared with those with siblings (14%).</w:t>
      </w:r>
    </w:p>
    <w:p w:rsidR="007C3905" w:rsidRDefault="007C3905">
      <w:pPr>
        <w:spacing w:after="0" w:line="240" w:lineRule="auto"/>
        <w:rPr>
          <w:rFonts w:ascii="Arial" w:eastAsia="Times New Roman" w:hAnsi="Arial" w:cs="Times New Roman"/>
          <w:szCs w:val="20"/>
          <w:lang w:eastAsia="en-GB"/>
        </w:rPr>
      </w:pPr>
      <w:r>
        <w:br w:type="page"/>
      </w:r>
    </w:p>
    <w:p w:rsidR="00BC1943" w:rsidRDefault="00BC1943" w:rsidP="00BC1943">
      <w:pPr>
        <w:pStyle w:val="BodyCopy"/>
        <w:spacing w:line="276" w:lineRule="auto"/>
      </w:pPr>
    </w:p>
    <w:tbl>
      <w:tblPr>
        <w:tblW w:w="8235" w:type="dxa"/>
        <w:tblInd w:w="93" w:type="dxa"/>
        <w:tblLayout w:type="fixed"/>
        <w:tblLook w:val="04A0" w:firstRow="1" w:lastRow="0" w:firstColumn="1" w:lastColumn="0" w:noHBand="0" w:noVBand="1"/>
      </w:tblPr>
      <w:tblGrid>
        <w:gridCol w:w="3134"/>
        <w:gridCol w:w="914"/>
        <w:gridCol w:w="79"/>
        <w:gridCol w:w="1275"/>
        <w:gridCol w:w="14"/>
        <w:gridCol w:w="779"/>
        <w:gridCol w:w="18"/>
        <w:gridCol w:w="890"/>
        <w:gridCol w:w="7"/>
        <w:gridCol w:w="1118"/>
        <w:gridCol w:w="7"/>
      </w:tblGrid>
      <w:tr w:rsidR="00C73B66" w:rsidRPr="003568D1" w:rsidTr="007C3905">
        <w:trPr>
          <w:trHeight w:val="340"/>
        </w:trPr>
        <w:tc>
          <w:tcPr>
            <w:tcW w:w="8235" w:type="dxa"/>
            <w:gridSpan w:val="11"/>
            <w:tcBorders>
              <w:top w:val="single" w:sz="12" w:space="0" w:color="auto"/>
              <w:left w:val="nil"/>
              <w:bottom w:val="nil"/>
              <w:right w:val="nil"/>
            </w:tcBorders>
            <w:shd w:val="clear" w:color="auto" w:fill="auto"/>
            <w:hideMark/>
          </w:tcPr>
          <w:p w:rsidR="00C73B66" w:rsidRPr="003568D1" w:rsidRDefault="00C73B66" w:rsidP="007C3905">
            <w:pPr>
              <w:spacing w:after="0" w:line="240" w:lineRule="auto"/>
              <w:rPr>
                <w:rFonts w:ascii="Arial" w:eastAsia="Times New Roman" w:hAnsi="Arial" w:cs="Arial"/>
                <w:b/>
                <w:bCs/>
                <w:color w:val="000000"/>
                <w:sz w:val="20"/>
                <w:szCs w:val="20"/>
                <w:lang w:eastAsia="en-GB"/>
              </w:rPr>
            </w:pPr>
            <w:r w:rsidRPr="003568D1">
              <w:rPr>
                <w:rFonts w:ascii="Arial" w:eastAsia="Times New Roman" w:hAnsi="Arial" w:cs="Arial"/>
                <w:b/>
                <w:bCs/>
                <w:color w:val="000000"/>
                <w:sz w:val="20"/>
                <w:szCs w:val="20"/>
                <w:lang w:eastAsia="en-GB"/>
              </w:rPr>
              <w:t>Table 2.</w:t>
            </w:r>
            <w:r>
              <w:rPr>
                <w:rFonts w:ascii="Arial" w:eastAsia="Times New Roman" w:hAnsi="Arial" w:cs="Arial"/>
                <w:b/>
                <w:bCs/>
                <w:color w:val="000000"/>
                <w:sz w:val="20"/>
                <w:szCs w:val="20"/>
                <w:lang w:eastAsia="en-GB"/>
              </w:rPr>
              <w:t>2.4c</w:t>
            </w:r>
            <w:r w:rsidRPr="003568D1">
              <w:rPr>
                <w:rFonts w:ascii="Arial" w:eastAsia="Times New Roman" w:hAnsi="Arial" w:cs="Arial"/>
                <w:b/>
                <w:bCs/>
                <w:color w:val="000000"/>
                <w:sz w:val="20"/>
                <w:szCs w:val="20"/>
                <w:lang w:eastAsia="en-GB"/>
              </w:rPr>
              <w:t xml:space="preserve"> Exposure to second-hand smoke</w:t>
            </w:r>
          </w:p>
        </w:tc>
      </w:tr>
      <w:tr w:rsidR="00C73B66" w:rsidRPr="003568D1" w:rsidTr="00076EDD">
        <w:trPr>
          <w:gridAfter w:val="1"/>
          <w:wAfter w:w="7" w:type="dxa"/>
          <w:trHeight w:val="1304"/>
        </w:trPr>
        <w:tc>
          <w:tcPr>
            <w:tcW w:w="3134" w:type="dxa"/>
            <w:tcBorders>
              <w:top w:val="nil"/>
              <w:left w:val="nil"/>
              <w:bottom w:val="single" w:sz="12" w:space="0" w:color="auto"/>
              <w:right w:val="nil"/>
            </w:tcBorders>
            <w:shd w:val="clear" w:color="auto" w:fill="auto"/>
            <w:vAlign w:val="center"/>
            <w:hideMark/>
          </w:tcPr>
          <w:p w:rsidR="00C73B66" w:rsidRPr="003568D1" w:rsidRDefault="00C73B66" w:rsidP="00076EDD">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Does anyone smoke inside your home? Please include times when someone smokes out of a window or at / just outside an open door</w:t>
            </w:r>
          </w:p>
        </w:tc>
        <w:tc>
          <w:tcPr>
            <w:tcW w:w="993" w:type="dxa"/>
            <w:gridSpan w:val="2"/>
            <w:tcBorders>
              <w:top w:val="nil"/>
              <w:left w:val="nil"/>
              <w:bottom w:val="single" w:sz="12" w:space="0" w:color="auto"/>
              <w:right w:val="nil"/>
            </w:tcBorders>
            <w:shd w:val="clear" w:color="auto" w:fill="auto"/>
            <w:vAlign w:val="center"/>
            <w:hideMark/>
          </w:tcPr>
          <w:p w:rsidR="00C73B66" w:rsidRPr="003568D1" w:rsidRDefault="00C73B66" w:rsidP="00C73B66">
            <w:pPr>
              <w:spacing w:after="0" w:line="240" w:lineRule="auto"/>
              <w:jc w:val="center"/>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Yes - every day / most days</w:t>
            </w:r>
          </w:p>
        </w:tc>
        <w:tc>
          <w:tcPr>
            <w:tcW w:w="1275" w:type="dxa"/>
            <w:tcBorders>
              <w:top w:val="nil"/>
              <w:left w:val="nil"/>
              <w:bottom w:val="single" w:sz="12" w:space="0" w:color="auto"/>
              <w:right w:val="nil"/>
            </w:tcBorders>
            <w:shd w:val="clear" w:color="auto" w:fill="auto"/>
            <w:vAlign w:val="center"/>
            <w:hideMark/>
          </w:tcPr>
          <w:p w:rsidR="00C73B66" w:rsidRPr="003568D1" w:rsidRDefault="00C73B66" w:rsidP="00C73B66">
            <w:pPr>
              <w:spacing w:after="0" w:line="240" w:lineRule="auto"/>
              <w:jc w:val="center"/>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Yes - sometimes</w:t>
            </w:r>
          </w:p>
        </w:tc>
        <w:tc>
          <w:tcPr>
            <w:tcW w:w="793" w:type="dxa"/>
            <w:gridSpan w:val="2"/>
            <w:tcBorders>
              <w:top w:val="nil"/>
              <w:left w:val="nil"/>
              <w:bottom w:val="single" w:sz="12" w:space="0" w:color="auto"/>
              <w:right w:val="nil"/>
            </w:tcBorders>
            <w:shd w:val="clear" w:color="auto" w:fill="auto"/>
            <w:vAlign w:val="center"/>
            <w:hideMark/>
          </w:tcPr>
          <w:p w:rsidR="00C73B66" w:rsidRPr="003568D1" w:rsidRDefault="00C73B66" w:rsidP="00C73B66">
            <w:pPr>
              <w:spacing w:after="0" w:line="240" w:lineRule="auto"/>
              <w:jc w:val="center"/>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No - never</w:t>
            </w:r>
          </w:p>
        </w:tc>
        <w:tc>
          <w:tcPr>
            <w:tcW w:w="908" w:type="dxa"/>
            <w:gridSpan w:val="2"/>
            <w:tcBorders>
              <w:top w:val="nil"/>
              <w:left w:val="nil"/>
              <w:bottom w:val="single" w:sz="12" w:space="0" w:color="auto"/>
              <w:right w:val="nil"/>
            </w:tcBorders>
            <w:shd w:val="clear" w:color="auto" w:fill="auto"/>
            <w:vAlign w:val="center"/>
            <w:hideMark/>
          </w:tcPr>
          <w:p w:rsidR="00C73B66" w:rsidRPr="003568D1" w:rsidRDefault="00C73B66" w:rsidP="00C73B66">
            <w:pPr>
              <w:spacing w:after="0" w:line="240" w:lineRule="auto"/>
              <w:jc w:val="center"/>
              <w:rPr>
                <w:rFonts w:ascii="Arial" w:eastAsia="Times New Roman" w:hAnsi="Arial" w:cs="Arial"/>
                <w:i/>
                <w:iCs/>
                <w:color w:val="000000"/>
                <w:sz w:val="16"/>
                <w:szCs w:val="16"/>
                <w:lang w:eastAsia="en-GB"/>
              </w:rPr>
            </w:pPr>
            <w:r w:rsidRPr="003568D1">
              <w:rPr>
                <w:rFonts w:ascii="Arial" w:eastAsia="Times New Roman" w:hAnsi="Arial" w:cs="Arial"/>
                <w:i/>
                <w:iCs/>
                <w:color w:val="000000"/>
                <w:sz w:val="16"/>
                <w:szCs w:val="16"/>
                <w:lang w:eastAsia="en-GB"/>
              </w:rPr>
              <w:t>Weighted base</w:t>
            </w:r>
            <w:r w:rsidR="00BB27CC">
              <w:rPr>
                <w:rFonts w:ascii="Arial" w:eastAsia="Times New Roman" w:hAnsi="Arial" w:cs="Arial"/>
                <w:i/>
                <w:iCs/>
                <w:color w:val="000000"/>
                <w:sz w:val="16"/>
                <w:szCs w:val="16"/>
                <w:lang w:eastAsia="en-GB"/>
              </w:rPr>
              <w:t>s</w:t>
            </w:r>
          </w:p>
        </w:tc>
        <w:tc>
          <w:tcPr>
            <w:tcW w:w="1125" w:type="dxa"/>
            <w:gridSpan w:val="2"/>
            <w:tcBorders>
              <w:top w:val="nil"/>
              <w:left w:val="nil"/>
              <w:bottom w:val="single" w:sz="12" w:space="0" w:color="auto"/>
              <w:right w:val="nil"/>
            </w:tcBorders>
            <w:shd w:val="clear" w:color="auto" w:fill="auto"/>
            <w:vAlign w:val="center"/>
            <w:hideMark/>
          </w:tcPr>
          <w:p w:rsidR="00C73B66" w:rsidRPr="003568D1" w:rsidRDefault="00C73B66" w:rsidP="00C73B66">
            <w:pPr>
              <w:spacing w:after="0" w:line="240" w:lineRule="auto"/>
              <w:jc w:val="center"/>
              <w:rPr>
                <w:rFonts w:ascii="Arial" w:eastAsia="Times New Roman" w:hAnsi="Arial" w:cs="Arial"/>
                <w:i/>
                <w:iCs/>
                <w:color w:val="000000"/>
                <w:sz w:val="16"/>
                <w:szCs w:val="16"/>
                <w:lang w:eastAsia="en-GB"/>
              </w:rPr>
            </w:pPr>
            <w:r w:rsidRPr="003568D1">
              <w:rPr>
                <w:rFonts w:ascii="Arial" w:eastAsia="Times New Roman" w:hAnsi="Arial" w:cs="Arial"/>
                <w:i/>
                <w:iCs/>
                <w:color w:val="000000"/>
                <w:sz w:val="16"/>
                <w:szCs w:val="16"/>
                <w:lang w:eastAsia="en-GB"/>
              </w:rPr>
              <w:t>Unweighted base</w:t>
            </w:r>
            <w:r w:rsidR="00BB27CC">
              <w:rPr>
                <w:rFonts w:ascii="Arial" w:eastAsia="Times New Roman" w:hAnsi="Arial" w:cs="Arial"/>
                <w:i/>
                <w:iCs/>
                <w:color w:val="000000"/>
                <w:sz w:val="16"/>
                <w:szCs w:val="16"/>
                <w:lang w:eastAsia="en-GB"/>
              </w:rPr>
              <w:t>s</w:t>
            </w:r>
          </w:p>
        </w:tc>
      </w:tr>
      <w:tr w:rsidR="00C73B66" w:rsidRPr="003568D1" w:rsidTr="00076EDD">
        <w:trPr>
          <w:trHeight w:val="283"/>
        </w:trPr>
        <w:tc>
          <w:tcPr>
            <w:tcW w:w="8235" w:type="dxa"/>
            <w:gridSpan w:val="11"/>
            <w:tcBorders>
              <w:top w:val="nil"/>
              <w:left w:val="nil"/>
              <w:bottom w:val="single" w:sz="4" w:space="0" w:color="auto"/>
              <w:right w:val="nil"/>
            </w:tcBorders>
            <w:shd w:val="clear" w:color="auto" w:fill="auto"/>
            <w:noWrap/>
            <w:vAlign w:val="center"/>
            <w:hideMark/>
          </w:tcPr>
          <w:p w:rsidR="00C73B66" w:rsidRPr="003568D1" w:rsidRDefault="00C73B66" w:rsidP="007C3905">
            <w:pPr>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C73B66" w:rsidRPr="003568D1" w:rsidTr="007C3905">
        <w:trPr>
          <w:trHeight w:val="300"/>
        </w:trPr>
        <w:tc>
          <w:tcPr>
            <w:tcW w:w="3134" w:type="dxa"/>
            <w:tcBorders>
              <w:top w:val="nil"/>
              <w:left w:val="nil"/>
              <w:bottom w:val="nil"/>
              <w:right w:val="nil"/>
            </w:tcBorders>
            <w:shd w:val="clear" w:color="auto" w:fill="auto"/>
            <w:vAlign w:val="center"/>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All</w:t>
            </w:r>
          </w:p>
        </w:tc>
        <w:tc>
          <w:tcPr>
            <w:tcW w:w="914" w:type="dxa"/>
            <w:tcBorders>
              <w:top w:val="nil"/>
              <w:left w:val="nil"/>
              <w:bottom w:val="nil"/>
              <w:right w:val="nil"/>
            </w:tcBorders>
            <w:shd w:val="clear" w:color="auto" w:fill="auto"/>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5</w:t>
            </w:r>
          </w:p>
        </w:tc>
        <w:tc>
          <w:tcPr>
            <w:tcW w:w="1368" w:type="dxa"/>
            <w:gridSpan w:val="3"/>
            <w:tcBorders>
              <w:top w:val="nil"/>
              <w:left w:val="nil"/>
              <w:bottom w:val="nil"/>
              <w:right w:val="nil"/>
            </w:tcBorders>
            <w:shd w:val="clear" w:color="auto" w:fill="auto"/>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3</w:t>
            </w:r>
          </w:p>
        </w:tc>
        <w:tc>
          <w:tcPr>
            <w:tcW w:w="797" w:type="dxa"/>
            <w:gridSpan w:val="2"/>
            <w:tcBorders>
              <w:top w:val="nil"/>
              <w:left w:val="nil"/>
              <w:bottom w:val="nil"/>
              <w:right w:val="nil"/>
            </w:tcBorders>
            <w:shd w:val="clear" w:color="auto" w:fill="auto"/>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7</w:t>
            </w:r>
            <w:r>
              <w:rPr>
                <w:rFonts w:ascii="Arial" w:eastAsia="Times New Roman" w:hAnsi="Arial" w:cs="Arial"/>
                <w:color w:val="000000"/>
                <w:sz w:val="20"/>
                <w:szCs w:val="20"/>
                <w:lang w:eastAsia="en-GB"/>
              </w:rPr>
              <w:t>2</w:t>
            </w:r>
          </w:p>
        </w:tc>
        <w:tc>
          <w:tcPr>
            <w:tcW w:w="897" w:type="dxa"/>
            <w:gridSpan w:val="2"/>
            <w:tcBorders>
              <w:top w:val="nil"/>
              <w:left w:val="nil"/>
              <w:bottom w:val="nil"/>
              <w:right w:val="nil"/>
            </w:tcBorders>
            <w:shd w:val="clear" w:color="auto" w:fill="auto"/>
            <w:vAlign w:val="center"/>
            <w:hideMark/>
          </w:tcPr>
          <w:p w:rsidR="00C73B66" w:rsidRPr="003568D1" w:rsidRDefault="00C73B66" w:rsidP="007C390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4312</w:t>
            </w:r>
          </w:p>
        </w:tc>
        <w:tc>
          <w:tcPr>
            <w:tcW w:w="1125" w:type="dxa"/>
            <w:gridSpan w:val="2"/>
            <w:tcBorders>
              <w:top w:val="nil"/>
              <w:left w:val="nil"/>
              <w:bottom w:val="nil"/>
              <w:right w:val="nil"/>
            </w:tcBorders>
            <w:shd w:val="clear" w:color="auto" w:fill="auto"/>
            <w:vAlign w:val="center"/>
            <w:hideMark/>
          </w:tcPr>
          <w:p w:rsidR="00C73B66" w:rsidRPr="003568D1" w:rsidRDefault="00C73B66" w:rsidP="007C3905">
            <w:pPr>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4310</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p>
        </w:tc>
        <w:tc>
          <w:tcPr>
            <w:tcW w:w="914" w:type="dxa"/>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1368" w:type="dxa"/>
            <w:gridSpan w:val="3"/>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797"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897"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i/>
                <w:iCs/>
                <w:color w:val="000000"/>
                <w:sz w:val="20"/>
                <w:szCs w:val="20"/>
                <w:lang w:eastAsia="en-GB"/>
              </w:rPr>
            </w:pPr>
          </w:p>
        </w:tc>
        <w:tc>
          <w:tcPr>
            <w:tcW w:w="1125"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i/>
                <w:iCs/>
                <w:color w:val="000000"/>
                <w:sz w:val="20"/>
                <w:szCs w:val="20"/>
                <w:lang w:eastAsia="en-GB"/>
              </w:rPr>
            </w:pP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SIMD quintile 1 (most deprived)</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22</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22</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56</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576</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574</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SIMD quintile 2</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21</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16</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62</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1187</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1186</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SIMD quintile 3</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17</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14</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69</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771</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770</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SIMD quintile 4</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8</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10</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82</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859</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861</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SIMD quintile 5 (least deprived)</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6</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7</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87</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912</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911</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p>
        </w:tc>
        <w:tc>
          <w:tcPr>
            <w:tcW w:w="914" w:type="dxa"/>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1368" w:type="dxa"/>
            <w:gridSpan w:val="3"/>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797"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Eligible for free school meals</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28</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28</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44</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467</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468</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Not eligible for free school meals</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13</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12</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75</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3845</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3842</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p>
        </w:tc>
        <w:tc>
          <w:tcPr>
            <w:tcW w:w="914" w:type="dxa"/>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1368" w:type="dxa"/>
            <w:gridSpan w:val="3"/>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797"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No siblings at home</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18</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15</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67</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930</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928</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One or more sibling at home</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14</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13</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73</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3271</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3272</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p>
        </w:tc>
        <w:tc>
          <w:tcPr>
            <w:tcW w:w="914" w:type="dxa"/>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1368" w:type="dxa"/>
            <w:gridSpan w:val="3"/>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797" w:type="dxa"/>
            <w:gridSpan w:val="2"/>
            <w:tcBorders>
              <w:top w:val="nil"/>
              <w:left w:val="nil"/>
              <w:bottom w:val="nil"/>
              <w:right w:val="nil"/>
            </w:tcBorders>
            <w:shd w:val="clear" w:color="auto" w:fill="auto"/>
            <w:noWrap/>
            <w:vAlign w:val="center"/>
            <w:hideMark/>
          </w:tcPr>
          <w:p w:rsidR="00C73B66" w:rsidRPr="003568D1" w:rsidRDefault="00C73B66" w:rsidP="007C3905">
            <w:pPr>
              <w:spacing w:after="0" w:line="240" w:lineRule="auto"/>
              <w:jc w:val="right"/>
              <w:rPr>
                <w:rFonts w:ascii="Arial" w:eastAsia="Times New Roman" w:hAnsi="Arial" w:cs="Arial"/>
                <w:color w:val="000000"/>
                <w:sz w:val="20"/>
                <w:szCs w:val="20"/>
                <w:lang w:eastAsia="en-GB"/>
              </w:rPr>
            </w:pP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Two parent household</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12</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10</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78</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2827</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2829</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One parent household</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20</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20</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60</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804</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802</w:t>
            </w:r>
          </w:p>
        </w:tc>
      </w:tr>
      <w:tr w:rsidR="00C73B66" w:rsidRPr="003568D1" w:rsidTr="007C3905">
        <w:trPr>
          <w:trHeight w:val="300"/>
        </w:trPr>
        <w:tc>
          <w:tcPr>
            <w:tcW w:w="3134" w:type="dxa"/>
            <w:tcBorders>
              <w:top w:val="nil"/>
              <w:left w:val="nil"/>
              <w:bottom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Step-family</w:t>
            </w:r>
          </w:p>
        </w:tc>
        <w:tc>
          <w:tcPr>
            <w:tcW w:w="914" w:type="dxa"/>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21</w:t>
            </w:r>
          </w:p>
        </w:tc>
        <w:tc>
          <w:tcPr>
            <w:tcW w:w="1368" w:type="dxa"/>
            <w:gridSpan w:val="3"/>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22</w:t>
            </w:r>
          </w:p>
        </w:tc>
        <w:tc>
          <w:tcPr>
            <w:tcW w:w="7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57</w:t>
            </w:r>
          </w:p>
        </w:tc>
        <w:tc>
          <w:tcPr>
            <w:tcW w:w="897"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472</w:t>
            </w:r>
          </w:p>
        </w:tc>
        <w:tc>
          <w:tcPr>
            <w:tcW w:w="1125" w:type="dxa"/>
            <w:gridSpan w:val="2"/>
            <w:tcBorders>
              <w:top w:val="nil"/>
              <w:left w:val="nil"/>
              <w:bottom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472</w:t>
            </w:r>
          </w:p>
        </w:tc>
      </w:tr>
      <w:tr w:rsidR="00C73B66" w:rsidRPr="003568D1" w:rsidTr="007C3905">
        <w:trPr>
          <w:trHeight w:val="300"/>
        </w:trPr>
        <w:tc>
          <w:tcPr>
            <w:tcW w:w="3134" w:type="dxa"/>
            <w:tcBorders>
              <w:top w:val="nil"/>
              <w:left w:val="nil"/>
              <w:right w:val="nil"/>
            </w:tcBorders>
            <w:shd w:val="clear" w:color="auto" w:fill="auto"/>
            <w:noWrap/>
            <w:vAlign w:val="bottom"/>
            <w:hideMark/>
          </w:tcPr>
          <w:p w:rsidR="00C73B66" w:rsidRPr="003568D1" w:rsidRDefault="00C73B66" w:rsidP="007C3905">
            <w:pPr>
              <w:spacing w:after="0" w:line="240" w:lineRule="auto"/>
              <w:rPr>
                <w:rFonts w:ascii="Arial" w:eastAsia="Times New Roman" w:hAnsi="Arial" w:cs="Arial"/>
                <w:color w:val="000000"/>
                <w:sz w:val="20"/>
                <w:szCs w:val="20"/>
                <w:lang w:eastAsia="en-GB"/>
              </w:rPr>
            </w:pPr>
            <w:r w:rsidRPr="003568D1">
              <w:rPr>
                <w:rFonts w:ascii="Arial" w:eastAsia="Times New Roman" w:hAnsi="Arial" w:cs="Arial"/>
                <w:color w:val="000000"/>
                <w:sz w:val="20"/>
                <w:szCs w:val="20"/>
                <w:lang w:eastAsia="en-GB"/>
              </w:rPr>
              <w:t>Other household type</w:t>
            </w:r>
          </w:p>
        </w:tc>
        <w:tc>
          <w:tcPr>
            <w:tcW w:w="914" w:type="dxa"/>
            <w:tcBorders>
              <w:top w:val="nil"/>
              <w:left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32</w:t>
            </w:r>
          </w:p>
        </w:tc>
        <w:tc>
          <w:tcPr>
            <w:tcW w:w="1368" w:type="dxa"/>
            <w:gridSpan w:val="3"/>
            <w:tcBorders>
              <w:top w:val="nil"/>
              <w:left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18</w:t>
            </w:r>
          </w:p>
        </w:tc>
        <w:tc>
          <w:tcPr>
            <w:tcW w:w="797" w:type="dxa"/>
            <w:gridSpan w:val="2"/>
            <w:tcBorders>
              <w:top w:val="nil"/>
              <w:left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color w:val="000000"/>
                <w:sz w:val="20"/>
                <w:szCs w:val="20"/>
                <w:lang w:eastAsia="en-GB"/>
              </w:rPr>
            </w:pPr>
            <w:r w:rsidRPr="004074D7">
              <w:rPr>
                <w:rFonts w:ascii="Arial" w:eastAsia="Times New Roman" w:hAnsi="Arial" w:cs="Arial"/>
                <w:color w:val="000000"/>
                <w:sz w:val="20"/>
                <w:szCs w:val="20"/>
                <w:lang w:eastAsia="en-GB"/>
              </w:rPr>
              <w:t>51</w:t>
            </w:r>
          </w:p>
        </w:tc>
        <w:tc>
          <w:tcPr>
            <w:tcW w:w="897" w:type="dxa"/>
            <w:gridSpan w:val="2"/>
            <w:tcBorders>
              <w:top w:val="nil"/>
              <w:left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99</w:t>
            </w:r>
          </w:p>
        </w:tc>
        <w:tc>
          <w:tcPr>
            <w:tcW w:w="1125" w:type="dxa"/>
            <w:gridSpan w:val="2"/>
            <w:tcBorders>
              <w:top w:val="nil"/>
              <w:left w:val="nil"/>
              <w:right w:val="nil"/>
            </w:tcBorders>
            <w:shd w:val="clear" w:color="auto" w:fill="auto"/>
            <w:noWrap/>
            <w:vAlign w:val="center"/>
            <w:hideMark/>
          </w:tcPr>
          <w:p w:rsidR="00C73B66" w:rsidRPr="004074D7" w:rsidRDefault="00C73B66" w:rsidP="007C3905">
            <w:pPr>
              <w:spacing w:after="0" w:line="240" w:lineRule="auto"/>
              <w:jc w:val="right"/>
              <w:rPr>
                <w:rFonts w:ascii="Arial" w:eastAsia="Times New Roman" w:hAnsi="Arial" w:cs="Arial"/>
                <w:i/>
                <w:color w:val="000000"/>
                <w:sz w:val="20"/>
                <w:szCs w:val="20"/>
                <w:lang w:eastAsia="en-GB"/>
              </w:rPr>
            </w:pPr>
            <w:r w:rsidRPr="004074D7">
              <w:rPr>
                <w:rFonts w:ascii="Arial" w:eastAsia="Times New Roman" w:hAnsi="Arial" w:cs="Arial"/>
                <w:i/>
                <w:color w:val="000000"/>
                <w:sz w:val="20"/>
                <w:szCs w:val="20"/>
                <w:lang w:eastAsia="en-GB"/>
              </w:rPr>
              <w:t>97</w:t>
            </w:r>
          </w:p>
        </w:tc>
      </w:tr>
      <w:tr w:rsidR="00C73B66" w:rsidRPr="003568D1" w:rsidTr="007C3905">
        <w:trPr>
          <w:trHeight w:val="227"/>
        </w:trPr>
        <w:tc>
          <w:tcPr>
            <w:tcW w:w="3134" w:type="dxa"/>
            <w:tcBorders>
              <w:top w:val="nil"/>
              <w:left w:val="nil"/>
              <w:bottom w:val="single" w:sz="12" w:space="0" w:color="auto"/>
              <w:right w:val="nil"/>
            </w:tcBorders>
            <w:shd w:val="clear" w:color="auto" w:fill="auto"/>
            <w:noWrap/>
            <w:vAlign w:val="bottom"/>
            <w:hideMark/>
          </w:tcPr>
          <w:p w:rsidR="00C73B66" w:rsidRPr="003568D1" w:rsidRDefault="00C73B66" w:rsidP="007C3905">
            <w:pPr>
              <w:spacing w:after="0" w:line="240" w:lineRule="auto"/>
              <w:rPr>
                <w:rFonts w:ascii="Calibri" w:eastAsia="Times New Roman" w:hAnsi="Calibri" w:cs="Times New Roman"/>
                <w:color w:val="000000"/>
                <w:lang w:eastAsia="en-GB"/>
              </w:rPr>
            </w:pPr>
            <w:r w:rsidRPr="003568D1">
              <w:rPr>
                <w:rFonts w:ascii="Calibri" w:eastAsia="Times New Roman" w:hAnsi="Calibri" w:cs="Times New Roman"/>
                <w:color w:val="000000"/>
                <w:lang w:eastAsia="en-GB"/>
              </w:rPr>
              <w:t> </w:t>
            </w:r>
          </w:p>
        </w:tc>
        <w:tc>
          <w:tcPr>
            <w:tcW w:w="914" w:type="dxa"/>
            <w:tcBorders>
              <w:top w:val="nil"/>
              <w:left w:val="nil"/>
              <w:bottom w:val="single" w:sz="12" w:space="0" w:color="auto"/>
              <w:right w:val="nil"/>
            </w:tcBorders>
            <w:shd w:val="clear" w:color="auto" w:fill="auto"/>
            <w:noWrap/>
            <w:vAlign w:val="center"/>
            <w:hideMark/>
          </w:tcPr>
          <w:p w:rsidR="00C73B66" w:rsidRPr="003568D1" w:rsidRDefault="00C73B66" w:rsidP="007C3905">
            <w:pPr>
              <w:spacing w:after="0" w:line="240" w:lineRule="auto"/>
              <w:jc w:val="right"/>
              <w:rPr>
                <w:rFonts w:ascii="Calibri" w:eastAsia="Times New Roman" w:hAnsi="Calibri" w:cs="Times New Roman"/>
                <w:color w:val="000000"/>
                <w:lang w:eastAsia="en-GB"/>
              </w:rPr>
            </w:pPr>
            <w:r w:rsidRPr="003568D1">
              <w:rPr>
                <w:rFonts w:ascii="Calibri" w:eastAsia="Times New Roman" w:hAnsi="Calibri" w:cs="Times New Roman"/>
                <w:color w:val="000000"/>
                <w:lang w:eastAsia="en-GB"/>
              </w:rPr>
              <w:t> </w:t>
            </w:r>
          </w:p>
        </w:tc>
        <w:tc>
          <w:tcPr>
            <w:tcW w:w="1368" w:type="dxa"/>
            <w:gridSpan w:val="3"/>
            <w:tcBorders>
              <w:top w:val="nil"/>
              <w:left w:val="nil"/>
              <w:bottom w:val="single" w:sz="12" w:space="0" w:color="auto"/>
              <w:right w:val="nil"/>
            </w:tcBorders>
            <w:shd w:val="clear" w:color="auto" w:fill="auto"/>
            <w:noWrap/>
            <w:vAlign w:val="center"/>
            <w:hideMark/>
          </w:tcPr>
          <w:p w:rsidR="00C73B66" w:rsidRPr="003568D1" w:rsidRDefault="00C73B66" w:rsidP="007C3905">
            <w:pPr>
              <w:spacing w:after="0" w:line="240" w:lineRule="auto"/>
              <w:jc w:val="right"/>
              <w:rPr>
                <w:rFonts w:ascii="Calibri" w:eastAsia="Times New Roman" w:hAnsi="Calibri" w:cs="Times New Roman"/>
                <w:color w:val="000000"/>
                <w:lang w:eastAsia="en-GB"/>
              </w:rPr>
            </w:pPr>
            <w:r w:rsidRPr="003568D1">
              <w:rPr>
                <w:rFonts w:ascii="Calibri" w:eastAsia="Times New Roman" w:hAnsi="Calibri" w:cs="Times New Roman"/>
                <w:color w:val="000000"/>
                <w:lang w:eastAsia="en-GB"/>
              </w:rPr>
              <w:t> </w:t>
            </w:r>
          </w:p>
        </w:tc>
        <w:tc>
          <w:tcPr>
            <w:tcW w:w="797" w:type="dxa"/>
            <w:gridSpan w:val="2"/>
            <w:tcBorders>
              <w:top w:val="nil"/>
              <w:left w:val="nil"/>
              <w:bottom w:val="single" w:sz="12" w:space="0" w:color="auto"/>
              <w:right w:val="nil"/>
            </w:tcBorders>
            <w:shd w:val="clear" w:color="auto" w:fill="auto"/>
            <w:noWrap/>
            <w:vAlign w:val="center"/>
            <w:hideMark/>
          </w:tcPr>
          <w:p w:rsidR="00C73B66" w:rsidRPr="003568D1" w:rsidRDefault="00C73B66" w:rsidP="007C3905">
            <w:pPr>
              <w:spacing w:after="0" w:line="240" w:lineRule="auto"/>
              <w:jc w:val="right"/>
              <w:rPr>
                <w:rFonts w:ascii="Calibri" w:eastAsia="Times New Roman" w:hAnsi="Calibri" w:cs="Times New Roman"/>
                <w:color w:val="000000"/>
                <w:lang w:eastAsia="en-GB"/>
              </w:rPr>
            </w:pPr>
            <w:r w:rsidRPr="003568D1">
              <w:rPr>
                <w:rFonts w:ascii="Calibri" w:eastAsia="Times New Roman" w:hAnsi="Calibri" w:cs="Times New Roman"/>
                <w:color w:val="000000"/>
                <w:lang w:eastAsia="en-GB"/>
              </w:rPr>
              <w:t> </w:t>
            </w:r>
          </w:p>
        </w:tc>
        <w:tc>
          <w:tcPr>
            <w:tcW w:w="897" w:type="dxa"/>
            <w:gridSpan w:val="2"/>
            <w:tcBorders>
              <w:top w:val="nil"/>
              <w:left w:val="nil"/>
              <w:bottom w:val="single" w:sz="12" w:space="0" w:color="auto"/>
              <w:right w:val="nil"/>
            </w:tcBorders>
            <w:shd w:val="clear" w:color="auto" w:fill="auto"/>
            <w:noWrap/>
            <w:vAlign w:val="center"/>
            <w:hideMark/>
          </w:tcPr>
          <w:p w:rsidR="00C73B66" w:rsidRPr="004074D7" w:rsidRDefault="00C73B66" w:rsidP="007C3905">
            <w:pPr>
              <w:spacing w:after="0" w:line="240" w:lineRule="auto"/>
              <w:jc w:val="right"/>
              <w:rPr>
                <w:rFonts w:ascii="Calibri" w:eastAsia="Times New Roman" w:hAnsi="Calibri" w:cs="Times New Roman"/>
                <w:i/>
                <w:color w:val="000000"/>
                <w:lang w:eastAsia="en-GB"/>
              </w:rPr>
            </w:pPr>
            <w:r w:rsidRPr="004074D7">
              <w:rPr>
                <w:rFonts w:ascii="Calibri" w:eastAsia="Times New Roman" w:hAnsi="Calibri" w:cs="Times New Roman"/>
                <w:i/>
                <w:color w:val="000000"/>
                <w:lang w:eastAsia="en-GB"/>
              </w:rPr>
              <w:t> </w:t>
            </w:r>
          </w:p>
        </w:tc>
        <w:tc>
          <w:tcPr>
            <w:tcW w:w="1125" w:type="dxa"/>
            <w:gridSpan w:val="2"/>
            <w:tcBorders>
              <w:top w:val="nil"/>
              <w:left w:val="nil"/>
              <w:bottom w:val="single" w:sz="12" w:space="0" w:color="auto"/>
              <w:right w:val="nil"/>
            </w:tcBorders>
            <w:shd w:val="clear" w:color="auto" w:fill="auto"/>
            <w:noWrap/>
            <w:vAlign w:val="center"/>
            <w:hideMark/>
          </w:tcPr>
          <w:p w:rsidR="00C73B66" w:rsidRPr="004074D7" w:rsidRDefault="00C73B66" w:rsidP="007C3905">
            <w:pPr>
              <w:spacing w:after="0" w:line="240" w:lineRule="auto"/>
              <w:jc w:val="right"/>
              <w:rPr>
                <w:rFonts w:ascii="Calibri" w:eastAsia="Times New Roman" w:hAnsi="Calibri" w:cs="Times New Roman"/>
                <w:i/>
                <w:color w:val="000000"/>
                <w:lang w:eastAsia="en-GB"/>
              </w:rPr>
            </w:pPr>
            <w:r w:rsidRPr="004074D7">
              <w:rPr>
                <w:rFonts w:ascii="Calibri" w:eastAsia="Times New Roman" w:hAnsi="Calibri" w:cs="Times New Roman"/>
                <w:i/>
                <w:color w:val="000000"/>
                <w:lang w:eastAsia="en-GB"/>
              </w:rPr>
              <w:t> </w:t>
            </w:r>
          </w:p>
        </w:tc>
      </w:tr>
    </w:tbl>
    <w:p w:rsidR="00C73B66" w:rsidRPr="00A018E9" w:rsidRDefault="00C73B66" w:rsidP="00C73B66">
      <w:pPr>
        <w:pStyle w:val="BodyCopy"/>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Pr="007E011E" w:rsidRDefault="00C73B66" w:rsidP="00C73B66">
      <w:pPr>
        <w:pStyle w:val="Heading3"/>
        <w:numPr>
          <w:ilvl w:val="3"/>
          <w:numId w:val="13"/>
        </w:numPr>
        <w:spacing w:line="276" w:lineRule="auto"/>
      </w:pPr>
      <w:bookmarkStart w:id="29" w:name="_Toc494182037"/>
      <w:r w:rsidRPr="007E011E">
        <w:t>Drinking (Healthy, Responsible, Safe)</w:t>
      </w:r>
      <w:bookmarkEnd w:id="29"/>
    </w:p>
    <w:p w:rsidR="00C73B66" w:rsidRPr="00C677D5" w:rsidRDefault="00C73B66" w:rsidP="00C73B66">
      <w:pPr>
        <w:pStyle w:val="BodyCopy"/>
        <w:spacing w:before="240" w:line="276" w:lineRule="auto"/>
      </w:pPr>
      <w:r>
        <w:rPr>
          <w:rFonts w:asciiTheme="minorHAnsi" w:hAnsiTheme="minorHAnsi" w:cstheme="minorHAnsi"/>
        </w:rPr>
        <w:t>Around 2 in 5 pupils in S1 to S4 (39%) indicated that they had ever had a proper alcoholic drink (a whole drink, not just a sip). Not surprisingly, there was considerable variation by age, rising from 12% of those in S1 to 67% in S4. The figure for pupils in S2 and S4 are close to the national figures (30% of those in S2 compared with the national average of 28% and 67% for those in S4 compared with the national figure</w:t>
      </w:r>
      <w:r w:rsidR="00F8419A">
        <w:rPr>
          <w:rFonts w:asciiTheme="minorHAnsi" w:hAnsiTheme="minorHAnsi" w:cstheme="minorHAnsi"/>
        </w:rPr>
        <w:t xml:space="preserve"> </w:t>
      </w:r>
      <w:r>
        <w:rPr>
          <w:rFonts w:asciiTheme="minorHAnsi" w:hAnsiTheme="minorHAnsi" w:cstheme="minorHAnsi"/>
        </w:rPr>
        <w:t>of 66%).</w:t>
      </w:r>
      <w:r>
        <w:rPr>
          <w:rStyle w:val="EndnoteReference"/>
          <w:rFonts w:asciiTheme="minorHAnsi" w:hAnsiTheme="minorHAnsi" w:cstheme="minorHAnsi"/>
        </w:rPr>
        <w:endnoteReference w:id="9"/>
      </w:r>
    </w:p>
    <w:p w:rsidR="00C73B66" w:rsidRDefault="00C73B66" w:rsidP="00C73B66">
      <w:pPr>
        <w:pStyle w:val="BodyCopy"/>
        <w:spacing w:before="240" w:line="276" w:lineRule="auto"/>
      </w:pPr>
      <w:r>
        <w:t xml:space="preserve">Interestingly there was no significant difference in the prevalence of ever having drunk </w:t>
      </w:r>
      <w:r w:rsidR="00E709FD">
        <w:t xml:space="preserve">alcohol </w:t>
      </w:r>
      <w:r>
        <w:t xml:space="preserve">by gender, area deprivation or by eligibility for free school meals. There was, however, greater variation by family structure: 36% of those living with </w:t>
      </w:r>
      <w:r w:rsidR="00BB27CC">
        <w:t>two</w:t>
      </w:r>
      <w:r>
        <w:t xml:space="preserve"> parents had ever had an alcoholic drink, as had 46% in </w:t>
      </w:r>
      <w:r w:rsidR="00BB27CC">
        <w:t>one</w:t>
      </w:r>
      <w:r>
        <w:t xml:space="preserve"> parent households and 47% living with a step-parent. Those with no siblings at home were more likely to have ever had an alcoholic drink than those with one or more siblings (47% compared with 37% respectively).</w:t>
      </w:r>
    </w:p>
    <w:p w:rsidR="00600C1E" w:rsidRDefault="00C73B66" w:rsidP="00C73B66">
      <w:pPr>
        <w:pStyle w:val="BodyCopy"/>
        <w:spacing w:before="240" w:line="276" w:lineRule="auto"/>
      </w:pPr>
      <w:r>
        <w:t xml:space="preserve">There was a very clear association between drinking and feelings about where pupils lived. Those who agreed there was nothing for young people to do in the </w:t>
      </w:r>
      <w:r>
        <w:lastRenderedPageBreak/>
        <w:t xml:space="preserve">local area were </w:t>
      </w:r>
      <w:r w:rsidR="00E709FD" w:rsidRPr="00E709FD">
        <w:t xml:space="preserve">markedly </w:t>
      </w:r>
      <w:r>
        <w:t xml:space="preserve">more likely to have ever drunk alcohol (48% compared with 28% for those who disagreed). </w:t>
      </w:r>
    </w:p>
    <w:p w:rsidR="00C73B66" w:rsidRDefault="00C73B66" w:rsidP="00C73B66">
      <w:pPr>
        <w:pStyle w:val="BodyCopy"/>
        <w:spacing w:before="240" w:line="276" w:lineRule="auto"/>
      </w:pPr>
      <w:r>
        <w:t>There was a similarly clear association between drinking and mental wellbeing. Those with low mental wellbeing were more likely to ever have dr</w:t>
      </w:r>
      <w:r w:rsidR="000F17E3">
        <w:t>u</w:t>
      </w:r>
      <w:r>
        <w:t>nk alcohol (60% compared with 39% of those with average wellbeing and 29% of those with above average). This suggests that tackling wellbeing may also have a positive impact on tackling alcohol use.</w:t>
      </w:r>
    </w:p>
    <w:p w:rsidR="00C73B66" w:rsidRDefault="00C73B66" w:rsidP="00C73B66">
      <w:pPr>
        <w:pStyle w:val="BodyCopy"/>
        <w:spacing w:before="240" w:line="276" w:lineRule="auto"/>
      </w:pPr>
      <w:r>
        <w:t xml:space="preserve">Pupils who reported that they feel pressured by their friends or people they know to act tough or hard were more likely to have ever drunk alcohol than those </w:t>
      </w:r>
      <w:r w:rsidR="00E709FD">
        <w:t>who felt no pressure</w:t>
      </w:r>
      <w:r>
        <w:t xml:space="preserve"> (52% compared with 38%).</w:t>
      </w:r>
    </w:p>
    <w:p w:rsidR="00C73B66" w:rsidRDefault="00C73B66" w:rsidP="00C73B66">
      <w:pPr>
        <w:pStyle w:val="BodyCopy"/>
        <w:spacing w:before="240" w:line="276" w:lineRule="auto"/>
      </w:pPr>
      <w:r>
        <w:t>Smoking and drinking were also associated with one another with those who were current cigarette smokers more likely to have ever drunk alcohol, 97% compared with 84% of those who were ex-smokers and 28% of those who had never smoked.</w:t>
      </w:r>
      <w:r w:rsidR="00AE3DD5">
        <w:t xml:space="preserve"> </w:t>
      </w:r>
    </w:p>
    <w:p w:rsidR="00C73B66" w:rsidRDefault="00C73B66" w:rsidP="00C73B66">
      <w:pPr>
        <w:pStyle w:val="BodyCopy"/>
        <w:spacing w:before="240" w:line="276" w:lineRule="auto"/>
      </w:pPr>
      <w:r>
        <w:rPr>
          <w:noProof/>
        </w:rPr>
        <w:drawing>
          <wp:inline distT="0" distB="0" distL="0" distR="0" wp14:anchorId="2DE5E3B9" wp14:editId="675E05EC">
            <wp:extent cx="5400675" cy="3624860"/>
            <wp:effectExtent l="0" t="0" r="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BodyCopy"/>
        <w:spacing w:before="240" w:line="276" w:lineRule="auto"/>
      </w:pPr>
      <w:r>
        <w:t>As the following table shows, most of those who had tried alcohol drank relatively rarely: 4% of pupils said that they drank alcohol at least once a week, although this rose to 9% by S4.</w:t>
      </w:r>
    </w:p>
    <w:p w:rsidR="00C73B66" w:rsidRDefault="00C73B66" w:rsidP="00BC1943">
      <w:pPr>
        <w:pStyle w:val="BodyCopy"/>
        <w:spacing w:line="276" w:lineRule="auto"/>
      </w:pPr>
    </w:p>
    <w:tbl>
      <w:tblPr>
        <w:tblW w:w="5000" w:type="pct"/>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3937"/>
        <w:gridCol w:w="787"/>
        <w:gridCol w:w="784"/>
        <w:gridCol w:w="784"/>
        <w:gridCol w:w="784"/>
        <w:gridCol w:w="777"/>
      </w:tblGrid>
      <w:tr w:rsidR="00C73B66" w:rsidRPr="00D856AA" w:rsidTr="00DA120D">
        <w:trPr>
          <w:trHeight w:val="340"/>
        </w:trPr>
        <w:tc>
          <w:tcPr>
            <w:tcW w:w="5000" w:type="pct"/>
            <w:gridSpan w:val="6"/>
            <w:tcBorders>
              <w:top w:val="single" w:sz="12" w:space="0" w:color="auto"/>
              <w:left w:val="nil"/>
              <w:bottom w:val="nil"/>
              <w:right w:val="nil"/>
            </w:tcBorders>
            <w:hideMark/>
          </w:tcPr>
          <w:p w:rsidR="00C73B66" w:rsidRPr="00D856AA" w:rsidRDefault="00C73B66" w:rsidP="00DA120D">
            <w:pPr>
              <w:pStyle w:val="BSATableHeading"/>
              <w:spacing w:before="0" w:after="0"/>
              <w:rPr>
                <w:rFonts w:asciiTheme="minorHAnsi" w:hAnsiTheme="minorHAnsi" w:cstheme="minorHAnsi"/>
                <w:sz w:val="20"/>
              </w:rPr>
            </w:pPr>
            <w:r>
              <w:rPr>
                <w:rFonts w:asciiTheme="minorHAnsi" w:hAnsiTheme="minorHAnsi" w:cstheme="minorHAnsi"/>
                <w:sz w:val="20"/>
              </w:rPr>
              <w:lastRenderedPageBreak/>
              <w:t>Table 2.2.4e</w:t>
            </w:r>
            <w:r w:rsidRPr="00D856AA">
              <w:rPr>
                <w:rFonts w:asciiTheme="minorHAnsi" w:hAnsiTheme="minorHAnsi" w:cstheme="minorHAnsi"/>
                <w:sz w:val="20"/>
              </w:rPr>
              <w:t xml:space="preserve"> </w:t>
            </w:r>
            <w:r w:rsidRPr="00C156D1">
              <w:rPr>
                <w:rFonts w:asciiTheme="minorHAnsi" w:hAnsiTheme="minorHAnsi" w:cstheme="minorHAnsi"/>
                <w:sz w:val="20"/>
              </w:rPr>
              <w:t>Frequency of drinking alcohol</w:t>
            </w:r>
            <w:r w:rsidRPr="00D856AA">
              <w:rPr>
                <w:rFonts w:asciiTheme="minorHAnsi" w:hAnsiTheme="minorHAnsi" w:cstheme="minorHAnsi"/>
                <w:sz w:val="20"/>
              </w:rPr>
              <w:t xml:space="preserve"> </w:t>
            </w:r>
          </w:p>
        </w:tc>
      </w:tr>
      <w:tr w:rsidR="00C73B66" w:rsidRPr="00D856AA" w:rsidTr="00DA120D">
        <w:trPr>
          <w:trHeight w:val="567"/>
        </w:trPr>
        <w:tc>
          <w:tcPr>
            <w:tcW w:w="2507" w:type="pct"/>
            <w:tcBorders>
              <w:top w:val="nil"/>
              <w:left w:val="nil"/>
              <w:bottom w:val="single" w:sz="12" w:space="0" w:color="auto"/>
              <w:right w:val="nil"/>
            </w:tcBorders>
            <w:vAlign w:val="center"/>
          </w:tcPr>
          <w:p w:rsidR="00C73B66" w:rsidRPr="00D856AA" w:rsidRDefault="00BC1943" w:rsidP="00DA120D">
            <w:pPr>
              <w:keepNext/>
              <w:spacing w:after="0" w:line="240" w:lineRule="auto"/>
              <w:rPr>
                <w:rFonts w:cstheme="minorHAnsi"/>
                <w:color w:val="000000"/>
                <w:sz w:val="20"/>
                <w:szCs w:val="20"/>
              </w:rPr>
            </w:pPr>
            <w:r>
              <w:rPr>
                <w:rFonts w:cstheme="minorHAnsi"/>
                <w:color w:val="000000"/>
                <w:sz w:val="20"/>
                <w:szCs w:val="20"/>
              </w:rPr>
              <w:t>How often do you usually have an alcohol drink?</w:t>
            </w:r>
          </w:p>
        </w:tc>
        <w:tc>
          <w:tcPr>
            <w:tcW w:w="501" w:type="pct"/>
            <w:tcBorders>
              <w:top w:val="nil"/>
              <w:left w:val="nil"/>
              <w:bottom w:val="single" w:sz="12" w:space="0" w:color="auto"/>
              <w:right w:val="nil"/>
            </w:tcBorders>
            <w:vAlign w:val="center"/>
          </w:tcPr>
          <w:p w:rsidR="00C73B66" w:rsidRDefault="00C73B66" w:rsidP="00DA120D">
            <w:pPr>
              <w:pStyle w:val="BSATableNumber"/>
              <w:jc w:val="center"/>
              <w:rPr>
                <w:rFonts w:asciiTheme="minorHAnsi" w:hAnsiTheme="minorHAnsi" w:cstheme="minorHAnsi"/>
                <w:color w:val="000000"/>
                <w:sz w:val="20"/>
              </w:rPr>
            </w:pPr>
            <w:r>
              <w:rPr>
                <w:rFonts w:asciiTheme="minorHAnsi" w:hAnsiTheme="minorHAnsi" w:cstheme="minorHAnsi"/>
                <w:color w:val="000000"/>
                <w:sz w:val="20"/>
              </w:rPr>
              <w:t>S1</w:t>
            </w:r>
          </w:p>
        </w:tc>
        <w:tc>
          <w:tcPr>
            <w:tcW w:w="499" w:type="pct"/>
            <w:tcBorders>
              <w:top w:val="nil"/>
              <w:left w:val="nil"/>
              <w:bottom w:val="single" w:sz="12" w:space="0" w:color="auto"/>
              <w:right w:val="nil"/>
            </w:tcBorders>
            <w:vAlign w:val="center"/>
          </w:tcPr>
          <w:p w:rsidR="00C73B66" w:rsidRDefault="00C73B66" w:rsidP="00DA120D">
            <w:pPr>
              <w:pStyle w:val="BSATableNumber"/>
              <w:jc w:val="center"/>
              <w:rPr>
                <w:rFonts w:asciiTheme="minorHAnsi" w:hAnsiTheme="minorHAnsi" w:cstheme="minorHAnsi"/>
                <w:color w:val="000000"/>
                <w:sz w:val="20"/>
              </w:rPr>
            </w:pPr>
            <w:r>
              <w:rPr>
                <w:rFonts w:asciiTheme="minorHAnsi" w:hAnsiTheme="minorHAnsi" w:cstheme="minorHAnsi"/>
                <w:color w:val="000000"/>
                <w:sz w:val="20"/>
              </w:rPr>
              <w:t>S2</w:t>
            </w:r>
          </w:p>
        </w:tc>
        <w:tc>
          <w:tcPr>
            <w:tcW w:w="499" w:type="pct"/>
            <w:tcBorders>
              <w:top w:val="nil"/>
              <w:left w:val="nil"/>
              <w:bottom w:val="single" w:sz="12" w:space="0" w:color="auto"/>
              <w:right w:val="nil"/>
            </w:tcBorders>
            <w:vAlign w:val="center"/>
          </w:tcPr>
          <w:p w:rsidR="00C73B66" w:rsidRDefault="00C73B66" w:rsidP="00DA120D">
            <w:pPr>
              <w:pStyle w:val="BSATableNumber"/>
              <w:jc w:val="center"/>
              <w:rPr>
                <w:rFonts w:asciiTheme="minorHAnsi" w:hAnsiTheme="minorHAnsi" w:cstheme="minorHAnsi"/>
                <w:color w:val="000000"/>
                <w:sz w:val="20"/>
              </w:rPr>
            </w:pPr>
            <w:r>
              <w:rPr>
                <w:rFonts w:asciiTheme="minorHAnsi" w:hAnsiTheme="minorHAnsi" w:cstheme="minorHAnsi"/>
                <w:color w:val="000000"/>
                <w:sz w:val="20"/>
              </w:rPr>
              <w:t>S3</w:t>
            </w:r>
          </w:p>
        </w:tc>
        <w:tc>
          <w:tcPr>
            <w:tcW w:w="499" w:type="pct"/>
            <w:tcBorders>
              <w:top w:val="nil"/>
              <w:left w:val="nil"/>
              <w:bottom w:val="single" w:sz="12" w:space="0" w:color="auto"/>
              <w:right w:val="nil"/>
            </w:tcBorders>
            <w:vAlign w:val="center"/>
          </w:tcPr>
          <w:p w:rsidR="00C73B66" w:rsidRDefault="00C73B66" w:rsidP="00DA120D">
            <w:pPr>
              <w:pStyle w:val="BSATableNumber"/>
              <w:jc w:val="center"/>
              <w:rPr>
                <w:rFonts w:asciiTheme="minorHAnsi" w:hAnsiTheme="minorHAnsi" w:cstheme="minorHAnsi"/>
                <w:color w:val="000000"/>
                <w:sz w:val="20"/>
              </w:rPr>
            </w:pPr>
            <w:r>
              <w:rPr>
                <w:rFonts w:asciiTheme="minorHAnsi" w:hAnsiTheme="minorHAnsi" w:cstheme="minorHAnsi"/>
                <w:color w:val="000000"/>
                <w:sz w:val="20"/>
              </w:rPr>
              <w:t>S4</w:t>
            </w:r>
          </w:p>
        </w:tc>
        <w:tc>
          <w:tcPr>
            <w:tcW w:w="495" w:type="pct"/>
            <w:tcBorders>
              <w:top w:val="nil"/>
              <w:left w:val="nil"/>
              <w:bottom w:val="single" w:sz="12" w:space="0" w:color="auto"/>
              <w:right w:val="nil"/>
            </w:tcBorders>
            <w:vAlign w:val="center"/>
          </w:tcPr>
          <w:p w:rsidR="00C73B66" w:rsidRDefault="00C73B66" w:rsidP="00DA120D">
            <w:pPr>
              <w:pStyle w:val="BSATableNumber"/>
              <w:jc w:val="center"/>
              <w:rPr>
                <w:rFonts w:asciiTheme="minorHAnsi" w:hAnsiTheme="minorHAnsi" w:cstheme="minorHAnsi"/>
                <w:color w:val="000000"/>
                <w:sz w:val="20"/>
              </w:rPr>
            </w:pPr>
            <w:r>
              <w:rPr>
                <w:rFonts w:asciiTheme="minorHAnsi" w:hAnsiTheme="minorHAnsi" w:cstheme="minorHAnsi"/>
                <w:color w:val="000000"/>
                <w:sz w:val="20"/>
              </w:rPr>
              <w:t>All</w:t>
            </w:r>
          </w:p>
        </w:tc>
      </w:tr>
      <w:tr w:rsidR="00C73B66" w:rsidRPr="00D856AA" w:rsidTr="00DA120D">
        <w:trPr>
          <w:trHeight w:val="283"/>
        </w:trPr>
        <w:tc>
          <w:tcPr>
            <w:tcW w:w="5000" w:type="pct"/>
            <w:gridSpan w:val="6"/>
            <w:tcBorders>
              <w:top w:val="single" w:sz="12" w:space="0" w:color="auto"/>
              <w:left w:val="nil"/>
              <w:bottom w:val="single" w:sz="4" w:space="0" w:color="auto"/>
              <w:right w:val="nil"/>
            </w:tcBorders>
            <w:vAlign w:val="center"/>
          </w:tcPr>
          <w:p w:rsidR="00C73B66" w:rsidRDefault="00C73B66" w:rsidP="00DA120D">
            <w:pPr>
              <w:pStyle w:val="BSATableNumber"/>
              <w:rPr>
                <w:rFonts w:asciiTheme="minorHAnsi" w:hAnsiTheme="minorHAnsi" w:cstheme="minorHAnsi"/>
                <w:color w:val="000000"/>
                <w:sz w:val="20"/>
              </w:rPr>
            </w:pPr>
            <w:r>
              <w:rPr>
                <w:rFonts w:asciiTheme="minorHAnsi" w:hAnsiTheme="minorHAnsi" w:cstheme="minorHAnsi"/>
                <w:i/>
                <w:sz w:val="20"/>
              </w:rPr>
              <w:t>Column percentages</w:t>
            </w:r>
          </w:p>
        </w:tc>
      </w:tr>
      <w:tr w:rsidR="00C73B66" w:rsidRPr="00DA120D" w:rsidTr="00DA120D">
        <w:trPr>
          <w:trHeight w:val="300"/>
        </w:trPr>
        <w:tc>
          <w:tcPr>
            <w:tcW w:w="2507" w:type="pct"/>
            <w:tcBorders>
              <w:top w:val="single" w:sz="4" w:space="0" w:color="auto"/>
              <w:left w:val="nil"/>
              <w:bottom w:val="nil"/>
              <w:right w:val="nil"/>
            </w:tcBorders>
            <w:vAlign w:val="center"/>
            <w:hideMark/>
          </w:tcPr>
          <w:p w:rsidR="00C73B66" w:rsidRPr="00DA120D" w:rsidRDefault="00C73B66" w:rsidP="00DA120D">
            <w:pPr>
              <w:keepNext/>
              <w:spacing w:after="0" w:line="240" w:lineRule="auto"/>
              <w:rPr>
                <w:rFonts w:eastAsia="Calibri" w:cstheme="minorHAnsi"/>
                <w:sz w:val="20"/>
                <w:szCs w:val="20"/>
              </w:rPr>
            </w:pPr>
            <w:r w:rsidRPr="00DA120D">
              <w:rPr>
                <w:rFonts w:cstheme="minorHAnsi"/>
                <w:color w:val="000000"/>
                <w:sz w:val="20"/>
                <w:szCs w:val="20"/>
              </w:rPr>
              <w:t>Almost every day</w:t>
            </w:r>
          </w:p>
        </w:tc>
        <w:tc>
          <w:tcPr>
            <w:tcW w:w="501" w:type="pct"/>
            <w:tcBorders>
              <w:top w:val="single" w:sz="4" w:space="0" w:color="auto"/>
              <w:left w:val="nil"/>
              <w:bottom w:val="nil"/>
              <w:right w:val="nil"/>
            </w:tcBorders>
            <w:vAlign w:val="center"/>
          </w:tcPr>
          <w:p w:rsidR="00C73B66" w:rsidRPr="00DA120D" w:rsidRDefault="00C73B66" w:rsidP="00DA120D">
            <w:pPr>
              <w:pStyle w:val="BSATableNumber"/>
              <w:rPr>
                <w:rFonts w:asciiTheme="minorHAnsi" w:hAnsiTheme="minorHAnsi" w:cstheme="minorHAnsi"/>
                <w:sz w:val="20"/>
              </w:rPr>
            </w:pPr>
            <w:r w:rsidRPr="00DA120D">
              <w:rPr>
                <w:rFonts w:asciiTheme="minorHAnsi" w:hAnsiTheme="minorHAnsi" w:cstheme="minorHAnsi"/>
                <w:color w:val="000000"/>
                <w:sz w:val="20"/>
              </w:rPr>
              <w:t>0</w:t>
            </w:r>
          </w:p>
        </w:tc>
        <w:tc>
          <w:tcPr>
            <w:tcW w:w="499" w:type="pct"/>
            <w:tcBorders>
              <w:top w:val="single" w:sz="4" w:space="0" w:color="auto"/>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0</w:t>
            </w:r>
          </w:p>
        </w:tc>
        <w:tc>
          <w:tcPr>
            <w:tcW w:w="499" w:type="pct"/>
            <w:tcBorders>
              <w:top w:val="single" w:sz="4" w:space="0" w:color="auto"/>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w:t>
            </w:r>
          </w:p>
        </w:tc>
        <w:tc>
          <w:tcPr>
            <w:tcW w:w="499" w:type="pct"/>
            <w:tcBorders>
              <w:top w:val="single" w:sz="4" w:space="0" w:color="auto"/>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w:t>
            </w:r>
          </w:p>
        </w:tc>
        <w:tc>
          <w:tcPr>
            <w:tcW w:w="495" w:type="pct"/>
            <w:tcBorders>
              <w:top w:val="single" w:sz="4" w:space="0" w:color="auto"/>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w:t>
            </w:r>
          </w:p>
        </w:tc>
      </w:tr>
      <w:tr w:rsidR="00C73B66" w:rsidRPr="00DA120D" w:rsidTr="00DA120D">
        <w:trPr>
          <w:trHeight w:val="300"/>
        </w:trPr>
        <w:tc>
          <w:tcPr>
            <w:tcW w:w="2507" w:type="pct"/>
            <w:tcBorders>
              <w:top w:val="nil"/>
              <w:left w:val="nil"/>
              <w:bottom w:val="nil"/>
              <w:right w:val="nil"/>
            </w:tcBorders>
            <w:vAlign w:val="center"/>
            <w:hideMark/>
          </w:tcPr>
          <w:p w:rsidR="00C73B66" w:rsidRPr="00DA120D" w:rsidRDefault="00C73B66" w:rsidP="00DA120D">
            <w:pPr>
              <w:keepNext/>
              <w:spacing w:after="0" w:line="240" w:lineRule="auto"/>
              <w:rPr>
                <w:rFonts w:eastAsia="Calibri" w:cstheme="minorHAnsi"/>
                <w:sz w:val="20"/>
                <w:szCs w:val="20"/>
              </w:rPr>
            </w:pPr>
            <w:r w:rsidRPr="00DA120D">
              <w:rPr>
                <w:rFonts w:cstheme="minorHAnsi"/>
                <w:color w:val="000000"/>
                <w:sz w:val="20"/>
                <w:szCs w:val="20"/>
              </w:rPr>
              <w:t>About twice a week</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sz w:val="20"/>
              </w:rPr>
            </w:pPr>
            <w:r w:rsidRPr="00DA120D">
              <w:rPr>
                <w:rFonts w:asciiTheme="minorHAnsi" w:hAnsiTheme="minorHAnsi" w:cstheme="minorHAnsi"/>
                <w:color w:val="000000"/>
                <w:sz w:val="20"/>
              </w:rPr>
              <w:t>0</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3</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5</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2</w:t>
            </w:r>
          </w:p>
        </w:tc>
      </w:tr>
      <w:tr w:rsidR="00C73B66" w:rsidRPr="00DA120D" w:rsidTr="00DA120D">
        <w:trPr>
          <w:trHeight w:val="300"/>
        </w:trPr>
        <w:tc>
          <w:tcPr>
            <w:tcW w:w="2507" w:type="pct"/>
            <w:tcBorders>
              <w:top w:val="nil"/>
              <w:left w:val="nil"/>
              <w:bottom w:val="nil"/>
              <w:right w:val="nil"/>
            </w:tcBorders>
            <w:vAlign w:val="center"/>
            <w:hideMark/>
          </w:tcPr>
          <w:p w:rsidR="00C73B66" w:rsidRPr="00DA120D" w:rsidRDefault="00C73B66" w:rsidP="00DA120D">
            <w:pPr>
              <w:keepNext/>
              <w:spacing w:after="0" w:line="240" w:lineRule="auto"/>
              <w:rPr>
                <w:rFonts w:eastAsia="Calibri" w:cstheme="minorHAnsi"/>
                <w:sz w:val="20"/>
                <w:szCs w:val="20"/>
              </w:rPr>
            </w:pPr>
            <w:r w:rsidRPr="00DA120D">
              <w:rPr>
                <w:rFonts w:cstheme="minorHAnsi"/>
                <w:color w:val="000000"/>
                <w:sz w:val="20"/>
                <w:szCs w:val="20"/>
              </w:rPr>
              <w:t>About once a week</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sz w:val="20"/>
              </w:rPr>
            </w:pPr>
            <w:r w:rsidRPr="00DA120D">
              <w:rPr>
                <w:rFonts w:asciiTheme="minorHAnsi" w:hAnsiTheme="minorHAnsi" w:cstheme="minorHAnsi"/>
                <w:color w:val="000000"/>
                <w:sz w:val="20"/>
              </w:rPr>
              <w:t>0</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5</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9</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4</w:t>
            </w:r>
          </w:p>
        </w:tc>
      </w:tr>
      <w:tr w:rsidR="00C73B66" w:rsidRPr="00DA120D" w:rsidTr="00DA120D">
        <w:trPr>
          <w:trHeight w:val="300"/>
        </w:trPr>
        <w:tc>
          <w:tcPr>
            <w:tcW w:w="2507" w:type="pct"/>
            <w:tcBorders>
              <w:top w:val="nil"/>
              <w:left w:val="nil"/>
              <w:bottom w:val="nil"/>
              <w:right w:val="nil"/>
            </w:tcBorders>
            <w:vAlign w:val="center"/>
          </w:tcPr>
          <w:p w:rsidR="00C73B66" w:rsidRPr="00DA120D" w:rsidRDefault="00C73B66" w:rsidP="00DA120D">
            <w:pPr>
              <w:keepNext/>
              <w:spacing w:after="0" w:line="240" w:lineRule="auto"/>
              <w:rPr>
                <w:rFonts w:cstheme="minorHAnsi"/>
                <w:color w:val="000000"/>
                <w:sz w:val="20"/>
                <w:szCs w:val="20"/>
              </w:rPr>
            </w:pPr>
            <w:r w:rsidRPr="00DA120D">
              <w:rPr>
                <w:rFonts w:cstheme="minorHAnsi"/>
                <w:color w:val="000000"/>
                <w:sz w:val="20"/>
                <w:szCs w:val="20"/>
              </w:rPr>
              <w:t>About once a fortnight</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0</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2</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8</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10</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5</w:t>
            </w:r>
          </w:p>
        </w:tc>
      </w:tr>
      <w:tr w:rsidR="00C73B66" w:rsidRPr="00DA120D" w:rsidTr="00DA120D">
        <w:trPr>
          <w:trHeight w:val="300"/>
        </w:trPr>
        <w:tc>
          <w:tcPr>
            <w:tcW w:w="2507" w:type="pct"/>
            <w:tcBorders>
              <w:top w:val="nil"/>
              <w:left w:val="nil"/>
              <w:bottom w:val="nil"/>
              <w:right w:val="nil"/>
            </w:tcBorders>
            <w:vAlign w:val="center"/>
          </w:tcPr>
          <w:p w:rsidR="00C73B66" w:rsidRPr="00DA120D" w:rsidRDefault="00C73B66" w:rsidP="00DA120D">
            <w:pPr>
              <w:keepNext/>
              <w:spacing w:after="0" w:line="240" w:lineRule="auto"/>
              <w:rPr>
                <w:rFonts w:cstheme="minorHAnsi"/>
                <w:sz w:val="20"/>
                <w:szCs w:val="20"/>
              </w:rPr>
            </w:pPr>
            <w:r w:rsidRPr="00DA120D">
              <w:rPr>
                <w:rFonts w:cstheme="minorHAnsi"/>
                <w:color w:val="000000"/>
                <w:sz w:val="20"/>
                <w:szCs w:val="20"/>
              </w:rPr>
              <w:t>About once a month</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sz w:val="20"/>
              </w:rPr>
            </w:pPr>
            <w:r w:rsidRPr="00DA120D">
              <w:rPr>
                <w:rFonts w:asciiTheme="minorHAnsi" w:hAnsiTheme="minorHAnsi" w:cstheme="minorHAnsi"/>
                <w:color w:val="000000"/>
                <w:sz w:val="20"/>
              </w:rPr>
              <w:t>1</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5</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8</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13</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7</w:t>
            </w:r>
          </w:p>
        </w:tc>
      </w:tr>
      <w:tr w:rsidR="00C73B66" w:rsidRPr="00DA120D" w:rsidTr="00DA120D">
        <w:trPr>
          <w:trHeight w:val="300"/>
        </w:trPr>
        <w:tc>
          <w:tcPr>
            <w:tcW w:w="2507" w:type="pct"/>
            <w:tcBorders>
              <w:top w:val="nil"/>
              <w:left w:val="nil"/>
              <w:bottom w:val="nil"/>
              <w:right w:val="nil"/>
            </w:tcBorders>
            <w:vAlign w:val="center"/>
            <w:hideMark/>
          </w:tcPr>
          <w:p w:rsidR="00C73B66" w:rsidRPr="00DA120D" w:rsidRDefault="00C73B66" w:rsidP="00DA120D">
            <w:pPr>
              <w:keepNext/>
              <w:spacing w:after="0" w:line="240" w:lineRule="auto"/>
              <w:rPr>
                <w:rFonts w:eastAsia="Calibri" w:cstheme="minorHAnsi"/>
                <w:sz w:val="20"/>
                <w:szCs w:val="20"/>
              </w:rPr>
            </w:pPr>
            <w:r w:rsidRPr="00DA120D">
              <w:rPr>
                <w:rFonts w:cstheme="minorHAnsi"/>
                <w:color w:val="000000"/>
                <w:sz w:val="20"/>
                <w:szCs w:val="20"/>
              </w:rPr>
              <w:t>Only a few times a year</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sz w:val="20"/>
              </w:rPr>
            </w:pPr>
            <w:r w:rsidRPr="00DA120D">
              <w:rPr>
                <w:rFonts w:asciiTheme="minorHAnsi" w:hAnsiTheme="minorHAnsi" w:cstheme="minorHAnsi"/>
                <w:color w:val="000000"/>
                <w:sz w:val="20"/>
              </w:rPr>
              <w:t>7</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16</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20</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26</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17</w:t>
            </w:r>
          </w:p>
        </w:tc>
      </w:tr>
      <w:tr w:rsidR="00C73B66" w:rsidRPr="00DA120D" w:rsidTr="00DA120D">
        <w:trPr>
          <w:trHeight w:val="300"/>
        </w:trPr>
        <w:tc>
          <w:tcPr>
            <w:tcW w:w="2507" w:type="pct"/>
            <w:tcBorders>
              <w:top w:val="nil"/>
              <w:left w:val="nil"/>
              <w:bottom w:val="nil"/>
              <w:right w:val="nil"/>
            </w:tcBorders>
            <w:vAlign w:val="center"/>
          </w:tcPr>
          <w:p w:rsidR="00C73B66" w:rsidRPr="00DA120D" w:rsidRDefault="00C73B66" w:rsidP="00DA120D">
            <w:pPr>
              <w:keepNext/>
              <w:spacing w:after="0" w:line="240" w:lineRule="auto"/>
              <w:rPr>
                <w:rFonts w:cstheme="minorHAnsi"/>
                <w:color w:val="000000"/>
                <w:sz w:val="20"/>
                <w:szCs w:val="20"/>
              </w:rPr>
            </w:pPr>
            <w:r w:rsidRPr="00DA120D">
              <w:rPr>
                <w:rFonts w:cstheme="minorHAnsi"/>
                <w:color w:val="000000"/>
                <w:sz w:val="20"/>
                <w:szCs w:val="20"/>
              </w:rPr>
              <w:t>Never drink alcohol</w:t>
            </w:r>
          </w:p>
        </w:tc>
        <w:tc>
          <w:tcPr>
            <w:tcW w:w="501"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91</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74</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55</w:t>
            </w:r>
          </w:p>
        </w:tc>
        <w:tc>
          <w:tcPr>
            <w:tcW w:w="499"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36</w:t>
            </w:r>
          </w:p>
        </w:tc>
        <w:tc>
          <w:tcPr>
            <w:tcW w:w="495" w:type="pct"/>
            <w:tcBorders>
              <w:top w:val="nil"/>
              <w:left w:val="nil"/>
              <w:bottom w:val="nil"/>
              <w:right w:val="nil"/>
            </w:tcBorders>
            <w:vAlign w:val="center"/>
          </w:tcPr>
          <w:p w:rsidR="00C73B66" w:rsidRPr="00DA120D" w:rsidRDefault="00C73B66" w:rsidP="00DA120D">
            <w:pPr>
              <w:pStyle w:val="BSATableNumber"/>
              <w:rPr>
                <w:rFonts w:asciiTheme="minorHAnsi" w:hAnsiTheme="minorHAnsi" w:cstheme="minorHAnsi"/>
                <w:color w:val="000000"/>
                <w:sz w:val="20"/>
              </w:rPr>
            </w:pPr>
            <w:r w:rsidRPr="00DA120D">
              <w:rPr>
                <w:rFonts w:asciiTheme="minorHAnsi" w:hAnsiTheme="minorHAnsi" w:cstheme="minorHAnsi"/>
                <w:color w:val="000000"/>
                <w:sz w:val="20"/>
              </w:rPr>
              <w:t>65</w:t>
            </w:r>
          </w:p>
        </w:tc>
      </w:tr>
      <w:tr w:rsidR="00C73B66" w:rsidRPr="00DA120D" w:rsidTr="00DA120D">
        <w:trPr>
          <w:trHeight w:val="300"/>
        </w:trPr>
        <w:tc>
          <w:tcPr>
            <w:tcW w:w="2507" w:type="pct"/>
            <w:tcBorders>
              <w:top w:val="single" w:sz="4" w:space="0" w:color="auto"/>
              <w:left w:val="nil"/>
              <w:bottom w:val="nil"/>
              <w:right w:val="nil"/>
            </w:tcBorders>
            <w:vAlign w:val="center"/>
            <w:hideMark/>
          </w:tcPr>
          <w:p w:rsidR="00C73B66" w:rsidRPr="00DA120D" w:rsidRDefault="00C73B66" w:rsidP="00DA120D">
            <w:pPr>
              <w:pStyle w:val="BSATableBase"/>
              <w:keepNext/>
              <w:spacing w:before="0" w:after="0"/>
              <w:rPr>
                <w:rFonts w:asciiTheme="minorHAnsi" w:hAnsiTheme="minorHAnsi" w:cstheme="minorHAnsi"/>
                <w:sz w:val="20"/>
              </w:rPr>
            </w:pPr>
            <w:r w:rsidRPr="00DA120D">
              <w:rPr>
                <w:rFonts w:asciiTheme="minorHAnsi" w:hAnsiTheme="minorHAnsi" w:cstheme="minorHAnsi"/>
                <w:sz w:val="20"/>
              </w:rPr>
              <w:t xml:space="preserve">Weighted base </w:t>
            </w:r>
          </w:p>
        </w:tc>
        <w:tc>
          <w:tcPr>
            <w:tcW w:w="501" w:type="pct"/>
            <w:tcBorders>
              <w:top w:val="single" w:sz="4" w:space="0" w:color="auto"/>
              <w:left w:val="nil"/>
              <w:bottom w:val="nil"/>
              <w:right w:val="nil"/>
            </w:tcBorders>
            <w:vAlign w:val="center"/>
          </w:tcPr>
          <w:p w:rsidR="00C73B66" w:rsidRPr="00DA120D" w:rsidRDefault="00C73B66" w:rsidP="00DA120D">
            <w:pPr>
              <w:pStyle w:val="BSATableBaseNumber"/>
              <w:keepNext/>
              <w:spacing w:before="0" w:after="0"/>
              <w:rPr>
                <w:rFonts w:asciiTheme="minorHAnsi" w:hAnsiTheme="minorHAnsi" w:cstheme="minorHAnsi"/>
                <w:sz w:val="20"/>
              </w:rPr>
            </w:pPr>
            <w:r w:rsidRPr="00DA120D">
              <w:rPr>
                <w:rFonts w:asciiTheme="minorHAnsi" w:hAnsiTheme="minorHAnsi" w:cstheme="minorHAnsi"/>
                <w:color w:val="000000"/>
                <w:sz w:val="20"/>
              </w:rPr>
              <w:t>1063</w:t>
            </w:r>
          </w:p>
        </w:tc>
        <w:tc>
          <w:tcPr>
            <w:tcW w:w="499" w:type="pct"/>
            <w:tcBorders>
              <w:top w:val="single" w:sz="4" w:space="0" w:color="auto"/>
              <w:left w:val="nil"/>
              <w:bottom w:val="nil"/>
              <w:right w:val="nil"/>
            </w:tcBorders>
            <w:vAlign w:val="center"/>
          </w:tcPr>
          <w:p w:rsidR="00C73B66" w:rsidRPr="00DA120D" w:rsidRDefault="00C73B66" w:rsidP="00DA120D">
            <w:pPr>
              <w:pStyle w:val="BSATableBaseNumber"/>
              <w:keepNext/>
              <w:spacing w:before="0" w:after="0"/>
              <w:rPr>
                <w:rFonts w:asciiTheme="minorHAnsi" w:hAnsiTheme="minorHAnsi" w:cstheme="minorHAnsi"/>
                <w:color w:val="000000"/>
                <w:sz w:val="20"/>
              </w:rPr>
            </w:pPr>
            <w:r w:rsidRPr="00DA120D">
              <w:rPr>
                <w:rFonts w:asciiTheme="minorHAnsi" w:hAnsiTheme="minorHAnsi" w:cstheme="minorHAnsi"/>
                <w:color w:val="000000"/>
                <w:sz w:val="20"/>
              </w:rPr>
              <w:t>1048</w:t>
            </w:r>
          </w:p>
        </w:tc>
        <w:tc>
          <w:tcPr>
            <w:tcW w:w="499" w:type="pct"/>
            <w:tcBorders>
              <w:top w:val="single" w:sz="4" w:space="0" w:color="auto"/>
              <w:left w:val="nil"/>
              <w:bottom w:val="nil"/>
              <w:right w:val="nil"/>
            </w:tcBorders>
            <w:vAlign w:val="center"/>
          </w:tcPr>
          <w:p w:rsidR="00C73B66" w:rsidRPr="00DA120D" w:rsidRDefault="00C73B66" w:rsidP="00DA120D">
            <w:pPr>
              <w:pStyle w:val="BSATableBaseNumber"/>
              <w:keepNext/>
              <w:spacing w:before="0" w:after="0"/>
              <w:rPr>
                <w:rFonts w:asciiTheme="minorHAnsi" w:hAnsiTheme="minorHAnsi" w:cstheme="minorHAnsi"/>
                <w:color w:val="000000"/>
                <w:sz w:val="20"/>
              </w:rPr>
            </w:pPr>
            <w:r w:rsidRPr="00DA120D">
              <w:rPr>
                <w:rFonts w:asciiTheme="minorHAnsi" w:hAnsiTheme="minorHAnsi" w:cstheme="minorHAnsi"/>
                <w:color w:val="000000"/>
                <w:sz w:val="20"/>
              </w:rPr>
              <w:t>1010</w:t>
            </w:r>
          </w:p>
        </w:tc>
        <w:tc>
          <w:tcPr>
            <w:tcW w:w="499" w:type="pct"/>
            <w:tcBorders>
              <w:top w:val="single" w:sz="4" w:space="0" w:color="auto"/>
              <w:left w:val="nil"/>
              <w:bottom w:val="nil"/>
              <w:right w:val="nil"/>
            </w:tcBorders>
            <w:vAlign w:val="center"/>
          </w:tcPr>
          <w:p w:rsidR="00C73B66" w:rsidRPr="00DA120D" w:rsidRDefault="00C73B66" w:rsidP="00DA120D">
            <w:pPr>
              <w:pStyle w:val="BSATableBaseNumber"/>
              <w:keepNext/>
              <w:spacing w:before="0" w:after="0"/>
              <w:rPr>
                <w:rFonts w:asciiTheme="minorHAnsi" w:hAnsiTheme="minorHAnsi" w:cstheme="minorHAnsi"/>
                <w:color w:val="000000"/>
                <w:sz w:val="20"/>
              </w:rPr>
            </w:pPr>
            <w:r w:rsidRPr="00DA120D">
              <w:rPr>
                <w:rFonts w:asciiTheme="minorHAnsi" w:hAnsiTheme="minorHAnsi" w:cstheme="minorHAnsi"/>
                <w:color w:val="000000"/>
                <w:sz w:val="20"/>
              </w:rPr>
              <w:t>987</w:t>
            </w:r>
          </w:p>
        </w:tc>
        <w:tc>
          <w:tcPr>
            <w:tcW w:w="495" w:type="pct"/>
            <w:tcBorders>
              <w:top w:val="single" w:sz="4" w:space="0" w:color="auto"/>
              <w:left w:val="nil"/>
              <w:bottom w:val="nil"/>
              <w:right w:val="nil"/>
            </w:tcBorders>
            <w:vAlign w:val="center"/>
          </w:tcPr>
          <w:p w:rsidR="00C73B66" w:rsidRPr="00DA120D" w:rsidRDefault="00C73B66" w:rsidP="00DA120D">
            <w:pPr>
              <w:pStyle w:val="BSATableBaseNumber"/>
              <w:keepNext/>
              <w:spacing w:before="0" w:after="0"/>
              <w:rPr>
                <w:rFonts w:asciiTheme="minorHAnsi" w:hAnsiTheme="minorHAnsi" w:cstheme="minorHAnsi"/>
                <w:color w:val="000000"/>
                <w:sz w:val="20"/>
              </w:rPr>
            </w:pPr>
            <w:r w:rsidRPr="00DA120D">
              <w:rPr>
                <w:rFonts w:asciiTheme="minorHAnsi" w:hAnsiTheme="minorHAnsi" w:cstheme="minorHAnsi"/>
                <w:color w:val="000000"/>
                <w:sz w:val="20"/>
              </w:rPr>
              <w:t>4148</w:t>
            </w:r>
          </w:p>
        </w:tc>
      </w:tr>
      <w:tr w:rsidR="00C73B66" w:rsidRPr="00DA120D" w:rsidTr="00DA120D">
        <w:trPr>
          <w:trHeight w:val="300"/>
        </w:trPr>
        <w:tc>
          <w:tcPr>
            <w:tcW w:w="2507" w:type="pct"/>
            <w:tcBorders>
              <w:top w:val="nil"/>
              <w:left w:val="nil"/>
              <w:bottom w:val="single" w:sz="12" w:space="0" w:color="auto"/>
              <w:right w:val="nil"/>
            </w:tcBorders>
            <w:vAlign w:val="center"/>
            <w:hideMark/>
          </w:tcPr>
          <w:p w:rsidR="00C73B66" w:rsidRPr="00DA120D" w:rsidRDefault="00C73B66" w:rsidP="00DA120D">
            <w:pPr>
              <w:pStyle w:val="BSATableBase"/>
              <w:spacing w:before="0" w:after="0"/>
              <w:rPr>
                <w:rFonts w:asciiTheme="minorHAnsi" w:hAnsiTheme="minorHAnsi" w:cstheme="minorHAnsi"/>
                <w:sz w:val="20"/>
              </w:rPr>
            </w:pPr>
            <w:r w:rsidRPr="00DA120D">
              <w:rPr>
                <w:rFonts w:asciiTheme="minorHAnsi" w:hAnsiTheme="minorHAnsi" w:cstheme="minorHAnsi"/>
                <w:sz w:val="20"/>
              </w:rPr>
              <w:t>Unweighted base</w:t>
            </w:r>
          </w:p>
        </w:tc>
        <w:tc>
          <w:tcPr>
            <w:tcW w:w="501" w:type="pct"/>
            <w:tcBorders>
              <w:top w:val="nil"/>
              <w:left w:val="nil"/>
              <w:bottom w:val="single" w:sz="12" w:space="0" w:color="auto"/>
              <w:right w:val="nil"/>
            </w:tcBorders>
            <w:vAlign w:val="center"/>
          </w:tcPr>
          <w:p w:rsidR="00C73B66" w:rsidRPr="00DA120D" w:rsidRDefault="00C73B66" w:rsidP="00DA120D">
            <w:pPr>
              <w:pStyle w:val="BSATableBaseNumber"/>
              <w:spacing w:before="0" w:after="0"/>
              <w:rPr>
                <w:rFonts w:asciiTheme="minorHAnsi" w:hAnsiTheme="minorHAnsi" w:cstheme="minorHAnsi"/>
                <w:sz w:val="20"/>
              </w:rPr>
            </w:pPr>
            <w:r w:rsidRPr="00DA120D">
              <w:rPr>
                <w:rFonts w:asciiTheme="minorHAnsi" w:hAnsiTheme="minorHAnsi" w:cstheme="minorHAnsi"/>
                <w:color w:val="000000"/>
                <w:sz w:val="20"/>
              </w:rPr>
              <w:t>1127</w:t>
            </w:r>
          </w:p>
        </w:tc>
        <w:tc>
          <w:tcPr>
            <w:tcW w:w="499" w:type="pct"/>
            <w:tcBorders>
              <w:top w:val="nil"/>
              <w:left w:val="nil"/>
              <w:bottom w:val="single" w:sz="12" w:space="0" w:color="auto"/>
              <w:right w:val="nil"/>
            </w:tcBorders>
            <w:vAlign w:val="center"/>
          </w:tcPr>
          <w:p w:rsidR="00C73B66" w:rsidRPr="00DA120D" w:rsidRDefault="00C73B66" w:rsidP="00DA120D">
            <w:pPr>
              <w:pStyle w:val="BSATableBaseNumber"/>
              <w:spacing w:before="0" w:after="0"/>
              <w:rPr>
                <w:rFonts w:asciiTheme="minorHAnsi" w:hAnsiTheme="minorHAnsi" w:cstheme="minorHAnsi"/>
                <w:sz w:val="20"/>
              </w:rPr>
            </w:pPr>
            <w:r w:rsidRPr="00DA120D">
              <w:rPr>
                <w:rFonts w:asciiTheme="minorHAnsi" w:hAnsiTheme="minorHAnsi" w:cstheme="minorHAnsi"/>
                <w:color w:val="000000"/>
                <w:sz w:val="20"/>
              </w:rPr>
              <w:t>1084</w:t>
            </w:r>
          </w:p>
        </w:tc>
        <w:tc>
          <w:tcPr>
            <w:tcW w:w="499" w:type="pct"/>
            <w:tcBorders>
              <w:top w:val="nil"/>
              <w:left w:val="nil"/>
              <w:bottom w:val="single" w:sz="12" w:space="0" w:color="auto"/>
              <w:right w:val="nil"/>
            </w:tcBorders>
            <w:vAlign w:val="center"/>
          </w:tcPr>
          <w:p w:rsidR="00C73B66" w:rsidRPr="00DA120D" w:rsidRDefault="00C73B66" w:rsidP="00DA120D">
            <w:pPr>
              <w:pStyle w:val="BSATableBaseNumber"/>
              <w:spacing w:before="0" w:after="0"/>
              <w:rPr>
                <w:rFonts w:asciiTheme="minorHAnsi" w:hAnsiTheme="minorHAnsi" w:cstheme="minorHAnsi"/>
                <w:sz w:val="20"/>
              </w:rPr>
            </w:pPr>
            <w:r w:rsidRPr="00DA120D">
              <w:rPr>
                <w:rFonts w:asciiTheme="minorHAnsi" w:hAnsiTheme="minorHAnsi" w:cstheme="minorHAnsi"/>
                <w:color w:val="000000"/>
                <w:sz w:val="20"/>
              </w:rPr>
              <w:t>938</w:t>
            </w:r>
          </w:p>
        </w:tc>
        <w:tc>
          <w:tcPr>
            <w:tcW w:w="499" w:type="pct"/>
            <w:tcBorders>
              <w:top w:val="nil"/>
              <w:left w:val="nil"/>
              <w:bottom w:val="single" w:sz="12" w:space="0" w:color="auto"/>
              <w:right w:val="nil"/>
            </w:tcBorders>
            <w:vAlign w:val="center"/>
          </w:tcPr>
          <w:p w:rsidR="00C73B66" w:rsidRPr="00DA120D" w:rsidRDefault="00C73B66" w:rsidP="00DA120D">
            <w:pPr>
              <w:pStyle w:val="BSATableBaseNumber"/>
              <w:spacing w:before="0" w:after="0"/>
              <w:rPr>
                <w:rFonts w:asciiTheme="minorHAnsi" w:hAnsiTheme="minorHAnsi" w:cstheme="minorHAnsi"/>
                <w:sz w:val="20"/>
              </w:rPr>
            </w:pPr>
            <w:r w:rsidRPr="00DA120D">
              <w:rPr>
                <w:rFonts w:asciiTheme="minorHAnsi" w:hAnsiTheme="minorHAnsi" w:cstheme="minorHAnsi"/>
                <w:color w:val="000000"/>
                <w:sz w:val="20"/>
              </w:rPr>
              <w:t>958</w:t>
            </w:r>
          </w:p>
        </w:tc>
        <w:tc>
          <w:tcPr>
            <w:tcW w:w="495" w:type="pct"/>
            <w:tcBorders>
              <w:top w:val="nil"/>
              <w:left w:val="nil"/>
              <w:bottom w:val="single" w:sz="12" w:space="0" w:color="auto"/>
              <w:right w:val="nil"/>
            </w:tcBorders>
            <w:vAlign w:val="center"/>
          </w:tcPr>
          <w:p w:rsidR="00C73B66" w:rsidRPr="00DA120D" w:rsidRDefault="00C73B66" w:rsidP="00DA120D">
            <w:pPr>
              <w:pStyle w:val="BSATableBaseNumber"/>
              <w:spacing w:before="0" w:after="0"/>
              <w:rPr>
                <w:rFonts w:asciiTheme="minorHAnsi" w:hAnsiTheme="minorHAnsi" w:cstheme="minorHAnsi"/>
                <w:sz w:val="20"/>
              </w:rPr>
            </w:pPr>
            <w:r w:rsidRPr="00DA120D">
              <w:rPr>
                <w:rFonts w:asciiTheme="minorHAnsi" w:hAnsiTheme="minorHAnsi" w:cstheme="minorHAnsi"/>
                <w:color w:val="000000"/>
                <w:sz w:val="20"/>
              </w:rPr>
              <w:t>4148</w:t>
            </w:r>
          </w:p>
        </w:tc>
      </w:tr>
    </w:tbl>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20AF7" w:rsidRPr="00C20AF7" w:rsidRDefault="00963500" w:rsidP="00C20AF7">
      <w:pPr>
        <w:spacing w:after="0"/>
        <w:rPr>
          <w:rFonts w:ascii="Arial" w:eastAsia="Times New Roman" w:hAnsi="Arial" w:cs="Times New Roman"/>
          <w:szCs w:val="20"/>
          <w:lang w:eastAsia="en-GB"/>
        </w:rPr>
      </w:pPr>
      <w:r>
        <w:rPr>
          <w:rFonts w:ascii="Arial" w:eastAsia="Times New Roman" w:hAnsi="Arial" w:cs="Times New Roman"/>
          <w:szCs w:val="20"/>
          <w:lang w:eastAsia="en-GB"/>
        </w:rPr>
        <w:t>Around</w:t>
      </w:r>
      <w:r w:rsidR="00C20AF7" w:rsidRPr="00C20AF7">
        <w:rPr>
          <w:rFonts w:ascii="Arial" w:eastAsia="Times New Roman" w:hAnsi="Arial" w:cs="Times New Roman"/>
          <w:szCs w:val="20"/>
          <w:lang w:eastAsia="en-GB"/>
        </w:rPr>
        <w:t xml:space="preserve"> a quarter (2</w:t>
      </w:r>
      <w:r w:rsidR="00C20AF7">
        <w:rPr>
          <w:rFonts w:ascii="Arial" w:eastAsia="Times New Roman" w:hAnsi="Arial" w:cs="Times New Roman"/>
          <w:szCs w:val="20"/>
          <w:lang w:eastAsia="en-GB"/>
        </w:rPr>
        <w:t>2</w:t>
      </w:r>
      <w:r w:rsidR="00C20AF7" w:rsidRPr="00C20AF7">
        <w:rPr>
          <w:rFonts w:ascii="Arial" w:eastAsia="Times New Roman" w:hAnsi="Arial" w:cs="Times New Roman"/>
          <w:szCs w:val="20"/>
          <w:lang w:eastAsia="en-GB"/>
        </w:rPr>
        <w:t xml:space="preserve">%) of pupils had ever been drunk, rising from </w:t>
      </w:r>
      <w:r w:rsidR="00C20AF7">
        <w:rPr>
          <w:rFonts w:ascii="Arial" w:eastAsia="Times New Roman" w:hAnsi="Arial" w:cs="Times New Roman"/>
          <w:szCs w:val="20"/>
          <w:lang w:eastAsia="en-GB"/>
        </w:rPr>
        <w:t>5</w:t>
      </w:r>
      <w:r w:rsidR="00C20AF7" w:rsidRPr="00C20AF7">
        <w:rPr>
          <w:rFonts w:ascii="Arial" w:eastAsia="Times New Roman" w:hAnsi="Arial" w:cs="Times New Roman"/>
          <w:szCs w:val="20"/>
          <w:lang w:eastAsia="en-GB"/>
        </w:rPr>
        <w:t>% in S1 to 4</w:t>
      </w:r>
      <w:r w:rsidR="00C20AF7">
        <w:rPr>
          <w:rFonts w:ascii="Arial" w:eastAsia="Times New Roman" w:hAnsi="Arial" w:cs="Times New Roman"/>
          <w:szCs w:val="20"/>
          <w:lang w:eastAsia="en-GB"/>
        </w:rPr>
        <w:t>5</w:t>
      </w:r>
      <w:r w:rsidR="00C20AF7" w:rsidRPr="00C20AF7">
        <w:rPr>
          <w:rFonts w:ascii="Arial" w:eastAsia="Times New Roman" w:hAnsi="Arial" w:cs="Times New Roman"/>
          <w:szCs w:val="20"/>
          <w:lang w:eastAsia="en-GB"/>
        </w:rPr>
        <w:t>% in S4. This was more common among those eligible for free school meals than among those not eligible (2</w:t>
      </w:r>
      <w:r w:rsidR="00C20AF7">
        <w:rPr>
          <w:rFonts w:ascii="Arial" w:eastAsia="Times New Roman" w:hAnsi="Arial" w:cs="Times New Roman"/>
          <w:szCs w:val="20"/>
          <w:lang w:eastAsia="en-GB"/>
        </w:rPr>
        <w:t>9</w:t>
      </w:r>
      <w:r w:rsidR="00C20AF7" w:rsidRPr="00C20AF7">
        <w:rPr>
          <w:rFonts w:ascii="Arial" w:eastAsia="Times New Roman" w:hAnsi="Arial" w:cs="Times New Roman"/>
          <w:szCs w:val="20"/>
          <w:lang w:eastAsia="en-GB"/>
        </w:rPr>
        <w:t>% compared with 2</w:t>
      </w:r>
      <w:r w:rsidR="00C20AF7">
        <w:rPr>
          <w:rFonts w:ascii="Arial" w:eastAsia="Times New Roman" w:hAnsi="Arial" w:cs="Times New Roman"/>
          <w:szCs w:val="20"/>
          <w:lang w:eastAsia="en-GB"/>
        </w:rPr>
        <w:t>2</w:t>
      </w:r>
      <w:r w:rsidR="00C20AF7" w:rsidRPr="00C20AF7">
        <w:rPr>
          <w:rFonts w:ascii="Arial" w:eastAsia="Times New Roman" w:hAnsi="Arial" w:cs="Times New Roman"/>
          <w:szCs w:val="20"/>
          <w:lang w:eastAsia="en-GB"/>
        </w:rPr>
        <w:t xml:space="preserve">%). There was also considerable variation by household type: 19% of those living with </w:t>
      </w:r>
      <w:r w:rsidR="00F8419A">
        <w:rPr>
          <w:rFonts w:ascii="Arial" w:eastAsia="Times New Roman" w:hAnsi="Arial" w:cs="Times New Roman"/>
          <w:szCs w:val="20"/>
          <w:lang w:eastAsia="en-GB"/>
        </w:rPr>
        <w:t>two parents had ever been drunk</w:t>
      </w:r>
      <w:r w:rsidR="00C20AF7" w:rsidRPr="00C20AF7">
        <w:rPr>
          <w:rFonts w:ascii="Arial" w:eastAsia="Times New Roman" w:hAnsi="Arial" w:cs="Times New Roman"/>
          <w:szCs w:val="20"/>
          <w:lang w:eastAsia="en-GB"/>
        </w:rPr>
        <w:t xml:space="preserve"> compared with </w:t>
      </w:r>
      <w:r w:rsidR="00C20AF7">
        <w:rPr>
          <w:rFonts w:ascii="Arial" w:eastAsia="Times New Roman" w:hAnsi="Arial" w:cs="Times New Roman"/>
          <w:szCs w:val="20"/>
          <w:lang w:eastAsia="en-GB"/>
        </w:rPr>
        <w:t>30</w:t>
      </w:r>
      <w:r w:rsidR="00C20AF7" w:rsidRPr="00C20AF7">
        <w:rPr>
          <w:rFonts w:ascii="Arial" w:eastAsia="Times New Roman" w:hAnsi="Arial" w:cs="Times New Roman"/>
          <w:szCs w:val="20"/>
          <w:lang w:eastAsia="en-GB"/>
        </w:rPr>
        <w:t xml:space="preserve">% of those in single parent households, </w:t>
      </w:r>
      <w:r w:rsidR="00C20AF7">
        <w:rPr>
          <w:rFonts w:ascii="Arial" w:eastAsia="Times New Roman" w:hAnsi="Arial" w:cs="Times New Roman"/>
          <w:szCs w:val="20"/>
          <w:lang w:eastAsia="en-GB"/>
        </w:rPr>
        <w:t>27</w:t>
      </w:r>
      <w:r w:rsidR="00C20AF7" w:rsidRPr="00C20AF7">
        <w:rPr>
          <w:rFonts w:ascii="Arial" w:eastAsia="Times New Roman" w:hAnsi="Arial" w:cs="Times New Roman"/>
          <w:szCs w:val="20"/>
          <w:lang w:eastAsia="en-GB"/>
        </w:rPr>
        <w:t xml:space="preserve">% of those in a step-family and </w:t>
      </w:r>
      <w:r w:rsidR="00C20AF7">
        <w:rPr>
          <w:rFonts w:ascii="Arial" w:eastAsia="Times New Roman" w:hAnsi="Arial" w:cs="Times New Roman"/>
          <w:szCs w:val="20"/>
          <w:lang w:eastAsia="en-GB"/>
        </w:rPr>
        <w:t>47</w:t>
      </w:r>
      <w:r w:rsidR="00C20AF7" w:rsidRPr="00C20AF7">
        <w:rPr>
          <w:rFonts w:ascii="Arial" w:eastAsia="Times New Roman" w:hAnsi="Arial" w:cs="Times New Roman"/>
          <w:szCs w:val="20"/>
          <w:lang w:eastAsia="en-GB"/>
        </w:rPr>
        <w:t>% of those living with neither parent</w:t>
      </w:r>
      <w:r w:rsidR="00C20AF7">
        <w:rPr>
          <w:rFonts w:ascii="Arial" w:eastAsia="Times New Roman" w:hAnsi="Arial" w:cs="Times New Roman"/>
          <w:szCs w:val="20"/>
          <w:lang w:eastAsia="en-GB"/>
        </w:rPr>
        <w:t>; and 31% of those with no sibling</w:t>
      </w:r>
      <w:r w:rsidR="00F8419A">
        <w:rPr>
          <w:rFonts w:ascii="Arial" w:eastAsia="Times New Roman" w:hAnsi="Arial" w:cs="Times New Roman"/>
          <w:szCs w:val="20"/>
          <w:lang w:eastAsia="en-GB"/>
        </w:rPr>
        <w:t>s</w:t>
      </w:r>
      <w:r w:rsidR="00C20AF7">
        <w:rPr>
          <w:rFonts w:ascii="Arial" w:eastAsia="Times New Roman" w:hAnsi="Arial" w:cs="Times New Roman"/>
          <w:szCs w:val="20"/>
          <w:lang w:eastAsia="en-GB"/>
        </w:rPr>
        <w:t xml:space="preserve"> at home had ever been drunk compared with 20% of those with </w:t>
      </w:r>
      <w:r w:rsidR="003673F6">
        <w:rPr>
          <w:rFonts w:ascii="Arial" w:eastAsia="Times New Roman" w:hAnsi="Arial" w:cs="Times New Roman"/>
          <w:szCs w:val="20"/>
          <w:lang w:eastAsia="en-GB"/>
        </w:rPr>
        <w:t>siblings</w:t>
      </w:r>
      <w:r w:rsidR="00C20AF7">
        <w:rPr>
          <w:rFonts w:ascii="Arial" w:eastAsia="Times New Roman" w:hAnsi="Arial" w:cs="Times New Roman"/>
          <w:szCs w:val="20"/>
          <w:lang w:eastAsia="en-GB"/>
        </w:rPr>
        <w:t>.</w:t>
      </w:r>
    </w:p>
    <w:p w:rsidR="00C20AF7" w:rsidRDefault="00C20AF7" w:rsidP="00C73B66">
      <w:pPr>
        <w:pStyle w:val="BodyCopy"/>
        <w:spacing w:line="276" w:lineRule="auto"/>
      </w:pPr>
    </w:p>
    <w:p w:rsidR="00C73B66" w:rsidRDefault="005D0FAF" w:rsidP="00C73B66">
      <w:pPr>
        <w:pStyle w:val="BodyCopy"/>
        <w:spacing w:line="276" w:lineRule="auto"/>
      </w:pPr>
      <w:r>
        <w:t xml:space="preserve">In terms of the national picture, data from </w:t>
      </w:r>
      <w:r w:rsidR="00C73B66">
        <w:t xml:space="preserve">SALSUS </w:t>
      </w:r>
      <w:r>
        <w:t xml:space="preserve">2015 </w:t>
      </w:r>
      <w:r w:rsidR="00C73B66">
        <w:t xml:space="preserve">showed that two-thirds of </w:t>
      </w:r>
      <w:r w:rsidR="00C73B66" w:rsidRPr="005C5DEA">
        <w:t xml:space="preserve">those in S4 (66%) and </w:t>
      </w:r>
      <w:r w:rsidR="00C73B66">
        <w:t>around</w:t>
      </w:r>
      <w:r w:rsidR="00C73B66" w:rsidRPr="005C5DEA">
        <w:t xml:space="preserve"> a quarter (28%) of those in S2 had eve</w:t>
      </w:r>
      <w:r w:rsidR="00C73B66">
        <w:t xml:space="preserve">r had an alcoholic drink. </w:t>
      </w:r>
      <w:r w:rsidR="00C73B66" w:rsidRPr="005C5DEA">
        <w:t xml:space="preserve">These figures include 17% in S4 and 4% in S2 who had had a drink in the previous week. Figures for </w:t>
      </w:r>
      <w:r w:rsidR="00C73B66">
        <w:t>Falkirk</w:t>
      </w:r>
      <w:r w:rsidR="00C73B66" w:rsidRPr="005C5DEA">
        <w:t xml:space="preserve"> show</w:t>
      </w:r>
      <w:r w:rsidR="00C73B66">
        <w:t xml:space="preserve"> slightly higher</w:t>
      </w:r>
      <w:r w:rsidR="00C73B66" w:rsidRPr="005C5DEA">
        <w:t xml:space="preserve"> levels of consumption among those in </w:t>
      </w:r>
      <w:r w:rsidR="00C73B66" w:rsidRPr="00FC65D4">
        <w:t xml:space="preserve">S2 (30% had ever had an alcoholic drink and 5% in the last week), and in S4 (67% had ever had a drink, including 19% who had </w:t>
      </w:r>
      <w:r w:rsidRPr="00FC65D4">
        <w:t>dr</w:t>
      </w:r>
      <w:r>
        <w:t>u</w:t>
      </w:r>
      <w:r w:rsidRPr="00FC65D4">
        <w:t xml:space="preserve">nk </w:t>
      </w:r>
      <w:r w:rsidR="00C73B66" w:rsidRPr="00FC65D4">
        <w:t>in the last week).</w:t>
      </w:r>
    </w:p>
    <w:p w:rsidR="00C73B66" w:rsidRDefault="00C73B66" w:rsidP="00C73B66">
      <w:pPr>
        <w:pStyle w:val="Heading3"/>
        <w:numPr>
          <w:ilvl w:val="3"/>
          <w:numId w:val="13"/>
        </w:numPr>
        <w:spacing w:line="276" w:lineRule="auto"/>
      </w:pPr>
      <w:bookmarkStart w:id="30" w:name="_Toc494182038"/>
      <w:r>
        <w:t>Drugs (Healthy, Responsible, Safe)</w:t>
      </w:r>
      <w:bookmarkEnd w:id="30"/>
    </w:p>
    <w:p w:rsidR="00C73B66" w:rsidRDefault="00C73B66" w:rsidP="00C73B66">
      <w:pPr>
        <w:spacing w:before="240" w:after="0"/>
      </w:pPr>
      <w:r>
        <w:t>Overall, 8% of pupils in S1 to S4 indicated that they had ever taken any of a list of illicit or illegal drugs. This figure rose significantly with age, from 1% in S1 to 18% in S4. Figures for S2 (4%) and S4 (18%) were close to the national average from SALSUS in 2015 (which were 5% and 19% respectively).</w:t>
      </w:r>
      <w:r>
        <w:rPr>
          <w:rStyle w:val="EndnoteReference"/>
        </w:rPr>
        <w:endnoteReference w:id="10"/>
      </w:r>
    </w:p>
    <w:p w:rsidR="00C73B66" w:rsidRDefault="00C73B66" w:rsidP="00C73B66">
      <w:pPr>
        <w:spacing w:before="240" w:after="0"/>
      </w:pPr>
      <w:r>
        <w:t xml:space="preserve">There was also some variation across the subgroups, most notably by household type, with 6% of pupils living with </w:t>
      </w:r>
      <w:r w:rsidR="001B7AFA">
        <w:t>two</w:t>
      </w:r>
      <w:r>
        <w:t xml:space="preserve"> parents ever having taken any drugs, compared with 12% in </w:t>
      </w:r>
      <w:r w:rsidR="001B7AFA">
        <w:t xml:space="preserve">one </w:t>
      </w:r>
      <w:r>
        <w:t xml:space="preserve">parent </w:t>
      </w:r>
      <w:r w:rsidRPr="001B7AFA">
        <w:t>households, 10% in step-famil</w:t>
      </w:r>
      <w:r w:rsidR="001B7AFA" w:rsidRPr="001B7AFA">
        <w:t>ies</w:t>
      </w:r>
      <w:r w:rsidRPr="001B7AFA">
        <w:t xml:space="preserve">, and 30% in other </w:t>
      </w:r>
      <w:r w:rsidR="001B7AFA" w:rsidRPr="001B7AFA">
        <w:t>household types</w:t>
      </w:r>
      <w:r w:rsidRPr="001B7AFA">
        <w:t>. Those with no siblings at home were more likely to have ever taken drugs than those with one or more siblings (11% compared with 8%). Boys were also more likely than girls to report having ever taken drugs (10% and 7% respectively). There was also slight variation by area deprivation</w:t>
      </w:r>
      <w:r w:rsidR="001B7AFA" w:rsidRPr="001B7AFA">
        <w:t xml:space="preserve"> with </w:t>
      </w:r>
      <w:r w:rsidRPr="001B7AFA">
        <w:t xml:space="preserve">9% in the </w:t>
      </w:r>
      <w:r w:rsidR="001B7AFA" w:rsidRPr="001B7AFA">
        <w:t>most deprived quintile ever having taken drugs compared with</w:t>
      </w:r>
      <w:r w:rsidRPr="001B7AFA">
        <w:t xml:space="preserve"> 6% in the least deprived quintile.</w:t>
      </w:r>
    </w:p>
    <w:p w:rsidR="00C73B66" w:rsidRDefault="00C73B66" w:rsidP="00C73B66">
      <w:pPr>
        <w:spacing w:before="240" w:after="0"/>
      </w:pPr>
      <w:r>
        <w:lastRenderedPageBreak/>
        <w:t>As with alcohol use, those who agreed there was nothing for young people to do in the local area were more likely to have taken drugs (10% compared with 5% of those who disagreed). Those who reported being pressured (a lot, quite a lot or a little) to take drugs were more likely to h</w:t>
      </w:r>
      <w:r w:rsidR="000F17E3">
        <w:t xml:space="preserve">ave ever taken drugs (19%, 37% and </w:t>
      </w:r>
      <w:r>
        <w:t>40% respectively) compared with those who had not been pressured (5%).</w:t>
      </w:r>
    </w:p>
    <w:p w:rsidR="00C73B66" w:rsidRDefault="00C73B66" w:rsidP="00C73B66">
      <w:pPr>
        <w:spacing w:before="240" w:after="0"/>
      </w:pPr>
      <w:r>
        <w:t xml:space="preserve">Alcohol consumption and smoking status were also related to drug use with those who drank alcohol in the last week being more likely to have ever taken drugs, (44% compared with 16% of those that had drank alcohol, but not in the last week and 1% of those that had never </w:t>
      </w:r>
      <w:proofErr w:type="spellStart"/>
      <w:r>
        <w:t>drunk</w:t>
      </w:r>
      <w:proofErr w:type="spellEnd"/>
      <w:r>
        <w:t xml:space="preserve"> alcohol). Current smokers were also more likely to have ever taken drugs, 71% compared with 27% of ex-smokers and 2% of those who had never smoked.</w:t>
      </w:r>
    </w:p>
    <w:p w:rsidR="00C73B66" w:rsidRDefault="00C73B66" w:rsidP="00C73B66">
      <w:pPr>
        <w:spacing w:before="240" w:after="0"/>
      </w:pPr>
      <w:r w:rsidRPr="004310F5">
        <w:t xml:space="preserve">Figures for use in the last month were similar to the national average, with 5% of all pupils in S1 to S4 having taken drugs in the last month, </w:t>
      </w:r>
      <w:r w:rsidR="001B7AFA">
        <w:t xml:space="preserve">less than 1% </w:t>
      </w:r>
      <w:r w:rsidRPr="004310F5">
        <w:t xml:space="preserve">of those in S1, 3% in S2, 7% in S3 and 11% in S4. National figures for S2 and S4 were 3% and 11% respectively. Patterns for use in the last month across the subgroups matched those of </w:t>
      </w:r>
      <w:r>
        <w:t xml:space="preserve">pupils who had </w:t>
      </w:r>
      <w:r w:rsidRPr="004310F5">
        <w:t>ever used</w:t>
      </w:r>
      <w:r>
        <w:t xml:space="preserve"> drugs</w:t>
      </w:r>
      <w:r w:rsidRPr="004310F5">
        <w:t>.</w:t>
      </w:r>
    </w:p>
    <w:p w:rsidR="00C73B66" w:rsidRDefault="00C73B66" w:rsidP="00C73B66">
      <w:pPr>
        <w:spacing w:before="240" w:after="0"/>
      </w:pPr>
      <w:r>
        <w:rPr>
          <w:noProof/>
          <w:lang w:eastAsia="en-GB"/>
        </w:rPr>
        <w:drawing>
          <wp:inline distT="0" distB="0" distL="0" distR="0" wp14:anchorId="1D162726" wp14:editId="75E88C4E">
            <wp:extent cx="5400675" cy="3624860"/>
            <wp:effectExtent l="0" t="0" r="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spacing w:before="240" w:after="0"/>
      </w:pPr>
      <w:r w:rsidRPr="00D810FE">
        <w:t xml:space="preserve">Of the 8% of pupils who had ever taken any </w:t>
      </w:r>
      <w:r>
        <w:t xml:space="preserve">type of </w:t>
      </w:r>
      <w:r w:rsidRPr="00D810FE">
        <w:t xml:space="preserve">drug around half (54%, or </w:t>
      </w:r>
      <w:r w:rsidR="001B7AFA">
        <w:t>5</w:t>
      </w:r>
      <w:r w:rsidRPr="00D810FE">
        <w:t>% of the sample as a whole) had taken cannabis in the last month</w:t>
      </w:r>
      <w:r>
        <w:t>, with</w:t>
      </w:r>
      <w:r w:rsidRPr="00D810FE">
        <w:t xml:space="preserve"> 7</w:t>
      </w:r>
      <w:r>
        <w:t xml:space="preserve">% having ever </w:t>
      </w:r>
      <w:proofErr w:type="spellStart"/>
      <w:r>
        <w:t>ever</w:t>
      </w:r>
      <w:proofErr w:type="spellEnd"/>
      <w:r>
        <w:t xml:space="preserve"> taken cannabis</w:t>
      </w:r>
      <w:r w:rsidRPr="00D810FE">
        <w:t xml:space="preserve">. The next most commonly taken drugs in the last month were </w:t>
      </w:r>
      <w:proofErr w:type="spellStart"/>
      <w:r w:rsidRPr="00D810FE">
        <w:t>ecstacy</w:t>
      </w:r>
      <w:proofErr w:type="spellEnd"/>
      <w:r w:rsidRPr="00D810FE">
        <w:t xml:space="preserve"> </w:t>
      </w:r>
      <w:r>
        <w:t xml:space="preserve">(18%), </w:t>
      </w:r>
      <w:proofErr w:type="spellStart"/>
      <w:r w:rsidRPr="00D810FE">
        <w:t>MDMA</w:t>
      </w:r>
      <w:proofErr w:type="spellEnd"/>
      <w:r w:rsidRPr="00D810FE">
        <w:t xml:space="preserve"> powder</w:t>
      </w:r>
      <w:r>
        <w:t xml:space="preserve"> (13%), </w:t>
      </w:r>
      <w:r w:rsidRPr="00D810FE">
        <w:t>and cocaine (1</w:t>
      </w:r>
      <w:r>
        <w:t>2</w:t>
      </w:r>
      <w:r w:rsidRPr="00D810FE">
        <w:t>%).</w:t>
      </w:r>
      <w:r>
        <w:t xml:space="preserve"> </w:t>
      </w:r>
    </w:p>
    <w:p w:rsidR="00C73B66" w:rsidRDefault="00C73B66" w:rsidP="00C73B66"/>
    <w:p w:rsidR="00C73B66" w:rsidRDefault="00D42309" w:rsidP="00C73B66">
      <w:r>
        <w:rPr>
          <w:noProof/>
          <w:lang w:eastAsia="en-GB"/>
        </w:rPr>
        <w:lastRenderedPageBreak/>
        <w:drawing>
          <wp:inline distT="0" distB="0" distL="0" distR="0" wp14:anchorId="755B92AE" wp14:editId="55171146">
            <wp:extent cx="5400675" cy="3478401"/>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3B66"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BodyCopy"/>
        <w:spacing w:after="200" w:line="276" w:lineRule="auto"/>
        <w:rPr>
          <w:i/>
          <w:sz w:val="18"/>
          <w:szCs w:val="18"/>
        </w:rPr>
      </w:pPr>
      <w:r>
        <w:rPr>
          <w:i/>
          <w:sz w:val="18"/>
          <w:szCs w:val="18"/>
        </w:rPr>
        <w:t xml:space="preserve">Note: </w:t>
      </w:r>
      <w:r w:rsidRPr="00EA5ABF">
        <w:rPr>
          <w:i/>
          <w:sz w:val="18"/>
          <w:szCs w:val="18"/>
        </w:rPr>
        <w:t xml:space="preserve">A bogus drug </w:t>
      </w:r>
      <w:proofErr w:type="spellStart"/>
      <w:r>
        <w:rPr>
          <w:i/>
          <w:sz w:val="18"/>
          <w:szCs w:val="18"/>
        </w:rPr>
        <w:t>S</w:t>
      </w:r>
      <w:r w:rsidRPr="00EA5ABF">
        <w:rPr>
          <w:i/>
          <w:sz w:val="18"/>
          <w:szCs w:val="18"/>
        </w:rPr>
        <w:t>emeron</w:t>
      </w:r>
      <w:proofErr w:type="spellEnd"/>
      <w:r w:rsidRPr="00EA5ABF">
        <w:rPr>
          <w:i/>
          <w:sz w:val="18"/>
          <w:szCs w:val="18"/>
        </w:rPr>
        <w:t xml:space="preserve"> was included in the list of drugs as a check on responses. Fewer than 0.5% of participants reported using </w:t>
      </w:r>
      <w:proofErr w:type="spellStart"/>
      <w:r w:rsidRPr="00EA5ABF">
        <w:rPr>
          <w:i/>
          <w:sz w:val="18"/>
          <w:szCs w:val="18"/>
        </w:rPr>
        <w:t>semeron</w:t>
      </w:r>
      <w:proofErr w:type="spellEnd"/>
      <w:r w:rsidRPr="00EA5ABF">
        <w:rPr>
          <w:i/>
          <w:sz w:val="18"/>
          <w:szCs w:val="18"/>
        </w:rPr>
        <w:t xml:space="preserve">, and all those who reported use of </w:t>
      </w:r>
      <w:proofErr w:type="spellStart"/>
      <w:r w:rsidRPr="00EA5ABF">
        <w:rPr>
          <w:i/>
          <w:sz w:val="18"/>
          <w:szCs w:val="18"/>
        </w:rPr>
        <w:t>semeron</w:t>
      </w:r>
      <w:proofErr w:type="spellEnd"/>
      <w:r w:rsidRPr="00EA5ABF">
        <w:rPr>
          <w:i/>
          <w:sz w:val="18"/>
          <w:szCs w:val="18"/>
        </w:rPr>
        <w:t xml:space="preserve"> also reported the use of other drugs.</w:t>
      </w:r>
    </w:p>
    <w:p w:rsidR="00C73B66" w:rsidRDefault="00C73B66" w:rsidP="00C73B66">
      <w:pPr>
        <w:pStyle w:val="Heading2"/>
        <w:keepNext/>
        <w:spacing w:line="276" w:lineRule="auto"/>
        <w:ind w:left="902" w:hanging="902"/>
      </w:pPr>
      <w:bookmarkStart w:id="31" w:name="_Toc494182039"/>
      <w:r>
        <w:t>Social wellbeing</w:t>
      </w:r>
      <w:bookmarkEnd w:id="31"/>
    </w:p>
    <w:p w:rsidR="00C73B66" w:rsidRDefault="00C73B66" w:rsidP="00C73B66">
      <w:r>
        <w:t>This section covers sub-areas of wellbeing related to the social domain, namely family, educational and learning environment, and peer relationships and friendships. Several of these measures are associated with indicators of mental and emotional wellbeing.</w:t>
      </w:r>
    </w:p>
    <w:p w:rsidR="00C73B66" w:rsidRDefault="00C73B66" w:rsidP="00C73B66">
      <w:pPr>
        <w:pStyle w:val="Heading3"/>
        <w:spacing w:line="276" w:lineRule="auto"/>
      </w:pPr>
      <w:bookmarkStart w:id="32" w:name="_Toc494182040"/>
      <w:r>
        <w:t>Family</w:t>
      </w:r>
      <w:bookmarkEnd w:id="32"/>
    </w:p>
    <w:p w:rsidR="00C73B66" w:rsidRDefault="00C73B66" w:rsidP="00C73B66">
      <w:pPr>
        <w:pStyle w:val="Heading3"/>
        <w:numPr>
          <w:ilvl w:val="3"/>
          <w:numId w:val="13"/>
        </w:numPr>
        <w:spacing w:line="276" w:lineRule="auto"/>
      </w:pPr>
      <w:bookmarkStart w:id="33" w:name="_Toc494182041"/>
      <w:r>
        <w:t>Time spent with family (Nurtured, Included)</w:t>
      </w:r>
      <w:bookmarkEnd w:id="33"/>
    </w:p>
    <w:p w:rsidR="00C73B66" w:rsidRDefault="00C73B66" w:rsidP="00C73B66">
      <w:pPr>
        <w:pStyle w:val="BodyCopy"/>
        <w:spacing w:before="240" w:line="276" w:lineRule="auto"/>
      </w:pPr>
      <w:r>
        <w:t>Secondary pupils were asked how much they agreed or disagreed with a number o</w:t>
      </w:r>
      <w:r w:rsidR="00DA120D">
        <w:t>f statements about family life.</w:t>
      </w:r>
    </w:p>
    <w:p w:rsidR="00DA120D" w:rsidRDefault="00DA120D">
      <w:pPr>
        <w:spacing w:after="0" w:line="240" w:lineRule="auto"/>
        <w:rPr>
          <w:rFonts w:ascii="Arial" w:eastAsia="Times New Roman" w:hAnsi="Arial" w:cs="Times New Roman"/>
          <w:szCs w:val="20"/>
          <w:lang w:eastAsia="en-GB"/>
        </w:rPr>
      </w:pPr>
      <w:r>
        <w:br w:type="page"/>
      </w:r>
    </w:p>
    <w:p w:rsidR="00DA120D" w:rsidRDefault="00DA120D" w:rsidP="00DA120D">
      <w:pPr>
        <w:pStyle w:val="BodyCopy"/>
      </w:pPr>
    </w:p>
    <w:tbl>
      <w:tblPr>
        <w:tblW w:w="7825" w:type="dxa"/>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014"/>
        <w:gridCol w:w="815"/>
        <w:gridCol w:w="642"/>
        <w:gridCol w:w="777"/>
        <w:gridCol w:w="851"/>
        <w:gridCol w:w="849"/>
        <w:gridCol w:w="885"/>
        <w:gridCol w:w="992"/>
      </w:tblGrid>
      <w:tr w:rsidR="00C73B66" w:rsidRPr="00D856AA" w:rsidTr="00336269">
        <w:trPr>
          <w:trHeight w:val="340"/>
        </w:trPr>
        <w:tc>
          <w:tcPr>
            <w:tcW w:w="7825" w:type="dxa"/>
            <w:gridSpan w:val="8"/>
            <w:tcBorders>
              <w:top w:val="single" w:sz="12" w:space="0" w:color="auto"/>
              <w:left w:val="nil"/>
              <w:bottom w:val="nil"/>
              <w:right w:val="nil"/>
            </w:tcBorders>
            <w:hideMark/>
          </w:tcPr>
          <w:p w:rsidR="00C73B66" w:rsidRPr="00D856AA" w:rsidRDefault="00C73B66" w:rsidP="00DA120D">
            <w:pPr>
              <w:pStyle w:val="BSATableHeading"/>
              <w:spacing w:before="0" w:after="0"/>
              <w:rPr>
                <w:rFonts w:asciiTheme="minorHAnsi" w:hAnsiTheme="minorHAnsi" w:cstheme="minorHAnsi"/>
                <w:sz w:val="20"/>
              </w:rPr>
            </w:pPr>
            <w:r>
              <w:rPr>
                <w:rFonts w:asciiTheme="minorHAnsi" w:hAnsiTheme="minorHAnsi" w:cstheme="minorHAnsi"/>
                <w:sz w:val="20"/>
              </w:rPr>
              <w:t>Table 2.3.1</w:t>
            </w:r>
            <w:r w:rsidRPr="00D856AA">
              <w:rPr>
                <w:rFonts w:asciiTheme="minorHAnsi" w:hAnsiTheme="minorHAnsi" w:cstheme="minorHAnsi"/>
                <w:sz w:val="20"/>
              </w:rPr>
              <w:t>a Time spent with family</w:t>
            </w:r>
          </w:p>
        </w:tc>
      </w:tr>
      <w:tr w:rsidR="00D42309" w:rsidRPr="00D856AA" w:rsidTr="00076EDD">
        <w:trPr>
          <w:trHeight w:val="737"/>
        </w:trPr>
        <w:tc>
          <w:tcPr>
            <w:tcW w:w="2014" w:type="dxa"/>
            <w:tcBorders>
              <w:top w:val="nil"/>
              <w:left w:val="nil"/>
              <w:bottom w:val="single" w:sz="12" w:space="0" w:color="auto"/>
              <w:right w:val="nil"/>
            </w:tcBorders>
            <w:vAlign w:val="center"/>
            <w:hideMark/>
          </w:tcPr>
          <w:p w:rsidR="00D42309" w:rsidRPr="00D856AA" w:rsidRDefault="00D42309" w:rsidP="00076EDD">
            <w:pPr>
              <w:pStyle w:val="BSATableText"/>
              <w:spacing w:after="0" w:line="240" w:lineRule="auto"/>
              <w:ind w:left="0" w:firstLine="0"/>
              <w:jc w:val="left"/>
              <w:rPr>
                <w:rFonts w:asciiTheme="minorHAnsi" w:hAnsiTheme="minorHAnsi" w:cstheme="minorHAnsi"/>
                <w:sz w:val="20"/>
              </w:rPr>
            </w:pPr>
          </w:p>
        </w:tc>
        <w:tc>
          <w:tcPr>
            <w:tcW w:w="815" w:type="dxa"/>
            <w:tcBorders>
              <w:top w:val="nil"/>
              <w:left w:val="nil"/>
              <w:bottom w:val="single" w:sz="12" w:space="0" w:color="auto"/>
              <w:right w:val="nil"/>
            </w:tcBorders>
            <w:vAlign w:val="center"/>
            <w:hideMark/>
          </w:tcPr>
          <w:p w:rsidR="00D42309" w:rsidRPr="00D856AA" w:rsidRDefault="00D42309" w:rsidP="00DA120D">
            <w:pPr>
              <w:pStyle w:val="BSATableNumber"/>
              <w:jc w:val="center"/>
              <w:rPr>
                <w:rFonts w:asciiTheme="minorHAnsi" w:hAnsiTheme="minorHAnsi" w:cstheme="minorHAnsi"/>
                <w:sz w:val="20"/>
              </w:rPr>
            </w:pPr>
            <w:r w:rsidRPr="00D856AA">
              <w:rPr>
                <w:rFonts w:asciiTheme="minorHAnsi" w:hAnsiTheme="minorHAnsi" w:cstheme="minorHAnsi"/>
                <w:sz w:val="20"/>
              </w:rPr>
              <w:t>Strongly agree</w:t>
            </w:r>
          </w:p>
        </w:tc>
        <w:tc>
          <w:tcPr>
            <w:tcW w:w="642" w:type="dxa"/>
            <w:tcBorders>
              <w:top w:val="nil"/>
              <w:left w:val="nil"/>
              <w:bottom w:val="single" w:sz="12" w:space="0" w:color="auto"/>
              <w:right w:val="nil"/>
            </w:tcBorders>
            <w:vAlign w:val="center"/>
            <w:hideMark/>
          </w:tcPr>
          <w:p w:rsidR="00D42309" w:rsidRPr="00D856AA" w:rsidRDefault="00D42309" w:rsidP="00DA120D">
            <w:pPr>
              <w:pStyle w:val="BSATableNumber"/>
              <w:jc w:val="center"/>
              <w:rPr>
                <w:rFonts w:asciiTheme="minorHAnsi" w:hAnsiTheme="minorHAnsi" w:cstheme="minorHAnsi"/>
                <w:sz w:val="20"/>
              </w:rPr>
            </w:pPr>
            <w:r w:rsidRPr="00D856AA">
              <w:rPr>
                <w:rFonts w:asciiTheme="minorHAnsi" w:hAnsiTheme="minorHAnsi" w:cstheme="minorHAnsi"/>
                <w:sz w:val="20"/>
              </w:rPr>
              <w:t>Tend to agree</w:t>
            </w:r>
          </w:p>
        </w:tc>
        <w:tc>
          <w:tcPr>
            <w:tcW w:w="777" w:type="dxa"/>
            <w:tcBorders>
              <w:top w:val="nil"/>
              <w:left w:val="nil"/>
              <w:bottom w:val="single" w:sz="12" w:space="0" w:color="auto"/>
              <w:right w:val="nil"/>
            </w:tcBorders>
            <w:vAlign w:val="center"/>
            <w:hideMark/>
          </w:tcPr>
          <w:p w:rsidR="00D42309" w:rsidRPr="00D856AA" w:rsidRDefault="00D42309" w:rsidP="00DA120D">
            <w:pPr>
              <w:pStyle w:val="BSATableNumber"/>
              <w:jc w:val="center"/>
              <w:rPr>
                <w:rFonts w:asciiTheme="minorHAnsi" w:hAnsiTheme="minorHAnsi" w:cstheme="minorHAnsi"/>
                <w:sz w:val="20"/>
              </w:rPr>
            </w:pPr>
            <w:r w:rsidRPr="00D856AA">
              <w:rPr>
                <w:rFonts w:asciiTheme="minorHAnsi" w:hAnsiTheme="minorHAnsi" w:cstheme="minorHAnsi"/>
                <w:sz w:val="20"/>
              </w:rPr>
              <w:t>Neither</w:t>
            </w:r>
          </w:p>
        </w:tc>
        <w:tc>
          <w:tcPr>
            <w:tcW w:w="851" w:type="dxa"/>
            <w:tcBorders>
              <w:top w:val="nil"/>
              <w:left w:val="nil"/>
              <w:bottom w:val="single" w:sz="12" w:space="0" w:color="auto"/>
              <w:right w:val="nil"/>
            </w:tcBorders>
            <w:vAlign w:val="center"/>
            <w:hideMark/>
          </w:tcPr>
          <w:p w:rsidR="00D42309" w:rsidRDefault="00D42309" w:rsidP="00DA120D">
            <w:pPr>
              <w:pStyle w:val="BSATableNumber"/>
              <w:jc w:val="center"/>
              <w:rPr>
                <w:rFonts w:asciiTheme="minorHAnsi" w:hAnsiTheme="minorHAnsi" w:cstheme="minorHAnsi"/>
                <w:sz w:val="20"/>
              </w:rPr>
            </w:pPr>
            <w:r w:rsidRPr="00D856AA">
              <w:rPr>
                <w:rFonts w:asciiTheme="minorHAnsi" w:hAnsiTheme="minorHAnsi" w:cstheme="minorHAnsi"/>
                <w:sz w:val="20"/>
              </w:rPr>
              <w:t xml:space="preserve">Tend </w:t>
            </w:r>
          </w:p>
          <w:p w:rsidR="00D42309" w:rsidRPr="00D856AA" w:rsidRDefault="00D42309" w:rsidP="00DA120D">
            <w:pPr>
              <w:pStyle w:val="BSATableNumber"/>
              <w:jc w:val="center"/>
              <w:rPr>
                <w:rFonts w:asciiTheme="minorHAnsi" w:hAnsiTheme="minorHAnsi" w:cstheme="minorHAnsi"/>
                <w:sz w:val="20"/>
              </w:rPr>
            </w:pPr>
            <w:r w:rsidRPr="00D856AA">
              <w:rPr>
                <w:rFonts w:asciiTheme="minorHAnsi" w:hAnsiTheme="minorHAnsi" w:cstheme="minorHAnsi"/>
                <w:sz w:val="20"/>
              </w:rPr>
              <w:t>to disagree</w:t>
            </w:r>
          </w:p>
        </w:tc>
        <w:tc>
          <w:tcPr>
            <w:tcW w:w="849" w:type="dxa"/>
            <w:tcBorders>
              <w:top w:val="nil"/>
              <w:left w:val="nil"/>
              <w:bottom w:val="single" w:sz="12" w:space="0" w:color="auto"/>
              <w:right w:val="nil"/>
            </w:tcBorders>
            <w:vAlign w:val="center"/>
          </w:tcPr>
          <w:p w:rsidR="00D42309" w:rsidRPr="00D856AA" w:rsidRDefault="00D42309" w:rsidP="00DA120D">
            <w:pPr>
              <w:pStyle w:val="BSATableNumber"/>
              <w:jc w:val="center"/>
              <w:rPr>
                <w:rFonts w:asciiTheme="minorHAnsi" w:hAnsiTheme="minorHAnsi" w:cstheme="minorHAnsi"/>
                <w:sz w:val="20"/>
              </w:rPr>
            </w:pPr>
            <w:r w:rsidRPr="00D856AA">
              <w:rPr>
                <w:rFonts w:asciiTheme="minorHAnsi" w:hAnsiTheme="minorHAnsi" w:cstheme="minorHAnsi"/>
                <w:color w:val="000000"/>
                <w:sz w:val="20"/>
              </w:rPr>
              <w:t>Strongly disagree</w:t>
            </w:r>
          </w:p>
        </w:tc>
        <w:tc>
          <w:tcPr>
            <w:tcW w:w="885" w:type="dxa"/>
            <w:tcBorders>
              <w:top w:val="nil"/>
              <w:left w:val="nil"/>
              <w:bottom w:val="single" w:sz="12" w:space="0" w:color="auto"/>
              <w:right w:val="nil"/>
            </w:tcBorders>
            <w:vAlign w:val="center"/>
          </w:tcPr>
          <w:p w:rsidR="00D42309" w:rsidRPr="00336269" w:rsidRDefault="00D42309" w:rsidP="00DA120D">
            <w:pPr>
              <w:pStyle w:val="BSATableNumber"/>
              <w:jc w:val="center"/>
              <w:rPr>
                <w:rFonts w:asciiTheme="minorHAnsi" w:hAnsiTheme="minorHAnsi" w:cstheme="minorHAnsi"/>
                <w:i/>
                <w:sz w:val="16"/>
                <w:szCs w:val="16"/>
              </w:rPr>
            </w:pPr>
            <w:r w:rsidRPr="00336269">
              <w:rPr>
                <w:rFonts w:asciiTheme="minorHAnsi" w:hAnsiTheme="minorHAnsi" w:cstheme="minorHAnsi"/>
                <w:i/>
                <w:sz w:val="16"/>
                <w:szCs w:val="16"/>
              </w:rPr>
              <w:t>Weighted bases</w:t>
            </w:r>
          </w:p>
        </w:tc>
        <w:tc>
          <w:tcPr>
            <w:tcW w:w="992" w:type="dxa"/>
            <w:tcBorders>
              <w:top w:val="nil"/>
              <w:left w:val="nil"/>
              <w:bottom w:val="single" w:sz="12" w:space="0" w:color="auto"/>
              <w:right w:val="nil"/>
            </w:tcBorders>
            <w:vAlign w:val="center"/>
          </w:tcPr>
          <w:p w:rsidR="00D42309" w:rsidRPr="00336269" w:rsidRDefault="00D42309" w:rsidP="00DA120D">
            <w:pPr>
              <w:pStyle w:val="BSATableNumber"/>
              <w:jc w:val="center"/>
              <w:rPr>
                <w:rFonts w:asciiTheme="minorHAnsi" w:hAnsiTheme="minorHAnsi" w:cstheme="minorHAnsi"/>
                <w:i/>
                <w:sz w:val="16"/>
                <w:szCs w:val="16"/>
              </w:rPr>
            </w:pPr>
            <w:r w:rsidRPr="00336269">
              <w:rPr>
                <w:rFonts w:asciiTheme="minorHAnsi" w:hAnsiTheme="minorHAnsi" w:cstheme="minorHAnsi"/>
                <w:i/>
                <w:sz w:val="16"/>
                <w:szCs w:val="16"/>
              </w:rPr>
              <w:t>Unweighted bases</w:t>
            </w:r>
          </w:p>
        </w:tc>
      </w:tr>
      <w:tr w:rsidR="00DA120D" w:rsidRPr="00DA120D" w:rsidTr="00336269">
        <w:trPr>
          <w:trHeight w:val="283"/>
        </w:trPr>
        <w:tc>
          <w:tcPr>
            <w:tcW w:w="3471" w:type="dxa"/>
            <w:gridSpan w:val="3"/>
            <w:tcBorders>
              <w:top w:val="single" w:sz="12" w:space="0" w:color="auto"/>
              <w:left w:val="nil"/>
              <w:bottom w:val="single" w:sz="4" w:space="0" w:color="auto"/>
              <w:right w:val="nil"/>
            </w:tcBorders>
            <w:vAlign w:val="center"/>
          </w:tcPr>
          <w:p w:rsidR="00DA120D" w:rsidRPr="00DA120D" w:rsidRDefault="00DA120D" w:rsidP="00DA120D">
            <w:pPr>
              <w:pStyle w:val="BSATableNumber"/>
              <w:jc w:val="left"/>
              <w:rPr>
                <w:rFonts w:asciiTheme="minorHAnsi" w:hAnsiTheme="minorHAnsi" w:cstheme="minorHAnsi"/>
                <w:i/>
                <w:sz w:val="20"/>
              </w:rPr>
            </w:pPr>
            <w:r w:rsidRPr="00DA120D">
              <w:rPr>
                <w:rFonts w:asciiTheme="minorHAnsi" w:hAnsiTheme="minorHAnsi" w:cstheme="minorHAnsi"/>
                <w:i/>
                <w:sz w:val="20"/>
              </w:rPr>
              <w:t>Row Percentages</w:t>
            </w:r>
          </w:p>
        </w:tc>
        <w:tc>
          <w:tcPr>
            <w:tcW w:w="777" w:type="dxa"/>
            <w:tcBorders>
              <w:top w:val="single" w:sz="12" w:space="0" w:color="auto"/>
              <w:left w:val="nil"/>
              <w:bottom w:val="single" w:sz="4" w:space="0" w:color="auto"/>
              <w:right w:val="nil"/>
            </w:tcBorders>
            <w:vAlign w:val="center"/>
          </w:tcPr>
          <w:p w:rsidR="00DA120D" w:rsidRPr="00DA120D" w:rsidRDefault="00DA120D" w:rsidP="00DA120D">
            <w:pPr>
              <w:pStyle w:val="BSATableNumber"/>
              <w:jc w:val="center"/>
              <w:rPr>
                <w:rFonts w:asciiTheme="minorHAnsi" w:hAnsiTheme="minorHAnsi" w:cstheme="minorHAnsi"/>
                <w:i/>
                <w:sz w:val="20"/>
              </w:rPr>
            </w:pPr>
          </w:p>
        </w:tc>
        <w:tc>
          <w:tcPr>
            <w:tcW w:w="851" w:type="dxa"/>
            <w:tcBorders>
              <w:top w:val="single" w:sz="12" w:space="0" w:color="auto"/>
              <w:left w:val="nil"/>
              <w:bottom w:val="single" w:sz="4" w:space="0" w:color="auto"/>
              <w:right w:val="nil"/>
            </w:tcBorders>
            <w:vAlign w:val="center"/>
          </w:tcPr>
          <w:p w:rsidR="00DA120D" w:rsidRPr="00DA120D" w:rsidRDefault="00DA120D" w:rsidP="00DA120D">
            <w:pPr>
              <w:pStyle w:val="BSATableNumber"/>
              <w:jc w:val="center"/>
              <w:rPr>
                <w:rFonts w:asciiTheme="minorHAnsi" w:hAnsiTheme="minorHAnsi" w:cstheme="minorHAnsi"/>
                <w:i/>
                <w:sz w:val="20"/>
              </w:rPr>
            </w:pPr>
          </w:p>
        </w:tc>
        <w:tc>
          <w:tcPr>
            <w:tcW w:w="849" w:type="dxa"/>
            <w:tcBorders>
              <w:top w:val="single" w:sz="12" w:space="0" w:color="auto"/>
              <w:left w:val="nil"/>
              <w:bottom w:val="single" w:sz="4" w:space="0" w:color="auto"/>
              <w:right w:val="nil"/>
            </w:tcBorders>
            <w:vAlign w:val="center"/>
          </w:tcPr>
          <w:p w:rsidR="00DA120D" w:rsidRPr="00DA120D" w:rsidRDefault="00DA120D" w:rsidP="00DA120D">
            <w:pPr>
              <w:pStyle w:val="BSATableNumber"/>
              <w:jc w:val="center"/>
              <w:rPr>
                <w:rFonts w:asciiTheme="minorHAnsi" w:hAnsiTheme="minorHAnsi" w:cstheme="minorHAnsi"/>
                <w:i/>
                <w:color w:val="000000"/>
                <w:sz w:val="20"/>
              </w:rPr>
            </w:pPr>
          </w:p>
        </w:tc>
        <w:tc>
          <w:tcPr>
            <w:tcW w:w="885" w:type="dxa"/>
            <w:tcBorders>
              <w:top w:val="single" w:sz="12" w:space="0" w:color="auto"/>
              <w:left w:val="nil"/>
              <w:bottom w:val="single" w:sz="4" w:space="0" w:color="auto"/>
              <w:right w:val="nil"/>
            </w:tcBorders>
            <w:vAlign w:val="center"/>
          </w:tcPr>
          <w:p w:rsidR="00DA120D" w:rsidRPr="00DA120D" w:rsidRDefault="00DA120D" w:rsidP="00DA120D">
            <w:pPr>
              <w:pStyle w:val="BSATableNumber"/>
              <w:jc w:val="center"/>
              <w:rPr>
                <w:rFonts w:asciiTheme="minorHAnsi" w:hAnsiTheme="minorHAnsi" w:cstheme="minorHAnsi"/>
                <w:i/>
                <w:szCs w:val="18"/>
              </w:rPr>
            </w:pPr>
          </w:p>
        </w:tc>
        <w:tc>
          <w:tcPr>
            <w:tcW w:w="992" w:type="dxa"/>
            <w:tcBorders>
              <w:top w:val="single" w:sz="12" w:space="0" w:color="auto"/>
              <w:left w:val="nil"/>
              <w:bottom w:val="single" w:sz="4" w:space="0" w:color="auto"/>
              <w:right w:val="nil"/>
            </w:tcBorders>
            <w:vAlign w:val="center"/>
          </w:tcPr>
          <w:p w:rsidR="00DA120D" w:rsidRPr="00DA120D" w:rsidRDefault="00DA120D" w:rsidP="00DA120D">
            <w:pPr>
              <w:pStyle w:val="BSATableNumber"/>
              <w:jc w:val="center"/>
              <w:rPr>
                <w:rFonts w:asciiTheme="minorHAnsi" w:hAnsiTheme="minorHAnsi" w:cstheme="minorHAnsi"/>
                <w:i/>
                <w:szCs w:val="18"/>
              </w:rPr>
            </w:pPr>
          </w:p>
        </w:tc>
      </w:tr>
      <w:tr w:rsidR="00DA120D" w:rsidRPr="00D856AA" w:rsidTr="00336269">
        <w:trPr>
          <w:trHeight w:val="283"/>
        </w:trPr>
        <w:tc>
          <w:tcPr>
            <w:tcW w:w="2014" w:type="dxa"/>
            <w:tcBorders>
              <w:top w:val="single" w:sz="4" w:space="0" w:color="auto"/>
              <w:left w:val="nil"/>
              <w:bottom w:val="nil"/>
              <w:right w:val="nil"/>
            </w:tcBorders>
          </w:tcPr>
          <w:p w:rsidR="00DA120D" w:rsidRPr="00D856AA" w:rsidRDefault="00DA120D" w:rsidP="00DA120D">
            <w:pPr>
              <w:keepNext/>
              <w:spacing w:after="0" w:line="240" w:lineRule="auto"/>
              <w:rPr>
                <w:rFonts w:eastAsia="Calibri" w:cstheme="minorHAnsi"/>
                <w:sz w:val="20"/>
                <w:szCs w:val="20"/>
              </w:rPr>
            </w:pPr>
            <w:r w:rsidRPr="00D856AA">
              <w:rPr>
                <w:rFonts w:cstheme="minorHAnsi"/>
                <w:sz w:val="20"/>
                <w:szCs w:val="20"/>
              </w:rPr>
              <w:t>My parents/carers treat me fairly</w:t>
            </w:r>
          </w:p>
        </w:tc>
        <w:tc>
          <w:tcPr>
            <w:tcW w:w="815" w:type="dxa"/>
            <w:tcBorders>
              <w:top w:val="single" w:sz="4" w:space="0" w:color="auto"/>
              <w:left w:val="nil"/>
              <w:bottom w:val="nil"/>
              <w:right w:val="nil"/>
            </w:tcBorders>
            <w:vAlign w:val="center"/>
          </w:tcPr>
          <w:p w:rsidR="00DA120D" w:rsidRPr="00D856AA" w:rsidRDefault="00DA120D" w:rsidP="00DA120D">
            <w:pPr>
              <w:pStyle w:val="BSATableNumber"/>
              <w:rPr>
                <w:rFonts w:asciiTheme="minorHAnsi" w:hAnsiTheme="minorHAnsi" w:cstheme="minorHAnsi"/>
                <w:sz w:val="20"/>
              </w:rPr>
            </w:pPr>
            <w:r>
              <w:rPr>
                <w:rFonts w:cs="Arial"/>
                <w:color w:val="000000"/>
                <w:sz w:val="20"/>
              </w:rPr>
              <w:t>69</w:t>
            </w:r>
          </w:p>
        </w:tc>
        <w:tc>
          <w:tcPr>
            <w:tcW w:w="642" w:type="dxa"/>
            <w:tcBorders>
              <w:top w:val="single" w:sz="4" w:space="0" w:color="auto"/>
              <w:left w:val="nil"/>
              <w:bottom w:val="nil"/>
              <w:right w:val="nil"/>
            </w:tcBorders>
            <w:vAlign w:val="center"/>
          </w:tcPr>
          <w:p w:rsidR="00DA120D" w:rsidRPr="00D856AA" w:rsidRDefault="00DA120D" w:rsidP="00DA120D">
            <w:pPr>
              <w:pStyle w:val="BSATableNumber"/>
              <w:rPr>
                <w:rFonts w:asciiTheme="minorHAnsi" w:hAnsiTheme="minorHAnsi" w:cstheme="minorHAnsi"/>
                <w:sz w:val="20"/>
              </w:rPr>
            </w:pPr>
            <w:r>
              <w:rPr>
                <w:rFonts w:cs="Arial"/>
                <w:color w:val="000000"/>
                <w:sz w:val="20"/>
              </w:rPr>
              <w:t>23</w:t>
            </w:r>
          </w:p>
        </w:tc>
        <w:tc>
          <w:tcPr>
            <w:tcW w:w="777" w:type="dxa"/>
            <w:tcBorders>
              <w:top w:val="single" w:sz="4" w:space="0" w:color="auto"/>
              <w:left w:val="nil"/>
              <w:bottom w:val="nil"/>
              <w:right w:val="nil"/>
            </w:tcBorders>
            <w:vAlign w:val="center"/>
          </w:tcPr>
          <w:p w:rsidR="00DA120D" w:rsidRPr="00D856AA" w:rsidRDefault="00DA120D" w:rsidP="00DA120D">
            <w:pPr>
              <w:pStyle w:val="BSATableNumber"/>
              <w:rPr>
                <w:rFonts w:asciiTheme="minorHAnsi" w:hAnsiTheme="minorHAnsi" w:cstheme="minorHAnsi"/>
                <w:sz w:val="20"/>
              </w:rPr>
            </w:pPr>
            <w:r>
              <w:rPr>
                <w:rFonts w:cs="Arial"/>
                <w:color w:val="000000"/>
                <w:sz w:val="20"/>
              </w:rPr>
              <w:t>5</w:t>
            </w:r>
          </w:p>
        </w:tc>
        <w:tc>
          <w:tcPr>
            <w:tcW w:w="851" w:type="dxa"/>
            <w:tcBorders>
              <w:top w:val="single" w:sz="4" w:space="0" w:color="auto"/>
              <w:left w:val="nil"/>
              <w:bottom w:val="nil"/>
              <w:right w:val="nil"/>
            </w:tcBorders>
            <w:vAlign w:val="center"/>
          </w:tcPr>
          <w:p w:rsidR="00DA120D" w:rsidRPr="00D856AA" w:rsidRDefault="00DA120D" w:rsidP="00DA120D">
            <w:pPr>
              <w:pStyle w:val="BSATableNumber"/>
              <w:rPr>
                <w:rFonts w:asciiTheme="minorHAnsi" w:hAnsiTheme="minorHAnsi" w:cstheme="minorHAnsi"/>
                <w:sz w:val="20"/>
              </w:rPr>
            </w:pPr>
            <w:r>
              <w:rPr>
                <w:rFonts w:cs="Arial"/>
                <w:color w:val="000000"/>
                <w:sz w:val="20"/>
              </w:rPr>
              <w:t>2</w:t>
            </w:r>
          </w:p>
        </w:tc>
        <w:tc>
          <w:tcPr>
            <w:tcW w:w="849" w:type="dxa"/>
            <w:tcBorders>
              <w:top w:val="single" w:sz="4" w:space="0" w:color="auto"/>
              <w:left w:val="nil"/>
              <w:bottom w:val="nil"/>
              <w:right w:val="nil"/>
            </w:tcBorders>
            <w:vAlign w:val="center"/>
          </w:tcPr>
          <w:p w:rsidR="00DA120D" w:rsidRPr="00D856AA" w:rsidRDefault="00DA120D" w:rsidP="00DA120D">
            <w:pPr>
              <w:pStyle w:val="BSATableNumber"/>
              <w:rPr>
                <w:rFonts w:asciiTheme="minorHAnsi" w:hAnsiTheme="minorHAnsi" w:cstheme="minorHAnsi"/>
                <w:sz w:val="20"/>
              </w:rPr>
            </w:pPr>
            <w:r>
              <w:rPr>
                <w:rFonts w:cs="Arial"/>
                <w:color w:val="000000"/>
                <w:sz w:val="20"/>
              </w:rPr>
              <w:t>1</w:t>
            </w:r>
          </w:p>
        </w:tc>
        <w:tc>
          <w:tcPr>
            <w:tcW w:w="885" w:type="dxa"/>
            <w:tcBorders>
              <w:top w:val="single" w:sz="4" w:space="0" w:color="auto"/>
              <w:left w:val="nil"/>
              <w:bottom w:val="nil"/>
              <w:right w:val="nil"/>
            </w:tcBorders>
            <w:vAlign w:val="center"/>
          </w:tcPr>
          <w:p w:rsidR="00DA120D" w:rsidRPr="0090224F" w:rsidRDefault="00DA120D" w:rsidP="00DA120D">
            <w:pPr>
              <w:pStyle w:val="BSATableNumber"/>
              <w:rPr>
                <w:rFonts w:asciiTheme="minorHAnsi" w:hAnsiTheme="minorHAnsi" w:cstheme="minorHAnsi"/>
                <w:i/>
                <w:sz w:val="20"/>
              </w:rPr>
            </w:pPr>
            <w:r w:rsidRPr="0090224F">
              <w:rPr>
                <w:rFonts w:cs="Arial"/>
                <w:i/>
                <w:iCs/>
                <w:color w:val="000000"/>
                <w:sz w:val="20"/>
              </w:rPr>
              <w:t>3851</w:t>
            </w:r>
          </w:p>
        </w:tc>
        <w:tc>
          <w:tcPr>
            <w:tcW w:w="992" w:type="dxa"/>
            <w:tcBorders>
              <w:top w:val="single" w:sz="4" w:space="0" w:color="auto"/>
              <w:left w:val="nil"/>
              <w:bottom w:val="nil"/>
              <w:right w:val="nil"/>
            </w:tcBorders>
            <w:vAlign w:val="center"/>
          </w:tcPr>
          <w:p w:rsidR="00DA120D" w:rsidRPr="0090224F" w:rsidRDefault="00DA120D" w:rsidP="00DA120D">
            <w:pPr>
              <w:pStyle w:val="BSATableNumber"/>
              <w:rPr>
                <w:rFonts w:asciiTheme="minorHAnsi" w:hAnsiTheme="minorHAnsi" w:cstheme="minorHAnsi"/>
                <w:i/>
                <w:sz w:val="20"/>
              </w:rPr>
            </w:pPr>
            <w:r w:rsidRPr="0090224F">
              <w:rPr>
                <w:rFonts w:cs="Arial"/>
                <w:i/>
                <w:iCs/>
                <w:color w:val="000000"/>
                <w:sz w:val="20"/>
              </w:rPr>
              <w:t>3851</w:t>
            </w:r>
          </w:p>
        </w:tc>
      </w:tr>
      <w:tr w:rsidR="00DA120D" w:rsidRPr="00D856AA" w:rsidTr="00336269">
        <w:trPr>
          <w:trHeight w:val="283"/>
        </w:trPr>
        <w:tc>
          <w:tcPr>
            <w:tcW w:w="2014" w:type="dxa"/>
            <w:tcBorders>
              <w:top w:val="nil"/>
              <w:left w:val="nil"/>
              <w:bottom w:val="nil"/>
              <w:right w:val="nil"/>
            </w:tcBorders>
          </w:tcPr>
          <w:p w:rsidR="00DA120D" w:rsidRPr="00D856AA" w:rsidRDefault="00DA120D" w:rsidP="00DA120D">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I enjoy spending time with my family</w:t>
            </w:r>
          </w:p>
        </w:tc>
        <w:tc>
          <w:tcPr>
            <w:tcW w:w="815"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58</w:t>
            </w:r>
          </w:p>
        </w:tc>
        <w:tc>
          <w:tcPr>
            <w:tcW w:w="642"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28</w:t>
            </w:r>
          </w:p>
        </w:tc>
        <w:tc>
          <w:tcPr>
            <w:tcW w:w="777"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8</w:t>
            </w:r>
          </w:p>
        </w:tc>
        <w:tc>
          <w:tcPr>
            <w:tcW w:w="851"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4</w:t>
            </w:r>
          </w:p>
        </w:tc>
        <w:tc>
          <w:tcPr>
            <w:tcW w:w="849"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2</w:t>
            </w:r>
          </w:p>
        </w:tc>
        <w:tc>
          <w:tcPr>
            <w:tcW w:w="885"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3813</w:t>
            </w:r>
          </w:p>
        </w:tc>
        <w:tc>
          <w:tcPr>
            <w:tcW w:w="992"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3813</w:t>
            </w:r>
          </w:p>
        </w:tc>
      </w:tr>
      <w:tr w:rsidR="00DA120D" w:rsidRPr="00D856AA" w:rsidTr="00336269">
        <w:trPr>
          <w:trHeight w:val="283"/>
        </w:trPr>
        <w:tc>
          <w:tcPr>
            <w:tcW w:w="2014" w:type="dxa"/>
            <w:tcBorders>
              <w:top w:val="nil"/>
              <w:left w:val="nil"/>
              <w:bottom w:val="nil"/>
              <w:right w:val="nil"/>
            </w:tcBorders>
          </w:tcPr>
          <w:p w:rsidR="00DA120D" w:rsidRPr="00D856AA" w:rsidRDefault="00DA120D" w:rsidP="00DA120D">
            <w:pPr>
              <w:keepNext/>
              <w:spacing w:after="0" w:line="240" w:lineRule="auto"/>
              <w:rPr>
                <w:rFonts w:eastAsia="Calibri" w:cstheme="minorHAnsi"/>
                <w:sz w:val="20"/>
                <w:szCs w:val="20"/>
              </w:rPr>
            </w:pPr>
            <w:r w:rsidRPr="00D856AA">
              <w:rPr>
                <w:rFonts w:cstheme="minorHAnsi"/>
                <w:sz w:val="20"/>
                <w:szCs w:val="20"/>
              </w:rPr>
              <w:t>Members of my family shout at each other a lot</w:t>
            </w:r>
          </w:p>
        </w:tc>
        <w:tc>
          <w:tcPr>
            <w:tcW w:w="815"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8</w:t>
            </w:r>
          </w:p>
        </w:tc>
        <w:tc>
          <w:tcPr>
            <w:tcW w:w="642"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13</w:t>
            </w:r>
          </w:p>
        </w:tc>
        <w:tc>
          <w:tcPr>
            <w:tcW w:w="777"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15</w:t>
            </w:r>
          </w:p>
        </w:tc>
        <w:tc>
          <w:tcPr>
            <w:tcW w:w="851"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20</w:t>
            </w:r>
          </w:p>
        </w:tc>
        <w:tc>
          <w:tcPr>
            <w:tcW w:w="849"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44</w:t>
            </w:r>
          </w:p>
        </w:tc>
        <w:tc>
          <w:tcPr>
            <w:tcW w:w="885"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3800</w:t>
            </w:r>
          </w:p>
        </w:tc>
        <w:tc>
          <w:tcPr>
            <w:tcW w:w="992"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3797</w:t>
            </w:r>
          </w:p>
        </w:tc>
      </w:tr>
      <w:tr w:rsidR="00DA120D" w:rsidRPr="00D856AA" w:rsidTr="00336269">
        <w:trPr>
          <w:trHeight w:val="283"/>
        </w:trPr>
        <w:tc>
          <w:tcPr>
            <w:tcW w:w="2014" w:type="dxa"/>
            <w:tcBorders>
              <w:top w:val="nil"/>
              <w:left w:val="nil"/>
              <w:bottom w:val="nil"/>
              <w:right w:val="nil"/>
            </w:tcBorders>
          </w:tcPr>
          <w:p w:rsidR="00DA120D" w:rsidRPr="00D856AA" w:rsidRDefault="00DA120D" w:rsidP="00DA120D">
            <w:pPr>
              <w:keepNext/>
              <w:spacing w:after="0" w:line="240" w:lineRule="auto"/>
              <w:rPr>
                <w:rFonts w:eastAsia="Calibri" w:cstheme="minorHAnsi"/>
                <w:color w:val="000000"/>
                <w:sz w:val="20"/>
                <w:szCs w:val="20"/>
              </w:rPr>
            </w:pPr>
            <w:r w:rsidRPr="00D856AA">
              <w:rPr>
                <w:rFonts w:cstheme="minorHAnsi"/>
                <w:sz w:val="20"/>
                <w:szCs w:val="20"/>
              </w:rPr>
              <w:t>I get to decide on how I spend most of my spare time</w:t>
            </w:r>
          </w:p>
        </w:tc>
        <w:tc>
          <w:tcPr>
            <w:tcW w:w="815"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56</w:t>
            </w:r>
          </w:p>
        </w:tc>
        <w:tc>
          <w:tcPr>
            <w:tcW w:w="642"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31</w:t>
            </w:r>
          </w:p>
        </w:tc>
        <w:tc>
          <w:tcPr>
            <w:tcW w:w="777"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7</w:t>
            </w:r>
          </w:p>
        </w:tc>
        <w:tc>
          <w:tcPr>
            <w:tcW w:w="851"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3</w:t>
            </w:r>
          </w:p>
        </w:tc>
        <w:tc>
          <w:tcPr>
            <w:tcW w:w="849" w:type="dxa"/>
            <w:tcBorders>
              <w:top w:val="nil"/>
              <w:left w:val="nil"/>
              <w:bottom w:val="nil"/>
              <w:right w:val="nil"/>
            </w:tcBorders>
            <w:vAlign w:val="center"/>
          </w:tcPr>
          <w:p w:rsidR="00DA120D" w:rsidRDefault="00DA120D" w:rsidP="00DA120D">
            <w:pPr>
              <w:pStyle w:val="BSATableNumber"/>
              <w:rPr>
                <w:rFonts w:cs="Arial"/>
                <w:color w:val="000000"/>
                <w:sz w:val="20"/>
              </w:rPr>
            </w:pPr>
            <w:r>
              <w:rPr>
                <w:rFonts w:cs="Arial"/>
                <w:color w:val="000000"/>
                <w:sz w:val="20"/>
              </w:rPr>
              <w:t>2</w:t>
            </w:r>
          </w:p>
        </w:tc>
        <w:tc>
          <w:tcPr>
            <w:tcW w:w="885"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3944</w:t>
            </w:r>
          </w:p>
        </w:tc>
        <w:tc>
          <w:tcPr>
            <w:tcW w:w="992" w:type="dxa"/>
            <w:tcBorders>
              <w:top w:val="nil"/>
              <w:left w:val="nil"/>
              <w:bottom w:val="nil"/>
              <w:right w:val="nil"/>
            </w:tcBorders>
            <w:vAlign w:val="center"/>
          </w:tcPr>
          <w:p w:rsidR="00DA120D" w:rsidRPr="0090224F" w:rsidRDefault="00DA120D" w:rsidP="00DA120D">
            <w:pPr>
              <w:pStyle w:val="BSATableNumber"/>
              <w:rPr>
                <w:rFonts w:cs="Arial"/>
                <w:i/>
                <w:color w:val="000000"/>
                <w:sz w:val="20"/>
              </w:rPr>
            </w:pPr>
            <w:r w:rsidRPr="0090224F">
              <w:rPr>
                <w:rFonts w:cs="Arial"/>
                <w:i/>
                <w:color w:val="000000"/>
                <w:sz w:val="20"/>
              </w:rPr>
              <w:t>3942</w:t>
            </w:r>
          </w:p>
        </w:tc>
      </w:tr>
      <w:tr w:rsidR="00DA120D" w:rsidRPr="00D856AA" w:rsidTr="00336269">
        <w:trPr>
          <w:trHeight w:val="283"/>
        </w:trPr>
        <w:tc>
          <w:tcPr>
            <w:tcW w:w="2014" w:type="dxa"/>
            <w:tcBorders>
              <w:top w:val="nil"/>
              <w:left w:val="nil"/>
              <w:bottom w:val="single" w:sz="12" w:space="0" w:color="auto"/>
              <w:right w:val="nil"/>
            </w:tcBorders>
            <w:vAlign w:val="center"/>
          </w:tcPr>
          <w:p w:rsidR="00DA120D" w:rsidRPr="00D856AA" w:rsidRDefault="00DA120D" w:rsidP="00DA120D">
            <w:pPr>
              <w:pStyle w:val="BSATableText"/>
              <w:spacing w:after="0" w:line="240" w:lineRule="auto"/>
              <w:ind w:left="0" w:firstLine="0"/>
              <w:jc w:val="center"/>
              <w:rPr>
                <w:rFonts w:asciiTheme="minorHAnsi" w:hAnsiTheme="minorHAnsi" w:cstheme="minorHAnsi"/>
                <w:sz w:val="20"/>
              </w:rPr>
            </w:pPr>
          </w:p>
        </w:tc>
        <w:tc>
          <w:tcPr>
            <w:tcW w:w="815" w:type="dxa"/>
            <w:tcBorders>
              <w:top w:val="nil"/>
              <w:left w:val="nil"/>
              <w:bottom w:val="single" w:sz="12" w:space="0" w:color="auto"/>
              <w:right w:val="nil"/>
            </w:tcBorders>
            <w:vAlign w:val="center"/>
          </w:tcPr>
          <w:p w:rsidR="00DA120D" w:rsidRPr="00D856AA" w:rsidRDefault="00DA120D" w:rsidP="00DA120D">
            <w:pPr>
              <w:pStyle w:val="BSATableNumber"/>
              <w:jc w:val="center"/>
              <w:rPr>
                <w:rFonts w:asciiTheme="minorHAnsi" w:hAnsiTheme="minorHAnsi" w:cstheme="minorHAnsi"/>
                <w:sz w:val="20"/>
              </w:rPr>
            </w:pPr>
          </w:p>
        </w:tc>
        <w:tc>
          <w:tcPr>
            <w:tcW w:w="642" w:type="dxa"/>
            <w:tcBorders>
              <w:top w:val="nil"/>
              <w:left w:val="nil"/>
              <w:bottom w:val="single" w:sz="12" w:space="0" w:color="auto"/>
              <w:right w:val="nil"/>
            </w:tcBorders>
            <w:vAlign w:val="center"/>
          </w:tcPr>
          <w:p w:rsidR="00DA120D" w:rsidRPr="00D856AA" w:rsidRDefault="00DA120D" w:rsidP="00DA120D">
            <w:pPr>
              <w:pStyle w:val="BSATableNumber"/>
              <w:jc w:val="center"/>
              <w:rPr>
                <w:rFonts w:asciiTheme="minorHAnsi" w:hAnsiTheme="minorHAnsi" w:cstheme="minorHAnsi"/>
                <w:sz w:val="20"/>
              </w:rPr>
            </w:pPr>
          </w:p>
        </w:tc>
        <w:tc>
          <w:tcPr>
            <w:tcW w:w="777" w:type="dxa"/>
            <w:tcBorders>
              <w:top w:val="nil"/>
              <w:left w:val="nil"/>
              <w:bottom w:val="single" w:sz="12" w:space="0" w:color="auto"/>
              <w:right w:val="nil"/>
            </w:tcBorders>
            <w:vAlign w:val="center"/>
          </w:tcPr>
          <w:p w:rsidR="00DA120D" w:rsidRPr="00D856AA" w:rsidRDefault="00DA120D" w:rsidP="00DA120D">
            <w:pPr>
              <w:pStyle w:val="BSATableNumber"/>
              <w:jc w:val="center"/>
              <w:rPr>
                <w:rFonts w:asciiTheme="minorHAnsi" w:hAnsiTheme="minorHAnsi" w:cstheme="minorHAnsi"/>
                <w:sz w:val="20"/>
              </w:rPr>
            </w:pPr>
          </w:p>
        </w:tc>
        <w:tc>
          <w:tcPr>
            <w:tcW w:w="851" w:type="dxa"/>
            <w:tcBorders>
              <w:top w:val="nil"/>
              <w:left w:val="nil"/>
              <w:bottom w:val="single" w:sz="12" w:space="0" w:color="auto"/>
              <w:right w:val="nil"/>
            </w:tcBorders>
            <w:vAlign w:val="center"/>
          </w:tcPr>
          <w:p w:rsidR="00DA120D" w:rsidRPr="00D856AA" w:rsidRDefault="00DA120D" w:rsidP="00DA120D">
            <w:pPr>
              <w:pStyle w:val="BSATableNumber"/>
              <w:jc w:val="center"/>
              <w:rPr>
                <w:rFonts w:asciiTheme="minorHAnsi" w:hAnsiTheme="minorHAnsi" w:cstheme="minorHAnsi"/>
                <w:sz w:val="20"/>
              </w:rPr>
            </w:pPr>
          </w:p>
        </w:tc>
        <w:tc>
          <w:tcPr>
            <w:tcW w:w="849" w:type="dxa"/>
            <w:tcBorders>
              <w:top w:val="nil"/>
              <w:left w:val="nil"/>
              <w:bottom w:val="single" w:sz="12" w:space="0" w:color="auto"/>
              <w:right w:val="nil"/>
            </w:tcBorders>
            <w:vAlign w:val="center"/>
          </w:tcPr>
          <w:p w:rsidR="00DA120D" w:rsidRPr="00D856AA" w:rsidRDefault="00DA120D" w:rsidP="00DA120D">
            <w:pPr>
              <w:pStyle w:val="BSATableNumber"/>
              <w:jc w:val="center"/>
              <w:rPr>
                <w:rFonts w:asciiTheme="minorHAnsi" w:hAnsiTheme="minorHAnsi" w:cstheme="minorHAnsi"/>
                <w:color w:val="000000"/>
                <w:sz w:val="20"/>
              </w:rPr>
            </w:pPr>
          </w:p>
        </w:tc>
        <w:tc>
          <w:tcPr>
            <w:tcW w:w="885" w:type="dxa"/>
            <w:tcBorders>
              <w:top w:val="nil"/>
              <w:left w:val="nil"/>
              <w:bottom w:val="single" w:sz="12" w:space="0" w:color="auto"/>
              <w:right w:val="nil"/>
            </w:tcBorders>
            <w:vAlign w:val="center"/>
          </w:tcPr>
          <w:p w:rsidR="00DA120D" w:rsidRPr="00DA120D" w:rsidRDefault="00DA120D" w:rsidP="00DA120D">
            <w:pPr>
              <w:pStyle w:val="BSATableNumber"/>
              <w:jc w:val="center"/>
              <w:rPr>
                <w:rFonts w:asciiTheme="minorHAnsi" w:hAnsiTheme="minorHAnsi" w:cstheme="minorHAnsi"/>
                <w:i/>
                <w:szCs w:val="18"/>
              </w:rPr>
            </w:pPr>
          </w:p>
        </w:tc>
        <w:tc>
          <w:tcPr>
            <w:tcW w:w="992" w:type="dxa"/>
            <w:tcBorders>
              <w:top w:val="nil"/>
              <w:left w:val="nil"/>
              <w:bottom w:val="single" w:sz="12" w:space="0" w:color="auto"/>
              <w:right w:val="nil"/>
            </w:tcBorders>
            <w:vAlign w:val="center"/>
          </w:tcPr>
          <w:p w:rsidR="00DA120D" w:rsidRPr="00DA120D" w:rsidRDefault="00DA120D" w:rsidP="00DA120D">
            <w:pPr>
              <w:pStyle w:val="BSATableNumber"/>
              <w:jc w:val="center"/>
              <w:rPr>
                <w:rFonts w:asciiTheme="minorHAnsi" w:hAnsiTheme="minorHAnsi" w:cstheme="minorHAnsi"/>
                <w:i/>
                <w:szCs w:val="18"/>
              </w:rPr>
            </w:pPr>
          </w:p>
        </w:tc>
      </w:tr>
    </w:tbl>
    <w:p w:rsidR="00DA120D" w:rsidRPr="00A018E9" w:rsidRDefault="00DA120D" w:rsidP="00DA120D">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BodyCopy"/>
        <w:spacing w:before="240" w:line="276" w:lineRule="auto"/>
      </w:pPr>
      <w:r>
        <w:t>Overall, the responses suggest that family life and relationships are viewed positively by most young people. Nearly all pupils (92%) agreed (either strongly or tend to agree) that their parents or carers treated them fairly and 86% agreed that they enjoyed spending time with their family. Most pupils (88%) also agreed that they get to decide how to spend most of their spare time.</w:t>
      </w:r>
    </w:p>
    <w:p w:rsidR="00C73B66" w:rsidRDefault="00C73B66" w:rsidP="00C73B66">
      <w:pPr>
        <w:pStyle w:val="BodyCopy"/>
        <w:spacing w:before="240" w:line="276" w:lineRule="auto"/>
      </w:pPr>
      <w:r>
        <w:t>As pupils got older, they were more likely to agree that their family shout a lot (17% in S1, rising to 24% in S4). There were also differences by age in relation to the other statements, younger pupils were more likely to agree that they enjoy spending time with their family (93% of those in S1 declining to 81% in S4) and to agree that their parents treat them fairly (95% in S1 compared with 91% in S4). There was no association with age and pupils deciding how they spend their spare time.</w:t>
      </w:r>
    </w:p>
    <w:p w:rsidR="009A6CEB" w:rsidRDefault="009A6CEB" w:rsidP="009A6CEB">
      <w:pPr>
        <w:pStyle w:val="BodyCopy"/>
        <w:spacing w:before="240" w:line="276" w:lineRule="auto"/>
      </w:pPr>
      <w:r>
        <w:t>On a perhaps less positive note, around a fifth (21%) agreed that members of their family shout at each other a lot – although, of course, shouting is not in itself an indicator of highly problematic family relationships.</w:t>
      </w:r>
    </w:p>
    <w:p w:rsidR="00C73B66" w:rsidRDefault="00C73B66" w:rsidP="00C73B66">
      <w:pPr>
        <w:pStyle w:val="BodyCopy"/>
        <w:spacing w:before="240" w:line="276" w:lineRule="auto"/>
      </w:pPr>
      <w:r>
        <w:t>Those living in two</w:t>
      </w:r>
      <w:r w:rsidR="009A6CEB">
        <w:t xml:space="preserve"> </w:t>
      </w:r>
      <w:r>
        <w:t>parent households were less likely to say their families shout a lot (17% compared with 26-44% in other household types). Shouting also increased with deprivation, reported by 15% of those in the least deprived quintile, rising to 25% in the most deprived quintile. Similarly, it was reported more frequently by those eligible for free school meals (29% compared with 20% of those not eligible).</w:t>
      </w:r>
    </w:p>
    <w:p w:rsidR="00C73B66" w:rsidRDefault="00C73B66" w:rsidP="00C73B66">
      <w:pPr>
        <w:pStyle w:val="BodyCopy"/>
        <w:spacing w:before="240" w:line="276" w:lineRule="auto"/>
      </w:pPr>
      <w:r>
        <w:t xml:space="preserve">Those living in step-families were less likely to agree: that they enjoyed spending time with their family (80% compared with 88% of those living with two parents and 83% with a single parent), and that their parents or carers treated them fairly (89% compared with 94% living with two parents and 91% living with one). </w:t>
      </w:r>
    </w:p>
    <w:p w:rsidR="00C73B66" w:rsidRDefault="00C73B66" w:rsidP="00C73B66">
      <w:pPr>
        <w:pStyle w:val="BodyCopy"/>
        <w:spacing w:before="240" w:line="276" w:lineRule="auto"/>
      </w:pPr>
      <w:r>
        <w:t xml:space="preserve">Those eligible for free school meals were less likely: to say that they enjoy spending time with </w:t>
      </w:r>
      <w:r w:rsidRPr="001C6426">
        <w:t>their family (82% compared with 86% of those not</w:t>
      </w:r>
      <w:r>
        <w:t xml:space="preserve"> eligible) </w:t>
      </w:r>
      <w:r>
        <w:lastRenderedPageBreak/>
        <w:t xml:space="preserve">and to agree that they can decide on how they spend their spare time (83% compared with 88% respectively). </w:t>
      </w:r>
    </w:p>
    <w:p w:rsidR="00C73B66" w:rsidRDefault="00C73B66" w:rsidP="00C73B66">
      <w:pPr>
        <w:pStyle w:val="BodyCopy"/>
        <w:spacing w:before="240" w:line="276" w:lineRule="auto"/>
      </w:pPr>
      <w:r>
        <w:t>There was very little variation by gender across these statements, or by area deprivation, except in relation to shouting.</w:t>
      </w:r>
    </w:p>
    <w:p w:rsidR="00C73B66" w:rsidRDefault="00C73B66" w:rsidP="00F04FAE">
      <w:pPr>
        <w:pStyle w:val="BodyCopy"/>
        <w:spacing w:before="240" w:line="276" w:lineRule="auto"/>
        <w:ind w:left="-142"/>
      </w:pPr>
      <w:r>
        <w:rPr>
          <w:noProof/>
        </w:rPr>
        <w:drawing>
          <wp:inline distT="0" distB="0" distL="0" distR="0" wp14:anchorId="70FE9234" wp14:editId="713BC4AE">
            <wp:extent cx="5400675" cy="3624860"/>
            <wp:effectExtent l="0" t="0" r="0"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3B66"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Heading3"/>
        <w:numPr>
          <w:ilvl w:val="3"/>
          <w:numId w:val="13"/>
        </w:numPr>
        <w:spacing w:line="276" w:lineRule="auto"/>
      </w:pPr>
      <w:bookmarkStart w:id="34" w:name="_Toc494182042"/>
      <w:r>
        <w:t>Family meals (Healthy, Nurtured, Included)</w:t>
      </w:r>
      <w:bookmarkEnd w:id="34"/>
    </w:p>
    <w:p w:rsidR="00691F79" w:rsidRPr="00691F79" w:rsidRDefault="00691F79" w:rsidP="00691F79">
      <w:pPr>
        <w:pStyle w:val="BodyCopy"/>
        <w:spacing w:before="240" w:line="276" w:lineRule="auto"/>
      </w:pPr>
      <w:r w:rsidRPr="00691F79">
        <w:t>Previous research has found a link between eating meals as a family and greater psychological wellbeing among adolescents</w:t>
      </w:r>
      <w:r w:rsidRPr="00691F79">
        <w:rPr>
          <w:vertAlign w:val="superscript"/>
        </w:rPr>
        <w:endnoteReference w:id="11"/>
      </w:r>
      <w:r w:rsidRPr="00691F79">
        <w:t xml:space="preserve"> and having a healthier diet among children.</w:t>
      </w:r>
      <w:r w:rsidRPr="00691F79">
        <w:rPr>
          <w:vertAlign w:val="superscript"/>
        </w:rPr>
        <w:endnoteReference w:id="12"/>
      </w:r>
      <w:r w:rsidRPr="00691F79">
        <w:t xml:space="preserve"> </w:t>
      </w:r>
    </w:p>
    <w:p w:rsidR="00C73B66" w:rsidRDefault="00C73B66" w:rsidP="00C73B66">
      <w:pPr>
        <w:pStyle w:val="BodyCopy"/>
        <w:spacing w:before="240" w:line="276" w:lineRule="auto"/>
      </w:pPr>
      <w:r>
        <w:t xml:space="preserve">Over half (55%) of secondary school pupils said </w:t>
      </w:r>
      <w:r w:rsidRPr="008E2993">
        <w:t>they usually sit down to eat a main meal with one or both of their parents or carers</w:t>
      </w:r>
      <w:r>
        <w:t xml:space="preserve"> every day, with a further 17% doing so 4 to 6 days a week. One in ten children (11%) said they hardly ever or never do so. These findings appear broadly comparable with the Scottish Health Survey which found a similar proportion (57%) of children aged 12 to 15 across Scotland sat down to a main meal with their parents at least seven times a week.</w:t>
      </w:r>
    </w:p>
    <w:p w:rsidR="00C73B66" w:rsidRDefault="00C73B66" w:rsidP="00C73B66">
      <w:pPr>
        <w:pStyle w:val="BodyCopy"/>
        <w:spacing w:before="240" w:line="276" w:lineRule="auto"/>
      </w:pPr>
      <w:r>
        <w:t>The proportions eating a main meal with their parents or carers every day declined with age, from 61% in S1 to 52% in S4. There was also variation according to area deprivation, with the proportion lowest in the most deprived quintile (45%) and highest in the two least deprived (58%-61%). Similarly, those eligible for free school meals were less likely to eat a meal every day with their parents or carers than those who were not eligible (47% and 56% respectively).</w:t>
      </w:r>
    </w:p>
    <w:p w:rsidR="00C73B66" w:rsidRDefault="00C73B66" w:rsidP="00C73B66">
      <w:pPr>
        <w:pStyle w:val="BodyCopy"/>
        <w:spacing w:before="240" w:line="276" w:lineRule="auto"/>
      </w:pPr>
      <w:r>
        <w:lastRenderedPageBreak/>
        <w:t>Those living with both parents were more likely to sit down to a main meal every day with a parent or carer (58%) than those living with one parent (45%) or in a step-family (49%). Those with siblings at home were also more likely to do so than those without (56% and 51% respectively).</w:t>
      </w:r>
    </w:p>
    <w:p w:rsidR="00306CA0" w:rsidRDefault="00306CA0" w:rsidP="00306CA0">
      <w:pPr>
        <w:pStyle w:val="BodyCopy"/>
        <w:spacing w:line="276" w:lineRule="auto"/>
      </w:pPr>
    </w:p>
    <w:tbl>
      <w:tblPr>
        <w:tblW w:w="8703" w:type="dxa"/>
        <w:tblInd w:w="93" w:type="dxa"/>
        <w:tblLook w:val="04A0" w:firstRow="1" w:lastRow="0" w:firstColumn="1" w:lastColumn="0" w:noHBand="0" w:noVBand="1"/>
      </w:tblPr>
      <w:tblGrid>
        <w:gridCol w:w="2425"/>
        <w:gridCol w:w="851"/>
        <w:gridCol w:w="850"/>
        <w:gridCol w:w="851"/>
        <w:gridCol w:w="850"/>
        <w:gridCol w:w="851"/>
        <w:gridCol w:w="892"/>
        <w:gridCol w:w="1133"/>
      </w:tblGrid>
      <w:tr w:rsidR="00C73B66" w:rsidRPr="00DA120D" w:rsidTr="00336269">
        <w:trPr>
          <w:trHeight w:val="340"/>
        </w:trPr>
        <w:tc>
          <w:tcPr>
            <w:tcW w:w="8703" w:type="dxa"/>
            <w:gridSpan w:val="8"/>
            <w:tcBorders>
              <w:top w:val="single" w:sz="12" w:space="0" w:color="auto"/>
              <w:left w:val="nil"/>
              <w:right w:val="nil"/>
            </w:tcBorders>
            <w:shd w:val="clear" w:color="auto" w:fill="auto"/>
            <w:hideMark/>
          </w:tcPr>
          <w:p w:rsidR="00C73B66" w:rsidRPr="00DA120D" w:rsidRDefault="00C73B66" w:rsidP="00336269">
            <w:pPr>
              <w:spacing w:after="0" w:line="240" w:lineRule="auto"/>
              <w:rPr>
                <w:rFonts w:eastAsia="Times New Roman" w:cstheme="minorHAnsi"/>
                <w:b/>
                <w:bCs/>
                <w:color w:val="000000"/>
                <w:sz w:val="20"/>
                <w:szCs w:val="20"/>
                <w:lang w:eastAsia="en-GB"/>
              </w:rPr>
            </w:pPr>
            <w:r w:rsidRPr="00DA120D">
              <w:rPr>
                <w:rFonts w:eastAsia="Times New Roman" w:cstheme="minorHAnsi"/>
                <w:b/>
                <w:bCs/>
                <w:color w:val="000000"/>
                <w:sz w:val="20"/>
                <w:szCs w:val="20"/>
                <w:lang w:eastAsia="en-GB"/>
              </w:rPr>
              <w:t>Table 2.3.1c Family meals</w:t>
            </w:r>
          </w:p>
        </w:tc>
      </w:tr>
      <w:tr w:rsidR="00C73B66" w:rsidRPr="00DA120D" w:rsidTr="00AE3DD5">
        <w:trPr>
          <w:trHeight w:val="1701"/>
        </w:trPr>
        <w:tc>
          <w:tcPr>
            <w:tcW w:w="2425"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On how many days a week would you usually sit down to eat a main meal (at lunchtime or in the evening) with one or both of your parents or carers?</w:t>
            </w:r>
          </w:p>
        </w:tc>
        <w:tc>
          <w:tcPr>
            <w:tcW w:w="851"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color w:val="000000"/>
                <w:sz w:val="20"/>
                <w:szCs w:val="20"/>
                <w:lang w:eastAsia="en-GB"/>
              </w:rPr>
            </w:pPr>
            <w:r w:rsidRPr="00DA120D">
              <w:rPr>
                <w:rFonts w:eastAsia="Times New Roman" w:cstheme="minorHAnsi"/>
                <w:color w:val="000000"/>
                <w:sz w:val="20"/>
                <w:szCs w:val="20"/>
                <w:lang w:eastAsia="en-GB"/>
              </w:rPr>
              <w:t>Every day</w:t>
            </w:r>
          </w:p>
        </w:tc>
        <w:tc>
          <w:tcPr>
            <w:tcW w:w="850"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color w:val="000000"/>
                <w:sz w:val="20"/>
                <w:szCs w:val="20"/>
                <w:lang w:eastAsia="en-GB"/>
              </w:rPr>
            </w:pPr>
            <w:r w:rsidRPr="00DA120D">
              <w:rPr>
                <w:rFonts w:eastAsia="Times New Roman" w:cstheme="minorHAnsi"/>
                <w:color w:val="000000"/>
                <w:sz w:val="20"/>
                <w:szCs w:val="20"/>
                <w:lang w:eastAsia="en-GB"/>
              </w:rPr>
              <w:t>4-6 days a week</w:t>
            </w:r>
          </w:p>
        </w:tc>
        <w:tc>
          <w:tcPr>
            <w:tcW w:w="851"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color w:val="000000"/>
                <w:sz w:val="20"/>
                <w:szCs w:val="20"/>
                <w:lang w:eastAsia="en-GB"/>
              </w:rPr>
            </w:pPr>
            <w:r w:rsidRPr="00DA120D">
              <w:rPr>
                <w:rFonts w:eastAsia="Times New Roman" w:cstheme="minorHAnsi"/>
                <w:color w:val="000000"/>
                <w:sz w:val="20"/>
                <w:szCs w:val="20"/>
                <w:lang w:eastAsia="en-GB"/>
              </w:rPr>
              <w:t>2-3 days a week</w:t>
            </w:r>
          </w:p>
        </w:tc>
        <w:tc>
          <w:tcPr>
            <w:tcW w:w="850"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color w:val="000000"/>
                <w:sz w:val="20"/>
                <w:szCs w:val="20"/>
                <w:lang w:eastAsia="en-GB"/>
              </w:rPr>
            </w:pPr>
            <w:r w:rsidRPr="00DA120D">
              <w:rPr>
                <w:rFonts w:eastAsia="Times New Roman" w:cstheme="minorHAnsi"/>
                <w:color w:val="000000"/>
                <w:sz w:val="20"/>
                <w:szCs w:val="20"/>
                <w:lang w:eastAsia="en-GB"/>
              </w:rPr>
              <w:t>Once a week</w:t>
            </w:r>
          </w:p>
        </w:tc>
        <w:tc>
          <w:tcPr>
            <w:tcW w:w="851"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color w:val="000000"/>
                <w:sz w:val="20"/>
                <w:szCs w:val="20"/>
                <w:lang w:eastAsia="en-GB"/>
              </w:rPr>
            </w:pPr>
            <w:r w:rsidRPr="00DA120D">
              <w:rPr>
                <w:rFonts w:eastAsia="Times New Roman" w:cstheme="minorHAnsi"/>
                <w:color w:val="000000"/>
                <w:sz w:val="20"/>
                <w:szCs w:val="20"/>
                <w:lang w:eastAsia="en-GB"/>
              </w:rPr>
              <w:t>Hardly ever or never</w:t>
            </w:r>
          </w:p>
        </w:tc>
        <w:tc>
          <w:tcPr>
            <w:tcW w:w="892"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i/>
                <w:iCs/>
                <w:color w:val="000000"/>
                <w:sz w:val="16"/>
                <w:szCs w:val="16"/>
                <w:lang w:eastAsia="en-GB"/>
              </w:rPr>
            </w:pPr>
            <w:r w:rsidRPr="00DA120D">
              <w:rPr>
                <w:rFonts w:eastAsia="Times New Roman" w:cstheme="minorHAnsi"/>
                <w:i/>
                <w:iCs/>
                <w:color w:val="000000"/>
                <w:sz w:val="16"/>
                <w:szCs w:val="16"/>
                <w:lang w:eastAsia="en-GB"/>
              </w:rPr>
              <w:t>Weighted base</w:t>
            </w:r>
            <w:r w:rsidR="00306CA0" w:rsidRPr="00DA120D">
              <w:rPr>
                <w:rFonts w:eastAsia="Times New Roman" w:cstheme="minorHAnsi"/>
                <w:i/>
                <w:iCs/>
                <w:color w:val="000000"/>
                <w:sz w:val="16"/>
                <w:szCs w:val="16"/>
                <w:lang w:eastAsia="en-GB"/>
              </w:rPr>
              <w:t>s</w:t>
            </w:r>
          </w:p>
        </w:tc>
        <w:tc>
          <w:tcPr>
            <w:tcW w:w="1133" w:type="dxa"/>
            <w:tcBorders>
              <w:top w:val="nil"/>
              <w:left w:val="nil"/>
              <w:bottom w:val="single" w:sz="12" w:space="0" w:color="auto"/>
              <w:right w:val="nil"/>
            </w:tcBorders>
            <w:shd w:val="clear" w:color="auto" w:fill="auto"/>
            <w:vAlign w:val="center"/>
            <w:hideMark/>
          </w:tcPr>
          <w:p w:rsidR="00C73B66" w:rsidRPr="00DA120D" w:rsidRDefault="00C73B66" w:rsidP="00DA120D">
            <w:pPr>
              <w:spacing w:after="0" w:line="240" w:lineRule="auto"/>
              <w:jc w:val="center"/>
              <w:rPr>
                <w:rFonts w:eastAsia="Times New Roman" w:cstheme="minorHAnsi"/>
                <w:i/>
                <w:iCs/>
                <w:color w:val="000000"/>
                <w:sz w:val="16"/>
                <w:szCs w:val="16"/>
                <w:lang w:eastAsia="en-GB"/>
              </w:rPr>
            </w:pPr>
            <w:r w:rsidRPr="00DA120D">
              <w:rPr>
                <w:rFonts w:eastAsia="Times New Roman" w:cstheme="minorHAnsi"/>
                <w:i/>
                <w:iCs/>
                <w:color w:val="000000"/>
                <w:sz w:val="16"/>
                <w:szCs w:val="16"/>
                <w:lang w:eastAsia="en-GB"/>
              </w:rPr>
              <w:t>Unweighted base</w:t>
            </w:r>
            <w:r w:rsidR="00306CA0" w:rsidRPr="00DA120D">
              <w:rPr>
                <w:rFonts w:eastAsia="Times New Roman" w:cstheme="minorHAnsi"/>
                <w:i/>
                <w:iCs/>
                <w:color w:val="000000"/>
                <w:sz w:val="16"/>
                <w:szCs w:val="16"/>
                <w:lang w:eastAsia="en-GB"/>
              </w:rPr>
              <w:t>s</w:t>
            </w:r>
          </w:p>
        </w:tc>
      </w:tr>
      <w:tr w:rsidR="00C73B66" w:rsidRPr="00DA120D" w:rsidTr="00336269">
        <w:trPr>
          <w:trHeight w:val="283"/>
        </w:trPr>
        <w:tc>
          <w:tcPr>
            <w:tcW w:w="8703" w:type="dxa"/>
            <w:gridSpan w:val="8"/>
            <w:tcBorders>
              <w:top w:val="single" w:sz="12" w:space="0" w:color="auto"/>
              <w:left w:val="nil"/>
              <w:bottom w:val="single" w:sz="4" w:space="0" w:color="auto"/>
              <w:right w:val="nil"/>
            </w:tcBorders>
            <w:shd w:val="clear" w:color="auto" w:fill="auto"/>
            <w:noWrap/>
            <w:vAlign w:val="center"/>
            <w:hideMark/>
          </w:tcPr>
          <w:p w:rsidR="00C73B66" w:rsidRPr="00DA120D" w:rsidRDefault="00C73B66" w:rsidP="00DA120D">
            <w:pPr>
              <w:spacing w:after="0" w:line="240" w:lineRule="auto"/>
              <w:rPr>
                <w:rFonts w:eastAsia="Times New Roman" w:cstheme="minorHAnsi"/>
                <w:i/>
                <w:iCs/>
                <w:color w:val="000000"/>
                <w:sz w:val="20"/>
                <w:szCs w:val="20"/>
                <w:lang w:eastAsia="en-GB"/>
              </w:rPr>
            </w:pPr>
            <w:r w:rsidRPr="00DA120D">
              <w:rPr>
                <w:rFonts w:eastAsia="Times New Roman" w:cstheme="minorHAnsi"/>
                <w:i/>
                <w:iCs/>
                <w:color w:val="000000"/>
                <w:sz w:val="20"/>
                <w:szCs w:val="20"/>
                <w:lang w:eastAsia="en-GB"/>
              </w:rPr>
              <w:t>Row percentages</w:t>
            </w:r>
          </w:p>
        </w:tc>
      </w:tr>
      <w:tr w:rsidR="00C73B66" w:rsidRPr="00DA120D" w:rsidTr="00336269">
        <w:trPr>
          <w:trHeight w:val="300"/>
        </w:trPr>
        <w:tc>
          <w:tcPr>
            <w:tcW w:w="2425" w:type="dxa"/>
            <w:tcBorders>
              <w:top w:val="nil"/>
              <w:left w:val="nil"/>
              <w:bottom w:val="nil"/>
              <w:right w:val="nil"/>
            </w:tcBorders>
            <w:shd w:val="clear" w:color="auto" w:fill="auto"/>
            <w:vAlign w:val="center"/>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All</w:t>
            </w:r>
          </w:p>
        </w:tc>
        <w:tc>
          <w:tcPr>
            <w:tcW w:w="851"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55</w:t>
            </w:r>
          </w:p>
        </w:tc>
        <w:tc>
          <w:tcPr>
            <w:tcW w:w="850"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92" w:type="dxa"/>
            <w:tcBorders>
              <w:top w:val="nil"/>
              <w:left w:val="nil"/>
              <w:bottom w:val="nil"/>
              <w:right w:val="nil"/>
            </w:tcBorders>
            <w:shd w:val="clear" w:color="auto" w:fill="auto"/>
            <w:vAlign w:val="center"/>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r w:rsidRPr="00DA120D">
              <w:rPr>
                <w:rFonts w:eastAsia="Times New Roman" w:cstheme="minorHAnsi"/>
                <w:i/>
                <w:iCs/>
                <w:color w:val="000000"/>
                <w:sz w:val="20"/>
                <w:szCs w:val="20"/>
                <w:lang w:eastAsia="en-GB"/>
              </w:rPr>
              <w:t>4062</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r w:rsidRPr="00DA120D">
              <w:rPr>
                <w:rFonts w:eastAsia="Times New Roman" w:cstheme="minorHAnsi"/>
                <w:i/>
                <w:iCs/>
                <w:color w:val="000000"/>
                <w:sz w:val="20"/>
                <w:szCs w:val="20"/>
                <w:lang w:eastAsia="en-GB"/>
              </w:rPr>
              <w:t>4061</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S1</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10</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10</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1024</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1086</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S2</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54</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18</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1031</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1067</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S3</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53</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18</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12</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12</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991</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921</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S4</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52</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13</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12</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981</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953</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SIMD quintile 1 (most deprived)</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45</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18</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12</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9</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16</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536</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535</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SIMD quintile 2</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13</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15</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1102</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1101</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SIMD quintile 3</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57</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9</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733</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734</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SIMD quintile 4</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9</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820</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822</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SIMD quintile 5 (least deprived)</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58</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20</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864</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862</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Eligible for free school meals</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47</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18</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435</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436</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Not eligible for free school meals</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56</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10</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3627</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3625</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No siblings at home</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13</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862</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860</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One or more sibling at home</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56</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18</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11</w:t>
            </w: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3108</w:t>
            </w: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3110</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p>
        </w:tc>
        <w:tc>
          <w:tcPr>
            <w:tcW w:w="892"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c>
          <w:tcPr>
            <w:tcW w:w="1133"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Two parent household</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58</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10</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5</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9</w:t>
            </w:r>
          </w:p>
        </w:tc>
        <w:tc>
          <w:tcPr>
            <w:tcW w:w="892"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2683</w:t>
            </w:r>
          </w:p>
        </w:tc>
        <w:tc>
          <w:tcPr>
            <w:tcW w:w="1133"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2685</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One parent household</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45</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17</w:t>
            </w:r>
          </w:p>
        </w:tc>
        <w:tc>
          <w:tcPr>
            <w:tcW w:w="892"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746</w:t>
            </w:r>
          </w:p>
        </w:tc>
        <w:tc>
          <w:tcPr>
            <w:tcW w:w="1133"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745</w:t>
            </w:r>
          </w:p>
        </w:tc>
      </w:tr>
      <w:tr w:rsidR="00C73B66" w:rsidRPr="00DA120D" w:rsidTr="00336269">
        <w:trPr>
          <w:trHeight w:val="300"/>
        </w:trPr>
        <w:tc>
          <w:tcPr>
            <w:tcW w:w="2425" w:type="dxa"/>
            <w:tcBorders>
              <w:top w:val="nil"/>
              <w:left w:val="nil"/>
              <w:bottom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Step-family</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49</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16</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50"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7</w:t>
            </w:r>
          </w:p>
        </w:tc>
        <w:tc>
          <w:tcPr>
            <w:tcW w:w="851" w:type="dxa"/>
            <w:tcBorders>
              <w:top w:val="nil"/>
              <w:left w:val="nil"/>
              <w:bottom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92"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453</w:t>
            </w:r>
          </w:p>
        </w:tc>
        <w:tc>
          <w:tcPr>
            <w:tcW w:w="1133" w:type="dxa"/>
            <w:tcBorders>
              <w:top w:val="nil"/>
              <w:left w:val="nil"/>
              <w:bottom w:val="nil"/>
              <w:right w:val="nil"/>
            </w:tcBorders>
            <w:shd w:val="clear" w:color="auto" w:fill="auto"/>
            <w:noWrap/>
            <w:vAlign w:val="center"/>
            <w:hideMark/>
          </w:tcPr>
          <w:p w:rsidR="00C73B66" w:rsidRPr="00DA120D" w:rsidRDefault="00306CA0"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453</w:t>
            </w:r>
          </w:p>
        </w:tc>
      </w:tr>
      <w:tr w:rsidR="00C73B66" w:rsidRPr="00DA120D" w:rsidTr="00336269">
        <w:trPr>
          <w:trHeight w:val="300"/>
        </w:trPr>
        <w:tc>
          <w:tcPr>
            <w:tcW w:w="2425" w:type="dxa"/>
            <w:tcBorders>
              <w:top w:val="nil"/>
              <w:left w:val="nil"/>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Other household type</w:t>
            </w:r>
          </w:p>
        </w:tc>
        <w:tc>
          <w:tcPr>
            <w:tcW w:w="851"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46</w:t>
            </w:r>
          </w:p>
        </w:tc>
        <w:tc>
          <w:tcPr>
            <w:tcW w:w="850"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14</w:t>
            </w:r>
          </w:p>
        </w:tc>
        <w:tc>
          <w:tcPr>
            <w:tcW w:w="851"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13</w:t>
            </w:r>
          </w:p>
        </w:tc>
        <w:tc>
          <w:tcPr>
            <w:tcW w:w="850"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7</w:t>
            </w:r>
          </w:p>
        </w:tc>
        <w:tc>
          <w:tcPr>
            <w:tcW w:w="851"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21</w:t>
            </w:r>
          </w:p>
        </w:tc>
        <w:tc>
          <w:tcPr>
            <w:tcW w:w="892"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89</w:t>
            </w:r>
          </w:p>
        </w:tc>
        <w:tc>
          <w:tcPr>
            <w:tcW w:w="1133" w:type="dxa"/>
            <w:tcBorders>
              <w:top w:val="nil"/>
              <w:left w:val="nil"/>
              <w:right w:val="nil"/>
            </w:tcBorders>
            <w:shd w:val="clear" w:color="auto" w:fill="auto"/>
            <w:noWrap/>
            <w:vAlign w:val="center"/>
            <w:hideMark/>
          </w:tcPr>
          <w:p w:rsidR="00C73B66" w:rsidRPr="00DA120D" w:rsidRDefault="00C73B66" w:rsidP="00DA120D">
            <w:pPr>
              <w:spacing w:after="0" w:line="240" w:lineRule="auto"/>
              <w:jc w:val="right"/>
              <w:rPr>
                <w:rFonts w:eastAsia="Times New Roman" w:cstheme="minorHAnsi"/>
                <w:i/>
                <w:color w:val="000000"/>
                <w:sz w:val="20"/>
                <w:szCs w:val="20"/>
                <w:lang w:eastAsia="en-GB"/>
              </w:rPr>
            </w:pPr>
            <w:r w:rsidRPr="00DA120D">
              <w:rPr>
                <w:rFonts w:eastAsia="Times New Roman" w:cstheme="minorHAnsi"/>
                <w:i/>
                <w:color w:val="000000"/>
                <w:sz w:val="20"/>
                <w:szCs w:val="20"/>
                <w:lang w:eastAsia="en-GB"/>
              </w:rPr>
              <w:t>87</w:t>
            </w:r>
          </w:p>
        </w:tc>
      </w:tr>
      <w:tr w:rsidR="00C73B66" w:rsidRPr="00DA120D" w:rsidTr="00336269">
        <w:trPr>
          <w:trHeight w:val="227"/>
        </w:trPr>
        <w:tc>
          <w:tcPr>
            <w:tcW w:w="2425"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51"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50"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51"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50"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51"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color w:val="000000"/>
                <w:sz w:val="20"/>
                <w:szCs w:val="20"/>
                <w:lang w:eastAsia="en-GB"/>
              </w:rPr>
            </w:pPr>
            <w:r w:rsidRPr="00DA120D">
              <w:rPr>
                <w:rFonts w:eastAsia="Times New Roman" w:cstheme="minorHAnsi"/>
                <w:color w:val="000000"/>
                <w:sz w:val="20"/>
                <w:szCs w:val="20"/>
                <w:lang w:eastAsia="en-GB"/>
              </w:rPr>
              <w:t> </w:t>
            </w:r>
          </w:p>
        </w:tc>
        <w:tc>
          <w:tcPr>
            <w:tcW w:w="892"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r w:rsidRPr="00DA120D">
              <w:rPr>
                <w:rFonts w:eastAsia="Times New Roman" w:cstheme="minorHAnsi"/>
                <w:i/>
                <w:iCs/>
                <w:color w:val="000000"/>
                <w:sz w:val="20"/>
                <w:szCs w:val="20"/>
                <w:lang w:eastAsia="en-GB"/>
              </w:rPr>
              <w:t> </w:t>
            </w:r>
          </w:p>
        </w:tc>
        <w:tc>
          <w:tcPr>
            <w:tcW w:w="1133" w:type="dxa"/>
            <w:tcBorders>
              <w:top w:val="nil"/>
              <w:left w:val="nil"/>
              <w:bottom w:val="single" w:sz="12" w:space="0" w:color="auto"/>
              <w:right w:val="nil"/>
            </w:tcBorders>
            <w:shd w:val="clear" w:color="auto" w:fill="auto"/>
            <w:noWrap/>
            <w:vAlign w:val="bottom"/>
            <w:hideMark/>
          </w:tcPr>
          <w:p w:rsidR="00C73B66" w:rsidRPr="00DA120D" w:rsidRDefault="00C73B66" w:rsidP="00DA120D">
            <w:pPr>
              <w:spacing w:after="0" w:line="240" w:lineRule="auto"/>
              <w:jc w:val="right"/>
              <w:rPr>
                <w:rFonts w:eastAsia="Times New Roman" w:cstheme="minorHAnsi"/>
                <w:i/>
                <w:iCs/>
                <w:color w:val="000000"/>
                <w:sz w:val="20"/>
                <w:szCs w:val="20"/>
                <w:lang w:eastAsia="en-GB"/>
              </w:rPr>
            </w:pPr>
            <w:r w:rsidRPr="00DA120D">
              <w:rPr>
                <w:rFonts w:eastAsia="Times New Roman" w:cstheme="minorHAnsi"/>
                <w:i/>
                <w:iCs/>
                <w:color w:val="000000"/>
                <w:sz w:val="20"/>
                <w:szCs w:val="20"/>
                <w:lang w:eastAsia="en-GB"/>
              </w:rPr>
              <w:t> </w:t>
            </w:r>
          </w:p>
        </w:tc>
      </w:tr>
    </w:tbl>
    <w:p w:rsidR="00C73B66" w:rsidRPr="00477F31" w:rsidRDefault="00C73B66" w:rsidP="00C73B66">
      <w:pPr>
        <w:pStyle w:val="BodyCopy"/>
        <w:rPr>
          <w:i/>
          <w:sz w:val="18"/>
          <w:szCs w:val="18"/>
        </w:rPr>
      </w:pPr>
      <w:r w:rsidRPr="00477F31">
        <w:rPr>
          <w:i/>
          <w:sz w:val="18"/>
          <w:szCs w:val="18"/>
        </w:rPr>
        <w:t xml:space="preserve">Source: RCS secondary school survey, </w:t>
      </w:r>
      <w:r>
        <w:rPr>
          <w:i/>
          <w:sz w:val="18"/>
          <w:szCs w:val="18"/>
        </w:rPr>
        <w:t>Falkirk</w:t>
      </w:r>
      <w:r w:rsidRPr="00477F31">
        <w:rPr>
          <w:i/>
          <w:sz w:val="18"/>
          <w:szCs w:val="18"/>
        </w:rPr>
        <w:t xml:space="preserve"> 201</w:t>
      </w:r>
      <w:r>
        <w:rPr>
          <w:i/>
          <w:sz w:val="18"/>
          <w:szCs w:val="18"/>
        </w:rPr>
        <w:t>7</w:t>
      </w:r>
    </w:p>
    <w:p w:rsidR="00C73B66" w:rsidRDefault="00C73B66" w:rsidP="00C73B66">
      <w:pPr>
        <w:pStyle w:val="Heading3"/>
        <w:numPr>
          <w:ilvl w:val="3"/>
          <w:numId w:val="13"/>
        </w:numPr>
        <w:spacing w:line="276" w:lineRule="auto"/>
      </w:pPr>
      <w:bookmarkStart w:id="35" w:name="_Toc494182043"/>
      <w:r>
        <w:t>Young carers (Included)</w:t>
      </w:r>
      <w:bookmarkEnd w:id="35"/>
    </w:p>
    <w:p w:rsidR="00C73B66" w:rsidRDefault="009A6CEB" w:rsidP="00C73B66">
      <w:pPr>
        <w:pStyle w:val="BodyCopy"/>
        <w:spacing w:before="240" w:line="276" w:lineRule="auto"/>
      </w:pPr>
      <w:r>
        <w:t>Around o</w:t>
      </w:r>
      <w:r w:rsidR="00C73B66">
        <w:t>ne in eight children (12%) in S1 to S4 indicated that they were young carers – in other words that they</w:t>
      </w:r>
      <w:r w:rsidR="00C73B66" w:rsidRPr="00E83441">
        <w:t xml:space="preserve"> care for or look after someone in </w:t>
      </w:r>
      <w:r w:rsidR="00C73B66">
        <w:t>their</w:t>
      </w:r>
      <w:r w:rsidR="00C73B66" w:rsidRPr="00E83441">
        <w:t xml:space="preserve"> home because, for example, </w:t>
      </w:r>
      <w:r w:rsidR="00C73B66">
        <w:t>of</w:t>
      </w:r>
      <w:r w:rsidR="00C73B66" w:rsidRPr="00E83441">
        <w:t xml:space="preserve"> a l</w:t>
      </w:r>
      <w:r w:rsidR="00C73B66">
        <w:t xml:space="preserve">ong-term illness or disability. </w:t>
      </w:r>
    </w:p>
    <w:p w:rsidR="00C73B66" w:rsidRDefault="00C73B66" w:rsidP="00C73B66">
      <w:pPr>
        <w:pStyle w:val="BodyCopy"/>
        <w:spacing w:before="240" w:line="276" w:lineRule="auto"/>
      </w:pPr>
      <w:r>
        <w:lastRenderedPageBreak/>
        <w:t>This figure is substantially higher than was found at national level among those aged 13 to 15, using data from the Scottish Health Survey (8%). While this difference may be due to slight differences in methodology and question wording, it suggests an issue that may be worth exploring further using other sources of data.</w:t>
      </w:r>
    </w:p>
    <w:p w:rsidR="00C73B66" w:rsidRDefault="00C73B66" w:rsidP="00C73B66">
      <w:pPr>
        <w:pStyle w:val="BodyCopy"/>
        <w:spacing w:before="240" w:line="276" w:lineRule="auto"/>
      </w:pPr>
      <w:r>
        <w:t>Interestingly, the prevalence of young carers declined with age. While there may be a methodological reason for this, with different understandings of the question between those in the younger and older year groups, such differences were not apparent during cognitive testing of the questionnaire.</w:t>
      </w:r>
    </w:p>
    <w:p w:rsidR="00C73B66" w:rsidRDefault="00C73B66" w:rsidP="00C73B66">
      <w:pPr>
        <w:pStyle w:val="BodyCopy"/>
        <w:spacing w:before="240" w:line="276" w:lineRule="auto"/>
      </w:pPr>
      <w:r>
        <w:t xml:space="preserve">There were also, however, marked differences by </w:t>
      </w:r>
      <w:r w:rsidR="00306CA0">
        <w:t>area deprivation</w:t>
      </w:r>
      <w:r>
        <w:t xml:space="preserve"> and free school meal eligibility and these are unlikely to be accounted for by methodological issues. Pupils in the most deprived quintile were more likely than those in the other quintiles to </w:t>
      </w:r>
      <w:r w:rsidR="00906700">
        <w:t xml:space="preserve">identify as </w:t>
      </w:r>
      <w:r>
        <w:t>young carers (20%, declining to 7% in the least deprived quintile). Those eligible for free school meals were significantly more likely than other children to identify themselves as carers (30% doing so compared with 10% of those not eligible).</w:t>
      </w:r>
    </w:p>
    <w:p w:rsidR="00FF601F" w:rsidRPr="00205244" w:rsidRDefault="00FF601F" w:rsidP="00FF601F">
      <w:pPr>
        <w:pStyle w:val="Heading3"/>
        <w:numPr>
          <w:ilvl w:val="3"/>
          <w:numId w:val="13"/>
        </w:numPr>
        <w:spacing w:line="276" w:lineRule="auto"/>
      </w:pPr>
      <w:bookmarkStart w:id="36" w:name="_Toc491244121"/>
      <w:bookmarkStart w:id="37" w:name="_Toc494182044"/>
      <w:r w:rsidRPr="00205244">
        <w:t>Talk to family member about worries (Nurtured, Included)</w:t>
      </w:r>
      <w:bookmarkEnd w:id="36"/>
      <w:bookmarkEnd w:id="37"/>
    </w:p>
    <w:p w:rsidR="009A6CEB" w:rsidRDefault="00FF601F" w:rsidP="00FF601F">
      <w:pPr>
        <w:pStyle w:val="BodyCopy"/>
        <w:spacing w:after="200" w:line="276" w:lineRule="auto"/>
        <w:rPr>
          <w:rFonts w:asciiTheme="minorHAnsi" w:hAnsiTheme="minorHAnsi" w:cstheme="minorHAnsi"/>
          <w:szCs w:val="18"/>
        </w:rPr>
      </w:pPr>
      <w:r>
        <w:rPr>
          <w:rFonts w:asciiTheme="minorHAnsi" w:hAnsiTheme="minorHAnsi" w:cstheme="minorHAnsi"/>
          <w:szCs w:val="18"/>
        </w:rPr>
        <w:t xml:space="preserve">Pupils were asked how likely would they be to talk to a family member if they were really worried about something. Overall, three in five pupils (60%) said they were either fairly likely or very likely to talk to a family member. </w:t>
      </w:r>
    </w:p>
    <w:p w:rsidR="00FF601F" w:rsidRDefault="00FF601F" w:rsidP="00FF601F">
      <w:pPr>
        <w:pStyle w:val="BodyCopy"/>
        <w:spacing w:after="200" w:line="276" w:lineRule="auto"/>
        <w:rPr>
          <w:rFonts w:asciiTheme="minorHAnsi" w:hAnsiTheme="minorHAnsi" w:cstheme="minorHAnsi"/>
          <w:szCs w:val="18"/>
        </w:rPr>
      </w:pPr>
      <w:r>
        <w:rPr>
          <w:rFonts w:asciiTheme="minorHAnsi" w:hAnsiTheme="minorHAnsi" w:cstheme="minorHAnsi"/>
          <w:szCs w:val="18"/>
        </w:rPr>
        <w:t>There was, however, some variation in the responses. Younger people were more likely to talk to a family member (68% of S1 pupils answering fairly likely or very likely compared with 53% of those in S4). Those in the least deprived areas were also more likely to talk to a family member (64% of those living in the least deprived quintile compared with 53% of those living in the most deprived quintile). Finally, pupils living in a two parent household were more likely to talk to a family member if they were worried about something (65%) compared with those living in a one parent household (55%) and those living in a step-family (51%).</w:t>
      </w:r>
    </w:p>
    <w:p w:rsidR="00F84BEF" w:rsidRPr="00886965" w:rsidRDefault="00F84BEF" w:rsidP="00F84BEF">
      <w:pPr>
        <w:pStyle w:val="Heading3"/>
        <w:numPr>
          <w:ilvl w:val="3"/>
          <w:numId w:val="13"/>
        </w:numPr>
        <w:spacing w:line="276" w:lineRule="auto"/>
      </w:pPr>
      <w:bookmarkStart w:id="38" w:name="_Toc491244122"/>
      <w:bookmarkStart w:id="39" w:name="_Toc494182045"/>
      <w:r>
        <w:t>Worry about family members’ health (Healthy, Responsible)</w:t>
      </w:r>
      <w:bookmarkEnd w:id="38"/>
      <w:bookmarkEnd w:id="39"/>
    </w:p>
    <w:p w:rsidR="00F84BEF" w:rsidRDefault="00F84BEF" w:rsidP="00F84BEF">
      <w:pPr>
        <w:pStyle w:val="BodyCopy"/>
        <w:spacing w:before="240" w:line="276" w:lineRule="auto"/>
      </w:pPr>
      <w:r>
        <w:rPr>
          <w:rFonts w:asciiTheme="minorHAnsi" w:hAnsiTheme="minorHAnsi" w:cstheme="minorHAnsi"/>
          <w:szCs w:val="18"/>
        </w:rPr>
        <w:t xml:space="preserve">Pupils were then asked two broad questions about worrying about their families: how much they worry about the health of someone in their family and how much they worry about adults drinking too much alcohol at home. </w:t>
      </w:r>
      <w:r>
        <w:t xml:space="preserve">It should be emphasised that these are measures of worry not actual prevalence of the thing being worried about. </w:t>
      </w:r>
    </w:p>
    <w:p w:rsidR="00F84BEF" w:rsidRDefault="00F84BEF" w:rsidP="00F84BEF">
      <w:pPr>
        <w:pStyle w:val="BodyCopy"/>
        <w:spacing w:before="240" w:line="276" w:lineRule="auto"/>
      </w:pPr>
      <w:r>
        <w:t xml:space="preserve">Overall, a third (33%) reported that they worried a lot about a family member’s health, 31% quite a lot, 27% not very much, and 9% not at all. Levels of worry </w:t>
      </w:r>
      <w:r>
        <w:lastRenderedPageBreak/>
        <w:t>about adults drinking too much were lower: 9% reported worrying a lot, 9% quite a lot, 29% not very much</w:t>
      </w:r>
      <w:r w:rsidR="001F628E">
        <w:t>,</w:t>
      </w:r>
      <w:r>
        <w:t xml:space="preserve"> and 53% not at all.</w:t>
      </w:r>
    </w:p>
    <w:p w:rsidR="00F84BEF" w:rsidRDefault="001F628E" w:rsidP="00F84BEF">
      <w:pPr>
        <w:pStyle w:val="BodyCopy"/>
        <w:spacing w:before="240" w:line="276" w:lineRule="auto"/>
      </w:pPr>
      <w:r>
        <w:t xml:space="preserve">Girls were more likely than boys to worry about a family member’s health (67% of girls worrying a lot or quite a lot compared with 61% of boys), as were those living in more deprived areas (71% living in the most deprived quintile compared with 58% in the least deprived). </w:t>
      </w:r>
      <w:r w:rsidR="00F84BEF">
        <w:t xml:space="preserve">The proportion who said that they worried a lot or quite a lot about a family member’s health was </w:t>
      </w:r>
      <w:r>
        <w:t xml:space="preserve">also </w:t>
      </w:r>
      <w:r w:rsidR="00F84BEF">
        <w:t>higher among those elig</w:t>
      </w:r>
      <w:r>
        <w:t>ible for free school meals (73%</w:t>
      </w:r>
      <w:r w:rsidR="00F84BEF">
        <w:t xml:space="preserve"> compared with 63% of those not eligible), those living </w:t>
      </w:r>
      <w:r>
        <w:t>in one</w:t>
      </w:r>
      <w:r w:rsidR="00F84BEF">
        <w:t xml:space="preserve"> parent</w:t>
      </w:r>
      <w:r>
        <w:t xml:space="preserve"> households (70%) compared with those living </w:t>
      </w:r>
      <w:r w:rsidR="00F84BEF">
        <w:t>in a step-family (</w:t>
      </w:r>
      <w:r>
        <w:t>65%)</w:t>
      </w:r>
      <w:r w:rsidR="00F84BEF">
        <w:t xml:space="preserve"> </w:t>
      </w:r>
      <w:r>
        <w:t>or</w:t>
      </w:r>
      <w:r w:rsidR="00F84BEF">
        <w:t xml:space="preserve"> in a two</w:t>
      </w:r>
      <w:r>
        <w:t xml:space="preserve"> </w:t>
      </w:r>
      <w:r w:rsidR="00F84BEF">
        <w:t>parent household</w:t>
      </w:r>
      <w:r>
        <w:t xml:space="preserve"> (62%</w:t>
      </w:r>
      <w:r w:rsidR="00F84BEF">
        <w:t>), and those with no siblings at home (67%) compared with those with siblings (63%).</w:t>
      </w:r>
      <w:r w:rsidR="00F84BEF" w:rsidRPr="00E258C7">
        <w:t xml:space="preserve"> </w:t>
      </w:r>
    </w:p>
    <w:p w:rsidR="00F84BEF" w:rsidRPr="002552C2" w:rsidRDefault="00F84BEF" w:rsidP="001F628E">
      <w:pPr>
        <w:pStyle w:val="BodyCopy"/>
        <w:spacing w:before="240" w:line="276" w:lineRule="auto"/>
      </w:pPr>
      <w:r>
        <w:t xml:space="preserve">The proportion who worried a lot or quite a lot about adults drinking too much at home differed significantly by age, with the older pupils being less likely to worry a lot or </w:t>
      </w:r>
      <w:r w:rsidR="00CE0F1C">
        <w:t>quite a lot (16% of those in S4</w:t>
      </w:r>
      <w:r>
        <w:t xml:space="preserve"> compared with 21% in S1). </w:t>
      </w:r>
      <w:r w:rsidRPr="00E258C7">
        <w:t>There w</w:t>
      </w:r>
      <w:r w:rsidR="002552C2">
        <w:t>ere</w:t>
      </w:r>
      <w:r w:rsidRPr="00E258C7">
        <w:t xml:space="preserve"> </w:t>
      </w:r>
      <w:r>
        <w:t xml:space="preserve">also </w:t>
      </w:r>
      <w:r w:rsidR="002552C2">
        <w:t>variations by</w:t>
      </w:r>
      <w:r w:rsidRPr="00E258C7">
        <w:t xml:space="preserve"> area deprivation</w:t>
      </w:r>
      <w:r w:rsidR="002552C2">
        <w:t>,</w:t>
      </w:r>
      <w:r w:rsidRPr="00E258C7">
        <w:t xml:space="preserve"> </w:t>
      </w:r>
      <w:r w:rsidR="002552C2">
        <w:t xml:space="preserve">with </w:t>
      </w:r>
      <w:r>
        <w:t>22</w:t>
      </w:r>
      <w:r w:rsidRPr="00E258C7">
        <w:t>% of those in th</w:t>
      </w:r>
      <w:r w:rsidR="002552C2">
        <w:t>e most deprived quintile worrying a lot or quite a lot compared with 16%</w:t>
      </w:r>
      <w:r w:rsidRPr="00E258C7">
        <w:t xml:space="preserve"> in the</w:t>
      </w:r>
      <w:r>
        <w:t xml:space="preserve"> least deprived </w:t>
      </w:r>
      <w:r w:rsidR="002552C2">
        <w:t xml:space="preserve">quintile </w:t>
      </w:r>
      <w:r>
        <w:t>(16</w:t>
      </w:r>
      <w:r w:rsidRPr="00E258C7">
        <w:t xml:space="preserve">%). </w:t>
      </w:r>
      <w:r>
        <w:t>Pupils eligible for free school meals we</w:t>
      </w:r>
      <w:r w:rsidR="002552C2">
        <w:t>re more likely to worry a lot or quite a lot (23%</w:t>
      </w:r>
      <w:r>
        <w:t xml:space="preserve"> compared with 17% of those not eligible). Pupils living</w:t>
      </w:r>
      <w:r w:rsidR="002552C2">
        <w:t xml:space="preserve"> in step-families or</w:t>
      </w:r>
      <w:r>
        <w:t xml:space="preserve"> in </w:t>
      </w:r>
      <w:r w:rsidR="002552C2">
        <w:t xml:space="preserve">one </w:t>
      </w:r>
      <w:r>
        <w:t xml:space="preserve">parent households </w:t>
      </w:r>
      <w:r w:rsidRPr="00E258C7">
        <w:t xml:space="preserve">tended to worry </w:t>
      </w:r>
      <w:r w:rsidR="002552C2">
        <w:t xml:space="preserve">more </w:t>
      </w:r>
      <w:r w:rsidRPr="00E258C7">
        <w:t xml:space="preserve">about their parents drinking than those </w:t>
      </w:r>
      <w:r w:rsidR="002552C2">
        <w:t xml:space="preserve">living </w:t>
      </w:r>
      <w:r w:rsidRPr="00E258C7">
        <w:t>in two</w:t>
      </w:r>
      <w:r w:rsidR="002552C2">
        <w:t xml:space="preserve"> </w:t>
      </w:r>
      <w:r w:rsidRPr="00E258C7">
        <w:t>parent</w:t>
      </w:r>
      <w:r>
        <w:t xml:space="preserve"> households</w:t>
      </w:r>
      <w:r w:rsidRPr="00E258C7">
        <w:t xml:space="preserve"> (</w:t>
      </w:r>
      <w:r>
        <w:t>22% and 21% respectively, compared with 16</w:t>
      </w:r>
      <w:r w:rsidRPr="00E258C7">
        <w:t>% in two</w:t>
      </w:r>
      <w:r w:rsidR="002552C2">
        <w:t xml:space="preserve"> </w:t>
      </w:r>
      <w:r w:rsidRPr="00E258C7">
        <w:t xml:space="preserve">parent families). </w:t>
      </w:r>
      <w:r>
        <w:t xml:space="preserve">Finally, those </w:t>
      </w:r>
      <w:r w:rsidR="002552C2">
        <w:t>with n</w:t>
      </w:r>
      <w:r>
        <w:t xml:space="preserve">o siblings were more likely to worry </w:t>
      </w:r>
      <w:r w:rsidR="002552C2">
        <w:t>than those with siblings (21%</w:t>
      </w:r>
      <w:r>
        <w:t xml:space="preserve"> compared with 17%).</w:t>
      </w:r>
    </w:p>
    <w:p w:rsidR="00C73B66" w:rsidRDefault="00C73B66" w:rsidP="00C73B66">
      <w:pPr>
        <w:pStyle w:val="Heading3"/>
        <w:spacing w:line="276" w:lineRule="auto"/>
      </w:pPr>
      <w:bookmarkStart w:id="40" w:name="_Toc494182046"/>
      <w:r>
        <w:t>Educational and learning environment</w:t>
      </w:r>
      <w:bookmarkEnd w:id="40"/>
    </w:p>
    <w:p w:rsidR="00C73B66" w:rsidRDefault="00C73B66" w:rsidP="00C73B66">
      <w:pPr>
        <w:pStyle w:val="Heading3"/>
        <w:numPr>
          <w:ilvl w:val="3"/>
          <w:numId w:val="13"/>
        </w:numPr>
        <w:spacing w:line="276" w:lineRule="auto"/>
      </w:pPr>
      <w:bookmarkStart w:id="41" w:name="_Toc494182047"/>
      <w:r>
        <w:t>Educational enjoyment and engagement (Achieving, Included)</w:t>
      </w:r>
      <w:bookmarkEnd w:id="41"/>
    </w:p>
    <w:p w:rsidR="00C73B66" w:rsidRDefault="00C73B66" w:rsidP="00C73B66">
      <w:pPr>
        <w:pStyle w:val="BodyCopy"/>
        <w:spacing w:line="276" w:lineRule="auto"/>
      </w:pPr>
      <w:r>
        <w:t xml:space="preserve">There was a mixed picture in terms of attitudes towards school. In total, 72% of pupils indicated that they liked school, either a lot (21%) or a bit (51%). However, 28% did not like school very much (19%) or at all (9%). </w:t>
      </w:r>
    </w:p>
    <w:p w:rsidR="00C73B66" w:rsidRDefault="00C73B66" w:rsidP="00C73B66">
      <w:pPr>
        <w:pStyle w:val="BodyCopy"/>
        <w:spacing w:line="276" w:lineRule="auto"/>
      </w:pPr>
    </w:p>
    <w:p w:rsidR="00C73B66" w:rsidRDefault="00C73B66" w:rsidP="00C73B66">
      <w:pPr>
        <w:pStyle w:val="BodyCopy"/>
        <w:spacing w:line="276" w:lineRule="auto"/>
      </w:pPr>
      <w:r>
        <w:t xml:space="preserve">Age and gender were factors here, with a steep decline from those in S1 (80%) to those in S4 (60%) saying they liked school </w:t>
      </w:r>
      <w:r w:rsidR="003952F7">
        <w:t>and</w:t>
      </w:r>
      <w:r>
        <w:t xml:space="preserve"> boys </w:t>
      </w:r>
      <w:r w:rsidR="003952F7">
        <w:t>being more likely than girls to say they</w:t>
      </w:r>
      <w:r>
        <w:t xml:space="preserve"> liked school </w:t>
      </w:r>
      <w:r w:rsidR="003952F7">
        <w:t>(</w:t>
      </w:r>
      <w:r>
        <w:t>75% compared with 69%</w:t>
      </w:r>
      <w:r w:rsidR="003952F7">
        <w:t xml:space="preserve"> respectively)</w:t>
      </w:r>
      <w:r>
        <w:t>.</w:t>
      </w:r>
    </w:p>
    <w:p w:rsidR="00C73B66" w:rsidRDefault="00C73B66" w:rsidP="00C73B66">
      <w:pPr>
        <w:pStyle w:val="BodyCopy"/>
        <w:spacing w:line="276" w:lineRule="auto"/>
      </w:pPr>
    </w:p>
    <w:p w:rsidR="00C73B66" w:rsidRDefault="00C73B66" w:rsidP="00C73B66">
      <w:pPr>
        <w:pStyle w:val="BodyCopy"/>
        <w:spacing w:line="276" w:lineRule="auto"/>
      </w:pPr>
      <w:r>
        <w:t xml:space="preserve">A higher proportion of those living with two parents (75%) said they liked school compared with those living </w:t>
      </w:r>
      <w:r w:rsidR="003952F7">
        <w:t>in a one parent household,</w:t>
      </w:r>
      <w:r>
        <w:t xml:space="preserve"> </w:t>
      </w:r>
      <w:r w:rsidR="003952F7">
        <w:t xml:space="preserve">in a </w:t>
      </w:r>
      <w:r>
        <w:t>step-</w:t>
      </w:r>
      <w:r w:rsidR="003952F7">
        <w:t>family</w:t>
      </w:r>
      <w:r>
        <w:t xml:space="preserve"> or in another type of household (65%, 66% and 56% respectively).</w:t>
      </w:r>
    </w:p>
    <w:p w:rsidR="00C73B66" w:rsidRDefault="00C73B66" w:rsidP="00C73B66">
      <w:pPr>
        <w:pStyle w:val="BodyCopy"/>
        <w:spacing w:line="276" w:lineRule="auto"/>
      </w:pPr>
    </w:p>
    <w:p w:rsidR="00C73B66" w:rsidRDefault="00C73B66" w:rsidP="00C73B66">
      <w:pPr>
        <w:pStyle w:val="BodyCopy"/>
        <w:spacing w:line="276" w:lineRule="auto"/>
      </w:pPr>
      <w:r>
        <w:t xml:space="preserve">Those eligible for free school meals (63%) were less likely than those not eligible (73%) to say they liked school, and those in receipt of children’s services (57%) were </w:t>
      </w:r>
      <w:r w:rsidR="0080085A">
        <w:t xml:space="preserve">markedly </w:t>
      </w:r>
      <w:r>
        <w:t>less likely than those not in receipt (72%). Pupils with additional support needs were also less likely to do so, 68% compared with 72% of pupils with no additional support needs.</w:t>
      </w:r>
    </w:p>
    <w:p w:rsidR="006255FF" w:rsidRDefault="006255FF" w:rsidP="00C73B66">
      <w:pPr>
        <w:pStyle w:val="BodyCopy"/>
        <w:spacing w:line="276" w:lineRule="auto"/>
      </w:pPr>
    </w:p>
    <w:p w:rsidR="006255FF" w:rsidRDefault="006255FF" w:rsidP="00C73B66">
      <w:pPr>
        <w:pStyle w:val="BodyCopy"/>
        <w:spacing w:line="276" w:lineRule="auto"/>
      </w:pPr>
      <w:r>
        <w:rPr>
          <w:noProof/>
        </w:rPr>
        <w:drawing>
          <wp:inline distT="0" distB="0" distL="0" distR="0" wp14:anchorId="1CF547B7" wp14:editId="08CCFEBE">
            <wp:extent cx="4951095" cy="3314574"/>
            <wp:effectExtent l="0" t="0" r="190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23D8" w:rsidRPr="00477F31" w:rsidRDefault="00FF23D8" w:rsidP="00FF23D8">
      <w:pPr>
        <w:pStyle w:val="BodyCopy"/>
        <w:rPr>
          <w:i/>
          <w:sz w:val="18"/>
          <w:szCs w:val="18"/>
        </w:rPr>
      </w:pPr>
      <w:r w:rsidRPr="00477F31">
        <w:rPr>
          <w:i/>
          <w:sz w:val="18"/>
          <w:szCs w:val="18"/>
        </w:rPr>
        <w:t xml:space="preserve">Source: RCS secondary school survey, </w:t>
      </w:r>
      <w:r>
        <w:rPr>
          <w:i/>
          <w:sz w:val="18"/>
          <w:szCs w:val="18"/>
        </w:rPr>
        <w:t>Falkirk</w:t>
      </w:r>
      <w:r w:rsidRPr="00477F31">
        <w:rPr>
          <w:i/>
          <w:sz w:val="18"/>
          <w:szCs w:val="18"/>
        </w:rPr>
        <w:t xml:space="preserve"> 201</w:t>
      </w:r>
      <w:r>
        <w:rPr>
          <w:i/>
          <w:sz w:val="18"/>
          <w:szCs w:val="18"/>
        </w:rPr>
        <w:t>7</w:t>
      </w:r>
    </w:p>
    <w:p w:rsidR="00C73B66" w:rsidRDefault="00C73B66" w:rsidP="00C73B66">
      <w:pPr>
        <w:pStyle w:val="BodyCopy"/>
        <w:spacing w:line="276" w:lineRule="auto"/>
      </w:pPr>
    </w:p>
    <w:p w:rsidR="00C73B66" w:rsidRDefault="00C73B66" w:rsidP="00C73B66">
      <w:pPr>
        <w:pStyle w:val="BodyCopy"/>
        <w:spacing w:line="276" w:lineRule="auto"/>
      </w:pPr>
      <w:r>
        <w:t>When asked how often they felt strained or pressured by schoolwork, around a third of pupils (31%) said that they feel that way a lot of the time, 56% that they sometimes do and 13% that they never feel that way. Not surprisingly perhaps, the proportion feeling strained or pressured a lot of the time rose with age from 17</w:t>
      </w:r>
      <w:r w:rsidRPr="005C5DEA">
        <w:t xml:space="preserve">% in S1 to </w:t>
      </w:r>
      <w:r>
        <w:t>54</w:t>
      </w:r>
      <w:r w:rsidRPr="005C5DEA">
        <w:t>% in S4. It was also higher for girls (</w:t>
      </w:r>
      <w:r>
        <w:t>38</w:t>
      </w:r>
      <w:r w:rsidRPr="005C5DEA">
        <w:t>%) than boys (2</w:t>
      </w:r>
      <w:r>
        <w:t>3</w:t>
      </w:r>
      <w:r w:rsidRPr="005C5DEA">
        <w:t>%) and highest of all among girls in S4 (</w:t>
      </w:r>
      <w:r>
        <w:t>69</w:t>
      </w:r>
      <w:r w:rsidRPr="005C5DEA">
        <w:t>%)</w:t>
      </w:r>
      <w:r>
        <w:t>, which was substantially higher than for all other age and gender groups with S3 girls feeling the next most strained by schoolwork (41%) followed by S4 boys (40%)</w:t>
      </w:r>
      <w:r w:rsidRPr="005C5DEA">
        <w:t xml:space="preserve">. </w:t>
      </w:r>
    </w:p>
    <w:p w:rsidR="00C73B66" w:rsidRDefault="00C73B66" w:rsidP="00C73B66">
      <w:pPr>
        <w:pStyle w:val="BodyCopy"/>
        <w:spacing w:line="276" w:lineRule="auto"/>
      </w:pPr>
    </w:p>
    <w:p w:rsidR="00C73B66" w:rsidRDefault="00C73B66" w:rsidP="00C73B66">
      <w:pPr>
        <w:pStyle w:val="BodyCopy"/>
        <w:spacing w:line="276" w:lineRule="auto"/>
      </w:pPr>
      <w:r>
        <w:t>Those living with one parent (36%) were more likely to feel strained or pressured by school work than those living with two parents (29%)</w:t>
      </w:r>
      <w:r w:rsidR="003952F7">
        <w:t>, as were those</w:t>
      </w:r>
      <w:r>
        <w:t xml:space="preserve"> with no siblings at home </w:t>
      </w:r>
      <w:r w:rsidR="003952F7">
        <w:t>compared with those with one or more siblings (36% compared with 30% respectively)</w:t>
      </w:r>
      <w:r>
        <w:t xml:space="preserve">. </w:t>
      </w:r>
    </w:p>
    <w:p w:rsidR="00C73B66" w:rsidRDefault="00C73B66" w:rsidP="00C73B66">
      <w:pPr>
        <w:pStyle w:val="BodyCopy"/>
        <w:spacing w:line="276" w:lineRule="auto"/>
      </w:pPr>
    </w:p>
    <w:p w:rsidR="00C73B66" w:rsidRDefault="00C73B66" w:rsidP="00C73B66">
      <w:pPr>
        <w:pStyle w:val="BodyCopy"/>
        <w:spacing w:line="276" w:lineRule="auto"/>
      </w:pPr>
      <w:r>
        <w:t>Feeling pressured or strained by schoolwork was also associated with friendships, those who reported that all their close friends work hard were less likely to feel pressured, 29% in comparison with those who have some close friends (38%) or no close friends (42%) who work hard. Pupils with additional support needs were in fact less likely to feel pressured and strained by school work, 25% compared with 32% of those without.</w:t>
      </w:r>
    </w:p>
    <w:p w:rsidR="00C73B66" w:rsidRDefault="00C73B66" w:rsidP="00C73B66">
      <w:pPr>
        <w:pStyle w:val="BodyCopy"/>
        <w:spacing w:line="276" w:lineRule="auto"/>
      </w:pPr>
    </w:p>
    <w:p w:rsidR="00C73B66" w:rsidRDefault="00C73B66" w:rsidP="00C73B66">
      <w:pPr>
        <w:pStyle w:val="BodyCopy"/>
        <w:spacing w:line="276" w:lineRule="auto"/>
      </w:pPr>
      <w:r>
        <w:t xml:space="preserve">The majority (60%) of children indicated that they had not skipped school in the past year, but 22% </w:t>
      </w:r>
      <w:r w:rsidR="003266E5">
        <w:t xml:space="preserve">said they </w:t>
      </w:r>
      <w:r>
        <w:t xml:space="preserve">had done so once or twice, 13% between three and ten times and 5% more than ten times. The proportion who had </w:t>
      </w:r>
      <w:r w:rsidR="003266E5">
        <w:t xml:space="preserve">reported </w:t>
      </w:r>
      <w:r>
        <w:t>truant</w:t>
      </w:r>
      <w:r w:rsidR="003266E5">
        <w:t>ing</w:t>
      </w:r>
      <w:r>
        <w:t xml:space="preserve"> in the last year was higher among boys (42% compared with 37% of girls)</w:t>
      </w:r>
      <w:r w:rsidR="003952F7">
        <w:t>,</w:t>
      </w:r>
      <w:r>
        <w:t xml:space="preserve"> those eligible for free school meals (51% compared with 39% of those not eligible)</w:t>
      </w:r>
      <w:r w:rsidR="003952F7">
        <w:t>,</w:t>
      </w:r>
      <w:r>
        <w:t xml:space="preserve"> and those living in the most deprived quintile (46% falling to 34% in the least deprived). Truancy was less prevalent among those in a two</w:t>
      </w:r>
      <w:r w:rsidR="003952F7">
        <w:t xml:space="preserve"> </w:t>
      </w:r>
      <w:r>
        <w:t xml:space="preserve">parent </w:t>
      </w:r>
      <w:r>
        <w:lastRenderedPageBreak/>
        <w:t xml:space="preserve">household (36%) than those in </w:t>
      </w:r>
      <w:r w:rsidR="003952F7">
        <w:t xml:space="preserve">a one </w:t>
      </w:r>
      <w:r>
        <w:t>parent</w:t>
      </w:r>
      <w:r w:rsidR="003952F7">
        <w:t xml:space="preserve"> household</w:t>
      </w:r>
      <w:r>
        <w:t xml:space="preserve">, </w:t>
      </w:r>
      <w:r w:rsidR="003952F7">
        <w:t xml:space="preserve">a </w:t>
      </w:r>
      <w:r>
        <w:t>step-</w:t>
      </w:r>
      <w:r w:rsidR="003952F7">
        <w:t>family</w:t>
      </w:r>
      <w:r>
        <w:t xml:space="preserve"> or other type of household (50%, 47% and 56% respectively), and among those with siblings at home (39% compared with 44% of those without). Those with an additional support need (46%) were more likely to have skipped school in the past year than those without (39%), and more starkly, more than half of those in receipt of children’s services (54%) reported having skipped school, compared with four in ten (40%) of those not in receipt.</w:t>
      </w:r>
    </w:p>
    <w:p w:rsidR="00C73B66" w:rsidRDefault="00C73B66" w:rsidP="00C73B66">
      <w:pPr>
        <w:pStyle w:val="BodyCopy"/>
        <w:spacing w:line="276" w:lineRule="auto"/>
      </w:pPr>
    </w:p>
    <w:p w:rsidR="00C73B66" w:rsidRDefault="00C73B66" w:rsidP="00C73B66">
      <w:r>
        <w:t xml:space="preserve">Since starting secondary school, 8% of pupils had been </w:t>
      </w:r>
      <w:r w:rsidRPr="00BC0404">
        <w:t xml:space="preserve">'excluded' at some point. It should be noted that </w:t>
      </w:r>
      <w:r w:rsidRPr="00054CE5">
        <w:t>pupils’ understanding of this may not coincide with schools' own definitions of what constitutes</w:t>
      </w:r>
      <w:r w:rsidRPr="00BC0404">
        <w:t xml:space="preserve"> exclusion</w:t>
      </w:r>
      <w:r>
        <w:t xml:space="preserve"> and may even mean that pupils feel excluded in another manner, e.g. peer groups</w:t>
      </w:r>
      <w:r w:rsidRPr="00BC0404">
        <w:t>.  </w:t>
      </w:r>
      <w:r w:rsidRPr="00BC0404" w:rsidDel="00F93FBC">
        <w:t xml:space="preserve"> </w:t>
      </w:r>
    </w:p>
    <w:p w:rsidR="00C73B66" w:rsidRDefault="009A6CEB" w:rsidP="00C73B66">
      <w:r>
        <w:t>S</w:t>
      </w:r>
      <w:r w:rsidR="00C73B66">
        <w:t>elf-reported excl</w:t>
      </w:r>
      <w:r>
        <w:t>usion did not increase with age but boys were more likely than girls to report e</w:t>
      </w:r>
      <w:r w:rsidR="00C73B66">
        <w:t>xclusion (9% compared with 7%</w:t>
      </w:r>
      <w:r>
        <w:t>. There were higher levels of exclusion among</w:t>
      </w:r>
      <w:r w:rsidR="00C73B66">
        <w:t xml:space="preserve"> those eligible for free school meals (12% compared </w:t>
      </w:r>
      <w:r>
        <w:t>with 8% for those not eligible) and</w:t>
      </w:r>
      <w:r w:rsidR="00C73B66">
        <w:t xml:space="preserve"> those living in the</w:t>
      </w:r>
      <w:r>
        <w:t xml:space="preserve"> three</w:t>
      </w:r>
      <w:r w:rsidR="00C73B66">
        <w:t xml:space="preserve"> most deprived quintiles (9</w:t>
      </w:r>
      <w:r w:rsidR="003952F7">
        <w:t>%</w:t>
      </w:r>
      <w:r w:rsidR="00C73B66">
        <w:t xml:space="preserve">-11%) compared with </w:t>
      </w:r>
      <w:r w:rsidR="003952F7">
        <w:t>those living in the</w:t>
      </w:r>
      <w:r w:rsidR="00C73B66">
        <w:t xml:space="preserve"> two least deprived</w:t>
      </w:r>
      <w:r w:rsidR="003952F7">
        <w:t xml:space="preserve"> (5%</w:t>
      </w:r>
      <w:r w:rsidR="00D37A43">
        <w:t xml:space="preserve"> and </w:t>
      </w:r>
      <w:r w:rsidR="003952F7">
        <w:t>6%</w:t>
      </w:r>
      <w:r w:rsidR="0098502E">
        <w:t xml:space="preserve"> respecti</w:t>
      </w:r>
      <w:r w:rsidR="00D37A43">
        <w:t>vely</w:t>
      </w:r>
      <w:r w:rsidR="003952F7">
        <w:t>)</w:t>
      </w:r>
      <w:r>
        <w:t>.</w:t>
      </w:r>
      <w:r w:rsidR="00C73B66">
        <w:t xml:space="preserve"> </w:t>
      </w:r>
      <w:r>
        <w:t>T</w:t>
      </w:r>
      <w:r w:rsidR="00C73B66">
        <w:t xml:space="preserve">hose receiving children’s services </w:t>
      </w:r>
      <w:r>
        <w:t xml:space="preserve">were also more likely to self-report exclusion </w:t>
      </w:r>
      <w:r w:rsidR="00C73B66">
        <w:t>(29% compared with 7</w:t>
      </w:r>
      <w:r>
        <w:t>% for those not receiving them).</w:t>
      </w:r>
      <w:r w:rsidR="00C73B66">
        <w:t xml:space="preserve"> </w:t>
      </w:r>
      <w:r>
        <w:t>T</w:t>
      </w:r>
      <w:r w:rsidR="00C73B66">
        <w:t>hose with additional support needs</w:t>
      </w:r>
      <w:r>
        <w:t xml:space="preserve"> generally reported exclusion more than those without</w:t>
      </w:r>
      <w:r w:rsidR="00C73B66">
        <w:t xml:space="preserve"> (15% comp</w:t>
      </w:r>
      <w:r>
        <w:t>ared with 7% for those without).</w:t>
      </w:r>
      <w:r w:rsidR="00C73B66">
        <w:t xml:space="preserve"> </w:t>
      </w:r>
      <w:r>
        <w:t>T</w:t>
      </w:r>
      <w:r w:rsidR="00C73B66">
        <w:t>hose with</w:t>
      </w:r>
      <w:r>
        <w:t>out</w:t>
      </w:r>
      <w:r w:rsidR="00C73B66">
        <w:t xml:space="preserve"> siblings at home (11% compared with 7% of those with one or more siblings at home), and those living with neither parent </w:t>
      </w:r>
      <w:r>
        <w:t xml:space="preserve">also had higher rates or self-reported exclusion </w:t>
      </w:r>
      <w:r w:rsidR="00C73B66">
        <w:t>(33% compared with 6% of those in a two</w:t>
      </w:r>
      <w:r w:rsidR="003952F7">
        <w:t xml:space="preserve"> </w:t>
      </w:r>
      <w:r w:rsidR="00C73B66">
        <w:t xml:space="preserve">parent household, 10% in a </w:t>
      </w:r>
      <w:r w:rsidR="003952F7">
        <w:t>one</w:t>
      </w:r>
      <w:r w:rsidR="00DE0FC5">
        <w:t xml:space="preserve"> </w:t>
      </w:r>
      <w:r w:rsidR="00C73B66">
        <w:t>parent household and 12% in a step-family).</w:t>
      </w:r>
    </w:p>
    <w:p w:rsidR="004D3C1A" w:rsidRPr="00F8111B" w:rsidRDefault="004D3C1A" w:rsidP="004D3C1A">
      <w:pPr>
        <w:pStyle w:val="Heading3"/>
        <w:numPr>
          <w:ilvl w:val="3"/>
          <w:numId w:val="13"/>
        </w:numPr>
        <w:spacing w:line="276" w:lineRule="auto"/>
      </w:pPr>
      <w:bookmarkStart w:id="42" w:name="_Toc491244125"/>
      <w:bookmarkStart w:id="43" w:name="_Toc494182048"/>
      <w:r w:rsidRPr="00F8111B">
        <w:t>Perception of school</w:t>
      </w:r>
      <w:bookmarkEnd w:id="42"/>
      <w:bookmarkEnd w:id="43"/>
    </w:p>
    <w:p w:rsidR="004D3C1A" w:rsidRDefault="004D3C1A" w:rsidP="004D3C1A">
      <w:pPr>
        <w:pStyle w:val="BodyCopy"/>
        <w:spacing w:line="276" w:lineRule="auto"/>
      </w:pPr>
      <w:r>
        <w:t xml:space="preserve">Next, pupils were asked how often they find school interesting and how often they find it a waste of time. Overall, 20% said that they find school a waste of time ‘most’ or ‘all of the time’ while more than double (45%) said they find school interesting ‘most’ or ‘all of the time’. </w:t>
      </w:r>
    </w:p>
    <w:p w:rsidR="004D3C1A" w:rsidRDefault="004D3C1A" w:rsidP="004D3C1A">
      <w:pPr>
        <w:pStyle w:val="BodyCopy"/>
        <w:spacing w:line="276" w:lineRule="auto"/>
      </w:pPr>
    </w:p>
    <w:p w:rsidR="004D3C1A" w:rsidRDefault="004D3C1A" w:rsidP="004D3C1A">
      <w:pPr>
        <w:pStyle w:val="BodyCopy"/>
        <w:spacing w:line="276" w:lineRule="auto"/>
      </w:pPr>
      <w:r>
        <w:t>As pupils got older, they were more likely to say school is a waste of time most or all of the time (17% in S1</w:t>
      </w:r>
      <w:r w:rsidR="00A535B6">
        <w:t xml:space="preserve"> compared with 25% in S4</w:t>
      </w:r>
      <w:r>
        <w:t>) and less likely to say it is interesting most or all of the time (</w:t>
      </w:r>
      <w:r w:rsidR="00A535B6">
        <w:t xml:space="preserve">51% in S1 compared with </w:t>
      </w:r>
      <w:r>
        <w:t>37% in S4</w:t>
      </w:r>
      <w:r w:rsidR="00D37A43">
        <w:t xml:space="preserve">). </w:t>
      </w:r>
      <w:r>
        <w:t>Those living in the most deprived areas were also more likely to say school is a waste of time most or all of the time (22% compared with 16% of those living in the least deprived areas) and less likely to say it is interesting most or all of the time (42% compared with 48%</w:t>
      </w:r>
      <w:r w:rsidR="00A535B6">
        <w:t xml:space="preserve"> respectively</w:t>
      </w:r>
      <w:r>
        <w:t xml:space="preserve">). </w:t>
      </w:r>
    </w:p>
    <w:p w:rsidR="004D3C1A" w:rsidRDefault="004D3C1A" w:rsidP="004D3C1A">
      <w:pPr>
        <w:pStyle w:val="BodyCopy"/>
        <w:spacing w:line="276" w:lineRule="auto"/>
      </w:pPr>
    </w:p>
    <w:p w:rsidR="004D3C1A" w:rsidRDefault="004D3C1A" w:rsidP="004D3C1A">
      <w:pPr>
        <w:pStyle w:val="BodyCopy"/>
        <w:spacing w:line="276" w:lineRule="auto"/>
      </w:pPr>
      <w:r>
        <w:t>Family structure also played a role in how pupils evaluated school</w:t>
      </w:r>
      <w:r w:rsidR="00A535B6">
        <w:t>, with</w:t>
      </w:r>
      <w:r>
        <w:t xml:space="preserve"> </w:t>
      </w:r>
      <w:r w:rsidR="00A535B6">
        <w:t>p</w:t>
      </w:r>
      <w:r>
        <w:t xml:space="preserve">upils with no siblings </w:t>
      </w:r>
      <w:r w:rsidR="00A535B6">
        <w:t xml:space="preserve">being </w:t>
      </w:r>
      <w:r>
        <w:t xml:space="preserve">more likely </w:t>
      </w:r>
      <w:r w:rsidR="00A535B6">
        <w:t xml:space="preserve">to </w:t>
      </w:r>
      <w:r>
        <w:t>find school a waste of time (23% compared with 19%</w:t>
      </w:r>
      <w:r w:rsidR="00A535B6">
        <w:t xml:space="preserve"> of those with siblings</w:t>
      </w:r>
      <w:r>
        <w:t>) and less likely to find it interesting (41% compared with 45%</w:t>
      </w:r>
      <w:r w:rsidR="00A535B6">
        <w:t xml:space="preserve"> respectively</w:t>
      </w:r>
      <w:r>
        <w:t>). Similarly, those living</w:t>
      </w:r>
      <w:r w:rsidR="00A535B6">
        <w:t xml:space="preserve"> in</w:t>
      </w:r>
      <w:r>
        <w:t xml:space="preserve"> step-families or </w:t>
      </w:r>
      <w:r w:rsidR="00A535B6">
        <w:t>in one</w:t>
      </w:r>
      <w:r>
        <w:t xml:space="preserve"> parent</w:t>
      </w:r>
      <w:r w:rsidR="00A535B6">
        <w:t xml:space="preserve"> households</w:t>
      </w:r>
      <w:r>
        <w:t xml:space="preserve"> were more likely to find school a waste of time (26</w:t>
      </w:r>
      <w:r w:rsidR="00A535B6">
        <w:t xml:space="preserve">% and </w:t>
      </w:r>
      <w:r>
        <w:t>23%</w:t>
      </w:r>
      <w:r w:rsidR="00A535B6">
        <w:t xml:space="preserve"> respectively</w:t>
      </w:r>
      <w:r w:rsidR="00D37A43">
        <w:t>,</w:t>
      </w:r>
      <w:r>
        <w:t xml:space="preserve"> compared with 18% of those living with two parents) and less </w:t>
      </w:r>
      <w:r>
        <w:lastRenderedPageBreak/>
        <w:t>likely to find school interesting (37</w:t>
      </w:r>
      <w:r w:rsidR="00DF00F8">
        <w:t>% of those in step-families and</w:t>
      </w:r>
      <w:r w:rsidR="002F6748">
        <w:t xml:space="preserve"> </w:t>
      </w:r>
      <w:r>
        <w:t>41%</w:t>
      </w:r>
      <w:r w:rsidR="00DF00F8">
        <w:t xml:space="preserve"> in one parent households</w:t>
      </w:r>
      <w:r w:rsidR="00D37A43">
        <w:t>,</w:t>
      </w:r>
      <w:r>
        <w:t xml:space="preserve"> compared with 48%</w:t>
      </w:r>
      <w:r w:rsidR="00DF00F8">
        <w:t xml:space="preserve"> in two parent households</w:t>
      </w:r>
      <w:r>
        <w:t>).</w:t>
      </w:r>
    </w:p>
    <w:p w:rsidR="004D3C1A" w:rsidRDefault="004D3C1A" w:rsidP="004D3C1A">
      <w:pPr>
        <w:pStyle w:val="BodyCopy"/>
        <w:spacing w:line="276" w:lineRule="auto"/>
      </w:pPr>
    </w:p>
    <w:p w:rsidR="004D3C1A" w:rsidRDefault="004D3C1A" w:rsidP="004D3C1A">
      <w:pPr>
        <w:pStyle w:val="BodyCopy"/>
        <w:spacing w:line="276" w:lineRule="auto"/>
      </w:pPr>
      <w:r>
        <w:t>In addition those receiving free school meals were more likely to find school a waste of time (27% compared with 19%</w:t>
      </w:r>
      <w:r w:rsidR="00DF00F8">
        <w:t xml:space="preserve"> not receiving free school meals</w:t>
      </w:r>
      <w:r>
        <w:t xml:space="preserve">), although </w:t>
      </w:r>
      <w:r w:rsidR="00DF00F8">
        <w:t>there was no</w:t>
      </w:r>
      <w:r>
        <w:t xml:space="preserve"> significan</w:t>
      </w:r>
      <w:r w:rsidR="00DF00F8">
        <w:t>t</w:t>
      </w:r>
      <w:r>
        <w:t xml:space="preserve"> difference </w:t>
      </w:r>
      <w:r w:rsidR="00D37A43">
        <w:t>in</w:t>
      </w:r>
      <w:r w:rsidR="00DF00F8">
        <w:t xml:space="preserve"> whether</w:t>
      </w:r>
      <w:r>
        <w:t xml:space="preserve"> they find school interesting. Also, boys were more likely to find school interesting (47% compared with 43%</w:t>
      </w:r>
      <w:r w:rsidR="00D37A43">
        <w:t xml:space="preserve"> of girls</w:t>
      </w:r>
      <w:r>
        <w:t xml:space="preserve">) </w:t>
      </w:r>
      <w:r w:rsidR="00DF00F8">
        <w:t xml:space="preserve">but there were no differences by gender in relation to whether </w:t>
      </w:r>
      <w:r>
        <w:t>they f</w:t>
      </w:r>
      <w:r w:rsidR="00DF00F8">
        <w:t>ou</w:t>
      </w:r>
      <w:r>
        <w:t>nd school a waste of time.</w:t>
      </w:r>
    </w:p>
    <w:p w:rsidR="00887E5A" w:rsidRDefault="00887E5A" w:rsidP="004D3C1A">
      <w:pPr>
        <w:pStyle w:val="BodyCopy"/>
        <w:spacing w:line="276" w:lineRule="auto"/>
      </w:pPr>
    </w:p>
    <w:tbl>
      <w:tblPr>
        <w:tblW w:w="8674" w:type="dxa"/>
        <w:tblInd w:w="93" w:type="dxa"/>
        <w:tblLook w:val="04A0" w:firstRow="1" w:lastRow="0" w:firstColumn="1" w:lastColumn="0" w:noHBand="0" w:noVBand="1"/>
      </w:tblPr>
      <w:tblGrid>
        <w:gridCol w:w="3269"/>
        <w:gridCol w:w="939"/>
        <w:gridCol w:w="881"/>
        <w:gridCol w:w="816"/>
        <w:gridCol w:w="816"/>
        <w:gridCol w:w="892"/>
        <w:gridCol w:w="1061"/>
      </w:tblGrid>
      <w:tr w:rsidR="00887E5A" w:rsidRPr="001D071F" w:rsidTr="00336269">
        <w:trPr>
          <w:trHeight w:val="340"/>
        </w:trPr>
        <w:tc>
          <w:tcPr>
            <w:tcW w:w="8674" w:type="dxa"/>
            <w:gridSpan w:val="7"/>
            <w:tcBorders>
              <w:top w:val="single" w:sz="12" w:space="0" w:color="auto"/>
              <w:left w:val="nil"/>
              <w:bottom w:val="nil"/>
              <w:right w:val="nil"/>
            </w:tcBorders>
            <w:shd w:val="clear" w:color="auto" w:fill="auto"/>
            <w:hideMark/>
          </w:tcPr>
          <w:p w:rsidR="00887E5A" w:rsidRPr="001D071F" w:rsidRDefault="00887E5A" w:rsidP="00336269">
            <w:pPr>
              <w:keepNext/>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Table 2.3.2b</w:t>
            </w:r>
            <w:r w:rsidRPr="001D071F">
              <w:rPr>
                <w:rFonts w:ascii="Arial" w:eastAsia="Times New Roman" w:hAnsi="Arial" w:cs="Arial"/>
                <w:b/>
                <w:bCs/>
                <w:color w:val="000000"/>
                <w:sz w:val="20"/>
                <w:szCs w:val="20"/>
                <w:lang w:eastAsia="en-GB"/>
              </w:rPr>
              <w:t xml:space="preserve"> </w:t>
            </w:r>
            <w:r>
              <w:rPr>
                <w:rFonts w:ascii="Arial" w:eastAsia="Times New Roman" w:hAnsi="Arial" w:cs="Arial"/>
                <w:b/>
                <w:bCs/>
                <w:color w:val="000000"/>
                <w:sz w:val="20"/>
                <w:szCs w:val="20"/>
                <w:lang w:eastAsia="en-GB"/>
              </w:rPr>
              <w:t>Finds school interesting</w:t>
            </w:r>
          </w:p>
        </w:tc>
      </w:tr>
      <w:tr w:rsidR="00887E5A" w:rsidRPr="001D071F" w:rsidTr="00336269">
        <w:trPr>
          <w:trHeight w:val="794"/>
        </w:trPr>
        <w:tc>
          <w:tcPr>
            <w:tcW w:w="3269" w:type="dxa"/>
            <w:tcBorders>
              <w:top w:val="nil"/>
              <w:left w:val="nil"/>
              <w:bottom w:val="single" w:sz="12" w:space="0" w:color="auto"/>
              <w:right w:val="nil"/>
            </w:tcBorders>
            <w:shd w:val="clear" w:color="auto" w:fill="auto"/>
            <w:vAlign w:val="center"/>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How often do you find school interesting?</w:t>
            </w:r>
          </w:p>
        </w:tc>
        <w:tc>
          <w:tcPr>
            <w:tcW w:w="939" w:type="dxa"/>
            <w:tcBorders>
              <w:top w:val="nil"/>
              <w:left w:val="nil"/>
              <w:bottom w:val="single" w:sz="12" w:space="0" w:color="auto"/>
              <w:right w:val="nil"/>
            </w:tcBorders>
            <w:shd w:val="clear" w:color="auto" w:fill="auto"/>
            <w:vAlign w:val="center"/>
            <w:hideMark/>
          </w:tcPr>
          <w:p w:rsidR="00887E5A" w:rsidRDefault="00887E5A" w:rsidP="00336269">
            <w:pPr>
              <w:spacing w:after="0" w:line="240" w:lineRule="auto"/>
              <w:jc w:val="center"/>
              <w:rPr>
                <w:rFonts w:ascii="Arial" w:hAnsi="Arial" w:cs="Arial"/>
                <w:color w:val="000000"/>
                <w:sz w:val="20"/>
                <w:szCs w:val="20"/>
              </w:rPr>
            </w:pPr>
            <w:r>
              <w:rPr>
                <w:rFonts w:ascii="Arial" w:hAnsi="Arial" w:cs="Arial"/>
                <w:color w:val="000000"/>
                <w:sz w:val="20"/>
                <w:szCs w:val="20"/>
              </w:rPr>
              <w:t>All of the time</w:t>
            </w:r>
          </w:p>
        </w:tc>
        <w:tc>
          <w:tcPr>
            <w:tcW w:w="881" w:type="dxa"/>
            <w:tcBorders>
              <w:top w:val="nil"/>
              <w:left w:val="nil"/>
              <w:bottom w:val="single" w:sz="12" w:space="0" w:color="auto"/>
              <w:right w:val="nil"/>
            </w:tcBorders>
            <w:shd w:val="clear" w:color="auto" w:fill="auto"/>
            <w:vAlign w:val="center"/>
            <w:hideMark/>
          </w:tcPr>
          <w:p w:rsidR="00887E5A" w:rsidRDefault="00887E5A" w:rsidP="00336269">
            <w:pPr>
              <w:spacing w:after="0" w:line="240" w:lineRule="auto"/>
              <w:jc w:val="center"/>
              <w:rPr>
                <w:rFonts w:ascii="Arial" w:hAnsi="Arial" w:cs="Arial"/>
                <w:color w:val="000000"/>
                <w:sz w:val="20"/>
                <w:szCs w:val="20"/>
              </w:rPr>
            </w:pPr>
            <w:r>
              <w:rPr>
                <w:rFonts w:ascii="Arial" w:hAnsi="Arial" w:cs="Arial"/>
                <w:color w:val="000000"/>
                <w:sz w:val="20"/>
                <w:szCs w:val="20"/>
              </w:rPr>
              <w:t>Most of the time</w:t>
            </w:r>
          </w:p>
        </w:tc>
        <w:tc>
          <w:tcPr>
            <w:tcW w:w="816" w:type="dxa"/>
            <w:tcBorders>
              <w:top w:val="nil"/>
              <w:left w:val="nil"/>
              <w:bottom w:val="single" w:sz="12" w:space="0" w:color="auto"/>
              <w:right w:val="nil"/>
            </w:tcBorders>
            <w:shd w:val="clear" w:color="auto" w:fill="auto"/>
            <w:vAlign w:val="center"/>
            <w:hideMark/>
          </w:tcPr>
          <w:p w:rsidR="00887E5A" w:rsidRDefault="00887E5A" w:rsidP="00336269">
            <w:pPr>
              <w:spacing w:after="0" w:line="240" w:lineRule="auto"/>
              <w:jc w:val="center"/>
              <w:rPr>
                <w:rFonts w:ascii="Arial" w:hAnsi="Arial" w:cs="Arial"/>
                <w:color w:val="000000"/>
                <w:sz w:val="20"/>
                <w:szCs w:val="20"/>
              </w:rPr>
            </w:pPr>
            <w:r>
              <w:rPr>
                <w:rFonts w:ascii="Arial" w:hAnsi="Arial" w:cs="Arial"/>
                <w:color w:val="000000"/>
                <w:sz w:val="20"/>
                <w:szCs w:val="20"/>
              </w:rPr>
              <w:t>Some of the time</w:t>
            </w:r>
          </w:p>
        </w:tc>
        <w:tc>
          <w:tcPr>
            <w:tcW w:w="816" w:type="dxa"/>
            <w:tcBorders>
              <w:top w:val="nil"/>
              <w:left w:val="nil"/>
              <w:bottom w:val="single" w:sz="12" w:space="0" w:color="auto"/>
              <w:right w:val="nil"/>
            </w:tcBorders>
            <w:shd w:val="clear" w:color="auto" w:fill="auto"/>
            <w:vAlign w:val="center"/>
            <w:hideMark/>
          </w:tcPr>
          <w:p w:rsidR="00887E5A" w:rsidRDefault="00887E5A" w:rsidP="00336269">
            <w:pPr>
              <w:spacing w:after="0" w:line="240" w:lineRule="auto"/>
              <w:jc w:val="center"/>
              <w:rPr>
                <w:rFonts w:ascii="Arial" w:hAnsi="Arial" w:cs="Arial"/>
                <w:color w:val="000000"/>
                <w:sz w:val="20"/>
                <w:szCs w:val="20"/>
              </w:rPr>
            </w:pPr>
            <w:r>
              <w:rPr>
                <w:rFonts w:ascii="Arial" w:hAnsi="Arial" w:cs="Arial"/>
                <w:color w:val="000000"/>
                <w:sz w:val="20"/>
                <w:szCs w:val="20"/>
              </w:rPr>
              <w:t>Never</w:t>
            </w:r>
          </w:p>
        </w:tc>
        <w:tc>
          <w:tcPr>
            <w:tcW w:w="892" w:type="dxa"/>
            <w:tcBorders>
              <w:top w:val="nil"/>
              <w:left w:val="nil"/>
              <w:bottom w:val="single" w:sz="12" w:space="0" w:color="auto"/>
              <w:right w:val="nil"/>
            </w:tcBorders>
            <w:shd w:val="clear" w:color="auto" w:fill="auto"/>
            <w:vAlign w:val="center"/>
            <w:hideMark/>
          </w:tcPr>
          <w:p w:rsidR="00887E5A" w:rsidRPr="00697850" w:rsidRDefault="00887E5A" w:rsidP="00336269">
            <w:pPr>
              <w:keepNext/>
              <w:spacing w:after="0" w:line="240" w:lineRule="auto"/>
              <w:jc w:val="center"/>
              <w:rPr>
                <w:rFonts w:ascii="Arial" w:eastAsia="Times New Roman" w:hAnsi="Arial" w:cs="Arial"/>
                <w:i/>
                <w:iCs/>
                <w:color w:val="000000"/>
                <w:sz w:val="16"/>
                <w:szCs w:val="16"/>
                <w:lang w:eastAsia="en-GB"/>
              </w:rPr>
            </w:pPr>
            <w:r w:rsidRPr="00697850">
              <w:rPr>
                <w:rFonts w:ascii="Arial" w:eastAsia="Times New Roman" w:hAnsi="Arial" w:cs="Arial"/>
                <w:i/>
                <w:iCs/>
                <w:color w:val="000000"/>
                <w:sz w:val="16"/>
                <w:szCs w:val="16"/>
                <w:lang w:eastAsia="en-GB"/>
              </w:rPr>
              <w:t>Weighted bases</w:t>
            </w:r>
          </w:p>
        </w:tc>
        <w:tc>
          <w:tcPr>
            <w:tcW w:w="1061" w:type="dxa"/>
            <w:tcBorders>
              <w:top w:val="nil"/>
              <w:left w:val="nil"/>
              <w:bottom w:val="single" w:sz="12" w:space="0" w:color="auto"/>
              <w:right w:val="nil"/>
            </w:tcBorders>
            <w:shd w:val="clear" w:color="auto" w:fill="auto"/>
            <w:vAlign w:val="center"/>
            <w:hideMark/>
          </w:tcPr>
          <w:p w:rsidR="00887E5A" w:rsidRPr="00697850" w:rsidRDefault="00887E5A" w:rsidP="00336269">
            <w:pPr>
              <w:keepNext/>
              <w:spacing w:after="0" w:line="240" w:lineRule="auto"/>
              <w:jc w:val="center"/>
              <w:rPr>
                <w:rFonts w:ascii="Arial" w:eastAsia="Times New Roman" w:hAnsi="Arial" w:cs="Arial"/>
                <w:i/>
                <w:iCs/>
                <w:color w:val="000000"/>
                <w:sz w:val="16"/>
                <w:szCs w:val="16"/>
                <w:lang w:eastAsia="en-GB"/>
              </w:rPr>
            </w:pPr>
            <w:r w:rsidRPr="00697850">
              <w:rPr>
                <w:rFonts w:ascii="Arial" w:eastAsia="Times New Roman" w:hAnsi="Arial" w:cs="Arial"/>
                <w:i/>
                <w:iCs/>
                <w:color w:val="000000"/>
                <w:sz w:val="16"/>
                <w:szCs w:val="16"/>
                <w:lang w:eastAsia="en-GB"/>
              </w:rPr>
              <w:t>Unweighted bases</w:t>
            </w:r>
          </w:p>
        </w:tc>
      </w:tr>
      <w:tr w:rsidR="00887E5A" w:rsidRPr="001D071F" w:rsidTr="00336269">
        <w:trPr>
          <w:trHeight w:val="283"/>
        </w:trPr>
        <w:tc>
          <w:tcPr>
            <w:tcW w:w="8674" w:type="dxa"/>
            <w:gridSpan w:val="7"/>
            <w:tcBorders>
              <w:top w:val="nil"/>
              <w:left w:val="nil"/>
              <w:bottom w:val="single" w:sz="4" w:space="0" w:color="auto"/>
              <w:right w:val="nil"/>
            </w:tcBorders>
            <w:shd w:val="clear" w:color="auto" w:fill="auto"/>
            <w:noWrap/>
            <w:vAlign w:val="center"/>
            <w:hideMark/>
          </w:tcPr>
          <w:p w:rsidR="00887E5A" w:rsidRPr="001D071F" w:rsidRDefault="00887E5A" w:rsidP="00336269">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887E5A" w:rsidRPr="001D071F" w:rsidTr="0089029F">
        <w:trPr>
          <w:trHeight w:val="300"/>
        </w:trPr>
        <w:tc>
          <w:tcPr>
            <w:tcW w:w="3269" w:type="dxa"/>
            <w:tcBorders>
              <w:top w:val="nil"/>
              <w:left w:val="nil"/>
              <w:bottom w:val="nil"/>
              <w:right w:val="nil"/>
            </w:tcBorders>
            <w:shd w:val="clear" w:color="auto" w:fill="auto"/>
            <w:noWrap/>
            <w:vAlign w:val="center"/>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All</w:t>
            </w:r>
          </w:p>
        </w:tc>
        <w:tc>
          <w:tcPr>
            <w:tcW w:w="939"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38</w:t>
            </w:r>
          </w:p>
        </w:tc>
        <w:tc>
          <w:tcPr>
            <w:tcW w:w="816"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816"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4210</w:t>
            </w:r>
          </w:p>
        </w:tc>
        <w:tc>
          <w:tcPr>
            <w:tcW w:w="1061" w:type="dxa"/>
            <w:tcBorders>
              <w:top w:val="nil"/>
              <w:left w:val="nil"/>
              <w:bottom w:val="nil"/>
              <w:right w:val="nil"/>
            </w:tcBorders>
            <w:shd w:val="clear" w:color="auto" w:fill="auto"/>
            <w:noWrap/>
            <w:vAlign w:val="center"/>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4212</w:t>
            </w:r>
          </w:p>
        </w:tc>
      </w:tr>
      <w:tr w:rsidR="00887E5A" w:rsidRPr="001D071F" w:rsidTr="0089029F">
        <w:trPr>
          <w:trHeight w:val="300"/>
        </w:trPr>
        <w:tc>
          <w:tcPr>
            <w:tcW w:w="3269" w:type="dxa"/>
            <w:tcBorders>
              <w:top w:val="nil"/>
              <w:left w:val="nil"/>
              <w:bottom w:val="nil"/>
              <w:right w:val="nil"/>
            </w:tcBorders>
            <w:shd w:val="clear" w:color="auto" w:fill="auto"/>
            <w:noWrap/>
            <w:vAlign w:val="bottom"/>
          </w:tcPr>
          <w:p w:rsidR="00887E5A" w:rsidRPr="001D071F" w:rsidRDefault="00887E5A"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S1</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41</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41</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1080</w:t>
            </w: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1145</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S2</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1082</w:t>
            </w: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1119</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S3</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36</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49</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1017</w:t>
            </w: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945</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S4</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53</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994</w:t>
            </w: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945</w:t>
            </w:r>
          </w:p>
        </w:tc>
      </w:tr>
      <w:tr w:rsidR="00887E5A" w:rsidRPr="001D071F" w:rsidTr="0089029F">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8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Boys</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39</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2007</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1934</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Girls</w:t>
            </w:r>
          </w:p>
        </w:tc>
        <w:tc>
          <w:tcPr>
            <w:tcW w:w="939"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37</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48</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2130</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2154</w:t>
            </w:r>
          </w:p>
        </w:tc>
      </w:tr>
      <w:tr w:rsidR="00887E5A" w:rsidRPr="001D071F" w:rsidTr="0089029F">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8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r>
      <w:tr w:rsidR="00887E5A" w:rsidRPr="001D071F" w:rsidTr="0089029F">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1 (most deprived)</w:t>
            </w: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8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49</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571</w:t>
            </w: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570</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2</w:t>
            </w: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35</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47</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1159</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1159</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3</w:t>
            </w: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37</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747</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747</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4</w:t>
            </w: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42</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835</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838</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SIMD quintile 5 (least deprived)</w:t>
            </w: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41</w:t>
            </w:r>
          </w:p>
        </w:tc>
        <w:tc>
          <w:tcPr>
            <w:tcW w:w="816"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92"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891</w:t>
            </w:r>
          </w:p>
        </w:tc>
        <w:tc>
          <w:tcPr>
            <w:tcW w:w="1061" w:type="dxa"/>
            <w:tcBorders>
              <w:top w:val="nil"/>
              <w:left w:val="nil"/>
              <w:bottom w:val="nil"/>
              <w:right w:val="nil"/>
            </w:tcBorders>
            <w:shd w:val="clear" w:color="auto" w:fill="auto"/>
            <w:noWrap/>
            <w:vAlign w:val="bottom"/>
          </w:tcPr>
          <w:p w:rsidR="00887E5A" w:rsidRDefault="00887E5A"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890</w:t>
            </w:r>
          </w:p>
        </w:tc>
      </w:tr>
      <w:tr w:rsidR="00887E5A" w:rsidRPr="001D071F" w:rsidTr="0089029F">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8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color w:val="000000"/>
                <w:sz w:val="20"/>
                <w:szCs w:val="20"/>
              </w:rPr>
            </w:pPr>
          </w:p>
        </w:tc>
        <w:tc>
          <w:tcPr>
            <w:tcW w:w="892"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c>
          <w:tcPr>
            <w:tcW w:w="1061" w:type="dxa"/>
            <w:tcBorders>
              <w:top w:val="nil"/>
              <w:left w:val="nil"/>
              <w:bottom w:val="nil"/>
              <w:right w:val="nil"/>
            </w:tcBorders>
            <w:shd w:val="clear" w:color="auto" w:fill="auto"/>
            <w:noWrap/>
            <w:vAlign w:val="bottom"/>
            <w:hideMark/>
          </w:tcPr>
          <w:p w:rsidR="00887E5A" w:rsidRDefault="00887E5A" w:rsidP="00336269">
            <w:pPr>
              <w:spacing w:after="0" w:line="240" w:lineRule="auto"/>
              <w:jc w:val="right"/>
              <w:rPr>
                <w:rFonts w:ascii="Arial" w:hAnsi="Arial" w:cs="Arial"/>
                <w:i/>
                <w:iCs/>
                <w:color w:val="000000"/>
                <w:sz w:val="20"/>
                <w:szCs w:val="20"/>
              </w:rPr>
            </w:pP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Eligible for free school meals</w:t>
            </w:r>
          </w:p>
        </w:tc>
        <w:tc>
          <w:tcPr>
            <w:tcW w:w="939"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8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892"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456</w:t>
            </w:r>
          </w:p>
        </w:tc>
        <w:tc>
          <w:tcPr>
            <w:tcW w:w="106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458</w:t>
            </w:r>
          </w:p>
        </w:tc>
      </w:tr>
      <w:tr w:rsidR="00887E5A" w:rsidRPr="001D071F" w:rsidTr="00887E5A">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Not eligible for free school meals</w:t>
            </w:r>
          </w:p>
        </w:tc>
        <w:tc>
          <w:tcPr>
            <w:tcW w:w="939"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38</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3754</w:t>
            </w:r>
          </w:p>
        </w:tc>
        <w:tc>
          <w:tcPr>
            <w:tcW w:w="106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3754</w:t>
            </w:r>
          </w:p>
        </w:tc>
      </w:tr>
      <w:tr w:rsidR="007B2779" w:rsidRPr="001D071F" w:rsidTr="00887E5A">
        <w:trPr>
          <w:trHeight w:val="300"/>
        </w:trPr>
        <w:tc>
          <w:tcPr>
            <w:tcW w:w="3269" w:type="dxa"/>
            <w:tcBorders>
              <w:top w:val="nil"/>
              <w:left w:val="nil"/>
              <w:bottom w:val="nil"/>
              <w:right w:val="nil"/>
            </w:tcBorders>
            <w:shd w:val="clear" w:color="auto" w:fill="auto"/>
            <w:noWrap/>
            <w:vAlign w:val="bottom"/>
          </w:tcPr>
          <w:p w:rsidR="007B2779" w:rsidRDefault="007B2779" w:rsidP="00336269">
            <w:pPr>
              <w:keepNext/>
              <w:spacing w:after="0" w:line="240" w:lineRule="auto"/>
              <w:rPr>
                <w:rFonts w:ascii="Arial" w:eastAsia="Times New Roman" w:hAnsi="Arial" w:cs="Arial"/>
                <w:color w:val="000000"/>
                <w:sz w:val="20"/>
                <w:szCs w:val="20"/>
                <w:lang w:eastAsia="en-GB"/>
              </w:rPr>
            </w:pPr>
          </w:p>
          <w:p w:rsidR="007B2779" w:rsidRPr="001D071F" w:rsidRDefault="007B2779" w:rsidP="00336269">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No siblings at home</w:t>
            </w:r>
          </w:p>
        </w:tc>
        <w:tc>
          <w:tcPr>
            <w:tcW w:w="939"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816"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816"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892"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895</w:t>
            </w:r>
          </w:p>
        </w:tc>
        <w:tc>
          <w:tcPr>
            <w:tcW w:w="1061"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893</w:t>
            </w:r>
          </w:p>
        </w:tc>
      </w:tr>
      <w:tr w:rsidR="00887E5A" w:rsidRPr="001D071F" w:rsidTr="0089029F">
        <w:trPr>
          <w:trHeight w:val="300"/>
        </w:trPr>
        <w:tc>
          <w:tcPr>
            <w:tcW w:w="3269" w:type="dxa"/>
            <w:tcBorders>
              <w:top w:val="nil"/>
              <w:left w:val="nil"/>
              <w:bottom w:val="nil"/>
              <w:right w:val="nil"/>
            </w:tcBorders>
            <w:shd w:val="clear" w:color="auto" w:fill="auto"/>
            <w:noWrap/>
            <w:vAlign w:val="bottom"/>
            <w:hideMark/>
          </w:tcPr>
          <w:p w:rsidR="007B2779" w:rsidRPr="001D071F" w:rsidRDefault="007B2779" w:rsidP="00336269">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One or more siblings at home</w:t>
            </w:r>
          </w:p>
        </w:tc>
        <w:tc>
          <w:tcPr>
            <w:tcW w:w="939"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7</w:t>
            </w:r>
          </w:p>
        </w:tc>
        <w:tc>
          <w:tcPr>
            <w:tcW w:w="881"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39</w:t>
            </w:r>
          </w:p>
        </w:tc>
        <w:tc>
          <w:tcPr>
            <w:tcW w:w="816"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46</w:t>
            </w:r>
          </w:p>
        </w:tc>
        <w:tc>
          <w:tcPr>
            <w:tcW w:w="816"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w:t>
            </w:r>
          </w:p>
        </w:tc>
        <w:tc>
          <w:tcPr>
            <w:tcW w:w="892"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3221</w:t>
            </w:r>
          </w:p>
        </w:tc>
        <w:tc>
          <w:tcPr>
            <w:tcW w:w="1061" w:type="dxa"/>
            <w:tcBorders>
              <w:top w:val="nil"/>
              <w:left w:val="nil"/>
              <w:bottom w:val="nil"/>
              <w:right w:val="nil"/>
            </w:tcBorders>
            <w:shd w:val="clear" w:color="auto" w:fill="auto"/>
            <w:noWrap/>
            <w:vAlign w:val="bottom"/>
            <w:hideMark/>
          </w:tcPr>
          <w:p w:rsidR="00887E5A" w:rsidRPr="001D071F" w:rsidRDefault="007B2779" w:rsidP="00336269">
            <w:pPr>
              <w:keepNext/>
              <w:spacing w:after="0" w:line="240" w:lineRule="auto"/>
              <w:jc w:val="right"/>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3225</w:t>
            </w:r>
          </w:p>
        </w:tc>
      </w:tr>
      <w:tr w:rsidR="007B2779" w:rsidRPr="001D071F" w:rsidTr="007B2779">
        <w:trPr>
          <w:trHeight w:val="300"/>
        </w:trPr>
        <w:tc>
          <w:tcPr>
            <w:tcW w:w="3269" w:type="dxa"/>
            <w:tcBorders>
              <w:top w:val="nil"/>
              <w:left w:val="nil"/>
              <w:bottom w:val="nil"/>
              <w:right w:val="nil"/>
            </w:tcBorders>
            <w:shd w:val="clear" w:color="auto" w:fill="auto"/>
            <w:noWrap/>
            <w:vAlign w:val="bottom"/>
          </w:tcPr>
          <w:p w:rsidR="007B2779" w:rsidRPr="001D071F" w:rsidRDefault="007B2779"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p>
        </w:tc>
        <w:tc>
          <w:tcPr>
            <w:tcW w:w="881"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p>
        </w:tc>
        <w:tc>
          <w:tcPr>
            <w:tcW w:w="816"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color w:val="000000"/>
                <w:sz w:val="20"/>
                <w:szCs w:val="20"/>
              </w:rPr>
            </w:pPr>
          </w:p>
        </w:tc>
        <w:tc>
          <w:tcPr>
            <w:tcW w:w="892"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i/>
                <w:iCs/>
                <w:color w:val="000000"/>
                <w:sz w:val="20"/>
                <w:szCs w:val="20"/>
              </w:rPr>
            </w:pPr>
          </w:p>
        </w:tc>
        <w:tc>
          <w:tcPr>
            <w:tcW w:w="1061" w:type="dxa"/>
            <w:tcBorders>
              <w:top w:val="nil"/>
              <w:left w:val="nil"/>
              <w:bottom w:val="nil"/>
              <w:right w:val="nil"/>
            </w:tcBorders>
            <w:shd w:val="clear" w:color="auto" w:fill="auto"/>
            <w:noWrap/>
            <w:vAlign w:val="bottom"/>
          </w:tcPr>
          <w:p w:rsidR="007B2779" w:rsidRDefault="007B2779" w:rsidP="00336269">
            <w:pPr>
              <w:spacing w:after="0" w:line="240" w:lineRule="auto"/>
              <w:jc w:val="right"/>
              <w:rPr>
                <w:rFonts w:ascii="Arial" w:hAnsi="Arial" w:cs="Arial"/>
                <w:i/>
                <w:iCs/>
                <w:color w:val="000000"/>
                <w:sz w:val="20"/>
                <w:szCs w:val="20"/>
              </w:rPr>
            </w:pPr>
          </w:p>
        </w:tc>
      </w:tr>
      <w:tr w:rsidR="00887E5A" w:rsidRPr="001D071F" w:rsidTr="007B2779">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Two parent household</w:t>
            </w:r>
          </w:p>
        </w:tc>
        <w:tc>
          <w:tcPr>
            <w:tcW w:w="939"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92"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2786</w:t>
            </w:r>
          </w:p>
        </w:tc>
        <w:tc>
          <w:tcPr>
            <w:tcW w:w="106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2786</w:t>
            </w:r>
          </w:p>
        </w:tc>
      </w:tr>
      <w:tr w:rsidR="00887E5A" w:rsidRPr="001D071F" w:rsidTr="007B2779">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One parent household</w:t>
            </w:r>
          </w:p>
        </w:tc>
        <w:tc>
          <w:tcPr>
            <w:tcW w:w="939"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8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48</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892"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784</w:t>
            </w:r>
          </w:p>
        </w:tc>
        <w:tc>
          <w:tcPr>
            <w:tcW w:w="106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783</w:t>
            </w:r>
          </w:p>
        </w:tc>
      </w:tr>
      <w:tr w:rsidR="00887E5A" w:rsidRPr="001D071F" w:rsidTr="007B2779">
        <w:trPr>
          <w:trHeight w:val="300"/>
        </w:trPr>
        <w:tc>
          <w:tcPr>
            <w:tcW w:w="3269" w:type="dxa"/>
            <w:tcBorders>
              <w:top w:val="nil"/>
              <w:left w:val="nil"/>
              <w:bottom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Step-family</w:t>
            </w:r>
          </w:p>
        </w:tc>
        <w:tc>
          <w:tcPr>
            <w:tcW w:w="939"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8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52</w:t>
            </w:r>
          </w:p>
        </w:tc>
        <w:tc>
          <w:tcPr>
            <w:tcW w:w="816"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892"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461</w:t>
            </w:r>
          </w:p>
        </w:tc>
        <w:tc>
          <w:tcPr>
            <w:tcW w:w="1061" w:type="dxa"/>
            <w:tcBorders>
              <w:top w:val="nil"/>
              <w:left w:val="nil"/>
              <w:bottom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462</w:t>
            </w:r>
          </w:p>
        </w:tc>
      </w:tr>
      <w:tr w:rsidR="00887E5A" w:rsidRPr="001D071F" w:rsidTr="00336269">
        <w:trPr>
          <w:trHeight w:val="300"/>
        </w:trPr>
        <w:tc>
          <w:tcPr>
            <w:tcW w:w="3269" w:type="dxa"/>
            <w:tcBorders>
              <w:top w:val="nil"/>
              <w:left w:val="nil"/>
              <w:right w:val="nil"/>
            </w:tcBorders>
            <w:shd w:val="clear" w:color="auto" w:fill="auto"/>
            <w:noWrap/>
            <w:vAlign w:val="bottom"/>
            <w:hideMark/>
          </w:tcPr>
          <w:p w:rsidR="00887E5A" w:rsidRPr="001D071F" w:rsidRDefault="00887E5A" w:rsidP="00336269">
            <w:pPr>
              <w:keepNext/>
              <w:spacing w:after="0" w:line="240" w:lineRule="auto"/>
              <w:rPr>
                <w:rFonts w:ascii="Arial" w:eastAsia="Times New Roman" w:hAnsi="Arial" w:cs="Arial"/>
                <w:color w:val="000000"/>
                <w:sz w:val="20"/>
                <w:szCs w:val="20"/>
                <w:lang w:eastAsia="en-GB"/>
              </w:rPr>
            </w:pPr>
            <w:r w:rsidRPr="001D071F">
              <w:rPr>
                <w:rFonts w:ascii="Arial" w:eastAsia="Times New Roman" w:hAnsi="Arial" w:cs="Arial"/>
                <w:color w:val="000000"/>
                <w:sz w:val="20"/>
                <w:szCs w:val="20"/>
                <w:lang w:eastAsia="en-GB"/>
              </w:rPr>
              <w:t>Other household type</w:t>
            </w:r>
          </w:p>
        </w:tc>
        <w:tc>
          <w:tcPr>
            <w:tcW w:w="939"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81"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816"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49</w:t>
            </w:r>
          </w:p>
        </w:tc>
        <w:tc>
          <w:tcPr>
            <w:tcW w:w="816"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color w:val="000000"/>
                <w:sz w:val="20"/>
                <w:szCs w:val="20"/>
              </w:rPr>
            </w:pPr>
            <w:r>
              <w:rPr>
                <w:rFonts w:ascii="Arial" w:hAnsi="Arial" w:cs="Arial"/>
                <w:color w:val="000000"/>
                <w:sz w:val="20"/>
                <w:szCs w:val="20"/>
              </w:rPr>
              <w:t>21</w:t>
            </w:r>
          </w:p>
        </w:tc>
        <w:tc>
          <w:tcPr>
            <w:tcW w:w="892"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88</w:t>
            </w:r>
          </w:p>
        </w:tc>
        <w:tc>
          <w:tcPr>
            <w:tcW w:w="1061" w:type="dxa"/>
            <w:tcBorders>
              <w:top w:val="nil"/>
              <w:left w:val="nil"/>
              <w:right w:val="nil"/>
            </w:tcBorders>
            <w:shd w:val="clear" w:color="auto" w:fill="auto"/>
            <w:noWrap/>
            <w:vAlign w:val="bottom"/>
          </w:tcPr>
          <w:p w:rsidR="00887E5A" w:rsidRDefault="007B2779" w:rsidP="00336269">
            <w:pPr>
              <w:spacing w:after="0" w:line="240" w:lineRule="auto"/>
              <w:jc w:val="right"/>
              <w:rPr>
                <w:rFonts w:ascii="Arial" w:hAnsi="Arial" w:cs="Arial"/>
                <w:i/>
                <w:iCs/>
                <w:color w:val="000000"/>
                <w:sz w:val="20"/>
                <w:szCs w:val="20"/>
              </w:rPr>
            </w:pPr>
            <w:r>
              <w:rPr>
                <w:rFonts w:ascii="Arial" w:hAnsi="Arial" w:cs="Arial"/>
                <w:i/>
                <w:iCs/>
                <w:color w:val="000000"/>
                <w:sz w:val="20"/>
                <w:szCs w:val="20"/>
              </w:rPr>
              <w:t>87</w:t>
            </w:r>
          </w:p>
        </w:tc>
      </w:tr>
      <w:tr w:rsidR="00887E5A" w:rsidRPr="001D071F" w:rsidTr="00336269">
        <w:trPr>
          <w:trHeight w:val="227"/>
        </w:trPr>
        <w:tc>
          <w:tcPr>
            <w:tcW w:w="3269"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rPr>
                <w:rFonts w:ascii="Arial" w:eastAsia="Times New Roman" w:hAnsi="Arial" w:cs="Arial"/>
                <w:color w:val="000000"/>
                <w:sz w:val="20"/>
                <w:szCs w:val="20"/>
                <w:lang w:eastAsia="en-GB"/>
              </w:rPr>
            </w:pPr>
          </w:p>
        </w:tc>
        <w:tc>
          <w:tcPr>
            <w:tcW w:w="939"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color w:val="000000"/>
                <w:sz w:val="20"/>
                <w:szCs w:val="20"/>
                <w:lang w:eastAsia="en-GB"/>
              </w:rPr>
            </w:pPr>
          </w:p>
        </w:tc>
        <w:tc>
          <w:tcPr>
            <w:tcW w:w="881"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color w:val="000000"/>
                <w:sz w:val="20"/>
                <w:szCs w:val="20"/>
                <w:lang w:eastAsia="en-GB"/>
              </w:rPr>
            </w:pPr>
          </w:p>
        </w:tc>
        <w:tc>
          <w:tcPr>
            <w:tcW w:w="816"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color w:val="000000"/>
                <w:sz w:val="20"/>
                <w:szCs w:val="20"/>
                <w:lang w:eastAsia="en-GB"/>
              </w:rPr>
            </w:pPr>
          </w:p>
        </w:tc>
        <w:tc>
          <w:tcPr>
            <w:tcW w:w="816"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color w:val="000000"/>
                <w:sz w:val="20"/>
                <w:szCs w:val="20"/>
                <w:lang w:eastAsia="en-GB"/>
              </w:rPr>
            </w:pPr>
          </w:p>
        </w:tc>
        <w:tc>
          <w:tcPr>
            <w:tcW w:w="892"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color w:val="000000"/>
                <w:sz w:val="20"/>
                <w:szCs w:val="20"/>
                <w:lang w:eastAsia="en-GB"/>
              </w:rPr>
            </w:pPr>
          </w:p>
        </w:tc>
        <w:tc>
          <w:tcPr>
            <w:tcW w:w="1061" w:type="dxa"/>
            <w:tcBorders>
              <w:top w:val="nil"/>
              <w:left w:val="nil"/>
              <w:bottom w:val="single" w:sz="12" w:space="0" w:color="auto"/>
              <w:right w:val="nil"/>
            </w:tcBorders>
            <w:shd w:val="clear" w:color="auto" w:fill="auto"/>
            <w:noWrap/>
            <w:vAlign w:val="bottom"/>
          </w:tcPr>
          <w:p w:rsidR="00887E5A" w:rsidRPr="001D071F" w:rsidRDefault="00887E5A" w:rsidP="00336269">
            <w:pPr>
              <w:keepNext/>
              <w:spacing w:after="0" w:line="240" w:lineRule="auto"/>
              <w:jc w:val="right"/>
              <w:rPr>
                <w:rFonts w:ascii="Arial" w:eastAsia="Times New Roman" w:hAnsi="Arial" w:cs="Arial"/>
                <w:i/>
                <w:iCs/>
                <w:color w:val="000000"/>
                <w:sz w:val="20"/>
                <w:szCs w:val="20"/>
                <w:lang w:eastAsia="en-GB"/>
              </w:rPr>
            </w:pPr>
          </w:p>
        </w:tc>
      </w:tr>
    </w:tbl>
    <w:p w:rsidR="00887E5A" w:rsidRPr="00A018E9" w:rsidRDefault="00887E5A" w:rsidP="00887E5A">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w:t>
      </w:r>
      <w:r>
        <w:rPr>
          <w:i/>
          <w:sz w:val="18"/>
          <w:szCs w:val="18"/>
        </w:rPr>
        <w:t>17</w:t>
      </w:r>
    </w:p>
    <w:p w:rsidR="009A6CEB" w:rsidRDefault="00D267C3" w:rsidP="00D267C3">
      <w:pPr>
        <w:pStyle w:val="BodyCopy"/>
        <w:spacing w:line="276" w:lineRule="auto"/>
      </w:pPr>
      <w:r>
        <w:t>Pupils were then asked how often they feel unhappy at school, with 22% reporting that they feel unhappy most or all of the time and 27% saying they never feel unhappy at school. Those who were more likely t</w:t>
      </w:r>
      <w:r w:rsidR="00D37A43">
        <w:t>o feel unhappy at school most or</w:t>
      </w:r>
      <w:r>
        <w:t xml:space="preserve"> all of the time </w:t>
      </w:r>
      <w:r w:rsidR="002F6748">
        <w:t>included</w:t>
      </w:r>
      <w:r>
        <w:t xml:space="preserve"> older pupils (32% of those in S4 </w:t>
      </w:r>
      <w:r>
        <w:lastRenderedPageBreak/>
        <w:t>compared with 15% in S1)</w:t>
      </w:r>
      <w:r w:rsidR="002F6748">
        <w:t xml:space="preserve"> and</w:t>
      </w:r>
      <w:r>
        <w:t xml:space="preserve"> girls (25% compared with 19% of boys), </w:t>
      </w:r>
      <w:r w:rsidR="002F6748">
        <w:t>with girls in S4 especially likely to do so (38%)</w:t>
      </w:r>
      <w:r w:rsidR="002F6748" w:rsidRPr="004A2BFC">
        <w:t xml:space="preserve">. </w:t>
      </w:r>
    </w:p>
    <w:p w:rsidR="009A6CEB" w:rsidRDefault="009A6CEB" w:rsidP="00D267C3">
      <w:pPr>
        <w:pStyle w:val="BodyCopy"/>
        <w:spacing w:line="276" w:lineRule="auto"/>
      </w:pPr>
    </w:p>
    <w:p w:rsidR="00D267C3" w:rsidRDefault="002F6748" w:rsidP="00D267C3">
      <w:pPr>
        <w:pStyle w:val="BodyCopy"/>
        <w:spacing w:line="276" w:lineRule="auto"/>
      </w:pPr>
      <w:r>
        <w:t>T</w:t>
      </w:r>
      <w:r w:rsidR="00D267C3">
        <w:t xml:space="preserve">hose living in the most deprived </w:t>
      </w:r>
      <w:r w:rsidR="009A6CEB">
        <w:t>areas</w:t>
      </w:r>
      <w:r>
        <w:t xml:space="preserve"> were also more likely to feel unhappy at school</w:t>
      </w:r>
      <w:r w:rsidR="00D267C3">
        <w:t xml:space="preserve"> (25% compared with 17% of those living in the least deprived quintile), </w:t>
      </w:r>
      <w:r>
        <w:t xml:space="preserve">as were </w:t>
      </w:r>
      <w:r w:rsidR="00D267C3">
        <w:t>those in receipt of free school meals (29% compared with 21% not in receipt of free school meals), those with no siblings (26% compared with 21% with siblings), and those living in one parent households (28%) or in step-families (29%) compared with those living with two parents (19%).</w:t>
      </w:r>
    </w:p>
    <w:p w:rsidR="00E26E14" w:rsidRPr="00B14DBF" w:rsidRDefault="00FF23D8" w:rsidP="00E26E14">
      <w:pPr>
        <w:pStyle w:val="Heading3"/>
        <w:numPr>
          <w:ilvl w:val="3"/>
          <w:numId w:val="13"/>
        </w:numPr>
        <w:spacing w:line="276" w:lineRule="auto"/>
      </w:pPr>
      <w:bookmarkStart w:id="44" w:name="_Toc491244126"/>
      <w:bookmarkStart w:id="45" w:name="_Toc494182049"/>
      <w:r>
        <w:t>Effort and b</w:t>
      </w:r>
      <w:r w:rsidRPr="00B14DBF">
        <w:t xml:space="preserve">ehaviour </w:t>
      </w:r>
      <w:r w:rsidR="00E26E14" w:rsidRPr="00B14DBF">
        <w:t>at school</w:t>
      </w:r>
      <w:bookmarkEnd w:id="44"/>
      <w:bookmarkEnd w:id="45"/>
    </w:p>
    <w:p w:rsidR="00B95D11" w:rsidRDefault="00B95D11" w:rsidP="00B95D11">
      <w:pPr>
        <w:pStyle w:val="BodyCopy"/>
        <w:spacing w:line="276" w:lineRule="auto"/>
      </w:pPr>
      <w:r>
        <w:t xml:space="preserve">Most pupils (86%) said that they try their best at school most or all of the time. However, some variation was evident </w:t>
      </w:r>
      <w:r w:rsidR="001940E7">
        <w:t xml:space="preserve">with the most notable </w:t>
      </w:r>
      <w:r>
        <w:t>difference exist</w:t>
      </w:r>
      <w:r w:rsidR="001940E7">
        <w:t>ing</w:t>
      </w:r>
      <w:r>
        <w:t xml:space="preserve"> </w:t>
      </w:r>
      <w:r w:rsidR="001940E7">
        <w:t>between</w:t>
      </w:r>
      <w:r>
        <w:t xml:space="preserve"> different year groups, with 91% of the pupils in S1 reporting that they try their best most or all of the time compared with 82% of pupils in S4. </w:t>
      </w:r>
      <w:r w:rsidR="001940E7">
        <w:t>In addition, those most likely to say they tried their best at school were:</w:t>
      </w:r>
      <w:r>
        <w:t xml:space="preserve"> girls (88% compared with 85%</w:t>
      </w:r>
      <w:r w:rsidR="00D37A43">
        <w:t xml:space="preserve"> of boys</w:t>
      </w:r>
      <w:r>
        <w:t xml:space="preserve">), those living in the least deprived </w:t>
      </w:r>
      <w:r w:rsidR="001940E7">
        <w:t>quintile</w:t>
      </w:r>
      <w:r>
        <w:t xml:space="preserve"> (89% compared with 83% of those living in the most deprived </w:t>
      </w:r>
      <w:r w:rsidR="001940E7">
        <w:t>quintile</w:t>
      </w:r>
      <w:r>
        <w:t>), those not in receipt of free school meals (87% compared with 81%</w:t>
      </w:r>
      <w:r w:rsidR="00D37A43">
        <w:t xml:space="preserve"> in receipt of free school meals</w:t>
      </w:r>
      <w:r>
        <w:t>), those with siblings (87% compared with 83%</w:t>
      </w:r>
      <w:r w:rsidR="00D37A43">
        <w:t xml:space="preserve"> with no siblings</w:t>
      </w:r>
      <w:r>
        <w:t>), and those living with two parents (89% compared with 80</w:t>
      </w:r>
      <w:r w:rsidR="005D31DD">
        <w:t xml:space="preserve">% </w:t>
      </w:r>
      <w:r>
        <w:t xml:space="preserve">of those living </w:t>
      </w:r>
      <w:r w:rsidR="005D31DD">
        <w:t xml:space="preserve">in one </w:t>
      </w:r>
      <w:r>
        <w:t>parent</w:t>
      </w:r>
      <w:r w:rsidR="005D31DD">
        <w:t xml:space="preserve"> households and 83% living in</w:t>
      </w:r>
      <w:r>
        <w:t xml:space="preserve"> step-families)</w:t>
      </w:r>
      <w:r w:rsidR="005D31DD">
        <w:t>.</w:t>
      </w:r>
      <w:r>
        <w:t xml:space="preserve"> </w:t>
      </w:r>
    </w:p>
    <w:p w:rsidR="00B95D11" w:rsidRDefault="00B95D11" w:rsidP="00B95D11">
      <w:pPr>
        <w:pStyle w:val="BodyCopy"/>
        <w:spacing w:line="276" w:lineRule="auto"/>
      </w:pPr>
    </w:p>
    <w:p w:rsidR="00B95D11" w:rsidRDefault="005D31DD" w:rsidP="00B95D11">
      <w:pPr>
        <w:pStyle w:val="BodyCopy"/>
        <w:spacing w:line="276" w:lineRule="auto"/>
      </w:pPr>
      <w:r>
        <w:t>Pupils were asked both</w:t>
      </w:r>
      <w:r w:rsidR="00B95D11">
        <w:t xml:space="preserve"> how often they misbehave</w:t>
      </w:r>
      <w:r>
        <w:t xml:space="preserve"> </w:t>
      </w:r>
      <w:r w:rsidR="00B95D11">
        <w:t xml:space="preserve">and how often others misbehaved in their class. Overall, 41% </w:t>
      </w:r>
      <w:r>
        <w:t>said they</w:t>
      </w:r>
      <w:r w:rsidR="00B95D11">
        <w:t xml:space="preserve"> misbehaved at least some of the time, and 58% said that other pupils misbehave</w:t>
      </w:r>
      <w:r>
        <w:t>d</w:t>
      </w:r>
      <w:r w:rsidR="00B95D11">
        <w:t xml:space="preserve"> in lessons most or all of the time. </w:t>
      </w:r>
    </w:p>
    <w:p w:rsidR="00B95D11" w:rsidRDefault="00B95D11" w:rsidP="00B95D11">
      <w:pPr>
        <w:pStyle w:val="BodyCopy"/>
        <w:spacing w:line="276" w:lineRule="auto"/>
      </w:pPr>
    </w:p>
    <w:p w:rsidR="00B95D11" w:rsidRDefault="00B95D11" w:rsidP="00B95D11">
      <w:pPr>
        <w:pStyle w:val="BodyCopy"/>
        <w:spacing w:line="276" w:lineRule="auto"/>
      </w:pPr>
      <w:r>
        <w:t xml:space="preserve">Younger pupils were more likely to </w:t>
      </w:r>
      <w:r w:rsidR="005D31DD">
        <w:t>say they</w:t>
      </w:r>
      <w:r>
        <w:t xml:space="preserve"> misbehav</w:t>
      </w:r>
      <w:r w:rsidR="005D31DD">
        <w:t>ed</w:t>
      </w:r>
      <w:r>
        <w:t xml:space="preserve"> </w:t>
      </w:r>
      <w:r w:rsidR="006A6E5D">
        <w:t>most or all of</w:t>
      </w:r>
      <w:r>
        <w:t xml:space="preserve"> the time (</w:t>
      </w:r>
      <w:r w:rsidR="006A6E5D">
        <w:t>6</w:t>
      </w:r>
      <w:r>
        <w:t xml:space="preserve">% in S1 compared with </w:t>
      </w:r>
      <w:r w:rsidR="006A6E5D">
        <w:t>5</w:t>
      </w:r>
      <w:r>
        <w:t>% in S4)</w:t>
      </w:r>
      <w:r w:rsidR="00697C69">
        <w:t xml:space="preserve"> and that other pupils misbehaved in lessons (59% in S1 compared with 46% in S4).</w:t>
      </w:r>
      <w:r>
        <w:t xml:space="preserve"> </w:t>
      </w:r>
      <w:r w:rsidR="006A6E5D">
        <w:t xml:space="preserve">Boys were more likely to say that they misbehaved </w:t>
      </w:r>
      <w:r>
        <w:t>(</w:t>
      </w:r>
      <w:r w:rsidR="006A6E5D">
        <w:t>9</w:t>
      </w:r>
      <w:r>
        <w:t xml:space="preserve">% compared with </w:t>
      </w:r>
      <w:r w:rsidR="006A6E5D">
        <w:t>5%</w:t>
      </w:r>
      <w:r w:rsidR="005D31DD">
        <w:t xml:space="preserve"> of girls</w:t>
      </w:r>
      <w:r>
        <w:t>),</w:t>
      </w:r>
      <w:r w:rsidR="006A6E5D">
        <w:t xml:space="preserve"> whereas girls were more likely than boys to say that others misbehaved in lessons (60% compared with 56% of boys).</w:t>
      </w:r>
      <w:r>
        <w:t xml:space="preserve"> </w:t>
      </w:r>
      <w:r w:rsidR="006A6E5D">
        <w:t>T</w:t>
      </w:r>
      <w:r>
        <w:t xml:space="preserve">hose living in the most deprived </w:t>
      </w:r>
      <w:r w:rsidR="005D31DD">
        <w:t>quintile</w:t>
      </w:r>
      <w:r w:rsidR="006A6E5D">
        <w:t xml:space="preserve"> were more likely to say both that they misbehaved </w:t>
      </w:r>
      <w:r w:rsidR="00727FFA">
        <w:t xml:space="preserve">(10% compared with 5% of those in the least deprived quintile) </w:t>
      </w:r>
      <w:r w:rsidR="006A6E5D">
        <w:t>and that others misbehaved</w:t>
      </w:r>
      <w:r w:rsidR="005D31DD">
        <w:t xml:space="preserve"> </w:t>
      </w:r>
      <w:r>
        <w:t>(</w:t>
      </w:r>
      <w:r w:rsidR="00727FFA">
        <w:t xml:space="preserve">63% compared with 53% </w:t>
      </w:r>
      <w:r>
        <w:t xml:space="preserve">of those living in the least deprived </w:t>
      </w:r>
      <w:r w:rsidR="005D31DD">
        <w:t>quintile</w:t>
      </w:r>
      <w:r>
        <w:t>)</w:t>
      </w:r>
      <w:r w:rsidR="00727FFA">
        <w:t>, as were those living in step-families compared with those living in one parent households or those living in two parent households. T</w:t>
      </w:r>
      <w:r>
        <w:t xml:space="preserve">hose in receipt of free school meals </w:t>
      </w:r>
      <w:r w:rsidR="00727FFA">
        <w:t xml:space="preserve">were more likely than those not in receipt to say they misbehaved </w:t>
      </w:r>
      <w:r>
        <w:t>(53% compared with 40%</w:t>
      </w:r>
      <w:r w:rsidR="00727FFA">
        <w:t>) but there was no significant difference in the views on the behaviour of others.</w:t>
      </w:r>
      <w:r>
        <w:t xml:space="preserve"> </w:t>
      </w:r>
    </w:p>
    <w:p w:rsidR="00B95D11" w:rsidRDefault="00B95D11" w:rsidP="00B95D11">
      <w:pPr>
        <w:pStyle w:val="BodyCopy"/>
        <w:spacing w:line="276" w:lineRule="auto"/>
      </w:pPr>
    </w:p>
    <w:p w:rsidR="00690401" w:rsidRDefault="00B95D11" w:rsidP="00B95D11">
      <w:pPr>
        <w:pStyle w:val="BodyCopy"/>
        <w:spacing w:line="276" w:lineRule="auto"/>
      </w:pPr>
      <w:r>
        <w:t xml:space="preserve">Those who </w:t>
      </w:r>
      <w:r w:rsidR="005D31DD">
        <w:t>said that all of their friends got into a lot of trouble at school and those who said that</w:t>
      </w:r>
      <w:r>
        <w:t xml:space="preserve"> people misbehave</w:t>
      </w:r>
      <w:r w:rsidR="005D31DD">
        <w:t>d</w:t>
      </w:r>
      <w:r>
        <w:t xml:space="preserve"> in lessons all of the time</w:t>
      </w:r>
      <w:r w:rsidR="005D31DD">
        <w:t xml:space="preserve"> were more likely to say they misbehaved in lessons at least some of the time. For example, four</w:t>
      </w:r>
      <w:r w:rsidR="00D37A43">
        <w:t xml:space="preserve"> out of five</w:t>
      </w:r>
      <w:r w:rsidR="005D31DD">
        <w:t xml:space="preserve"> (80%) of those whose friends got into trouble a lot</w:t>
      </w:r>
      <w:r w:rsidR="00690401">
        <w:t xml:space="preserve"> misbehaved </w:t>
      </w:r>
      <w:r w:rsidR="00690401">
        <w:lastRenderedPageBreak/>
        <w:t>themselves in lessons compared with only around one in five (22%) whose friends never got into trouble.</w:t>
      </w:r>
    </w:p>
    <w:p w:rsidR="00B95D11" w:rsidRPr="00125AB3" w:rsidRDefault="00B95D11" w:rsidP="00B95D11">
      <w:pPr>
        <w:pStyle w:val="Heading3"/>
        <w:numPr>
          <w:ilvl w:val="3"/>
          <w:numId w:val="13"/>
        </w:numPr>
        <w:spacing w:line="276" w:lineRule="auto"/>
      </w:pPr>
      <w:bookmarkStart w:id="46" w:name="_Toc491244127"/>
      <w:bookmarkStart w:id="47" w:name="_Toc494182050"/>
      <w:r w:rsidRPr="00125AB3">
        <w:t>Fatigue and difficulty concentrating at school</w:t>
      </w:r>
      <w:bookmarkEnd w:id="46"/>
      <w:bookmarkEnd w:id="47"/>
    </w:p>
    <w:p w:rsidR="00B95D11" w:rsidRDefault="00B95D11" w:rsidP="00B95D11">
      <w:pPr>
        <w:pStyle w:val="BodyCopy"/>
        <w:spacing w:line="276" w:lineRule="auto"/>
      </w:pPr>
      <w:r>
        <w:t>Overall, about a third (32%) of pupils found it difficult to concentrate on schoolwork most or all of the time, while 18% said that they never found it difficult. Older pupils found if more difficult to concentrate (39% of those in S4 compared with 29% in S1), as did those with no siblings (38% compared with 30%</w:t>
      </w:r>
      <w:r w:rsidR="00D37A43">
        <w:t xml:space="preserve"> of those with siblings</w:t>
      </w:r>
      <w:r>
        <w:t xml:space="preserve">), and those living </w:t>
      </w:r>
      <w:r w:rsidR="00504ED7">
        <w:t>in one parent households</w:t>
      </w:r>
      <w:r>
        <w:t xml:space="preserve"> or step-families (40% and 35% respectively</w:t>
      </w:r>
      <w:r w:rsidR="00D37A43">
        <w:t>)</w:t>
      </w:r>
      <w:r>
        <w:t xml:space="preserve"> compared with 29% of those living in two</w:t>
      </w:r>
      <w:r w:rsidR="00504ED7">
        <w:t xml:space="preserve"> </w:t>
      </w:r>
      <w:r w:rsidR="00D37A43">
        <w:t>parent households</w:t>
      </w:r>
      <w:r>
        <w:t xml:space="preserve">. Those living in the most deprived </w:t>
      </w:r>
      <w:r w:rsidR="00504ED7">
        <w:t>quintile</w:t>
      </w:r>
      <w:r>
        <w:t xml:space="preserve"> were </w:t>
      </w:r>
      <w:r w:rsidR="00504ED7">
        <w:t xml:space="preserve">also </w:t>
      </w:r>
      <w:r>
        <w:t xml:space="preserve">more likely to </w:t>
      </w:r>
      <w:r w:rsidR="00504ED7">
        <w:t>find it difficult to concentrate</w:t>
      </w:r>
      <w:r>
        <w:t xml:space="preserve"> (36% compared with 25% of those living in the least deprived </w:t>
      </w:r>
      <w:r w:rsidR="00504ED7">
        <w:t>quintile</w:t>
      </w:r>
      <w:r>
        <w:t>), as did those in receipt of free school meals (46% compared with 30%</w:t>
      </w:r>
      <w:r w:rsidR="00D37A43">
        <w:t xml:space="preserve"> not in receipt</w:t>
      </w:r>
      <w:r>
        <w:t>).</w:t>
      </w:r>
    </w:p>
    <w:p w:rsidR="002C6527" w:rsidRDefault="002C6527" w:rsidP="00B95D11">
      <w:pPr>
        <w:pStyle w:val="BodyCopy"/>
        <w:spacing w:line="276" w:lineRule="auto"/>
      </w:pPr>
    </w:p>
    <w:p w:rsidR="002C6527" w:rsidRDefault="002C6527" w:rsidP="00B95D11">
      <w:pPr>
        <w:pStyle w:val="BodyCopy"/>
        <w:spacing w:line="276" w:lineRule="auto"/>
      </w:pPr>
      <w:r>
        <w:rPr>
          <w:noProof/>
        </w:rPr>
        <w:drawing>
          <wp:inline distT="0" distB="0" distL="0" distR="0" wp14:anchorId="3B556889" wp14:editId="56981B5F">
            <wp:extent cx="4951095" cy="3323108"/>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442C" w:rsidRPr="00477F31" w:rsidRDefault="0065442C" w:rsidP="0065442C">
      <w:pPr>
        <w:pStyle w:val="BodyCopy"/>
        <w:rPr>
          <w:i/>
          <w:sz w:val="18"/>
          <w:szCs w:val="18"/>
        </w:rPr>
      </w:pPr>
      <w:r w:rsidRPr="00477F31">
        <w:rPr>
          <w:i/>
          <w:sz w:val="18"/>
          <w:szCs w:val="18"/>
        </w:rPr>
        <w:t xml:space="preserve">Source: RCS secondary school survey, </w:t>
      </w:r>
      <w:r>
        <w:rPr>
          <w:i/>
          <w:sz w:val="18"/>
          <w:szCs w:val="18"/>
        </w:rPr>
        <w:t>Falkirk</w:t>
      </w:r>
      <w:r w:rsidRPr="00477F31">
        <w:rPr>
          <w:i/>
          <w:sz w:val="18"/>
          <w:szCs w:val="18"/>
        </w:rPr>
        <w:t xml:space="preserve"> 201</w:t>
      </w:r>
      <w:r>
        <w:rPr>
          <w:i/>
          <w:sz w:val="18"/>
          <w:szCs w:val="18"/>
        </w:rPr>
        <w:t>7</w:t>
      </w:r>
    </w:p>
    <w:p w:rsidR="00B95D11" w:rsidRDefault="00B95D11" w:rsidP="00B95D11">
      <w:pPr>
        <w:pStyle w:val="BodyCopy"/>
        <w:spacing w:line="276" w:lineRule="auto"/>
      </w:pPr>
    </w:p>
    <w:p w:rsidR="008330CC" w:rsidRDefault="00FF23D8" w:rsidP="00B95D11">
      <w:pPr>
        <w:pStyle w:val="BodyCopy"/>
        <w:spacing w:line="276" w:lineRule="auto"/>
      </w:pPr>
      <w:r>
        <w:t>A strikingly high proportion</w:t>
      </w:r>
      <w:r w:rsidR="00B95D11">
        <w:t xml:space="preserve"> (55%) of pupils in secondary school also reported that they </w:t>
      </w:r>
      <w:r w:rsidR="008330CC">
        <w:t>feel</w:t>
      </w:r>
      <w:r w:rsidR="00B95D11">
        <w:t xml:space="preserve"> tired at school most or all of time. This figure varied by age, gender, area deprivation, receiving free school meals, and family structure. Older pupils were more likely to get tired at school, with 70% of those in S4 reporting </w:t>
      </w:r>
      <w:r w:rsidR="00504ED7">
        <w:t xml:space="preserve">getting tired </w:t>
      </w:r>
      <w:r w:rsidR="00B95D11">
        <w:t xml:space="preserve">most or all of the time compared with 44% of those in S1. Girls </w:t>
      </w:r>
      <w:r w:rsidR="008330CC">
        <w:t xml:space="preserve">were more likely than boys to feel tired </w:t>
      </w:r>
      <w:r w:rsidR="00B95D11">
        <w:t>(61% compared with 49%)</w:t>
      </w:r>
      <w:r w:rsidR="008330CC">
        <w:t>.</w:t>
      </w:r>
      <w:r w:rsidR="00B95D11">
        <w:t xml:space="preserve"> </w:t>
      </w:r>
    </w:p>
    <w:p w:rsidR="008330CC" w:rsidRDefault="008330CC" w:rsidP="00B95D11">
      <w:pPr>
        <w:pStyle w:val="BodyCopy"/>
        <w:spacing w:line="276" w:lineRule="auto"/>
      </w:pPr>
    </w:p>
    <w:p w:rsidR="00B95D11" w:rsidRDefault="008330CC" w:rsidP="00B95D11">
      <w:pPr>
        <w:pStyle w:val="BodyCopy"/>
        <w:spacing w:line="276" w:lineRule="auto"/>
      </w:pPr>
      <w:r>
        <w:t>Pupils in the</w:t>
      </w:r>
      <w:r w:rsidR="00B95D11">
        <w:t xml:space="preserve"> most deprived areas </w:t>
      </w:r>
      <w:r>
        <w:t xml:space="preserve">were more likely to feel tired at school </w:t>
      </w:r>
      <w:r w:rsidR="00B95D11">
        <w:t>(56%</w:t>
      </w:r>
      <w:r w:rsidR="00504ED7">
        <w:t xml:space="preserve"> in the most deprived quintile</w:t>
      </w:r>
      <w:r w:rsidR="00B95D11">
        <w:t xml:space="preserve"> compared with 51% of those in the least deprived </w:t>
      </w:r>
      <w:r w:rsidR="00504ED7">
        <w:t>quintile</w:t>
      </w:r>
      <w:r w:rsidR="00B95D11">
        <w:t>)</w:t>
      </w:r>
      <w:r>
        <w:t>.</w:t>
      </w:r>
      <w:r w:rsidR="00B95D11">
        <w:t xml:space="preserve"> </w:t>
      </w:r>
      <w:r>
        <w:t>T</w:t>
      </w:r>
      <w:r w:rsidR="00B95D11">
        <w:t>hose in receipt of free school meals (60% compared with 55%</w:t>
      </w:r>
      <w:r w:rsidR="00504ED7">
        <w:t xml:space="preserve"> not in receipt</w:t>
      </w:r>
      <w:r w:rsidR="00B95D11">
        <w:t xml:space="preserve">), and those living </w:t>
      </w:r>
      <w:r w:rsidR="00504ED7">
        <w:t>in one parent households</w:t>
      </w:r>
      <w:r w:rsidR="00B95D11">
        <w:t xml:space="preserve"> or step-families (61</w:t>
      </w:r>
      <w:r w:rsidR="00504ED7">
        <w:t>% and</w:t>
      </w:r>
      <w:r w:rsidR="00B95D11">
        <w:t xml:space="preserve"> 63%</w:t>
      </w:r>
      <w:r w:rsidR="00504ED7">
        <w:t xml:space="preserve"> respectively</w:t>
      </w:r>
      <w:r w:rsidR="00D37A43">
        <w:t>)</w:t>
      </w:r>
      <w:r w:rsidR="00B95D11">
        <w:t xml:space="preserve"> compared with 52% of thos</w:t>
      </w:r>
      <w:r w:rsidR="00D37A43">
        <w:t>e living with two parents</w:t>
      </w:r>
      <w:r w:rsidR="00B95D11">
        <w:t xml:space="preserve"> were a</w:t>
      </w:r>
      <w:r>
        <w:t xml:space="preserve">lso </w:t>
      </w:r>
      <w:r w:rsidR="00B95D11">
        <w:t xml:space="preserve">more likely to </w:t>
      </w:r>
      <w:r>
        <w:t>feel</w:t>
      </w:r>
      <w:r w:rsidR="00B95D11">
        <w:t xml:space="preserve"> tired at school most or all of the time.    </w:t>
      </w:r>
    </w:p>
    <w:p w:rsidR="00C73B66" w:rsidRDefault="00C73B66" w:rsidP="00C73B66">
      <w:pPr>
        <w:pStyle w:val="Heading3"/>
        <w:numPr>
          <w:ilvl w:val="3"/>
          <w:numId w:val="13"/>
        </w:numPr>
        <w:spacing w:line="276" w:lineRule="auto"/>
      </w:pPr>
      <w:bookmarkStart w:id="48" w:name="_Toc494182051"/>
      <w:r>
        <w:lastRenderedPageBreak/>
        <w:t>Relationships with teachers and other pupils (Achieving, Respected, Responsible, Included)</w:t>
      </w:r>
      <w:bookmarkEnd w:id="48"/>
    </w:p>
    <w:p w:rsidR="00336269" w:rsidRDefault="00C73B66" w:rsidP="00AE3DD5">
      <w:pPr>
        <w:pStyle w:val="BodyCopy"/>
        <w:spacing w:before="240" w:line="276" w:lineRule="auto"/>
      </w:pPr>
      <w:r>
        <w:t xml:space="preserve">Pupils were asked how much they agreed or disagreed with statements about their school, teachers and other pupils in their class. </w:t>
      </w:r>
    </w:p>
    <w:p w:rsidR="00AE3DD5" w:rsidRDefault="00AE3DD5" w:rsidP="00AE3DD5">
      <w:pPr>
        <w:pStyle w:val="BodyCopy"/>
      </w:pPr>
    </w:p>
    <w:tbl>
      <w:tblPr>
        <w:tblW w:w="0" w:type="auto"/>
        <w:tblBorders>
          <w:top w:val="single" w:sz="4" w:space="0" w:color="auto"/>
          <w:bottom w:val="single" w:sz="4" w:space="0" w:color="auto"/>
        </w:tblBorders>
        <w:tblCellMar>
          <w:left w:w="28" w:type="dxa"/>
          <w:right w:w="28" w:type="dxa"/>
        </w:tblCellMar>
        <w:tblLook w:val="01E0" w:firstRow="1" w:lastRow="1" w:firstColumn="1" w:lastColumn="1" w:noHBand="0" w:noVBand="0"/>
      </w:tblPr>
      <w:tblGrid>
        <w:gridCol w:w="1886"/>
        <w:gridCol w:w="899"/>
        <w:gridCol w:w="709"/>
        <w:gridCol w:w="701"/>
        <w:gridCol w:w="867"/>
        <w:gridCol w:w="976"/>
        <w:gridCol w:w="823"/>
        <w:gridCol w:w="992"/>
      </w:tblGrid>
      <w:tr w:rsidR="00336269" w:rsidRPr="00D856AA" w:rsidTr="00336269">
        <w:trPr>
          <w:trHeight w:val="340"/>
        </w:trPr>
        <w:tc>
          <w:tcPr>
            <w:tcW w:w="0" w:type="auto"/>
            <w:gridSpan w:val="8"/>
            <w:tcBorders>
              <w:top w:val="single" w:sz="12" w:space="0" w:color="auto"/>
              <w:left w:val="nil"/>
              <w:bottom w:val="nil"/>
              <w:right w:val="nil"/>
            </w:tcBorders>
          </w:tcPr>
          <w:p w:rsidR="00336269" w:rsidRPr="00336269" w:rsidRDefault="00336269" w:rsidP="00336269">
            <w:pPr>
              <w:pStyle w:val="BSATableNumber"/>
              <w:jc w:val="left"/>
              <w:rPr>
                <w:rFonts w:cs="Arial"/>
                <w:b/>
                <w:i/>
                <w:iCs/>
                <w:color w:val="000000"/>
                <w:sz w:val="20"/>
              </w:rPr>
            </w:pPr>
            <w:r w:rsidRPr="00336269">
              <w:rPr>
                <w:rFonts w:asciiTheme="minorHAnsi" w:hAnsiTheme="minorHAnsi" w:cstheme="minorHAnsi"/>
                <w:b/>
                <w:sz w:val="20"/>
              </w:rPr>
              <w:t>Table 2.3.2d School, teachers and pupils in your class</w:t>
            </w:r>
          </w:p>
        </w:tc>
      </w:tr>
      <w:tr w:rsidR="00336269" w:rsidRPr="00D856AA" w:rsidTr="00076EDD">
        <w:trPr>
          <w:trHeight w:val="794"/>
        </w:trPr>
        <w:tc>
          <w:tcPr>
            <w:tcW w:w="0" w:type="auto"/>
            <w:tcBorders>
              <w:top w:val="nil"/>
              <w:left w:val="nil"/>
              <w:bottom w:val="single" w:sz="12" w:space="0" w:color="auto"/>
              <w:right w:val="nil"/>
            </w:tcBorders>
            <w:vAlign w:val="center"/>
          </w:tcPr>
          <w:p w:rsidR="00336269" w:rsidRPr="00D856AA" w:rsidRDefault="00336269" w:rsidP="00336269">
            <w:pPr>
              <w:keepNext/>
              <w:spacing w:after="0" w:line="240" w:lineRule="auto"/>
              <w:rPr>
                <w:rFonts w:cstheme="minorHAnsi"/>
                <w:sz w:val="20"/>
                <w:szCs w:val="20"/>
              </w:rPr>
            </w:pPr>
          </w:p>
        </w:tc>
        <w:tc>
          <w:tcPr>
            <w:tcW w:w="0" w:type="auto"/>
            <w:tcBorders>
              <w:top w:val="nil"/>
              <w:left w:val="nil"/>
              <w:bottom w:val="single" w:sz="12" w:space="0" w:color="auto"/>
              <w:right w:val="nil"/>
            </w:tcBorders>
            <w:vAlign w:val="center"/>
          </w:tcPr>
          <w:p w:rsidR="00336269" w:rsidRPr="00D856AA" w:rsidRDefault="00336269" w:rsidP="00336269">
            <w:pPr>
              <w:pStyle w:val="BSATableNumber"/>
              <w:jc w:val="center"/>
              <w:rPr>
                <w:rFonts w:asciiTheme="minorHAnsi" w:hAnsiTheme="minorHAnsi" w:cstheme="minorHAnsi"/>
                <w:sz w:val="20"/>
              </w:rPr>
            </w:pPr>
            <w:r w:rsidRPr="00D856AA">
              <w:rPr>
                <w:rFonts w:asciiTheme="minorHAnsi" w:hAnsiTheme="minorHAnsi" w:cstheme="minorHAnsi"/>
                <w:sz w:val="20"/>
              </w:rPr>
              <w:t>Strongly agree</w:t>
            </w:r>
          </w:p>
        </w:tc>
        <w:tc>
          <w:tcPr>
            <w:tcW w:w="0" w:type="auto"/>
            <w:tcBorders>
              <w:top w:val="nil"/>
              <w:left w:val="nil"/>
              <w:bottom w:val="single" w:sz="12" w:space="0" w:color="auto"/>
              <w:right w:val="nil"/>
            </w:tcBorders>
            <w:vAlign w:val="center"/>
          </w:tcPr>
          <w:p w:rsidR="00336269" w:rsidRPr="00D856AA" w:rsidRDefault="00336269" w:rsidP="00336269">
            <w:pPr>
              <w:pStyle w:val="BSATableNumber"/>
              <w:jc w:val="center"/>
              <w:rPr>
                <w:rFonts w:asciiTheme="minorHAnsi" w:hAnsiTheme="minorHAnsi" w:cstheme="minorHAnsi"/>
                <w:sz w:val="20"/>
              </w:rPr>
            </w:pPr>
            <w:r w:rsidRPr="00D856AA">
              <w:rPr>
                <w:rFonts w:asciiTheme="minorHAnsi" w:hAnsiTheme="minorHAnsi" w:cstheme="minorHAnsi"/>
                <w:sz w:val="20"/>
              </w:rPr>
              <w:t>Tend to agree</w:t>
            </w:r>
          </w:p>
        </w:tc>
        <w:tc>
          <w:tcPr>
            <w:tcW w:w="0" w:type="auto"/>
            <w:tcBorders>
              <w:top w:val="nil"/>
              <w:left w:val="nil"/>
              <w:bottom w:val="single" w:sz="12" w:space="0" w:color="auto"/>
              <w:right w:val="nil"/>
            </w:tcBorders>
            <w:vAlign w:val="center"/>
          </w:tcPr>
          <w:p w:rsidR="00336269" w:rsidRPr="00D856AA" w:rsidRDefault="00336269" w:rsidP="00336269">
            <w:pPr>
              <w:pStyle w:val="BSATableNumber"/>
              <w:jc w:val="center"/>
              <w:rPr>
                <w:rFonts w:asciiTheme="minorHAnsi" w:hAnsiTheme="minorHAnsi" w:cstheme="minorHAnsi"/>
                <w:sz w:val="20"/>
              </w:rPr>
            </w:pPr>
            <w:r w:rsidRPr="00D856AA">
              <w:rPr>
                <w:rFonts w:asciiTheme="minorHAnsi" w:hAnsiTheme="minorHAnsi" w:cstheme="minorHAnsi"/>
                <w:sz w:val="20"/>
              </w:rPr>
              <w:t>Neither</w:t>
            </w:r>
          </w:p>
        </w:tc>
        <w:tc>
          <w:tcPr>
            <w:tcW w:w="0" w:type="auto"/>
            <w:tcBorders>
              <w:top w:val="nil"/>
              <w:left w:val="nil"/>
              <w:bottom w:val="single" w:sz="12" w:space="0" w:color="auto"/>
              <w:right w:val="nil"/>
            </w:tcBorders>
            <w:vAlign w:val="center"/>
          </w:tcPr>
          <w:p w:rsidR="00336269" w:rsidRDefault="00336269" w:rsidP="00336269">
            <w:pPr>
              <w:pStyle w:val="BSATableNumber"/>
              <w:jc w:val="center"/>
              <w:rPr>
                <w:rFonts w:asciiTheme="minorHAnsi" w:hAnsiTheme="minorHAnsi" w:cstheme="minorHAnsi"/>
                <w:sz w:val="20"/>
              </w:rPr>
            </w:pPr>
            <w:r w:rsidRPr="00D856AA">
              <w:rPr>
                <w:rFonts w:asciiTheme="minorHAnsi" w:hAnsiTheme="minorHAnsi" w:cstheme="minorHAnsi"/>
                <w:sz w:val="20"/>
              </w:rPr>
              <w:t>Tend</w:t>
            </w:r>
          </w:p>
          <w:p w:rsidR="00336269" w:rsidRPr="00D856AA" w:rsidRDefault="00336269" w:rsidP="00336269">
            <w:pPr>
              <w:pStyle w:val="BSATableNumber"/>
              <w:jc w:val="center"/>
              <w:rPr>
                <w:rFonts w:asciiTheme="minorHAnsi" w:hAnsiTheme="minorHAnsi" w:cstheme="minorHAnsi"/>
                <w:sz w:val="20"/>
              </w:rPr>
            </w:pPr>
            <w:r w:rsidRPr="00D856AA">
              <w:rPr>
                <w:rFonts w:asciiTheme="minorHAnsi" w:hAnsiTheme="minorHAnsi" w:cstheme="minorHAnsi"/>
                <w:sz w:val="20"/>
              </w:rPr>
              <w:t>to disagree</w:t>
            </w:r>
          </w:p>
        </w:tc>
        <w:tc>
          <w:tcPr>
            <w:tcW w:w="0" w:type="auto"/>
            <w:tcBorders>
              <w:top w:val="nil"/>
              <w:left w:val="nil"/>
              <w:bottom w:val="single" w:sz="12" w:space="0" w:color="auto"/>
              <w:right w:val="nil"/>
            </w:tcBorders>
            <w:vAlign w:val="center"/>
          </w:tcPr>
          <w:p w:rsidR="00336269" w:rsidRPr="00D856AA" w:rsidRDefault="00336269" w:rsidP="00336269">
            <w:pPr>
              <w:pStyle w:val="BSATableNumber"/>
              <w:jc w:val="center"/>
              <w:rPr>
                <w:rFonts w:asciiTheme="minorHAnsi" w:hAnsiTheme="minorHAnsi" w:cstheme="minorHAnsi"/>
                <w:sz w:val="20"/>
              </w:rPr>
            </w:pPr>
            <w:r w:rsidRPr="00D856AA">
              <w:rPr>
                <w:rFonts w:asciiTheme="minorHAnsi" w:hAnsiTheme="minorHAnsi" w:cstheme="minorHAnsi"/>
                <w:color w:val="000000"/>
                <w:sz w:val="20"/>
              </w:rPr>
              <w:t>Strongly disagree</w:t>
            </w:r>
          </w:p>
        </w:tc>
        <w:tc>
          <w:tcPr>
            <w:tcW w:w="0" w:type="auto"/>
            <w:tcBorders>
              <w:top w:val="nil"/>
              <w:left w:val="nil"/>
              <w:bottom w:val="single" w:sz="12" w:space="0" w:color="auto"/>
              <w:right w:val="nil"/>
            </w:tcBorders>
            <w:vAlign w:val="center"/>
          </w:tcPr>
          <w:p w:rsidR="00336269" w:rsidRPr="00AD4C8F" w:rsidRDefault="00336269" w:rsidP="00336269">
            <w:pPr>
              <w:pStyle w:val="BSATableNumber"/>
              <w:jc w:val="center"/>
              <w:rPr>
                <w:rFonts w:asciiTheme="minorHAnsi" w:hAnsiTheme="minorHAnsi" w:cstheme="minorHAnsi"/>
                <w:i/>
                <w:sz w:val="16"/>
                <w:szCs w:val="16"/>
              </w:rPr>
            </w:pPr>
            <w:r w:rsidRPr="00AD4C8F">
              <w:rPr>
                <w:rFonts w:asciiTheme="minorHAnsi" w:hAnsiTheme="minorHAnsi" w:cstheme="minorHAnsi"/>
                <w:i/>
                <w:sz w:val="16"/>
                <w:szCs w:val="16"/>
              </w:rPr>
              <w:t>Weighted base</w:t>
            </w:r>
            <w:r>
              <w:rPr>
                <w:rFonts w:asciiTheme="minorHAnsi" w:hAnsiTheme="minorHAnsi" w:cstheme="minorHAnsi"/>
                <w:i/>
                <w:sz w:val="16"/>
                <w:szCs w:val="16"/>
              </w:rPr>
              <w:t>s</w:t>
            </w:r>
          </w:p>
        </w:tc>
        <w:tc>
          <w:tcPr>
            <w:tcW w:w="0" w:type="auto"/>
            <w:tcBorders>
              <w:top w:val="nil"/>
              <w:left w:val="nil"/>
              <w:bottom w:val="single" w:sz="12" w:space="0" w:color="auto"/>
              <w:right w:val="nil"/>
            </w:tcBorders>
            <w:vAlign w:val="center"/>
          </w:tcPr>
          <w:p w:rsidR="00336269" w:rsidRPr="00AD4C8F" w:rsidRDefault="00336269" w:rsidP="00336269">
            <w:pPr>
              <w:pStyle w:val="BSATableNumber"/>
              <w:jc w:val="center"/>
              <w:rPr>
                <w:rFonts w:asciiTheme="minorHAnsi" w:hAnsiTheme="minorHAnsi" w:cstheme="minorHAnsi"/>
                <w:i/>
                <w:sz w:val="16"/>
                <w:szCs w:val="16"/>
              </w:rPr>
            </w:pPr>
            <w:r w:rsidRPr="00AD4C8F">
              <w:rPr>
                <w:rFonts w:asciiTheme="minorHAnsi" w:hAnsiTheme="minorHAnsi" w:cstheme="minorHAnsi"/>
                <w:i/>
                <w:sz w:val="16"/>
                <w:szCs w:val="16"/>
              </w:rPr>
              <w:t>Unweighted base</w:t>
            </w:r>
            <w:r>
              <w:rPr>
                <w:rFonts w:asciiTheme="minorHAnsi" w:hAnsiTheme="minorHAnsi" w:cstheme="minorHAnsi"/>
                <w:i/>
                <w:sz w:val="16"/>
                <w:szCs w:val="16"/>
              </w:rPr>
              <w:t>s</w:t>
            </w:r>
          </w:p>
        </w:tc>
      </w:tr>
      <w:tr w:rsidR="00336269" w:rsidRPr="00336269" w:rsidTr="00336269">
        <w:trPr>
          <w:trHeight w:val="283"/>
        </w:trPr>
        <w:tc>
          <w:tcPr>
            <w:tcW w:w="0" w:type="auto"/>
            <w:tcBorders>
              <w:top w:val="single" w:sz="12" w:space="0" w:color="auto"/>
              <w:left w:val="nil"/>
              <w:bottom w:val="single" w:sz="8" w:space="0" w:color="auto"/>
              <w:right w:val="nil"/>
            </w:tcBorders>
            <w:vAlign w:val="center"/>
          </w:tcPr>
          <w:p w:rsidR="00336269" w:rsidRPr="00336269" w:rsidRDefault="00336269" w:rsidP="00336269">
            <w:pPr>
              <w:keepNext/>
              <w:spacing w:after="0" w:line="240" w:lineRule="auto"/>
              <w:rPr>
                <w:rFonts w:cstheme="minorHAnsi"/>
                <w:i/>
                <w:sz w:val="20"/>
                <w:szCs w:val="20"/>
              </w:rPr>
            </w:pPr>
            <w:r w:rsidRPr="00336269">
              <w:rPr>
                <w:rFonts w:cstheme="minorHAnsi"/>
                <w:i/>
                <w:sz w:val="20"/>
                <w:szCs w:val="20"/>
              </w:rPr>
              <w:t>Row percentages</w:t>
            </w: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color w:val="000000"/>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color w:val="000000"/>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color w:val="000000"/>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color w:val="000000"/>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color w:val="000000"/>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asciiTheme="minorHAnsi" w:hAnsiTheme="minorHAnsi" w:cstheme="minorHAnsi"/>
                <w:i/>
                <w:sz w:val="20"/>
              </w:rPr>
            </w:pPr>
          </w:p>
        </w:tc>
        <w:tc>
          <w:tcPr>
            <w:tcW w:w="0" w:type="auto"/>
            <w:tcBorders>
              <w:top w:val="single" w:sz="12" w:space="0" w:color="auto"/>
              <w:left w:val="nil"/>
              <w:bottom w:val="single" w:sz="8" w:space="0" w:color="auto"/>
              <w:right w:val="nil"/>
            </w:tcBorders>
            <w:vAlign w:val="center"/>
          </w:tcPr>
          <w:p w:rsidR="00336269" w:rsidRPr="00336269" w:rsidRDefault="00336269" w:rsidP="00336269">
            <w:pPr>
              <w:pStyle w:val="BSATableNumber"/>
              <w:rPr>
                <w:rFonts w:cs="Arial"/>
                <w:i/>
                <w:iCs/>
                <w:color w:val="000000"/>
                <w:sz w:val="20"/>
              </w:rPr>
            </w:pPr>
          </w:p>
        </w:tc>
      </w:tr>
      <w:tr w:rsidR="00336269" w:rsidRPr="00D856AA" w:rsidTr="00336269">
        <w:tc>
          <w:tcPr>
            <w:tcW w:w="0" w:type="auto"/>
            <w:tcBorders>
              <w:top w:val="single" w:sz="8" w:space="0" w:color="auto"/>
              <w:left w:val="nil"/>
              <w:bottom w:val="nil"/>
              <w:right w:val="nil"/>
            </w:tcBorders>
            <w:vAlign w:val="center"/>
            <w:hideMark/>
          </w:tcPr>
          <w:p w:rsidR="00336269" w:rsidRPr="00D856AA" w:rsidRDefault="00336269" w:rsidP="00336269">
            <w:pPr>
              <w:keepNext/>
              <w:spacing w:after="0" w:line="240" w:lineRule="auto"/>
              <w:rPr>
                <w:rFonts w:eastAsia="Calibri" w:cstheme="minorHAnsi"/>
                <w:sz w:val="20"/>
                <w:szCs w:val="20"/>
              </w:rPr>
            </w:pPr>
            <w:r w:rsidRPr="00D856AA">
              <w:rPr>
                <w:rFonts w:cstheme="minorHAnsi"/>
                <w:sz w:val="20"/>
                <w:szCs w:val="20"/>
              </w:rPr>
              <w:t>Other pupils accept me as I am</w:t>
            </w:r>
          </w:p>
        </w:tc>
        <w:tc>
          <w:tcPr>
            <w:tcW w:w="0" w:type="auto"/>
            <w:tcBorders>
              <w:top w:val="single" w:sz="8" w:space="0" w:color="auto"/>
              <w:left w:val="nil"/>
              <w:bottom w:val="nil"/>
              <w:right w:val="nil"/>
            </w:tcBorders>
            <w:vAlign w:val="center"/>
          </w:tcPr>
          <w:p w:rsidR="00336269" w:rsidRPr="00D856AA" w:rsidRDefault="00336269" w:rsidP="00336269">
            <w:pPr>
              <w:pStyle w:val="BSATableNumber"/>
              <w:rPr>
                <w:rFonts w:asciiTheme="minorHAnsi" w:hAnsiTheme="minorHAnsi" w:cstheme="minorHAnsi"/>
                <w:sz w:val="20"/>
              </w:rPr>
            </w:pPr>
            <w:r>
              <w:rPr>
                <w:rFonts w:cs="Arial"/>
                <w:color w:val="000000"/>
                <w:sz w:val="20"/>
              </w:rPr>
              <w:t>45</w:t>
            </w:r>
          </w:p>
        </w:tc>
        <w:tc>
          <w:tcPr>
            <w:tcW w:w="0" w:type="auto"/>
            <w:tcBorders>
              <w:top w:val="single" w:sz="8" w:space="0" w:color="auto"/>
              <w:left w:val="nil"/>
              <w:bottom w:val="nil"/>
              <w:right w:val="nil"/>
            </w:tcBorders>
            <w:vAlign w:val="center"/>
          </w:tcPr>
          <w:p w:rsidR="00336269" w:rsidRPr="00D856AA" w:rsidRDefault="00336269" w:rsidP="00336269">
            <w:pPr>
              <w:pStyle w:val="BSATableNumber"/>
              <w:rPr>
                <w:rFonts w:asciiTheme="minorHAnsi" w:hAnsiTheme="minorHAnsi" w:cstheme="minorHAnsi"/>
                <w:sz w:val="20"/>
              </w:rPr>
            </w:pPr>
            <w:r>
              <w:rPr>
                <w:rFonts w:cs="Arial"/>
                <w:color w:val="000000"/>
                <w:sz w:val="20"/>
              </w:rPr>
              <w:t>36</w:t>
            </w:r>
          </w:p>
        </w:tc>
        <w:tc>
          <w:tcPr>
            <w:tcW w:w="0" w:type="auto"/>
            <w:tcBorders>
              <w:top w:val="single" w:sz="8" w:space="0" w:color="auto"/>
              <w:left w:val="nil"/>
              <w:bottom w:val="nil"/>
              <w:right w:val="nil"/>
            </w:tcBorders>
            <w:vAlign w:val="center"/>
          </w:tcPr>
          <w:p w:rsidR="00336269" w:rsidRPr="00D856AA" w:rsidRDefault="00336269" w:rsidP="00336269">
            <w:pPr>
              <w:pStyle w:val="BSATableNumber"/>
              <w:rPr>
                <w:rFonts w:asciiTheme="minorHAnsi" w:hAnsiTheme="minorHAnsi" w:cstheme="minorHAnsi"/>
                <w:sz w:val="20"/>
              </w:rPr>
            </w:pPr>
            <w:r>
              <w:rPr>
                <w:rFonts w:cs="Arial"/>
                <w:color w:val="000000"/>
                <w:sz w:val="20"/>
              </w:rPr>
              <w:t>10</w:t>
            </w:r>
          </w:p>
        </w:tc>
        <w:tc>
          <w:tcPr>
            <w:tcW w:w="0" w:type="auto"/>
            <w:tcBorders>
              <w:top w:val="single" w:sz="8" w:space="0" w:color="auto"/>
              <w:left w:val="nil"/>
              <w:bottom w:val="nil"/>
              <w:right w:val="nil"/>
            </w:tcBorders>
            <w:vAlign w:val="center"/>
          </w:tcPr>
          <w:p w:rsidR="00336269" w:rsidRPr="00D856AA" w:rsidRDefault="00336269" w:rsidP="00336269">
            <w:pPr>
              <w:pStyle w:val="BSATableNumber"/>
              <w:rPr>
                <w:rFonts w:asciiTheme="minorHAnsi" w:hAnsiTheme="minorHAnsi" w:cstheme="minorHAnsi"/>
                <w:sz w:val="20"/>
              </w:rPr>
            </w:pPr>
            <w:r>
              <w:rPr>
                <w:rFonts w:cs="Arial"/>
                <w:color w:val="000000"/>
                <w:sz w:val="20"/>
              </w:rPr>
              <w:t>5</w:t>
            </w:r>
          </w:p>
        </w:tc>
        <w:tc>
          <w:tcPr>
            <w:tcW w:w="0" w:type="auto"/>
            <w:tcBorders>
              <w:top w:val="single" w:sz="8" w:space="0" w:color="auto"/>
              <w:left w:val="nil"/>
              <w:bottom w:val="nil"/>
              <w:right w:val="nil"/>
            </w:tcBorders>
            <w:vAlign w:val="center"/>
          </w:tcPr>
          <w:p w:rsidR="00336269" w:rsidRPr="00D856AA" w:rsidRDefault="00336269" w:rsidP="00336269">
            <w:pPr>
              <w:pStyle w:val="BSATableNumber"/>
              <w:rPr>
                <w:rFonts w:asciiTheme="minorHAnsi" w:hAnsiTheme="minorHAnsi" w:cstheme="minorHAnsi"/>
                <w:sz w:val="20"/>
              </w:rPr>
            </w:pPr>
            <w:r>
              <w:rPr>
                <w:rFonts w:cs="Arial"/>
                <w:color w:val="000000"/>
                <w:sz w:val="20"/>
              </w:rPr>
              <w:t>4</w:t>
            </w:r>
          </w:p>
        </w:tc>
        <w:tc>
          <w:tcPr>
            <w:tcW w:w="0" w:type="auto"/>
            <w:tcBorders>
              <w:top w:val="single" w:sz="8" w:space="0" w:color="auto"/>
              <w:left w:val="nil"/>
              <w:bottom w:val="nil"/>
              <w:right w:val="nil"/>
            </w:tcBorders>
            <w:vAlign w:val="center"/>
          </w:tcPr>
          <w:p w:rsidR="00336269" w:rsidRPr="00B14DBF" w:rsidRDefault="00336269" w:rsidP="00336269">
            <w:pPr>
              <w:pStyle w:val="BSATableNumber"/>
              <w:rPr>
                <w:rFonts w:asciiTheme="minorHAnsi" w:hAnsiTheme="minorHAnsi" w:cstheme="minorHAnsi"/>
                <w:i/>
                <w:sz w:val="20"/>
              </w:rPr>
            </w:pPr>
            <w:r w:rsidRPr="00B14DBF">
              <w:rPr>
                <w:rFonts w:asciiTheme="minorHAnsi" w:hAnsiTheme="minorHAnsi" w:cstheme="minorHAnsi"/>
                <w:i/>
                <w:sz w:val="20"/>
              </w:rPr>
              <w:t>3867</w:t>
            </w:r>
          </w:p>
        </w:tc>
        <w:tc>
          <w:tcPr>
            <w:tcW w:w="0" w:type="auto"/>
            <w:tcBorders>
              <w:top w:val="single" w:sz="8" w:space="0" w:color="auto"/>
              <w:left w:val="nil"/>
              <w:bottom w:val="nil"/>
              <w:right w:val="nil"/>
            </w:tcBorders>
            <w:vAlign w:val="center"/>
          </w:tcPr>
          <w:p w:rsidR="00336269" w:rsidRPr="00B14DBF" w:rsidRDefault="00336269" w:rsidP="00336269">
            <w:pPr>
              <w:pStyle w:val="BSATableNumber"/>
              <w:rPr>
                <w:rFonts w:asciiTheme="minorHAnsi" w:hAnsiTheme="minorHAnsi" w:cstheme="minorHAnsi"/>
                <w:i/>
                <w:sz w:val="20"/>
              </w:rPr>
            </w:pPr>
            <w:r w:rsidRPr="00B14DBF">
              <w:rPr>
                <w:rFonts w:cs="Arial"/>
                <w:i/>
                <w:iCs/>
                <w:color w:val="000000"/>
                <w:sz w:val="20"/>
              </w:rPr>
              <w:t>3866</w:t>
            </w:r>
          </w:p>
        </w:tc>
      </w:tr>
      <w:tr w:rsidR="00336269" w:rsidRPr="00D856AA" w:rsidTr="00336269">
        <w:tc>
          <w:tcPr>
            <w:tcW w:w="0" w:type="auto"/>
            <w:tcBorders>
              <w:top w:val="nil"/>
              <w:left w:val="nil"/>
              <w:bottom w:val="nil"/>
              <w:right w:val="nil"/>
            </w:tcBorders>
            <w:vAlign w:val="center"/>
            <w:hideMark/>
          </w:tcPr>
          <w:p w:rsidR="00336269" w:rsidRPr="00D856AA" w:rsidRDefault="00336269" w:rsidP="00336269">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My teachers listen to me</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36</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14</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4</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3864</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3864</w:t>
            </w:r>
          </w:p>
        </w:tc>
      </w:tr>
      <w:tr w:rsidR="00336269" w:rsidRPr="00D856AA" w:rsidTr="00336269">
        <w:tc>
          <w:tcPr>
            <w:tcW w:w="0" w:type="auto"/>
            <w:tcBorders>
              <w:top w:val="nil"/>
              <w:left w:val="nil"/>
              <w:bottom w:val="nil"/>
              <w:right w:val="nil"/>
            </w:tcBorders>
            <w:vAlign w:val="center"/>
          </w:tcPr>
          <w:p w:rsidR="00336269" w:rsidRPr="00D856AA" w:rsidRDefault="00336269" w:rsidP="00336269">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I feel like teachers in my school treat me fairly</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38</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35</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15</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5</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3867</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3866</w:t>
            </w:r>
          </w:p>
        </w:tc>
      </w:tr>
      <w:tr w:rsidR="00336269" w:rsidRPr="00D856AA" w:rsidTr="00336269">
        <w:tc>
          <w:tcPr>
            <w:tcW w:w="0" w:type="auto"/>
            <w:tcBorders>
              <w:top w:val="nil"/>
              <w:left w:val="nil"/>
              <w:bottom w:val="nil"/>
              <w:right w:val="nil"/>
            </w:tcBorders>
            <w:vAlign w:val="center"/>
          </w:tcPr>
          <w:p w:rsidR="00336269" w:rsidRPr="00D856AA" w:rsidRDefault="00336269" w:rsidP="00336269">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The pupils in my class(</w:t>
            </w:r>
            <w:proofErr w:type="spellStart"/>
            <w:r w:rsidRPr="00D856AA">
              <w:rPr>
                <w:rFonts w:asciiTheme="minorHAnsi" w:hAnsiTheme="minorHAnsi" w:cstheme="minorHAnsi"/>
                <w:sz w:val="20"/>
                <w:lang w:eastAsia="en-US"/>
              </w:rPr>
              <w:t>es</w:t>
            </w:r>
            <w:proofErr w:type="spellEnd"/>
            <w:r w:rsidRPr="00D856AA">
              <w:rPr>
                <w:rFonts w:asciiTheme="minorHAnsi" w:hAnsiTheme="minorHAnsi" w:cstheme="minorHAnsi"/>
                <w:sz w:val="20"/>
                <w:lang w:eastAsia="en-US"/>
              </w:rPr>
              <w:t>) treat each other with respect</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20</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33</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25</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15</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7</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3856</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3856</w:t>
            </w:r>
          </w:p>
        </w:tc>
      </w:tr>
      <w:tr w:rsidR="00336269" w:rsidRPr="00D856AA" w:rsidTr="00336269">
        <w:tc>
          <w:tcPr>
            <w:tcW w:w="0" w:type="auto"/>
            <w:tcBorders>
              <w:top w:val="nil"/>
              <w:left w:val="nil"/>
              <w:bottom w:val="nil"/>
              <w:right w:val="nil"/>
            </w:tcBorders>
            <w:vAlign w:val="center"/>
          </w:tcPr>
          <w:p w:rsidR="00336269" w:rsidRPr="00D856AA" w:rsidRDefault="00336269" w:rsidP="00336269">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I am happy with what I get to do and study at school</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34</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17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4</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3864</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3863</w:t>
            </w:r>
          </w:p>
        </w:tc>
      </w:tr>
      <w:tr w:rsidR="00336269" w:rsidRPr="00D856AA" w:rsidTr="00336269">
        <w:tc>
          <w:tcPr>
            <w:tcW w:w="0" w:type="auto"/>
            <w:tcBorders>
              <w:top w:val="nil"/>
              <w:left w:val="nil"/>
              <w:bottom w:val="nil"/>
              <w:right w:val="nil"/>
            </w:tcBorders>
            <w:vAlign w:val="center"/>
          </w:tcPr>
          <w:p w:rsidR="00336269" w:rsidRPr="00D856AA" w:rsidRDefault="00336269" w:rsidP="00336269">
            <w:pPr>
              <w:pStyle w:val="Bullet1"/>
              <w:keepNext/>
              <w:tabs>
                <w:tab w:val="left" w:pos="720"/>
              </w:tabs>
              <w:spacing w:before="0" w:after="0"/>
              <w:rPr>
                <w:rFonts w:asciiTheme="minorHAnsi" w:hAnsiTheme="minorHAnsi" w:cstheme="minorHAnsi"/>
                <w:sz w:val="20"/>
                <w:lang w:eastAsia="en-US"/>
              </w:rPr>
            </w:pPr>
            <w:r w:rsidRPr="00D856AA">
              <w:rPr>
                <w:rFonts w:asciiTheme="minorHAnsi" w:hAnsiTheme="minorHAnsi" w:cstheme="minorHAnsi"/>
                <w:sz w:val="20"/>
                <w:lang w:eastAsia="en-US"/>
              </w:rPr>
              <w:t>My teachers make me want to do well in school</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41</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33</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17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6</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4</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3838</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3837</w:t>
            </w:r>
          </w:p>
        </w:tc>
      </w:tr>
      <w:tr w:rsidR="00336269" w:rsidRPr="00D856AA" w:rsidTr="00336269">
        <w:tc>
          <w:tcPr>
            <w:tcW w:w="0" w:type="auto"/>
            <w:tcBorders>
              <w:top w:val="nil"/>
              <w:left w:val="nil"/>
              <w:bottom w:val="nil"/>
              <w:right w:val="nil"/>
            </w:tcBorders>
            <w:vAlign w:val="center"/>
            <w:hideMark/>
          </w:tcPr>
          <w:p w:rsidR="00336269" w:rsidRPr="00D856AA" w:rsidRDefault="00336269" w:rsidP="00336269">
            <w:pPr>
              <w:keepNext/>
              <w:spacing w:after="0" w:line="240" w:lineRule="auto"/>
              <w:rPr>
                <w:rFonts w:eastAsia="Calibri" w:cstheme="minorHAnsi"/>
                <w:sz w:val="20"/>
                <w:szCs w:val="20"/>
              </w:rPr>
            </w:pPr>
            <w:r w:rsidRPr="00D856AA">
              <w:rPr>
                <w:rFonts w:eastAsia="Calibri" w:cstheme="minorHAnsi"/>
                <w:sz w:val="20"/>
                <w:szCs w:val="20"/>
              </w:rPr>
              <w:t>My teachers care about me as a person</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34</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33</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20</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7</w:t>
            </w:r>
          </w:p>
        </w:tc>
        <w:tc>
          <w:tcPr>
            <w:tcW w:w="0" w:type="auto"/>
            <w:tcBorders>
              <w:top w:val="nil"/>
              <w:left w:val="nil"/>
              <w:bottom w:val="nil"/>
              <w:right w:val="nil"/>
            </w:tcBorders>
            <w:vAlign w:val="center"/>
          </w:tcPr>
          <w:p w:rsidR="00336269" w:rsidRDefault="00336269" w:rsidP="00336269">
            <w:pPr>
              <w:pStyle w:val="BSATableNumber"/>
              <w:rPr>
                <w:rFonts w:cs="Arial"/>
                <w:color w:val="000000"/>
                <w:sz w:val="20"/>
              </w:rPr>
            </w:pPr>
            <w:r>
              <w:rPr>
                <w:rFonts w:cs="Arial"/>
                <w:color w:val="000000"/>
                <w:sz w:val="20"/>
              </w:rPr>
              <w:t>5</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3755</w:t>
            </w:r>
          </w:p>
        </w:tc>
        <w:tc>
          <w:tcPr>
            <w:tcW w:w="0" w:type="auto"/>
            <w:tcBorders>
              <w:top w:val="nil"/>
              <w:left w:val="nil"/>
              <w:bottom w:val="nil"/>
              <w:right w:val="nil"/>
            </w:tcBorders>
            <w:vAlign w:val="center"/>
          </w:tcPr>
          <w:p w:rsidR="00336269" w:rsidRPr="00B14DBF" w:rsidRDefault="00336269" w:rsidP="00336269">
            <w:pPr>
              <w:pStyle w:val="BSATableNumber"/>
              <w:rPr>
                <w:rFonts w:cs="Arial"/>
                <w:i/>
                <w:color w:val="000000"/>
                <w:sz w:val="20"/>
              </w:rPr>
            </w:pPr>
            <w:r w:rsidRPr="00B14DBF">
              <w:rPr>
                <w:rFonts w:cs="Arial"/>
                <w:i/>
                <w:color w:val="000000"/>
                <w:sz w:val="20"/>
              </w:rPr>
              <w:t>3754</w:t>
            </w:r>
          </w:p>
        </w:tc>
      </w:tr>
      <w:tr w:rsidR="00336269" w:rsidRPr="00D856AA" w:rsidTr="00336269">
        <w:tc>
          <w:tcPr>
            <w:tcW w:w="0" w:type="auto"/>
            <w:tcBorders>
              <w:top w:val="nil"/>
              <w:left w:val="nil"/>
              <w:bottom w:val="single" w:sz="12" w:space="0" w:color="auto"/>
              <w:right w:val="nil"/>
            </w:tcBorders>
            <w:hideMark/>
          </w:tcPr>
          <w:p w:rsidR="00336269" w:rsidRPr="00D856AA" w:rsidRDefault="00336269" w:rsidP="00336269">
            <w:pPr>
              <w:keepNext/>
              <w:spacing w:after="0" w:line="240" w:lineRule="auto"/>
              <w:rPr>
                <w:rFonts w:eastAsia="Calibri" w:cstheme="minorHAnsi"/>
                <w:color w:val="000000"/>
                <w:sz w:val="20"/>
                <w:szCs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sz w:val="20"/>
              </w:rPr>
            </w:pPr>
          </w:p>
        </w:tc>
        <w:tc>
          <w:tcPr>
            <w:tcW w:w="0" w:type="auto"/>
            <w:tcBorders>
              <w:top w:val="nil"/>
              <w:left w:val="nil"/>
              <w:bottom w:val="single" w:sz="12" w:space="0" w:color="auto"/>
              <w:right w:val="nil"/>
            </w:tcBorders>
            <w:vAlign w:val="bottom"/>
          </w:tcPr>
          <w:p w:rsidR="00336269" w:rsidRPr="00D856AA" w:rsidRDefault="00336269" w:rsidP="00336269">
            <w:pPr>
              <w:pStyle w:val="BSATableNumber"/>
              <w:rPr>
                <w:rFonts w:asciiTheme="minorHAnsi" w:hAnsiTheme="minorHAnsi" w:cstheme="minorHAnsi"/>
                <w:i/>
                <w:sz w:val="20"/>
              </w:rPr>
            </w:pPr>
          </w:p>
        </w:tc>
      </w:tr>
    </w:tbl>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Falkirk</w:t>
      </w:r>
      <w:r w:rsidRPr="00A018E9">
        <w:rPr>
          <w:i/>
          <w:sz w:val="18"/>
          <w:szCs w:val="18"/>
        </w:rPr>
        <w:t xml:space="preserve"> 201</w:t>
      </w:r>
      <w:r>
        <w:rPr>
          <w:i/>
          <w:sz w:val="18"/>
          <w:szCs w:val="18"/>
        </w:rPr>
        <w:t>7</w:t>
      </w:r>
    </w:p>
    <w:p w:rsidR="00C73B66" w:rsidRDefault="00C73B66" w:rsidP="00C73B66">
      <w:pPr>
        <w:pStyle w:val="BodyCopy"/>
        <w:spacing w:line="276" w:lineRule="auto"/>
      </w:pPr>
      <w:r>
        <w:t xml:space="preserve">Pupils </w:t>
      </w:r>
      <w:r w:rsidR="0065442C">
        <w:t>were</w:t>
      </w:r>
      <w:r>
        <w:t xml:space="preserve"> generally positive about their school, teachers and other pupils in their class with the majority agreeing or agreeing strongly with each of the statements.</w:t>
      </w:r>
    </w:p>
    <w:p w:rsidR="00C73B66" w:rsidRDefault="00C73B66" w:rsidP="00C73B66">
      <w:pPr>
        <w:pStyle w:val="BodyCopy"/>
        <w:spacing w:line="276" w:lineRule="auto"/>
      </w:pPr>
    </w:p>
    <w:p w:rsidR="00C73B66" w:rsidRDefault="008330CC" w:rsidP="00C73B66">
      <w:pPr>
        <w:pStyle w:val="BodyCopy"/>
        <w:spacing w:line="276" w:lineRule="auto"/>
      </w:pPr>
      <w:r>
        <w:t>Around</w:t>
      </w:r>
      <w:r w:rsidR="00C73B66">
        <w:t xml:space="preserve"> three-quarters agreed that their teachers listen to them (74%), that teachers in the school treat them fairly (73%)</w:t>
      </w:r>
      <w:r w:rsidR="00B14DBF">
        <w:t>,</w:t>
      </w:r>
      <w:r w:rsidR="00C73B66">
        <w:t xml:space="preserve"> that their teachers </w:t>
      </w:r>
      <w:r w:rsidR="0065442C">
        <w:t xml:space="preserve">make </w:t>
      </w:r>
      <w:r w:rsidR="00C73B66">
        <w:t xml:space="preserve">them want to do well (also 73%), </w:t>
      </w:r>
      <w:r w:rsidR="00B14DBF">
        <w:t xml:space="preserve">and that they </w:t>
      </w:r>
      <w:r w:rsidR="0065442C">
        <w:t xml:space="preserve">are </w:t>
      </w:r>
      <w:r w:rsidR="00B14DBF">
        <w:t xml:space="preserve">happy with what they </w:t>
      </w:r>
      <w:r w:rsidR="0065442C">
        <w:t xml:space="preserve">get </w:t>
      </w:r>
      <w:r w:rsidR="00B14DBF">
        <w:t>to study at school (72%)</w:t>
      </w:r>
      <w:r>
        <w:t>.</w:t>
      </w:r>
      <w:r w:rsidR="00B14DBF">
        <w:t xml:space="preserve"> </w:t>
      </w:r>
      <w:r>
        <w:t>S</w:t>
      </w:r>
      <w:r w:rsidR="00C73B66">
        <w:t>lightly fewer agree</w:t>
      </w:r>
      <w:r>
        <w:t>d</w:t>
      </w:r>
      <w:r w:rsidR="00C73B66">
        <w:t xml:space="preserve"> that their teachers c</w:t>
      </w:r>
      <w:r>
        <w:t>are about them as a person, but this was still a majority of pupils (68%)</w:t>
      </w:r>
      <w:r w:rsidR="00C73B66">
        <w:t>. Most pupils agreed that other pupils accept them as they are (81%), with just over half saying that pupils in their class(</w:t>
      </w:r>
      <w:proofErr w:type="spellStart"/>
      <w:r w:rsidR="00C73B66">
        <w:t>es</w:t>
      </w:r>
      <w:proofErr w:type="spellEnd"/>
      <w:r w:rsidR="00C73B66">
        <w:t xml:space="preserve">) treat each other with respect (53%). </w:t>
      </w:r>
    </w:p>
    <w:p w:rsidR="00B14DBF" w:rsidRDefault="00B14DBF" w:rsidP="00C73B66">
      <w:pPr>
        <w:pStyle w:val="BodyCopy"/>
        <w:spacing w:line="276" w:lineRule="auto"/>
      </w:pPr>
    </w:p>
    <w:p w:rsidR="00C73B66" w:rsidRDefault="00C73B66" w:rsidP="00C73B66">
      <w:pPr>
        <w:pStyle w:val="BodyCopy"/>
        <w:spacing w:line="276" w:lineRule="auto"/>
      </w:pPr>
      <w:r>
        <w:t xml:space="preserve">Again, there was evidence of an age difference with those in S1 most likely to agree with each of the individual statements and those in S4 least likely (there was no significant relationship </w:t>
      </w:r>
      <w:r w:rsidR="00B14DBF">
        <w:t>between</w:t>
      </w:r>
      <w:r>
        <w:t xml:space="preserve"> age and the statement ‘other pupils accept me’). There was also a small gender difference</w:t>
      </w:r>
      <w:r w:rsidRPr="008F5203">
        <w:t xml:space="preserve"> </w:t>
      </w:r>
      <w:r>
        <w:t xml:space="preserve">for </w:t>
      </w:r>
      <w:r w:rsidR="00713A53">
        <w:t xml:space="preserve">all but one </w:t>
      </w:r>
      <w:r>
        <w:t>of the statements</w:t>
      </w:r>
      <w:r w:rsidR="00713A53">
        <w:t xml:space="preserve"> (teachers in my school treat me fairly)</w:t>
      </w:r>
      <w:r>
        <w:t>, with boys more likely than girls to agree.</w:t>
      </w:r>
    </w:p>
    <w:p w:rsidR="00C73B66" w:rsidRDefault="00C73B66" w:rsidP="00C73B66">
      <w:pPr>
        <w:pStyle w:val="BodyCopy"/>
        <w:spacing w:line="276" w:lineRule="auto"/>
      </w:pPr>
    </w:p>
    <w:p w:rsidR="00C73B66" w:rsidRDefault="00C73B66" w:rsidP="00C73B66">
      <w:pPr>
        <w:pStyle w:val="BodyCopy"/>
        <w:spacing w:line="276" w:lineRule="auto"/>
      </w:pPr>
      <w:r>
        <w:lastRenderedPageBreak/>
        <w:t xml:space="preserve">Those eligible for free school meals were less likely to agree that; </w:t>
      </w:r>
      <w:r w:rsidR="00BE1E11">
        <w:t>‘</w:t>
      </w:r>
      <w:r>
        <w:t>other pupils accept me as I am</w:t>
      </w:r>
      <w:r w:rsidR="00BE1E11">
        <w:t>’</w:t>
      </w:r>
      <w:r>
        <w:t>, ‘my teachers listen to me</w:t>
      </w:r>
      <w:r w:rsidR="00BE1E11">
        <w:t>’</w:t>
      </w:r>
      <w:r>
        <w:t>,</w:t>
      </w:r>
      <w:r w:rsidR="00BE1E11">
        <w:t xml:space="preserve"> </w:t>
      </w:r>
      <w:r w:rsidR="00713A53">
        <w:t>and that</w:t>
      </w:r>
      <w:r>
        <w:t xml:space="preserve"> </w:t>
      </w:r>
      <w:r w:rsidR="00BE1E11">
        <w:t>‘</w:t>
      </w:r>
      <w:r>
        <w:t>I am happy with what I study at school</w:t>
      </w:r>
      <w:r w:rsidR="00BE1E11">
        <w:t>’</w:t>
      </w:r>
      <w:r>
        <w:t xml:space="preserve">, compared with those who </w:t>
      </w:r>
      <w:r w:rsidR="00713A53">
        <w:t>we</w:t>
      </w:r>
      <w:r>
        <w:t xml:space="preserve">re not eligible.  </w:t>
      </w:r>
    </w:p>
    <w:p w:rsidR="00C73B66" w:rsidRDefault="00C73B66" w:rsidP="00C73B66">
      <w:pPr>
        <w:pStyle w:val="BodyCopy"/>
        <w:spacing w:line="276" w:lineRule="auto"/>
      </w:pPr>
    </w:p>
    <w:p w:rsidR="00C73B66" w:rsidRDefault="00C73B66" w:rsidP="009F0BC7">
      <w:pPr>
        <w:pStyle w:val="BodyCopy"/>
        <w:spacing w:line="276" w:lineRule="auto"/>
      </w:pPr>
      <w:r>
        <w:t>Those who lived with two parents were more likely to agree with each of the statements compared with those in other family situations</w:t>
      </w:r>
      <w:r w:rsidR="009F0BC7">
        <w:t>, as were those with one or</w:t>
      </w:r>
      <w:r w:rsidR="00713A53">
        <w:t xml:space="preserve"> more siblings compared </w:t>
      </w:r>
      <w:r w:rsidR="009F0BC7">
        <w:t>with</w:t>
      </w:r>
      <w:r w:rsidR="00713A53">
        <w:t xml:space="preserve"> those with no siblings (with the exception of the statement ‘pupils accept me as I am’ where there was no significant different)</w:t>
      </w:r>
      <w:r>
        <w:t>.</w:t>
      </w:r>
    </w:p>
    <w:p w:rsidR="00C73B66" w:rsidRDefault="00C73B66" w:rsidP="00C73B66">
      <w:pPr>
        <w:pStyle w:val="BodyCopy"/>
        <w:spacing w:line="276" w:lineRule="auto"/>
      </w:pPr>
    </w:p>
    <w:p w:rsidR="00C73B66" w:rsidRDefault="00BD3F72" w:rsidP="00C73B66">
      <w:pPr>
        <w:pStyle w:val="BodyCopy"/>
        <w:spacing w:line="276" w:lineRule="auto"/>
      </w:pPr>
      <w:r>
        <w:t>There were no significant d</w:t>
      </w:r>
      <w:r w:rsidR="00C73B66">
        <w:t xml:space="preserve">ifferences by area deprivation </w:t>
      </w:r>
      <w:r>
        <w:t>for any of the statements about relationships with teachers and pupils</w:t>
      </w:r>
      <w:r w:rsidR="00C73B66">
        <w:t>.</w:t>
      </w:r>
    </w:p>
    <w:p w:rsidR="00C73B66" w:rsidRDefault="00C73B66" w:rsidP="00C73B66">
      <w:pPr>
        <w:pStyle w:val="Heading3"/>
        <w:numPr>
          <w:ilvl w:val="0"/>
          <w:numId w:val="0"/>
        </w:numPr>
        <w:tabs>
          <w:tab w:val="left" w:pos="0"/>
        </w:tabs>
        <w:ind w:left="851" w:hanging="851"/>
      </w:pPr>
      <w:bookmarkStart w:id="49" w:name="_Toc494182052"/>
      <w:r>
        <w:t>Worries about school</w:t>
      </w:r>
      <w:r w:rsidR="00B822EA">
        <w:t xml:space="preserve"> (Healthy, Achieving)</w:t>
      </w:r>
      <w:bookmarkEnd w:id="49"/>
    </w:p>
    <w:p w:rsidR="00C73B66" w:rsidRPr="00694712" w:rsidRDefault="00C73B66" w:rsidP="00C73B66">
      <w:pPr>
        <w:pStyle w:val="BodyCopy"/>
      </w:pPr>
    </w:p>
    <w:p w:rsidR="00C73B66" w:rsidRDefault="00C73B66" w:rsidP="009F0BC7">
      <w:pPr>
        <w:pStyle w:val="BodyCopy"/>
        <w:tabs>
          <w:tab w:val="left" w:pos="0"/>
        </w:tabs>
        <w:spacing w:line="276" w:lineRule="auto"/>
      </w:pPr>
      <w:r>
        <w:t xml:space="preserve">When pupils were asked how much they worried about not doing well at school, 30% said a lot, a further 36% quite a lot, </w:t>
      </w:r>
      <w:r w:rsidR="008330CC">
        <w:t>29% not very much and</w:t>
      </w:r>
      <w:r w:rsidR="00BD3F72">
        <w:t xml:space="preserve"> </w:t>
      </w:r>
      <w:r>
        <w:t>6% sa</w:t>
      </w:r>
      <w:r w:rsidR="00BD3F72">
        <w:t>ying</w:t>
      </w:r>
      <w:r>
        <w:t xml:space="preserve"> not at all. </w:t>
      </w:r>
    </w:p>
    <w:p w:rsidR="00C73B66" w:rsidRDefault="00C73B66" w:rsidP="009F0BC7">
      <w:pPr>
        <w:pStyle w:val="BodyCopy"/>
        <w:tabs>
          <w:tab w:val="left" w:pos="0"/>
        </w:tabs>
        <w:spacing w:line="276" w:lineRule="auto"/>
      </w:pPr>
    </w:p>
    <w:p w:rsidR="00C73B66" w:rsidRDefault="00C73B66" w:rsidP="009F0BC7">
      <w:pPr>
        <w:pStyle w:val="BodyCopy"/>
        <w:tabs>
          <w:tab w:val="left" w:pos="0"/>
        </w:tabs>
        <w:spacing w:line="276" w:lineRule="auto"/>
      </w:pPr>
      <w:r>
        <w:t>Older pupils tended to worry more, with over three</w:t>
      </w:r>
      <w:r w:rsidR="00562B96">
        <w:t>-</w:t>
      </w:r>
      <w:r>
        <w:t xml:space="preserve">quarters (78%) of S4 pupils worrying a lot or quite a lot about not doing well at school compared with 57% of S1 pupils. Girls also tended to worry more (72% compared with 58% of boys), as did those living </w:t>
      </w:r>
      <w:r w:rsidR="00110A0F">
        <w:t>in one parent households</w:t>
      </w:r>
      <w:r>
        <w:t xml:space="preserve"> (70% compared with 67% of those living </w:t>
      </w:r>
      <w:r w:rsidR="00110A0F">
        <w:t>in</w:t>
      </w:r>
      <w:r>
        <w:t xml:space="preserve"> step-families and 64% of those living with two parents).</w:t>
      </w:r>
    </w:p>
    <w:p w:rsidR="00C73B66" w:rsidRDefault="00C73B66" w:rsidP="009F0BC7">
      <w:pPr>
        <w:pStyle w:val="BodyCopy"/>
        <w:tabs>
          <w:tab w:val="left" w:pos="0"/>
        </w:tabs>
        <w:spacing w:line="276" w:lineRule="auto"/>
      </w:pPr>
    </w:p>
    <w:p w:rsidR="00C73B66" w:rsidRPr="00914C2C" w:rsidRDefault="00C73B66" w:rsidP="009F0BC7">
      <w:pPr>
        <w:pStyle w:val="BodyCopy"/>
        <w:tabs>
          <w:tab w:val="left" w:pos="0"/>
        </w:tabs>
        <w:spacing w:line="276" w:lineRule="auto"/>
      </w:pPr>
      <w:r>
        <w:t>Pupils who</w:t>
      </w:r>
      <w:r w:rsidR="00110A0F">
        <w:t>se friends</w:t>
      </w:r>
      <w:r>
        <w:t xml:space="preserve"> work hard all of the time were also more likely to worry about not doing well (68% compared with 58% of those whose friends never worked hard). The biggest gap, however, was determined by whether the pupil felt strained by schoolwork. Those who felt strained all of the time were more than twice as likely (85%) to worry about not doing well at school compared with those who never felt strained (39%). </w:t>
      </w:r>
    </w:p>
    <w:p w:rsidR="00C73B66" w:rsidRPr="008A1C84" w:rsidRDefault="00C73B66" w:rsidP="00C73B66">
      <w:pPr>
        <w:pStyle w:val="Heading3"/>
        <w:spacing w:line="276" w:lineRule="auto"/>
      </w:pPr>
      <w:bookmarkStart w:id="50" w:name="_Toc494182053"/>
      <w:r w:rsidRPr="008A1C84">
        <w:t>Peer relationships and friendships</w:t>
      </w:r>
      <w:bookmarkEnd w:id="50"/>
    </w:p>
    <w:p w:rsidR="00C73B66" w:rsidRDefault="00C73B66" w:rsidP="00C73B66">
      <w:pPr>
        <w:pStyle w:val="Heading3"/>
        <w:numPr>
          <w:ilvl w:val="3"/>
          <w:numId w:val="13"/>
        </w:numPr>
        <w:spacing w:line="276" w:lineRule="auto"/>
      </w:pPr>
      <w:bookmarkStart w:id="51" w:name="_Toc494182054"/>
      <w:r>
        <w:t>Friendships (Included, Respected)</w:t>
      </w:r>
      <w:bookmarkEnd w:id="51"/>
    </w:p>
    <w:p w:rsidR="00C73B66" w:rsidRDefault="00C73B66" w:rsidP="00C73B66">
      <w:pPr>
        <w:pStyle w:val="BodyCopy"/>
        <w:spacing w:line="276" w:lineRule="auto"/>
      </w:pPr>
      <w:r>
        <w:t xml:space="preserve">Most pupils (80%) said that they had three or more close friends, 14% that they had two, 4% that they had one friend and 2% that they did not have any. Boys were more likely than girls </w:t>
      </w:r>
      <w:r w:rsidRPr="006C10CE">
        <w:t xml:space="preserve">not </w:t>
      </w:r>
      <w:r>
        <w:t>to have any close friends</w:t>
      </w:r>
      <w:r w:rsidR="0065442C">
        <w:t>, although in both cases the proportion was very small in absolute terms</w:t>
      </w:r>
      <w:r>
        <w:t xml:space="preserve"> (2% compared with 1%). </w:t>
      </w:r>
    </w:p>
    <w:p w:rsidR="00C73B66" w:rsidRDefault="00C73B66" w:rsidP="00C73B66">
      <w:pPr>
        <w:pStyle w:val="BodyCopy"/>
        <w:spacing w:line="276" w:lineRule="auto"/>
      </w:pPr>
    </w:p>
    <w:p w:rsidR="0065442C" w:rsidRDefault="0065442C" w:rsidP="00C73B66">
      <w:pPr>
        <w:pStyle w:val="BodyCopy"/>
        <w:spacing w:line="276" w:lineRule="auto"/>
      </w:pPr>
      <w:r>
        <w:t xml:space="preserve">Similarly, most </w:t>
      </w:r>
      <w:r w:rsidR="00C73B66">
        <w:t xml:space="preserve">pupils (80%) agreed that they had a close friend they could speak to about things that really bothered them, with girls more likely to agree than boys (85% of girls agreed and 8% disagreed compared with 75% of boy who agreed and 14% disagreed). Younger children were more likely to agree with this statement (82% agreed and 11% disagreed in S1 compared with 78% and 11% in S4). </w:t>
      </w:r>
      <w:r w:rsidR="00242849">
        <w:t xml:space="preserve">Those not living with a parent were less likely than those in all </w:t>
      </w:r>
      <w:r w:rsidR="00242849">
        <w:lastRenderedPageBreak/>
        <w:t>other household types to agree that they had a close friend to speak to (66% of those not living with a parent compared with 81% of those in two parent households, 79% in one parent households and 78% in step</w:t>
      </w:r>
      <w:r w:rsidR="003673F6">
        <w:t>-</w:t>
      </w:r>
      <w:r w:rsidR="00242849">
        <w:t>families).</w:t>
      </w:r>
      <w:r w:rsidR="00C73B66">
        <w:t xml:space="preserve"> </w:t>
      </w:r>
    </w:p>
    <w:p w:rsidR="0065442C" w:rsidRDefault="0065442C" w:rsidP="00C73B66">
      <w:pPr>
        <w:pStyle w:val="BodyCopy"/>
        <w:spacing w:line="276" w:lineRule="auto"/>
      </w:pPr>
    </w:p>
    <w:p w:rsidR="00C73B66" w:rsidRDefault="00C73B66" w:rsidP="00C73B66">
      <w:pPr>
        <w:pStyle w:val="BodyCopy"/>
        <w:spacing w:line="276" w:lineRule="auto"/>
      </w:pPr>
      <w:r>
        <w:t>Pupils that reported being very likely to talk to a family member about worries were also more likely to agree that they had a close friend to speak to (88% agreed compared with 65% agreeing among those who were not likely at all to talk to a family member about worries).</w:t>
      </w:r>
      <w:r w:rsidR="006C10CE">
        <w:t xml:space="preserve"> </w:t>
      </w:r>
      <w:r w:rsidR="0065442C">
        <w:t xml:space="preserve">This suggests that those who experience isolation at school are relatively less likely to have this compensated for in the home environment. </w:t>
      </w:r>
    </w:p>
    <w:p w:rsidR="00C73B66" w:rsidRDefault="00C73B66" w:rsidP="00C73B66">
      <w:pPr>
        <w:pStyle w:val="Heading3"/>
        <w:numPr>
          <w:ilvl w:val="0"/>
          <w:numId w:val="0"/>
        </w:numPr>
        <w:tabs>
          <w:tab w:val="left" w:pos="0"/>
        </w:tabs>
      </w:pPr>
      <w:bookmarkStart w:id="52" w:name="_Toc494182055"/>
      <w:r>
        <w:t>Social Pressure</w:t>
      </w:r>
      <w:bookmarkEnd w:id="52"/>
    </w:p>
    <w:p w:rsidR="00C73B66" w:rsidRDefault="00C73B66" w:rsidP="00F400E8">
      <w:pPr>
        <w:pStyle w:val="BodyCopy"/>
        <w:spacing w:line="276" w:lineRule="auto"/>
      </w:pPr>
      <w:r>
        <w:t xml:space="preserve">During adolescent years, pupils might also feel pressures by their peers to act in certain ways. Secondary school pupils in Falkirk were asked if they felt pressured to look a certain way, to break rules, have sex, cause trouble, or to take drugs. Overall, 43% felt, even if a little, pressured to look a certain way, 26% to break rules, 22% to cause trouble, 16% to have sex, and 11% to take drugs. </w:t>
      </w:r>
    </w:p>
    <w:p w:rsidR="00C73B66" w:rsidRDefault="00C73B66" w:rsidP="00C73B66">
      <w:pPr>
        <w:pStyle w:val="BodyCopy"/>
        <w:spacing w:before="240" w:line="276" w:lineRule="auto"/>
      </w:pPr>
      <w:r>
        <w:t xml:space="preserve">Boys felt more pressure </w:t>
      </w:r>
      <w:r w:rsidR="00E0410A">
        <w:t xml:space="preserve">than girls </w:t>
      </w:r>
      <w:r>
        <w:t>to break rules (31% compared with 21%</w:t>
      </w:r>
      <w:r w:rsidR="00E0410A">
        <w:t xml:space="preserve"> respectively</w:t>
      </w:r>
      <w:r>
        <w:t xml:space="preserve">), to cause trouble (28% compared with 16%), to have sex (19% compared with 12%), and to take drugs (12% compared with 10%). Age </w:t>
      </w:r>
      <w:r w:rsidR="00E0410A">
        <w:t>was also related to</w:t>
      </w:r>
      <w:r>
        <w:t xml:space="preserve"> whether pupils felt social pressure with different age groups feeling different types of pressure. Younger pupils were more likely to feel pressure to break rules (31% of S1 </w:t>
      </w:r>
      <w:r w:rsidR="00E0410A">
        <w:t xml:space="preserve">pupils </w:t>
      </w:r>
      <w:r>
        <w:t>compared with 19% in S4), and to cause trouble (26% in S1 compared with 15% in S4). Older pupils, however, felt more pressure to take drugs (13% in S4 compared with 9% in S1).</w:t>
      </w:r>
    </w:p>
    <w:p w:rsidR="00C73B66" w:rsidRDefault="00C73B66" w:rsidP="00C73B66">
      <w:pPr>
        <w:pStyle w:val="BodyCopy"/>
        <w:spacing w:before="240" w:line="276" w:lineRule="auto"/>
      </w:pPr>
      <w:r>
        <w:t xml:space="preserve">Those living in the most deprived areas </w:t>
      </w:r>
      <w:r w:rsidR="0081070C">
        <w:t xml:space="preserve">were more likely to feel pressure </w:t>
      </w:r>
      <w:r>
        <w:t>to break rules (30% in the most deprived quintile compared with 22% in the least deprived quintile), to cause trouble (28% compared with 16%</w:t>
      </w:r>
      <w:r w:rsidR="00E0410A">
        <w:t xml:space="preserve"> respectively</w:t>
      </w:r>
      <w:r>
        <w:t>), to have sex (19% compared with 16%), and to take drugs (18% compared with 9%). Similar patterns were observed with regards to free school meal eligibility</w:t>
      </w:r>
      <w:r w:rsidR="00E0410A">
        <w:t>, with</w:t>
      </w:r>
      <w:r>
        <w:t xml:space="preserve"> </w:t>
      </w:r>
      <w:r w:rsidR="00E0410A">
        <w:t>t</w:t>
      </w:r>
      <w:r>
        <w:t>hose eligible for free school meals consistently fe</w:t>
      </w:r>
      <w:r w:rsidR="00E0410A">
        <w:t>e</w:t>
      </w:r>
      <w:r>
        <w:t>l</w:t>
      </w:r>
      <w:r w:rsidR="00E0410A">
        <w:t>ing</w:t>
      </w:r>
      <w:r>
        <w:t xml:space="preserve"> more social pressure than those who were not eligible</w:t>
      </w:r>
      <w:r w:rsidR="00E0410A">
        <w:t xml:space="preserve"> (</w:t>
      </w:r>
      <w:r>
        <w:t>with the exception of feeling pressured to have sex where there was no significant difference between the two groups</w:t>
      </w:r>
      <w:r w:rsidR="00E0410A">
        <w:t>)</w:t>
      </w:r>
      <w:r>
        <w:t xml:space="preserve">. </w:t>
      </w:r>
    </w:p>
    <w:p w:rsidR="00C73B66" w:rsidRDefault="00C73B66" w:rsidP="00C73B66">
      <w:pPr>
        <w:pStyle w:val="BodyCopy"/>
        <w:spacing w:before="240" w:line="276" w:lineRule="auto"/>
      </w:pPr>
      <w:r>
        <w:t xml:space="preserve">Those living in two parent households were less likely to report that they felt pressure to break rules (25% compared with 26-36% in other household types), to have sex (15% compared with 16-21% in other household types), to cause trouble (20% compared with 23-44% in other household types), and to take drugs (10% compared with 12-27% in other household types). The only exception to this pattern was feeling pressured to look a certain way, where those not living with parents felt the least pressure (40% compared with 43% </w:t>
      </w:r>
      <w:r w:rsidR="00E0410A">
        <w:t>of</w:t>
      </w:r>
      <w:r>
        <w:t xml:space="preserve"> those living with one or two parents, and 45% </w:t>
      </w:r>
      <w:r w:rsidR="00E0410A">
        <w:t xml:space="preserve">of </w:t>
      </w:r>
      <w:r>
        <w:t xml:space="preserve">those living </w:t>
      </w:r>
      <w:r w:rsidR="00E0410A">
        <w:t>in</w:t>
      </w:r>
      <w:r>
        <w:t xml:space="preserve"> step-families).</w:t>
      </w:r>
    </w:p>
    <w:p w:rsidR="00C73B66" w:rsidRPr="00680B35" w:rsidRDefault="00C73B66" w:rsidP="006C10CE">
      <w:pPr>
        <w:pStyle w:val="BodyCopy"/>
        <w:spacing w:before="240" w:line="276" w:lineRule="auto"/>
      </w:pPr>
      <w:r>
        <w:lastRenderedPageBreak/>
        <w:t>Finally, whether or not pupils felt pressured to have sex was also associated with whether or not they already engaged in activities such as smoking, drinking, and taking drugs. For example, current smokers were more likely to feel pressure to have sex (33% compared with 32% of ex-smokers and 11% of non-smokers), as did pupils who had had alcoholic drinks in the past week (33% compared with 21% of those who drank but not in the past week and 9% of non-drinkers). Similarly, those who had taken drugs in the past year were more likely to feel pressure to have sex (45% compared with 33% of those who had taken drugs more than a year ago, and 13% of those who had never taken drugs).</w:t>
      </w:r>
    </w:p>
    <w:p w:rsidR="00C73B66" w:rsidRDefault="00C73B66" w:rsidP="00C73B66">
      <w:pPr>
        <w:pStyle w:val="Heading3"/>
        <w:numPr>
          <w:ilvl w:val="3"/>
          <w:numId w:val="13"/>
        </w:numPr>
        <w:spacing w:line="276" w:lineRule="auto"/>
      </w:pPr>
      <w:bookmarkStart w:id="53" w:name="_Toc494182056"/>
      <w:r>
        <w:t>Bullying (Safe, Included, Respected, Responsible)</w:t>
      </w:r>
      <w:bookmarkEnd w:id="53"/>
    </w:p>
    <w:p w:rsidR="00C73B66" w:rsidRPr="00730D3C" w:rsidRDefault="00C73B66" w:rsidP="00C73B66">
      <w:pPr>
        <w:pStyle w:val="Bullet1"/>
        <w:spacing w:before="0" w:after="0" w:line="276" w:lineRule="auto"/>
        <w:rPr>
          <w:rFonts w:asciiTheme="minorHAnsi" w:hAnsiTheme="minorHAnsi" w:cstheme="minorHAnsi"/>
          <w:szCs w:val="22"/>
        </w:rPr>
      </w:pPr>
      <w:r>
        <w:rPr>
          <w:rFonts w:asciiTheme="minorHAnsi" w:hAnsiTheme="minorHAnsi" w:cstheme="minorHAnsi"/>
          <w:szCs w:val="22"/>
        </w:rPr>
        <w:t>The effects of being bullied on emotional health and wellbeing are well established.</w:t>
      </w:r>
      <w:r>
        <w:rPr>
          <w:rStyle w:val="EndnoteReference"/>
          <w:rFonts w:asciiTheme="minorHAnsi" w:hAnsiTheme="minorHAnsi" w:cstheme="minorHAnsi"/>
          <w:szCs w:val="22"/>
        </w:rPr>
        <w:endnoteReference w:id="13"/>
      </w:r>
      <w:r>
        <w:rPr>
          <w:rFonts w:asciiTheme="minorHAnsi" w:hAnsiTheme="minorHAnsi" w:cstheme="minorHAnsi"/>
          <w:szCs w:val="22"/>
        </w:rPr>
        <w:t xml:space="preserve"> Pupils</w:t>
      </w:r>
      <w:r w:rsidRPr="00730D3C">
        <w:rPr>
          <w:rFonts w:asciiTheme="minorHAnsi" w:hAnsiTheme="minorHAnsi" w:cstheme="minorHAnsi"/>
          <w:szCs w:val="22"/>
        </w:rPr>
        <w:t xml:space="preserve"> were asked whether other children or young people had done any of the following things </w:t>
      </w:r>
      <w:r>
        <w:rPr>
          <w:rFonts w:asciiTheme="minorHAnsi" w:hAnsiTheme="minorHAnsi" w:cstheme="minorHAnsi"/>
          <w:szCs w:val="22"/>
        </w:rPr>
        <w:t xml:space="preserve">to them </w:t>
      </w:r>
      <w:r w:rsidRPr="00730D3C">
        <w:rPr>
          <w:rFonts w:asciiTheme="minorHAnsi" w:hAnsiTheme="minorHAnsi" w:cstheme="minorHAnsi"/>
          <w:szCs w:val="22"/>
        </w:rPr>
        <w:t>over the past month, either online/by phone or offline:</w:t>
      </w:r>
    </w:p>
    <w:p w:rsidR="00C73B66" w:rsidRPr="00730D3C" w:rsidRDefault="00C73B66" w:rsidP="008A5702">
      <w:pPr>
        <w:pStyle w:val="Default"/>
        <w:numPr>
          <w:ilvl w:val="0"/>
          <w:numId w:val="17"/>
        </w:numPr>
        <w:spacing w:before="120" w:after="120"/>
        <w:ind w:left="1077" w:hanging="357"/>
        <w:rPr>
          <w:rFonts w:asciiTheme="minorHAnsi" w:hAnsiTheme="minorHAnsi"/>
          <w:sz w:val="22"/>
          <w:szCs w:val="22"/>
        </w:rPr>
      </w:pPr>
      <w:r w:rsidRPr="00730D3C">
        <w:rPr>
          <w:rFonts w:asciiTheme="minorHAnsi" w:hAnsiTheme="minorHAnsi"/>
          <w:sz w:val="22"/>
          <w:szCs w:val="22"/>
        </w:rPr>
        <w:t>Hit, kicked or punched you, taken your belongings or hurt or threatened you physically in some other way</w:t>
      </w:r>
    </w:p>
    <w:p w:rsidR="00C73B66" w:rsidRPr="00730D3C" w:rsidRDefault="00C73B66" w:rsidP="008A5702">
      <w:pPr>
        <w:pStyle w:val="Default"/>
        <w:numPr>
          <w:ilvl w:val="0"/>
          <w:numId w:val="17"/>
        </w:numPr>
        <w:spacing w:before="120" w:after="120"/>
        <w:ind w:left="1077" w:hanging="357"/>
        <w:rPr>
          <w:rFonts w:asciiTheme="minorHAnsi" w:hAnsiTheme="minorHAnsi"/>
          <w:sz w:val="22"/>
          <w:szCs w:val="22"/>
        </w:rPr>
      </w:pPr>
      <w:r w:rsidRPr="00730D3C">
        <w:rPr>
          <w:rFonts w:asciiTheme="minorHAnsi" w:hAnsiTheme="minorHAnsi"/>
          <w:sz w:val="22"/>
          <w:szCs w:val="22"/>
        </w:rPr>
        <w:t>Teased you in a mean way or called you hurtful names</w:t>
      </w:r>
    </w:p>
    <w:p w:rsidR="00C73B66" w:rsidRPr="00C45CED" w:rsidRDefault="00C73B66" w:rsidP="008A5702">
      <w:pPr>
        <w:pStyle w:val="Bullet1"/>
        <w:numPr>
          <w:ilvl w:val="0"/>
          <w:numId w:val="17"/>
        </w:numPr>
        <w:ind w:left="1077" w:hanging="357"/>
        <w:rPr>
          <w:rFonts w:asciiTheme="minorHAnsi" w:hAnsiTheme="minorHAnsi" w:cs="Arial"/>
          <w:szCs w:val="22"/>
          <w:lang w:eastAsia="en-US"/>
        </w:rPr>
      </w:pPr>
      <w:r w:rsidRPr="00730D3C">
        <w:rPr>
          <w:rFonts w:asciiTheme="minorHAnsi" w:hAnsiTheme="minorHAnsi" w:cs="Calibri"/>
          <w:color w:val="000000"/>
          <w:szCs w:val="22"/>
        </w:rPr>
        <w:t>Spread mean rumours or told lies about you, d</w:t>
      </w:r>
      <w:r w:rsidRPr="00730D3C">
        <w:rPr>
          <w:rFonts w:asciiTheme="minorHAnsi" w:hAnsiTheme="minorHAnsi"/>
          <w:szCs w:val="22"/>
        </w:rPr>
        <w:t>eliberately ignored y</w:t>
      </w:r>
      <w:r>
        <w:rPr>
          <w:rFonts w:asciiTheme="minorHAnsi" w:hAnsiTheme="minorHAnsi"/>
          <w:szCs w:val="22"/>
        </w:rPr>
        <w:t>ou or excluded you from a group</w:t>
      </w:r>
    </w:p>
    <w:p w:rsidR="00C73B66" w:rsidRPr="00730D3C" w:rsidRDefault="00C73B66" w:rsidP="00AE3DD5">
      <w:pPr>
        <w:pStyle w:val="Bullet1"/>
        <w:spacing w:before="0" w:after="0"/>
        <w:ind w:left="1077"/>
        <w:rPr>
          <w:rFonts w:asciiTheme="minorHAnsi" w:hAnsiTheme="minorHAnsi" w:cs="Arial"/>
          <w:szCs w:val="22"/>
          <w:lang w:eastAsia="en-US"/>
        </w:rPr>
      </w:pPr>
    </w:p>
    <w:tbl>
      <w:tblPr>
        <w:tblW w:w="5000"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141"/>
        <w:gridCol w:w="1142"/>
        <w:gridCol w:w="1142"/>
        <w:gridCol w:w="1143"/>
        <w:gridCol w:w="1142"/>
        <w:gridCol w:w="1143"/>
      </w:tblGrid>
      <w:tr w:rsidR="00C73B66" w:rsidRPr="00D856AA" w:rsidTr="00336269">
        <w:trPr>
          <w:trHeight w:val="340"/>
        </w:trPr>
        <w:tc>
          <w:tcPr>
            <w:tcW w:w="5000" w:type="pct"/>
            <w:gridSpan w:val="6"/>
            <w:tcBorders>
              <w:top w:val="single" w:sz="12" w:space="0" w:color="auto"/>
              <w:bottom w:val="nil"/>
            </w:tcBorders>
          </w:tcPr>
          <w:p w:rsidR="00C73B66" w:rsidRPr="00806DD7" w:rsidRDefault="00C73B66" w:rsidP="00336269">
            <w:pPr>
              <w:pStyle w:val="BSATableNumber"/>
              <w:jc w:val="left"/>
              <w:rPr>
                <w:rFonts w:asciiTheme="minorHAnsi" w:hAnsiTheme="minorHAnsi" w:cstheme="minorHAnsi"/>
                <w:b/>
                <w:sz w:val="20"/>
              </w:rPr>
            </w:pPr>
            <w:r>
              <w:rPr>
                <w:b/>
                <w:sz w:val="20"/>
              </w:rPr>
              <w:t>Table 2.3.3</w:t>
            </w:r>
            <w:r w:rsidRPr="00806DD7">
              <w:rPr>
                <w:b/>
                <w:sz w:val="20"/>
              </w:rPr>
              <w:t>a Experience of bullying</w:t>
            </w:r>
          </w:p>
        </w:tc>
      </w:tr>
      <w:tr w:rsidR="00C73B66" w:rsidRPr="00D856AA" w:rsidTr="008A5702">
        <w:tc>
          <w:tcPr>
            <w:tcW w:w="1363" w:type="pct"/>
            <w:tcBorders>
              <w:top w:val="nil"/>
              <w:bottom w:val="single" w:sz="12" w:space="0" w:color="auto"/>
            </w:tcBorders>
            <w:vAlign w:val="center"/>
          </w:tcPr>
          <w:p w:rsidR="00C73B66" w:rsidRPr="00D856AA" w:rsidRDefault="00C73B66" w:rsidP="00336269">
            <w:pPr>
              <w:pStyle w:val="BSATableText"/>
              <w:spacing w:after="0" w:line="240" w:lineRule="auto"/>
              <w:ind w:left="0" w:firstLine="0"/>
              <w:jc w:val="center"/>
              <w:rPr>
                <w:rFonts w:asciiTheme="minorHAnsi" w:hAnsiTheme="minorHAnsi" w:cstheme="minorHAnsi"/>
                <w:sz w:val="20"/>
              </w:rPr>
            </w:pPr>
          </w:p>
        </w:tc>
        <w:tc>
          <w:tcPr>
            <w:tcW w:w="727" w:type="pct"/>
            <w:tcBorders>
              <w:top w:val="nil"/>
              <w:bottom w:val="single" w:sz="12" w:space="0" w:color="auto"/>
            </w:tcBorders>
            <w:vAlign w:val="center"/>
          </w:tcPr>
          <w:p w:rsidR="00C73B66" w:rsidRPr="00D856AA" w:rsidRDefault="00C73B66" w:rsidP="00336269">
            <w:pPr>
              <w:pStyle w:val="BSATableNumber"/>
              <w:jc w:val="center"/>
              <w:rPr>
                <w:rFonts w:asciiTheme="minorHAnsi" w:hAnsiTheme="minorHAnsi" w:cstheme="minorHAnsi"/>
                <w:sz w:val="20"/>
              </w:rPr>
            </w:pPr>
            <w:r>
              <w:rPr>
                <w:rFonts w:asciiTheme="minorHAnsi" w:hAnsiTheme="minorHAnsi" w:cstheme="minorHAnsi"/>
                <w:color w:val="000000"/>
                <w:sz w:val="20"/>
              </w:rPr>
              <w:t>Yes – online / by phone</w:t>
            </w:r>
          </w:p>
        </w:tc>
        <w:tc>
          <w:tcPr>
            <w:tcW w:w="727" w:type="pct"/>
            <w:tcBorders>
              <w:top w:val="nil"/>
              <w:bottom w:val="single" w:sz="12" w:space="0" w:color="auto"/>
            </w:tcBorders>
            <w:vAlign w:val="center"/>
          </w:tcPr>
          <w:p w:rsidR="00C73B66" w:rsidRPr="00D856AA" w:rsidRDefault="00C73B66" w:rsidP="00336269">
            <w:pPr>
              <w:pStyle w:val="BSATableNumber"/>
              <w:jc w:val="center"/>
              <w:rPr>
                <w:rFonts w:asciiTheme="minorHAnsi" w:hAnsiTheme="minorHAnsi" w:cstheme="minorHAnsi"/>
                <w:sz w:val="20"/>
              </w:rPr>
            </w:pPr>
            <w:r>
              <w:rPr>
                <w:rFonts w:asciiTheme="minorHAnsi" w:hAnsiTheme="minorHAnsi" w:cstheme="minorHAnsi"/>
                <w:color w:val="000000"/>
                <w:sz w:val="20"/>
              </w:rPr>
              <w:t>Yes – offline</w:t>
            </w:r>
          </w:p>
        </w:tc>
        <w:tc>
          <w:tcPr>
            <w:tcW w:w="728" w:type="pct"/>
            <w:tcBorders>
              <w:top w:val="nil"/>
              <w:bottom w:val="single" w:sz="12" w:space="0" w:color="auto"/>
            </w:tcBorders>
            <w:vAlign w:val="center"/>
          </w:tcPr>
          <w:p w:rsidR="00C73B66" w:rsidRPr="00D856AA" w:rsidRDefault="00C73B66" w:rsidP="00336269">
            <w:pPr>
              <w:pStyle w:val="BSATableNumber"/>
              <w:jc w:val="center"/>
              <w:rPr>
                <w:rFonts w:asciiTheme="minorHAnsi" w:hAnsiTheme="minorHAnsi" w:cstheme="minorHAnsi"/>
                <w:i/>
                <w:sz w:val="20"/>
              </w:rPr>
            </w:pPr>
            <w:r>
              <w:rPr>
                <w:rFonts w:asciiTheme="minorHAnsi" w:hAnsiTheme="minorHAnsi" w:cstheme="minorHAnsi"/>
                <w:color w:val="000000"/>
                <w:sz w:val="20"/>
              </w:rPr>
              <w:t>No – not at all</w:t>
            </w:r>
          </w:p>
        </w:tc>
        <w:tc>
          <w:tcPr>
            <w:tcW w:w="727" w:type="pct"/>
            <w:tcBorders>
              <w:top w:val="nil"/>
              <w:bottom w:val="single" w:sz="12" w:space="0" w:color="auto"/>
            </w:tcBorders>
            <w:vAlign w:val="center"/>
          </w:tcPr>
          <w:p w:rsidR="00C73B66" w:rsidRPr="008A5702" w:rsidRDefault="00C73B66" w:rsidP="00336269">
            <w:pPr>
              <w:pStyle w:val="BSATableNumber"/>
              <w:jc w:val="center"/>
              <w:rPr>
                <w:rFonts w:asciiTheme="minorHAnsi" w:hAnsiTheme="minorHAnsi" w:cstheme="minorHAnsi"/>
                <w:i/>
                <w:sz w:val="16"/>
                <w:szCs w:val="16"/>
              </w:rPr>
            </w:pPr>
            <w:r w:rsidRPr="008A5702">
              <w:rPr>
                <w:rFonts w:asciiTheme="minorHAnsi" w:hAnsiTheme="minorHAnsi" w:cstheme="minorHAnsi"/>
                <w:i/>
                <w:sz w:val="16"/>
                <w:szCs w:val="16"/>
              </w:rPr>
              <w:t>Weighted base</w:t>
            </w:r>
            <w:r w:rsidR="008A5702">
              <w:rPr>
                <w:rFonts w:asciiTheme="minorHAnsi" w:hAnsiTheme="minorHAnsi" w:cstheme="minorHAnsi"/>
                <w:i/>
                <w:sz w:val="16"/>
                <w:szCs w:val="16"/>
              </w:rPr>
              <w:t>s</w:t>
            </w:r>
          </w:p>
        </w:tc>
        <w:tc>
          <w:tcPr>
            <w:tcW w:w="728" w:type="pct"/>
            <w:tcBorders>
              <w:top w:val="nil"/>
              <w:bottom w:val="single" w:sz="12" w:space="0" w:color="auto"/>
            </w:tcBorders>
            <w:vAlign w:val="center"/>
          </w:tcPr>
          <w:p w:rsidR="00C73B66" w:rsidRPr="008A5702" w:rsidRDefault="00C73B66" w:rsidP="00336269">
            <w:pPr>
              <w:pStyle w:val="BSATableNumber"/>
              <w:jc w:val="center"/>
              <w:rPr>
                <w:rFonts w:asciiTheme="minorHAnsi" w:hAnsiTheme="minorHAnsi" w:cstheme="minorHAnsi"/>
                <w:i/>
                <w:sz w:val="16"/>
                <w:szCs w:val="16"/>
              </w:rPr>
            </w:pPr>
            <w:r w:rsidRPr="008A5702">
              <w:rPr>
                <w:rFonts w:asciiTheme="minorHAnsi" w:hAnsiTheme="minorHAnsi" w:cstheme="minorHAnsi"/>
                <w:i/>
                <w:sz w:val="16"/>
                <w:szCs w:val="16"/>
              </w:rPr>
              <w:t>Unweighted base</w:t>
            </w:r>
            <w:r w:rsidR="008A5702">
              <w:rPr>
                <w:rFonts w:asciiTheme="minorHAnsi" w:hAnsiTheme="minorHAnsi" w:cstheme="minorHAnsi"/>
                <w:i/>
                <w:sz w:val="16"/>
                <w:szCs w:val="16"/>
              </w:rPr>
              <w:t>s</w:t>
            </w:r>
          </w:p>
        </w:tc>
      </w:tr>
      <w:tr w:rsidR="00C73B66" w:rsidRPr="00D856AA" w:rsidTr="00336269">
        <w:trPr>
          <w:trHeight w:val="283"/>
        </w:trPr>
        <w:tc>
          <w:tcPr>
            <w:tcW w:w="5000" w:type="pct"/>
            <w:gridSpan w:val="6"/>
            <w:tcBorders>
              <w:top w:val="nil"/>
              <w:bottom w:val="single" w:sz="6" w:space="0" w:color="auto"/>
            </w:tcBorders>
            <w:vAlign w:val="center"/>
          </w:tcPr>
          <w:p w:rsidR="00C73B66" w:rsidRPr="00D856AA" w:rsidRDefault="00C73B66" w:rsidP="00336269">
            <w:pPr>
              <w:pStyle w:val="BSATableNumber"/>
              <w:jc w:val="left"/>
              <w:rPr>
                <w:rFonts w:asciiTheme="minorHAnsi" w:hAnsiTheme="minorHAnsi" w:cstheme="minorHAnsi"/>
                <w:i/>
                <w:sz w:val="20"/>
              </w:rPr>
            </w:pPr>
            <w:r>
              <w:rPr>
                <w:rFonts w:asciiTheme="minorHAnsi" w:hAnsiTheme="minorHAnsi" w:cstheme="minorHAnsi"/>
                <w:i/>
                <w:sz w:val="20"/>
              </w:rPr>
              <w:t>Row percentages</w:t>
            </w:r>
          </w:p>
        </w:tc>
      </w:tr>
      <w:tr w:rsidR="00C73B66" w:rsidRPr="00D856AA" w:rsidTr="008A5702">
        <w:tc>
          <w:tcPr>
            <w:tcW w:w="1363" w:type="pct"/>
            <w:tcBorders>
              <w:top w:val="single" w:sz="6" w:space="0" w:color="auto"/>
              <w:bottom w:val="nil"/>
            </w:tcBorders>
            <w:vAlign w:val="center"/>
          </w:tcPr>
          <w:p w:rsidR="00C73B66" w:rsidRPr="00D856AA" w:rsidRDefault="00C73B66" w:rsidP="00336269">
            <w:pPr>
              <w:keepNext/>
              <w:spacing w:after="0" w:line="240" w:lineRule="auto"/>
              <w:rPr>
                <w:rFonts w:cstheme="minorHAnsi"/>
                <w:sz w:val="20"/>
                <w:szCs w:val="20"/>
              </w:rPr>
            </w:pPr>
            <w:r w:rsidRPr="00087287">
              <w:rPr>
                <w:rFonts w:cs="Arial"/>
                <w:color w:val="000000"/>
                <w:sz w:val="20"/>
                <w:szCs w:val="20"/>
              </w:rPr>
              <w:t>Hit, kicked or punched you</w:t>
            </w:r>
            <w:r w:rsidRPr="00087287">
              <w:rPr>
                <w:rFonts w:cs="Arial"/>
                <w:sz w:val="20"/>
                <w:szCs w:val="20"/>
              </w:rPr>
              <w:t>, taken your belongings or hurt or threatened you physically in some other way</w:t>
            </w:r>
          </w:p>
        </w:tc>
        <w:tc>
          <w:tcPr>
            <w:tcW w:w="727" w:type="pct"/>
            <w:tcBorders>
              <w:top w:val="single" w:sz="6" w:space="0" w:color="auto"/>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N/A</w:t>
            </w:r>
          </w:p>
        </w:tc>
        <w:tc>
          <w:tcPr>
            <w:tcW w:w="727" w:type="pct"/>
            <w:tcBorders>
              <w:top w:val="single" w:sz="6" w:space="0" w:color="auto"/>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13</w:t>
            </w:r>
          </w:p>
        </w:tc>
        <w:tc>
          <w:tcPr>
            <w:tcW w:w="728" w:type="pct"/>
            <w:tcBorders>
              <w:top w:val="single" w:sz="6" w:space="0" w:color="auto"/>
              <w:bottom w:val="nil"/>
            </w:tcBorders>
            <w:vAlign w:val="center"/>
          </w:tcPr>
          <w:p w:rsidR="00C73B66" w:rsidRPr="00806DD7" w:rsidRDefault="00C73B66" w:rsidP="00336269">
            <w:pPr>
              <w:pStyle w:val="BSATableNumber"/>
              <w:rPr>
                <w:rFonts w:asciiTheme="minorHAnsi" w:hAnsiTheme="minorHAnsi" w:cstheme="minorHAnsi"/>
                <w:color w:val="000000"/>
                <w:sz w:val="20"/>
              </w:rPr>
            </w:pPr>
            <w:r>
              <w:rPr>
                <w:rFonts w:asciiTheme="minorHAnsi" w:hAnsiTheme="minorHAnsi" w:cstheme="minorHAnsi"/>
                <w:color w:val="000000"/>
                <w:sz w:val="20"/>
              </w:rPr>
              <w:t>87</w:t>
            </w:r>
          </w:p>
        </w:tc>
        <w:tc>
          <w:tcPr>
            <w:tcW w:w="727" w:type="pct"/>
            <w:tcBorders>
              <w:top w:val="single" w:sz="6" w:space="0" w:color="auto"/>
              <w:bottom w:val="nil"/>
            </w:tcBorders>
            <w:vAlign w:val="center"/>
          </w:tcPr>
          <w:p w:rsidR="00C73B66" w:rsidRPr="00806DD7" w:rsidRDefault="00C73B66" w:rsidP="00336269">
            <w:pPr>
              <w:pStyle w:val="BSATableNumber"/>
              <w:rPr>
                <w:rFonts w:asciiTheme="minorHAnsi" w:hAnsiTheme="minorHAnsi" w:cstheme="minorHAnsi"/>
                <w:i/>
                <w:sz w:val="20"/>
              </w:rPr>
            </w:pPr>
            <w:r w:rsidRPr="006D7EA0">
              <w:rPr>
                <w:rFonts w:asciiTheme="minorHAnsi" w:hAnsiTheme="minorHAnsi" w:cstheme="minorHAnsi"/>
                <w:i/>
                <w:sz w:val="20"/>
              </w:rPr>
              <w:t>4017</w:t>
            </w:r>
            <w:r w:rsidRPr="006D7EA0">
              <w:rPr>
                <w:rFonts w:asciiTheme="minorHAnsi" w:hAnsiTheme="minorHAnsi" w:cstheme="minorHAnsi"/>
                <w:i/>
                <w:sz w:val="20"/>
              </w:rPr>
              <w:tab/>
            </w:r>
          </w:p>
        </w:tc>
        <w:tc>
          <w:tcPr>
            <w:tcW w:w="728" w:type="pct"/>
            <w:tcBorders>
              <w:top w:val="single" w:sz="6" w:space="0" w:color="auto"/>
              <w:bottom w:val="nil"/>
            </w:tcBorders>
            <w:vAlign w:val="center"/>
          </w:tcPr>
          <w:p w:rsidR="00C73B66" w:rsidRPr="00D856AA" w:rsidRDefault="00C73B66" w:rsidP="00336269">
            <w:pPr>
              <w:pStyle w:val="BSATableNumber"/>
              <w:rPr>
                <w:rFonts w:asciiTheme="minorHAnsi" w:hAnsiTheme="minorHAnsi" w:cstheme="minorHAnsi"/>
                <w:i/>
                <w:sz w:val="20"/>
              </w:rPr>
            </w:pPr>
            <w:r w:rsidRPr="006D7EA0">
              <w:rPr>
                <w:rFonts w:asciiTheme="minorHAnsi" w:hAnsiTheme="minorHAnsi" w:cstheme="minorHAnsi"/>
                <w:i/>
                <w:sz w:val="20"/>
              </w:rPr>
              <w:t>4018</w:t>
            </w:r>
          </w:p>
        </w:tc>
      </w:tr>
      <w:tr w:rsidR="00C73B66" w:rsidRPr="00D856AA" w:rsidTr="008A5702">
        <w:tc>
          <w:tcPr>
            <w:tcW w:w="1363" w:type="pct"/>
            <w:tcBorders>
              <w:top w:val="nil"/>
              <w:bottom w:val="nil"/>
            </w:tcBorders>
            <w:vAlign w:val="center"/>
          </w:tcPr>
          <w:p w:rsidR="00C73B66" w:rsidRPr="00D856AA" w:rsidRDefault="00C73B66" w:rsidP="00336269">
            <w:pPr>
              <w:keepNext/>
              <w:spacing w:after="0" w:line="240" w:lineRule="auto"/>
              <w:rPr>
                <w:rFonts w:cstheme="minorHAnsi"/>
                <w:sz w:val="20"/>
                <w:szCs w:val="20"/>
              </w:rPr>
            </w:pPr>
            <w:r w:rsidRPr="00087287">
              <w:rPr>
                <w:sz w:val="20"/>
                <w:szCs w:val="20"/>
              </w:rPr>
              <w:t>Teased you in a mean way or called you hurtful names</w:t>
            </w:r>
          </w:p>
        </w:tc>
        <w:tc>
          <w:tcPr>
            <w:tcW w:w="727" w:type="pct"/>
            <w:tcBorders>
              <w:top w:val="nil"/>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14</w:t>
            </w:r>
          </w:p>
        </w:tc>
        <w:tc>
          <w:tcPr>
            <w:tcW w:w="727" w:type="pct"/>
            <w:tcBorders>
              <w:top w:val="nil"/>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24</w:t>
            </w:r>
          </w:p>
        </w:tc>
        <w:tc>
          <w:tcPr>
            <w:tcW w:w="728" w:type="pct"/>
            <w:tcBorders>
              <w:top w:val="nil"/>
              <w:bottom w:val="nil"/>
            </w:tcBorders>
            <w:vAlign w:val="center"/>
          </w:tcPr>
          <w:p w:rsidR="00C73B66" w:rsidRPr="00806DD7" w:rsidRDefault="00C73B66" w:rsidP="00336269">
            <w:pPr>
              <w:pStyle w:val="BSATableNumber"/>
              <w:rPr>
                <w:rFonts w:asciiTheme="minorHAnsi" w:hAnsiTheme="minorHAnsi" w:cstheme="minorHAnsi"/>
                <w:sz w:val="20"/>
              </w:rPr>
            </w:pPr>
            <w:r>
              <w:rPr>
                <w:rFonts w:asciiTheme="minorHAnsi" w:hAnsiTheme="minorHAnsi" w:cstheme="minorHAnsi"/>
                <w:sz w:val="20"/>
              </w:rPr>
              <w:t>67</w:t>
            </w:r>
          </w:p>
        </w:tc>
        <w:tc>
          <w:tcPr>
            <w:tcW w:w="727" w:type="pct"/>
            <w:tcBorders>
              <w:top w:val="nil"/>
              <w:bottom w:val="nil"/>
            </w:tcBorders>
            <w:vAlign w:val="center"/>
          </w:tcPr>
          <w:p w:rsidR="00C73B66" w:rsidRPr="00806DD7" w:rsidRDefault="00C73B66" w:rsidP="00336269">
            <w:pPr>
              <w:pStyle w:val="BSATableNumber"/>
              <w:rPr>
                <w:rFonts w:asciiTheme="minorHAnsi" w:hAnsiTheme="minorHAnsi" w:cstheme="minorHAnsi"/>
                <w:i/>
                <w:sz w:val="20"/>
              </w:rPr>
            </w:pPr>
            <w:r>
              <w:rPr>
                <w:rFonts w:asciiTheme="minorHAnsi" w:hAnsiTheme="minorHAnsi" w:cstheme="minorHAnsi"/>
                <w:i/>
                <w:sz w:val="20"/>
              </w:rPr>
              <w:t>4004</w:t>
            </w:r>
          </w:p>
        </w:tc>
        <w:tc>
          <w:tcPr>
            <w:tcW w:w="728" w:type="pct"/>
            <w:tcBorders>
              <w:top w:val="nil"/>
            </w:tcBorders>
            <w:vAlign w:val="center"/>
          </w:tcPr>
          <w:p w:rsidR="00C73B66" w:rsidRPr="00D856AA" w:rsidRDefault="00C73B66" w:rsidP="00336269">
            <w:pPr>
              <w:pStyle w:val="BSATableNumber"/>
              <w:rPr>
                <w:rFonts w:asciiTheme="minorHAnsi" w:hAnsiTheme="minorHAnsi" w:cstheme="minorHAnsi"/>
                <w:i/>
                <w:sz w:val="20"/>
              </w:rPr>
            </w:pPr>
            <w:r>
              <w:rPr>
                <w:rFonts w:asciiTheme="minorHAnsi" w:hAnsiTheme="minorHAnsi" w:cstheme="minorHAnsi"/>
                <w:i/>
                <w:sz w:val="20"/>
              </w:rPr>
              <w:t>4004</w:t>
            </w:r>
          </w:p>
        </w:tc>
      </w:tr>
      <w:tr w:rsidR="00C73B66" w:rsidRPr="00D856AA" w:rsidTr="008A5702">
        <w:tc>
          <w:tcPr>
            <w:tcW w:w="1363" w:type="pct"/>
            <w:tcBorders>
              <w:top w:val="nil"/>
              <w:bottom w:val="nil"/>
            </w:tcBorders>
            <w:vAlign w:val="center"/>
          </w:tcPr>
          <w:p w:rsidR="00C73B66" w:rsidRPr="00D856AA" w:rsidRDefault="00C73B66" w:rsidP="00336269">
            <w:pPr>
              <w:keepNext/>
              <w:spacing w:after="0" w:line="240" w:lineRule="auto"/>
              <w:rPr>
                <w:rFonts w:cstheme="minorHAnsi"/>
                <w:sz w:val="20"/>
                <w:szCs w:val="20"/>
              </w:rPr>
            </w:pPr>
            <w:r w:rsidRPr="00087287">
              <w:rPr>
                <w:rFonts w:cs="Arial"/>
                <w:color w:val="000000"/>
                <w:sz w:val="20"/>
                <w:szCs w:val="20"/>
              </w:rPr>
              <w:t>Spread mean rumours or told lies about you, d</w:t>
            </w:r>
            <w:r w:rsidRPr="00087287">
              <w:rPr>
                <w:rFonts w:cs="Arial"/>
                <w:sz w:val="20"/>
                <w:szCs w:val="20"/>
              </w:rPr>
              <w:t>eliberately ignored you or excluded you from a group</w:t>
            </w:r>
          </w:p>
        </w:tc>
        <w:tc>
          <w:tcPr>
            <w:tcW w:w="727" w:type="pct"/>
            <w:tcBorders>
              <w:top w:val="nil"/>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14</w:t>
            </w:r>
          </w:p>
        </w:tc>
        <w:tc>
          <w:tcPr>
            <w:tcW w:w="727" w:type="pct"/>
            <w:tcBorders>
              <w:top w:val="nil"/>
              <w:bottom w:val="nil"/>
            </w:tcBorders>
            <w:vAlign w:val="center"/>
          </w:tcPr>
          <w:p w:rsidR="00C73B66" w:rsidRPr="00D856AA" w:rsidRDefault="00C73B66" w:rsidP="00336269">
            <w:pPr>
              <w:pStyle w:val="BSATableNumber"/>
              <w:rPr>
                <w:rFonts w:asciiTheme="minorHAnsi" w:hAnsiTheme="minorHAnsi" w:cstheme="minorHAnsi"/>
                <w:sz w:val="20"/>
              </w:rPr>
            </w:pPr>
            <w:r>
              <w:rPr>
                <w:rFonts w:asciiTheme="minorHAnsi" w:hAnsiTheme="minorHAnsi" w:cstheme="minorHAnsi"/>
                <w:sz w:val="20"/>
              </w:rPr>
              <w:t>25</w:t>
            </w:r>
          </w:p>
        </w:tc>
        <w:tc>
          <w:tcPr>
            <w:tcW w:w="728" w:type="pct"/>
            <w:tcBorders>
              <w:top w:val="nil"/>
              <w:bottom w:val="nil"/>
            </w:tcBorders>
            <w:vAlign w:val="center"/>
          </w:tcPr>
          <w:p w:rsidR="00C73B66" w:rsidRPr="00806DD7" w:rsidRDefault="00C73B66" w:rsidP="00336269">
            <w:pPr>
              <w:pStyle w:val="BSATableNumber"/>
              <w:rPr>
                <w:rFonts w:asciiTheme="minorHAnsi" w:hAnsiTheme="minorHAnsi" w:cstheme="minorHAnsi"/>
                <w:color w:val="000000"/>
                <w:sz w:val="20"/>
              </w:rPr>
            </w:pPr>
            <w:r>
              <w:rPr>
                <w:rFonts w:asciiTheme="minorHAnsi" w:hAnsiTheme="minorHAnsi" w:cstheme="minorHAnsi"/>
                <w:color w:val="000000"/>
                <w:sz w:val="20"/>
              </w:rPr>
              <w:t>68</w:t>
            </w:r>
          </w:p>
        </w:tc>
        <w:tc>
          <w:tcPr>
            <w:tcW w:w="727" w:type="pct"/>
            <w:tcBorders>
              <w:top w:val="nil"/>
              <w:bottom w:val="nil"/>
            </w:tcBorders>
            <w:vAlign w:val="center"/>
          </w:tcPr>
          <w:p w:rsidR="00C73B66" w:rsidRPr="00806DD7" w:rsidRDefault="00C73B66" w:rsidP="00336269">
            <w:pPr>
              <w:pStyle w:val="BSATableNumber"/>
              <w:rPr>
                <w:rFonts w:asciiTheme="minorHAnsi" w:hAnsiTheme="minorHAnsi" w:cstheme="minorHAnsi"/>
                <w:i/>
                <w:sz w:val="20"/>
              </w:rPr>
            </w:pPr>
            <w:r>
              <w:rPr>
                <w:rFonts w:asciiTheme="minorHAnsi" w:hAnsiTheme="minorHAnsi" w:cstheme="minorHAnsi"/>
                <w:i/>
                <w:sz w:val="20"/>
              </w:rPr>
              <w:t>3992</w:t>
            </w:r>
          </w:p>
        </w:tc>
        <w:tc>
          <w:tcPr>
            <w:tcW w:w="728" w:type="pct"/>
            <w:vAlign w:val="center"/>
          </w:tcPr>
          <w:p w:rsidR="00C73B66" w:rsidRPr="00D856AA" w:rsidRDefault="00C73B66" w:rsidP="00336269">
            <w:pPr>
              <w:pStyle w:val="BSATableNumber"/>
              <w:rPr>
                <w:rFonts w:asciiTheme="minorHAnsi" w:hAnsiTheme="minorHAnsi" w:cstheme="minorHAnsi"/>
                <w:i/>
                <w:sz w:val="20"/>
              </w:rPr>
            </w:pPr>
            <w:r>
              <w:rPr>
                <w:rFonts w:asciiTheme="minorHAnsi" w:hAnsiTheme="minorHAnsi" w:cstheme="minorHAnsi"/>
                <w:i/>
                <w:sz w:val="20"/>
              </w:rPr>
              <w:t>3992</w:t>
            </w:r>
          </w:p>
        </w:tc>
      </w:tr>
      <w:tr w:rsidR="00C73B66" w:rsidRPr="00D856AA" w:rsidTr="00C73B66">
        <w:tc>
          <w:tcPr>
            <w:tcW w:w="1363" w:type="pct"/>
            <w:tcBorders>
              <w:top w:val="nil"/>
              <w:bottom w:val="single" w:sz="12" w:space="0" w:color="auto"/>
            </w:tcBorders>
          </w:tcPr>
          <w:p w:rsidR="00C73B66" w:rsidRPr="00D856AA" w:rsidRDefault="00C73B66" w:rsidP="00336269">
            <w:pPr>
              <w:pStyle w:val="BSATableBase"/>
              <w:spacing w:before="0" w:after="0"/>
              <w:rPr>
                <w:rFonts w:asciiTheme="minorHAnsi" w:hAnsiTheme="minorHAnsi" w:cstheme="minorHAnsi"/>
                <w:i w:val="0"/>
                <w:sz w:val="20"/>
              </w:rPr>
            </w:pPr>
          </w:p>
        </w:tc>
        <w:tc>
          <w:tcPr>
            <w:tcW w:w="727" w:type="pct"/>
            <w:tcBorders>
              <w:top w:val="nil"/>
              <w:bottom w:val="single" w:sz="12" w:space="0" w:color="auto"/>
            </w:tcBorders>
          </w:tcPr>
          <w:p w:rsidR="00C73B66" w:rsidRPr="00D856AA" w:rsidRDefault="00C73B66" w:rsidP="00336269">
            <w:pPr>
              <w:pStyle w:val="BSATableBaseNumber"/>
              <w:spacing w:before="0" w:after="0"/>
              <w:rPr>
                <w:rFonts w:asciiTheme="minorHAnsi" w:hAnsiTheme="minorHAnsi" w:cstheme="minorHAnsi"/>
                <w:i w:val="0"/>
                <w:sz w:val="20"/>
              </w:rPr>
            </w:pPr>
          </w:p>
        </w:tc>
        <w:tc>
          <w:tcPr>
            <w:tcW w:w="727" w:type="pct"/>
            <w:tcBorders>
              <w:top w:val="nil"/>
              <w:bottom w:val="single" w:sz="12" w:space="0" w:color="auto"/>
            </w:tcBorders>
          </w:tcPr>
          <w:p w:rsidR="00C73B66" w:rsidRPr="00D856AA" w:rsidRDefault="00C73B66" w:rsidP="00336269">
            <w:pPr>
              <w:pStyle w:val="BSATableBaseNumber"/>
              <w:spacing w:before="0" w:after="0"/>
              <w:rPr>
                <w:rFonts w:asciiTheme="minorHAnsi" w:hAnsiTheme="minorHAnsi" w:cstheme="minorHAnsi"/>
                <w:i w:val="0"/>
                <w:sz w:val="20"/>
              </w:rPr>
            </w:pPr>
          </w:p>
        </w:tc>
        <w:tc>
          <w:tcPr>
            <w:tcW w:w="728" w:type="pct"/>
            <w:tcBorders>
              <w:top w:val="nil"/>
              <w:bottom w:val="single" w:sz="12" w:space="0" w:color="auto"/>
            </w:tcBorders>
          </w:tcPr>
          <w:p w:rsidR="00C73B66" w:rsidRPr="00806DD7" w:rsidRDefault="00C73B66" w:rsidP="00336269">
            <w:pPr>
              <w:pStyle w:val="BSATableBaseNumber"/>
              <w:spacing w:before="0" w:after="0"/>
              <w:rPr>
                <w:rFonts w:asciiTheme="minorHAnsi" w:hAnsiTheme="minorHAnsi" w:cstheme="minorHAnsi"/>
                <w:i w:val="0"/>
                <w:sz w:val="20"/>
              </w:rPr>
            </w:pPr>
          </w:p>
        </w:tc>
        <w:tc>
          <w:tcPr>
            <w:tcW w:w="727" w:type="pct"/>
            <w:tcBorders>
              <w:top w:val="nil"/>
              <w:bottom w:val="single" w:sz="12" w:space="0" w:color="auto"/>
            </w:tcBorders>
          </w:tcPr>
          <w:p w:rsidR="00C73B66" w:rsidRPr="00806DD7" w:rsidRDefault="00C73B66" w:rsidP="00336269">
            <w:pPr>
              <w:pStyle w:val="BSATableBaseNumber"/>
              <w:spacing w:before="0" w:after="0"/>
              <w:rPr>
                <w:rFonts w:asciiTheme="minorHAnsi" w:hAnsiTheme="minorHAnsi" w:cstheme="minorHAnsi"/>
                <w:i w:val="0"/>
                <w:sz w:val="20"/>
              </w:rPr>
            </w:pPr>
          </w:p>
        </w:tc>
        <w:tc>
          <w:tcPr>
            <w:tcW w:w="728" w:type="pct"/>
            <w:tcBorders>
              <w:bottom w:val="single" w:sz="12" w:space="0" w:color="auto"/>
            </w:tcBorders>
          </w:tcPr>
          <w:p w:rsidR="00C73B66" w:rsidRPr="00D856AA" w:rsidRDefault="00C73B66" w:rsidP="00336269">
            <w:pPr>
              <w:pStyle w:val="BSATableBaseNumber"/>
              <w:spacing w:before="0" w:after="0"/>
              <w:rPr>
                <w:rFonts w:asciiTheme="minorHAnsi" w:hAnsiTheme="minorHAnsi" w:cstheme="minorHAnsi"/>
                <w:i w:val="0"/>
                <w:sz w:val="20"/>
              </w:rPr>
            </w:pPr>
          </w:p>
        </w:tc>
      </w:tr>
    </w:tbl>
    <w:p w:rsidR="00C73B66" w:rsidRPr="00A018E9" w:rsidRDefault="00C73B66" w:rsidP="00C73B66">
      <w:pPr>
        <w:pStyle w:val="BodyCopy"/>
        <w:spacing w:after="200" w:line="276" w:lineRule="auto"/>
        <w:rPr>
          <w:i/>
          <w:sz w:val="18"/>
          <w:szCs w:val="18"/>
        </w:rPr>
      </w:pPr>
      <w:r w:rsidRPr="00A018E9">
        <w:rPr>
          <w:i/>
          <w:sz w:val="18"/>
          <w:szCs w:val="18"/>
        </w:rPr>
        <w:t xml:space="preserve">Source: RCS </w:t>
      </w:r>
      <w:r>
        <w:rPr>
          <w:i/>
          <w:sz w:val="18"/>
          <w:szCs w:val="18"/>
        </w:rPr>
        <w:t>secondary</w:t>
      </w:r>
      <w:r w:rsidRPr="00A018E9">
        <w:rPr>
          <w:i/>
          <w:sz w:val="18"/>
          <w:szCs w:val="18"/>
        </w:rPr>
        <w:t xml:space="preserve"> school survey, </w:t>
      </w:r>
      <w:r>
        <w:rPr>
          <w:i/>
          <w:sz w:val="18"/>
          <w:szCs w:val="18"/>
        </w:rPr>
        <w:t>Falkirk 20</w:t>
      </w:r>
      <w:r w:rsidRPr="00A018E9">
        <w:rPr>
          <w:i/>
          <w:sz w:val="18"/>
          <w:szCs w:val="18"/>
        </w:rPr>
        <w:t>1</w:t>
      </w:r>
      <w:r>
        <w:rPr>
          <w:i/>
          <w:sz w:val="18"/>
          <w:szCs w:val="18"/>
        </w:rPr>
        <w:t>7</w:t>
      </w:r>
    </w:p>
    <w:p w:rsidR="00C73B66" w:rsidRDefault="00C73B66" w:rsidP="00C73B66">
      <w:pPr>
        <w:pStyle w:val="BodyCopy"/>
        <w:spacing w:line="276" w:lineRule="auto"/>
      </w:pPr>
      <w:r>
        <w:t>Although a majority of respondents had not experienced any of the types of bullying asked about in the last month, 13% indicated they had been hit, kicked, punched or physically threa</w:t>
      </w:r>
      <w:r w:rsidR="009F0BC7">
        <w:t>tened</w:t>
      </w:r>
      <w:r>
        <w:t xml:space="preserve">, and 25% that they had had mean rumours or lies told about them or been excluded from a group offline and 14% online. Similar figures were reported in relation to being teased in a mean way or called hurtful names (24% offline and 14% online). </w:t>
      </w:r>
    </w:p>
    <w:p w:rsidR="00C73B66" w:rsidRDefault="00C73B66" w:rsidP="00C73B66">
      <w:pPr>
        <w:pStyle w:val="BodyCopy"/>
        <w:spacing w:line="276" w:lineRule="auto"/>
      </w:pPr>
    </w:p>
    <w:p w:rsidR="00C73B66" w:rsidRDefault="00C73B66" w:rsidP="00C73B66">
      <w:pPr>
        <w:pStyle w:val="BodyCopy"/>
        <w:spacing w:line="276" w:lineRule="auto"/>
      </w:pPr>
      <w:r w:rsidRPr="0008454F">
        <w:t>Experience of bullying by having rumours spread about them online was highest amongst older children, however, there were no significant differences by age with regards to being teased online</w:t>
      </w:r>
      <w:r>
        <w:t>. However</w:t>
      </w:r>
      <w:r w:rsidRPr="0008454F">
        <w:t xml:space="preserve"> </w:t>
      </w:r>
      <w:r>
        <w:t xml:space="preserve">experiences of being bullied by being teased or having rumours spread about them </w:t>
      </w:r>
      <w:r w:rsidRPr="0008454F">
        <w:t>offline were highest amongst younger children.</w:t>
      </w:r>
      <w:r>
        <w:t xml:space="preserve"> </w:t>
      </w:r>
    </w:p>
    <w:p w:rsidR="00C73B66" w:rsidRDefault="00C73B66" w:rsidP="00C73B66">
      <w:pPr>
        <w:pStyle w:val="BodyCopy"/>
        <w:spacing w:line="276" w:lineRule="auto"/>
      </w:pPr>
    </w:p>
    <w:p w:rsidR="00C73B66" w:rsidRDefault="00C73B66" w:rsidP="00C73B66">
      <w:pPr>
        <w:pStyle w:val="BodyCopy"/>
        <w:spacing w:line="276" w:lineRule="auto"/>
      </w:pPr>
      <w:r>
        <w:t xml:space="preserve">Boys (16%) were significantly more likely than girls (10%) to report being hit, kicked or punched, while girls were significantly more likely to report having rumours or lies told about them (16% online and 28% offline) than </w:t>
      </w:r>
      <w:r w:rsidR="0081070C">
        <w:t xml:space="preserve">were </w:t>
      </w:r>
      <w:r>
        <w:t>boys (11% online and 21% offline). Girls were also more likely to report being teased online (15% compared with 12% of boys).</w:t>
      </w:r>
    </w:p>
    <w:p w:rsidR="00C73B66" w:rsidRDefault="00C73B66" w:rsidP="00C73B66">
      <w:pPr>
        <w:pStyle w:val="BodyCopy"/>
        <w:spacing w:line="276" w:lineRule="auto"/>
      </w:pPr>
    </w:p>
    <w:p w:rsidR="00C73B66" w:rsidRDefault="00C73B66" w:rsidP="00C73B66">
      <w:pPr>
        <w:pStyle w:val="BodyCopy"/>
        <w:spacing w:line="276" w:lineRule="auto"/>
      </w:pPr>
      <w:r>
        <w:t xml:space="preserve">Those eligible for free school meals were more likely to be the victim of all of the different types of bullying: 18% reported being hit, 20% teased online, 16% had rumours spread online, and 32% offline, compared with 12%, 13%, 13% and 24% </w:t>
      </w:r>
      <w:r w:rsidR="0081070C">
        <w:t>of those not eligible</w:t>
      </w:r>
      <w:r>
        <w:t>.</w:t>
      </w:r>
    </w:p>
    <w:p w:rsidR="00C73B66" w:rsidRDefault="00C73B66" w:rsidP="00C73B66">
      <w:pPr>
        <w:pStyle w:val="BodyCopy"/>
        <w:spacing w:line="276" w:lineRule="auto"/>
      </w:pPr>
    </w:p>
    <w:p w:rsidR="00C73B66" w:rsidRDefault="00C73B66" w:rsidP="00C73B66">
      <w:pPr>
        <w:pStyle w:val="BodyCopy"/>
        <w:spacing w:line="276" w:lineRule="auto"/>
      </w:pPr>
      <w:r>
        <w:t xml:space="preserve">Experience of bullying was also significantly associated with area deprivation. Children living in the most deprived areas were more likely to say they had been hit, kicked or punched or to have had rumours spread about them in person or online (18% and 35% respectively) compared with children living in the least deprived areas (10% and 29% respectively). </w:t>
      </w:r>
    </w:p>
    <w:p w:rsidR="00C73B66" w:rsidRDefault="00C73B66" w:rsidP="00C73B66">
      <w:pPr>
        <w:pStyle w:val="BodyCopy"/>
        <w:spacing w:line="276" w:lineRule="auto"/>
      </w:pPr>
    </w:p>
    <w:p w:rsidR="00C73B66" w:rsidRDefault="00C73B66" w:rsidP="00C73B66">
      <w:pPr>
        <w:pStyle w:val="BodyCopy"/>
        <w:spacing w:line="276" w:lineRule="auto"/>
      </w:pPr>
      <w:r>
        <w:t>Those with an additional support need were more likely than those without to say they had been hit kicked or punched (17% and 12% respectively). Those in receipt of children’s services were also more likely than those not receiving them to say they had been hit kicked or punched (22% and 13% respectively), to have been teased online (17% and 13% respectively), and to have had rumours spread online (20% and 13% respectively).</w:t>
      </w:r>
    </w:p>
    <w:p w:rsidR="00C73B66" w:rsidRDefault="00C73B66" w:rsidP="00C73B66">
      <w:pPr>
        <w:pStyle w:val="BodyCopy"/>
        <w:spacing w:line="276" w:lineRule="auto"/>
      </w:pPr>
    </w:p>
    <w:p w:rsidR="00C73B66" w:rsidRDefault="00C73B66" w:rsidP="00C73B66">
      <w:pPr>
        <w:pStyle w:val="BodyCopy"/>
        <w:spacing w:line="276" w:lineRule="auto"/>
      </w:pPr>
      <w:r>
        <w:t xml:space="preserve">Those living in other household types also reported higher levels of bullying than those living with two parents, one parent or </w:t>
      </w:r>
      <w:r w:rsidR="00655A12">
        <w:t xml:space="preserve">in a </w:t>
      </w:r>
      <w:r>
        <w:t>step</w:t>
      </w:r>
      <w:r w:rsidR="00655A12">
        <w:t>-family</w:t>
      </w:r>
      <w:r>
        <w:t>, with respect to each of the different statements.</w:t>
      </w:r>
    </w:p>
    <w:p w:rsidR="00C73B66" w:rsidRDefault="00C73B66" w:rsidP="00C73B66">
      <w:pPr>
        <w:pStyle w:val="Heading3"/>
        <w:numPr>
          <w:ilvl w:val="3"/>
          <w:numId w:val="13"/>
        </w:numPr>
        <w:spacing w:line="276" w:lineRule="auto"/>
      </w:pPr>
      <w:bookmarkStart w:id="54" w:name="_Toc494182057"/>
      <w:r>
        <w:t>Experience of discrimination (Safe, Included, Respected)</w:t>
      </w:r>
      <w:bookmarkEnd w:id="54"/>
    </w:p>
    <w:p w:rsidR="00C73B66" w:rsidRDefault="00C73B66" w:rsidP="00C73B66">
      <w:pPr>
        <w:spacing w:after="0"/>
      </w:pPr>
      <w:r>
        <w:t>Pupils were asked whether they felt that either adults or other children had treated them badly due to certain types of discrimination.</w:t>
      </w:r>
    </w:p>
    <w:p w:rsidR="00C73B66" w:rsidRDefault="00C73B66" w:rsidP="00C73B66">
      <w:pPr>
        <w:pStyle w:val="Bullet1"/>
        <w:spacing w:line="276" w:lineRule="auto"/>
        <w:rPr>
          <w:rFonts w:cs="Arial"/>
          <w:sz w:val="20"/>
          <w:lang w:eastAsia="en-US"/>
        </w:rPr>
      </w:pPr>
    </w:p>
    <w:tbl>
      <w:tblPr>
        <w:tblW w:w="5000"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4087"/>
        <w:gridCol w:w="1820"/>
        <w:gridCol w:w="1946"/>
      </w:tblGrid>
      <w:tr w:rsidR="00C73B66" w:rsidRPr="00E863E5" w:rsidTr="00336269">
        <w:trPr>
          <w:trHeight w:val="340"/>
        </w:trPr>
        <w:tc>
          <w:tcPr>
            <w:tcW w:w="3761" w:type="pct"/>
            <w:gridSpan w:val="2"/>
            <w:tcBorders>
              <w:top w:val="single" w:sz="12" w:space="0" w:color="auto"/>
              <w:bottom w:val="nil"/>
            </w:tcBorders>
          </w:tcPr>
          <w:p w:rsidR="00C73B66" w:rsidRPr="00E863E5" w:rsidRDefault="00C73B66" w:rsidP="00336269">
            <w:pPr>
              <w:pStyle w:val="BSATableHeading"/>
              <w:spacing w:before="0" w:after="0"/>
              <w:rPr>
                <w:rFonts w:asciiTheme="minorHAnsi" w:hAnsiTheme="minorHAnsi" w:cstheme="minorHAnsi"/>
                <w:sz w:val="20"/>
              </w:rPr>
            </w:pPr>
            <w:r>
              <w:rPr>
                <w:rFonts w:asciiTheme="minorHAnsi" w:hAnsiTheme="minorHAnsi" w:cstheme="minorHAnsi"/>
                <w:sz w:val="20"/>
              </w:rPr>
              <w:lastRenderedPageBreak/>
              <w:t>Table 2.3.3b</w:t>
            </w:r>
            <w:r w:rsidRPr="00E863E5">
              <w:rPr>
                <w:rFonts w:asciiTheme="minorHAnsi" w:hAnsiTheme="minorHAnsi" w:cstheme="minorHAnsi"/>
                <w:sz w:val="20"/>
              </w:rPr>
              <w:t xml:space="preserve"> Experience of </w:t>
            </w:r>
            <w:r>
              <w:rPr>
                <w:rFonts w:asciiTheme="minorHAnsi" w:hAnsiTheme="minorHAnsi" w:cstheme="minorHAnsi"/>
                <w:sz w:val="20"/>
              </w:rPr>
              <w:t>prejudice</w:t>
            </w:r>
          </w:p>
        </w:tc>
        <w:tc>
          <w:tcPr>
            <w:tcW w:w="1239" w:type="pct"/>
            <w:tcBorders>
              <w:top w:val="single" w:sz="12" w:space="0" w:color="auto"/>
              <w:bottom w:val="nil"/>
            </w:tcBorders>
          </w:tcPr>
          <w:p w:rsidR="00C73B66" w:rsidRPr="00E863E5" w:rsidRDefault="00C73B66" w:rsidP="00336269">
            <w:pPr>
              <w:pStyle w:val="BSATableHeading"/>
              <w:spacing w:before="0" w:after="0"/>
              <w:rPr>
                <w:rFonts w:asciiTheme="minorHAnsi" w:hAnsiTheme="minorHAnsi" w:cstheme="minorHAnsi"/>
                <w:sz w:val="20"/>
              </w:rPr>
            </w:pPr>
          </w:p>
        </w:tc>
      </w:tr>
      <w:tr w:rsidR="00C73B66" w:rsidRPr="00E863E5" w:rsidTr="00076EDD">
        <w:trPr>
          <w:trHeight w:val="539"/>
        </w:trPr>
        <w:tc>
          <w:tcPr>
            <w:tcW w:w="2602" w:type="pct"/>
            <w:tcBorders>
              <w:top w:val="nil"/>
              <w:bottom w:val="single" w:sz="12" w:space="0" w:color="auto"/>
            </w:tcBorders>
            <w:vAlign w:val="center"/>
          </w:tcPr>
          <w:p w:rsidR="00C73B66" w:rsidRPr="00E863E5" w:rsidRDefault="00C73B66" w:rsidP="00336269">
            <w:pPr>
              <w:pStyle w:val="BSATableText"/>
              <w:spacing w:after="0" w:line="240" w:lineRule="auto"/>
              <w:ind w:left="0" w:firstLine="0"/>
              <w:jc w:val="left"/>
              <w:rPr>
                <w:rFonts w:asciiTheme="minorHAnsi" w:hAnsiTheme="minorHAnsi" w:cstheme="minorHAnsi"/>
                <w:sz w:val="20"/>
              </w:rPr>
            </w:pPr>
            <w:r>
              <w:rPr>
                <w:rFonts w:asciiTheme="minorHAnsi" w:hAnsiTheme="minorHAnsi" w:cstheme="minorHAnsi"/>
                <w:sz w:val="20"/>
              </w:rPr>
              <w:t>Treated badly by either other children or adults, for reasons of…</w:t>
            </w:r>
          </w:p>
        </w:tc>
        <w:tc>
          <w:tcPr>
            <w:tcW w:w="1159" w:type="pct"/>
            <w:tcBorders>
              <w:top w:val="nil"/>
              <w:bottom w:val="single" w:sz="12" w:space="0" w:color="auto"/>
            </w:tcBorders>
            <w:vAlign w:val="center"/>
          </w:tcPr>
          <w:p w:rsidR="00C73B66" w:rsidRPr="00E863E5" w:rsidRDefault="00465F30" w:rsidP="00336269">
            <w:pPr>
              <w:pStyle w:val="BSATableNumber"/>
              <w:jc w:val="center"/>
              <w:rPr>
                <w:rFonts w:asciiTheme="minorHAnsi" w:hAnsiTheme="minorHAnsi" w:cstheme="minorHAnsi"/>
                <w:sz w:val="20"/>
              </w:rPr>
            </w:pPr>
            <w:r>
              <w:rPr>
                <w:rFonts w:asciiTheme="minorHAnsi" w:hAnsiTheme="minorHAnsi" w:cstheme="minorHAnsi"/>
                <w:sz w:val="20"/>
              </w:rPr>
              <w:t>Other children</w:t>
            </w:r>
          </w:p>
        </w:tc>
        <w:tc>
          <w:tcPr>
            <w:tcW w:w="1239" w:type="pct"/>
            <w:tcBorders>
              <w:top w:val="nil"/>
              <w:bottom w:val="single" w:sz="12" w:space="0" w:color="auto"/>
            </w:tcBorders>
            <w:vAlign w:val="center"/>
          </w:tcPr>
          <w:p w:rsidR="00C73B66" w:rsidRPr="00E863E5" w:rsidRDefault="00465F30" w:rsidP="00336269">
            <w:pPr>
              <w:pStyle w:val="BSATableNumber"/>
              <w:jc w:val="center"/>
              <w:rPr>
                <w:rFonts w:asciiTheme="minorHAnsi" w:hAnsiTheme="minorHAnsi" w:cstheme="minorHAnsi"/>
                <w:sz w:val="20"/>
              </w:rPr>
            </w:pPr>
            <w:r>
              <w:rPr>
                <w:rFonts w:asciiTheme="minorHAnsi" w:hAnsiTheme="minorHAnsi" w:cstheme="minorHAnsi"/>
                <w:sz w:val="20"/>
              </w:rPr>
              <w:t>Adults</w:t>
            </w:r>
          </w:p>
        </w:tc>
      </w:tr>
      <w:tr w:rsidR="00C73B66" w:rsidRPr="00E863E5" w:rsidTr="00027B83">
        <w:trPr>
          <w:trHeight w:val="283"/>
        </w:trPr>
        <w:tc>
          <w:tcPr>
            <w:tcW w:w="5000" w:type="pct"/>
            <w:gridSpan w:val="3"/>
            <w:tcBorders>
              <w:top w:val="single" w:sz="4" w:space="0" w:color="auto"/>
              <w:bottom w:val="single" w:sz="4" w:space="0" w:color="auto"/>
            </w:tcBorders>
            <w:vAlign w:val="center"/>
          </w:tcPr>
          <w:p w:rsidR="00C73B66" w:rsidRPr="00170499" w:rsidRDefault="00C73B66" w:rsidP="00336269">
            <w:pPr>
              <w:pStyle w:val="BSATableNumber"/>
              <w:rPr>
                <w:rFonts w:asciiTheme="minorHAnsi" w:hAnsiTheme="minorHAnsi" w:cstheme="minorHAnsi"/>
                <w:i/>
                <w:sz w:val="20"/>
              </w:rPr>
            </w:pPr>
            <w:r>
              <w:rPr>
                <w:rFonts w:asciiTheme="minorHAnsi" w:hAnsiTheme="minorHAnsi" w:cstheme="minorHAnsi"/>
                <w:i/>
                <w:sz w:val="20"/>
              </w:rPr>
              <w:t xml:space="preserve">Column percentages </w:t>
            </w:r>
          </w:p>
        </w:tc>
      </w:tr>
      <w:tr w:rsidR="00C73B66" w:rsidRPr="00E863E5" w:rsidTr="00027B83">
        <w:trPr>
          <w:trHeight w:val="300"/>
        </w:trPr>
        <w:tc>
          <w:tcPr>
            <w:tcW w:w="2602" w:type="pct"/>
            <w:tcBorders>
              <w:top w:val="nil"/>
            </w:tcBorders>
            <w:vAlign w:val="center"/>
          </w:tcPr>
          <w:p w:rsidR="00C73B66" w:rsidRPr="00E863E5" w:rsidRDefault="00C73B66" w:rsidP="00336269">
            <w:pPr>
              <w:keepNext/>
              <w:spacing w:after="0" w:line="240" w:lineRule="auto"/>
              <w:rPr>
                <w:rFonts w:cstheme="minorHAnsi"/>
                <w:sz w:val="20"/>
                <w:szCs w:val="20"/>
              </w:rPr>
            </w:pPr>
            <w:r w:rsidRPr="00E863E5">
              <w:rPr>
                <w:rFonts w:cstheme="minorHAnsi"/>
                <w:color w:val="000000"/>
                <w:sz w:val="20"/>
                <w:szCs w:val="20"/>
              </w:rPr>
              <w:t>Accent</w:t>
            </w:r>
          </w:p>
        </w:tc>
        <w:tc>
          <w:tcPr>
            <w:tcW w:w="1159" w:type="pct"/>
            <w:tcBorders>
              <w:top w:val="nil"/>
            </w:tcBorders>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1239" w:type="pct"/>
            <w:tcBorders>
              <w:top w:val="nil"/>
            </w:tcBorders>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pStyle w:val="Default"/>
              <w:keepNext/>
              <w:rPr>
                <w:rFonts w:asciiTheme="minorHAnsi" w:eastAsiaTheme="minorHAnsi" w:hAnsiTheme="minorHAnsi" w:cstheme="minorHAnsi"/>
                <w:sz w:val="20"/>
                <w:szCs w:val="20"/>
                <w:lang w:eastAsia="en-US"/>
              </w:rPr>
            </w:pPr>
            <w:r w:rsidRPr="00E863E5">
              <w:rPr>
                <w:rFonts w:asciiTheme="minorHAnsi" w:hAnsiTheme="minorHAnsi" w:cstheme="minorHAnsi"/>
                <w:sz w:val="20"/>
                <w:szCs w:val="20"/>
              </w:rPr>
              <w:t>Gender</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sz w:val="20"/>
                <w:szCs w:val="20"/>
              </w:rPr>
            </w:pPr>
            <w:r w:rsidRPr="00E863E5">
              <w:rPr>
                <w:rFonts w:cstheme="minorHAnsi"/>
                <w:color w:val="000000"/>
                <w:sz w:val="20"/>
                <w:szCs w:val="20"/>
              </w:rPr>
              <w:t>Age</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6</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Sexual orientation</w:t>
            </w:r>
            <w:r w:rsidR="00465F30">
              <w:rPr>
                <w:rFonts w:cstheme="minorHAnsi"/>
                <w:color w:val="000000"/>
                <w:sz w:val="20"/>
                <w:szCs w:val="20"/>
              </w:rPr>
              <w:t>*</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Disability</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Skin colour</w:t>
            </w:r>
          </w:p>
        </w:tc>
        <w:tc>
          <w:tcPr>
            <w:tcW w:w="1159" w:type="pct"/>
            <w:vAlign w:val="center"/>
          </w:tcPr>
          <w:p w:rsidR="00C73B66" w:rsidRDefault="00465F30" w:rsidP="00336269">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Clothes/the way I look</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5</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Language I speak at home</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Family background</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Nationality</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1</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Religion</w:t>
            </w:r>
            <w:r>
              <w:rPr>
                <w:rFonts w:cstheme="minorHAnsi"/>
                <w:color w:val="000000"/>
                <w:sz w:val="20"/>
                <w:szCs w:val="20"/>
              </w:rPr>
              <w:t xml:space="preserve"> </w:t>
            </w:r>
            <w:r w:rsidRPr="00E863E5">
              <w:rPr>
                <w:rFonts w:cstheme="minorHAnsi"/>
                <w:color w:val="000000"/>
                <w:sz w:val="20"/>
                <w:szCs w:val="20"/>
              </w:rPr>
              <w:t>/</w:t>
            </w:r>
            <w:r>
              <w:rPr>
                <w:rFonts w:cstheme="minorHAnsi"/>
                <w:color w:val="000000"/>
                <w:sz w:val="20"/>
                <w:szCs w:val="20"/>
              </w:rPr>
              <w:t xml:space="preserve"> </w:t>
            </w:r>
            <w:r w:rsidRPr="00E863E5">
              <w:rPr>
                <w:rFonts w:cstheme="minorHAnsi"/>
                <w:color w:val="000000"/>
                <w:sz w:val="20"/>
                <w:szCs w:val="20"/>
              </w:rPr>
              <w:t>faith</w:t>
            </w:r>
            <w:r>
              <w:rPr>
                <w:rFonts w:cstheme="minorHAnsi"/>
                <w:color w:val="000000"/>
                <w:sz w:val="20"/>
                <w:szCs w:val="20"/>
              </w:rPr>
              <w:t xml:space="preserve"> </w:t>
            </w:r>
            <w:r w:rsidRPr="00E863E5">
              <w:rPr>
                <w:rFonts w:cstheme="minorHAnsi"/>
                <w:color w:val="000000"/>
                <w:sz w:val="20"/>
                <w:szCs w:val="20"/>
              </w:rPr>
              <w:t>/</w:t>
            </w:r>
            <w:r>
              <w:rPr>
                <w:rFonts w:cstheme="minorHAnsi"/>
                <w:color w:val="000000"/>
                <w:sz w:val="20"/>
                <w:szCs w:val="20"/>
              </w:rPr>
              <w:t xml:space="preserve"> </w:t>
            </w:r>
            <w:r w:rsidRPr="00E863E5">
              <w:rPr>
                <w:rFonts w:cstheme="minorHAnsi"/>
                <w:color w:val="000000"/>
                <w:sz w:val="20"/>
                <w:szCs w:val="20"/>
              </w:rPr>
              <w:t>belief</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2</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Other</w:t>
            </w:r>
          </w:p>
        </w:tc>
        <w:tc>
          <w:tcPr>
            <w:tcW w:w="115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39" w:type="pct"/>
            <w:vAlign w:val="center"/>
          </w:tcPr>
          <w:p w:rsidR="00C73B66" w:rsidRDefault="00C73B66" w:rsidP="00336269">
            <w:pPr>
              <w:spacing w:after="0" w:line="240" w:lineRule="auto"/>
              <w:jc w:val="right"/>
              <w:rPr>
                <w:rFonts w:ascii="Arial" w:hAnsi="Arial" w:cs="Arial"/>
                <w:color w:val="000000"/>
                <w:sz w:val="20"/>
                <w:szCs w:val="20"/>
              </w:rPr>
            </w:pPr>
            <w:r>
              <w:rPr>
                <w:rFonts w:ascii="Arial" w:hAnsi="Arial" w:cs="Arial"/>
                <w:color w:val="000000"/>
                <w:sz w:val="20"/>
                <w:szCs w:val="20"/>
              </w:rPr>
              <w:t>3</w:t>
            </w:r>
          </w:p>
        </w:tc>
      </w:tr>
      <w:tr w:rsidR="00C73B66" w:rsidRPr="00E863E5" w:rsidTr="00027B83">
        <w:trPr>
          <w:trHeight w:val="300"/>
        </w:trPr>
        <w:tc>
          <w:tcPr>
            <w:tcW w:w="2602" w:type="pct"/>
            <w:vAlign w:val="center"/>
          </w:tcPr>
          <w:p w:rsidR="00C73B66" w:rsidRPr="00E863E5" w:rsidRDefault="00C73B66" w:rsidP="00336269">
            <w:pPr>
              <w:keepNext/>
              <w:spacing w:after="0" w:line="240" w:lineRule="auto"/>
              <w:rPr>
                <w:rFonts w:cstheme="minorHAnsi"/>
                <w:color w:val="000000"/>
                <w:sz w:val="20"/>
                <w:szCs w:val="20"/>
              </w:rPr>
            </w:pPr>
            <w:r w:rsidRPr="00E863E5">
              <w:rPr>
                <w:rFonts w:cstheme="minorHAnsi"/>
                <w:color w:val="000000"/>
                <w:sz w:val="20"/>
                <w:szCs w:val="20"/>
              </w:rPr>
              <w:t>None of these</w:t>
            </w:r>
          </w:p>
        </w:tc>
        <w:tc>
          <w:tcPr>
            <w:tcW w:w="1159" w:type="pct"/>
            <w:vAlign w:val="center"/>
          </w:tcPr>
          <w:p w:rsidR="00C73B66" w:rsidRDefault="00465F30" w:rsidP="00336269">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1239" w:type="pct"/>
            <w:vAlign w:val="center"/>
          </w:tcPr>
          <w:p w:rsidR="00C73B66" w:rsidRDefault="00465F30" w:rsidP="00336269">
            <w:pPr>
              <w:spacing w:after="0" w:line="240" w:lineRule="auto"/>
              <w:jc w:val="right"/>
              <w:rPr>
                <w:rFonts w:ascii="Arial" w:hAnsi="Arial" w:cs="Arial"/>
                <w:color w:val="000000"/>
                <w:sz w:val="20"/>
                <w:szCs w:val="20"/>
              </w:rPr>
            </w:pPr>
            <w:r>
              <w:rPr>
                <w:rFonts w:ascii="Arial" w:hAnsi="Arial" w:cs="Arial"/>
                <w:color w:val="000000"/>
                <w:sz w:val="20"/>
                <w:szCs w:val="20"/>
              </w:rPr>
              <w:t>87</w:t>
            </w:r>
          </w:p>
        </w:tc>
      </w:tr>
      <w:tr w:rsidR="00C73B66" w:rsidRPr="00E863E5" w:rsidTr="00027B83">
        <w:trPr>
          <w:trHeight w:val="300"/>
        </w:trPr>
        <w:tc>
          <w:tcPr>
            <w:tcW w:w="2602" w:type="pct"/>
            <w:tcBorders>
              <w:top w:val="single" w:sz="6" w:space="0" w:color="auto"/>
              <w:bottom w:val="nil"/>
            </w:tcBorders>
          </w:tcPr>
          <w:p w:rsidR="00C73B66" w:rsidRPr="00E863E5" w:rsidRDefault="00C73B66" w:rsidP="00336269">
            <w:pPr>
              <w:pStyle w:val="BSATableBase"/>
              <w:keepNext/>
              <w:spacing w:before="0" w:after="0"/>
              <w:rPr>
                <w:rFonts w:asciiTheme="minorHAnsi" w:hAnsiTheme="minorHAnsi" w:cstheme="minorHAnsi"/>
                <w:sz w:val="20"/>
                <w:szCs w:val="22"/>
              </w:rPr>
            </w:pPr>
            <w:r w:rsidRPr="00E863E5">
              <w:rPr>
                <w:rFonts w:asciiTheme="minorHAnsi" w:hAnsiTheme="minorHAnsi" w:cstheme="minorHAnsi"/>
                <w:sz w:val="20"/>
              </w:rPr>
              <w:t xml:space="preserve">Weighted base </w:t>
            </w:r>
          </w:p>
        </w:tc>
        <w:tc>
          <w:tcPr>
            <w:tcW w:w="1159" w:type="pct"/>
            <w:tcBorders>
              <w:top w:val="single" w:sz="6" w:space="0" w:color="auto"/>
              <w:bottom w:val="nil"/>
            </w:tcBorders>
          </w:tcPr>
          <w:p w:rsidR="00C73B66" w:rsidRPr="00DC62B5" w:rsidRDefault="00C73B66" w:rsidP="00336269">
            <w:pPr>
              <w:pStyle w:val="BSATableBaseNumber"/>
              <w:keepNext/>
              <w:spacing w:before="0" w:after="0"/>
              <w:rPr>
                <w:rFonts w:asciiTheme="minorHAnsi" w:hAnsiTheme="minorHAnsi" w:cstheme="minorHAnsi"/>
                <w:sz w:val="20"/>
              </w:rPr>
            </w:pPr>
            <w:r>
              <w:rPr>
                <w:rFonts w:asciiTheme="minorHAnsi" w:hAnsiTheme="minorHAnsi" w:cstheme="minorHAnsi"/>
                <w:sz w:val="20"/>
              </w:rPr>
              <w:t>4264</w:t>
            </w:r>
          </w:p>
        </w:tc>
        <w:tc>
          <w:tcPr>
            <w:tcW w:w="1239" w:type="pct"/>
            <w:tcBorders>
              <w:top w:val="single" w:sz="6" w:space="0" w:color="auto"/>
              <w:bottom w:val="nil"/>
            </w:tcBorders>
          </w:tcPr>
          <w:p w:rsidR="00C73B66" w:rsidRPr="00E863E5" w:rsidRDefault="00C73B66" w:rsidP="00336269">
            <w:pPr>
              <w:pStyle w:val="BSATableBaseNumber"/>
              <w:keepNext/>
              <w:spacing w:before="0" w:after="0"/>
              <w:rPr>
                <w:rFonts w:asciiTheme="minorHAnsi" w:hAnsiTheme="minorHAnsi" w:cstheme="minorHAnsi"/>
                <w:sz w:val="20"/>
                <w:szCs w:val="22"/>
              </w:rPr>
            </w:pPr>
            <w:r>
              <w:rPr>
                <w:rFonts w:asciiTheme="minorHAnsi" w:hAnsiTheme="minorHAnsi" w:cstheme="minorHAnsi"/>
                <w:sz w:val="20"/>
                <w:szCs w:val="22"/>
              </w:rPr>
              <w:t>4264</w:t>
            </w:r>
          </w:p>
        </w:tc>
      </w:tr>
      <w:tr w:rsidR="00C73B66" w:rsidRPr="00E863E5" w:rsidTr="00027B83">
        <w:trPr>
          <w:trHeight w:val="300"/>
        </w:trPr>
        <w:tc>
          <w:tcPr>
            <w:tcW w:w="2602" w:type="pct"/>
            <w:tcBorders>
              <w:top w:val="nil"/>
              <w:bottom w:val="single" w:sz="12" w:space="0" w:color="auto"/>
            </w:tcBorders>
          </w:tcPr>
          <w:p w:rsidR="00C73B66" w:rsidRPr="00E863E5" w:rsidRDefault="00C73B66" w:rsidP="00336269">
            <w:pPr>
              <w:pStyle w:val="BSATableBase"/>
              <w:spacing w:before="0" w:after="0"/>
              <w:rPr>
                <w:rFonts w:asciiTheme="minorHAnsi" w:hAnsiTheme="minorHAnsi" w:cstheme="minorHAnsi"/>
                <w:sz w:val="20"/>
              </w:rPr>
            </w:pPr>
            <w:r w:rsidRPr="00E863E5">
              <w:rPr>
                <w:rFonts w:asciiTheme="minorHAnsi" w:hAnsiTheme="minorHAnsi" w:cstheme="minorHAnsi"/>
                <w:sz w:val="20"/>
              </w:rPr>
              <w:t>Unweighted base</w:t>
            </w:r>
          </w:p>
        </w:tc>
        <w:tc>
          <w:tcPr>
            <w:tcW w:w="1159" w:type="pct"/>
            <w:tcBorders>
              <w:top w:val="nil"/>
              <w:bottom w:val="single" w:sz="12" w:space="0" w:color="auto"/>
            </w:tcBorders>
          </w:tcPr>
          <w:p w:rsidR="00C73B66" w:rsidRPr="00B65F77" w:rsidRDefault="00C73B66" w:rsidP="00336269">
            <w:pPr>
              <w:pStyle w:val="BSATableBaseNumber"/>
              <w:spacing w:before="0" w:after="0"/>
              <w:ind w:left="1209"/>
              <w:rPr>
                <w:rFonts w:asciiTheme="minorHAnsi" w:hAnsiTheme="minorHAnsi" w:cstheme="minorHAnsi"/>
                <w:sz w:val="20"/>
              </w:rPr>
            </w:pPr>
            <w:r>
              <w:rPr>
                <w:rFonts w:asciiTheme="minorHAnsi" w:hAnsiTheme="minorHAnsi" w:cstheme="minorHAnsi"/>
                <w:sz w:val="20"/>
              </w:rPr>
              <w:t>4264</w:t>
            </w:r>
          </w:p>
        </w:tc>
        <w:tc>
          <w:tcPr>
            <w:tcW w:w="1239" w:type="pct"/>
            <w:tcBorders>
              <w:top w:val="nil"/>
              <w:bottom w:val="single" w:sz="12" w:space="0" w:color="auto"/>
            </w:tcBorders>
          </w:tcPr>
          <w:p w:rsidR="00C73B66" w:rsidRPr="00B65F77" w:rsidRDefault="00C73B66" w:rsidP="00336269">
            <w:pPr>
              <w:pStyle w:val="BSATableBaseNumber"/>
              <w:spacing w:before="0" w:after="0"/>
              <w:ind w:left="1209"/>
              <w:rPr>
                <w:rFonts w:asciiTheme="minorHAnsi" w:hAnsiTheme="minorHAnsi" w:cstheme="minorHAnsi"/>
                <w:sz w:val="20"/>
              </w:rPr>
            </w:pPr>
            <w:r>
              <w:rPr>
                <w:rFonts w:asciiTheme="minorHAnsi" w:hAnsiTheme="minorHAnsi" w:cstheme="minorHAnsi"/>
                <w:sz w:val="20"/>
              </w:rPr>
              <w:t>4264</w:t>
            </w:r>
          </w:p>
        </w:tc>
      </w:tr>
    </w:tbl>
    <w:p w:rsidR="00465F30" w:rsidRDefault="00465F30" w:rsidP="00465F30">
      <w:pPr>
        <w:pStyle w:val="BodyCopy"/>
        <w:rPr>
          <w:i/>
          <w:sz w:val="18"/>
          <w:szCs w:val="18"/>
        </w:rPr>
      </w:pPr>
      <w:r>
        <w:rPr>
          <w:i/>
          <w:sz w:val="18"/>
          <w:szCs w:val="18"/>
        </w:rPr>
        <w:t>*Sexual orientation was only asked of S2 to S4 pupils. Weighted base=3135, unweighted base=3070</w:t>
      </w:r>
    </w:p>
    <w:p w:rsidR="00465F30" w:rsidRDefault="00465F30" w:rsidP="00465F30">
      <w:pPr>
        <w:pStyle w:val="BodyCopy"/>
        <w:spacing w:after="200" w:line="276" w:lineRule="auto"/>
        <w:rPr>
          <w:i/>
          <w:sz w:val="18"/>
          <w:szCs w:val="18"/>
        </w:rPr>
      </w:pPr>
      <w:r>
        <w:rPr>
          <w:i/>
          <w:sz w:val="18"/>
          <w:szCs w:val="18"/>
        </w:rPr>
        <w:t>Note: Columns may add to more than 100% as more than one response was allowed</w:t>
      </w:r>
    </w:p>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(SALSUS boost), </w:t>
      </w:r>
      <w:r>
        <w:rPr>
          <w:i/>
          <w:sz w:val="18"/>
          <w:szCs w:val="18"/>
        </w:rPr>
        <w:t>Falkirk, 2016/17</w:t>
      </w:r>
    </w:p>
    <w:p w:rsidR="00C73B66" w:rsidRDefault="00C73B66" w:rsidP="00C73B66">
      <w:pPr>
        <w:spacing w:after="0"/>
      </w:pPr>
      <w:r>
        <w:t xml:space="preserve">Over one in five (22%) said that other pupils had treated them badly due to the clothes they wear or the way they look, with being treated badly due to their accent (9%) the only other individual form of prejudice from other children noted by around a tenth of the sample. Other forms of prejudice experienced from other pupils included being treated badly due to their family background (8%), age (6%), religion / beliefs (5%), gender or a disability (4%), their sexual orientation (5%), the language they speak at home, or skin colour (3%). </w:t>
      </w:r>
    </w:p>
    <w:p w:rsidR="00C73B66" w:rsidRDefault="00C73B66" w:rsidP="00C73B66">
      <w:pPr>
        <w:spacing w:after="0"/>
      </w:pPr>
    </w:p>
    <w:p w:rsidR="00C73B66" w:rsidRDefault="00C73B66" w:rsidP="00C73B66">
      <w:pPr>
        <w:spacing w:after="0"/>
      </w:pPr>
      <w:r>
        <w:t xml:space="preserve">Pupils were less likely to say they had been treated badly by adults than by children in terms of the same types of discrimination. However 6% reported being treated badly by adults due to their age and 5% for the clothes they wore / the way they looked. These were the only types of prejudice experienced by more than 3% of pupils. </w:t>
      </w:r>
    </w:p>
    <w:p w:rsidR="00C73B66" w:rsidRDefault="00C73B66" w:rsidP="00C73B66">
      <w:pPr>
        <w:spacing w:after="0"/>
      </w:pPr>
    </w:p>
    <w:p w:rsidR="00C73B66" w:rsidRDefault="00C73B66" w:rsidP="00C73B66">
      <w:pPr>
        <w:spacing w:after="0"/>
      </w:pPr>
      <w:r w:rsidRPr="00451861">
        <w:t xml:space="preserve">Around </w:t>
      </w:r>
      <w:r w:rsidR="00465F30">
        <w:t>two in five</w:t>
      </w:r>
      <w:r w:rsidRPr="00451861">
        <w:t xml:space="preserve"> (</w:t>
      </w:r>
      <w:r w:rsidR="00465F30">
        <w:t>41</w:t>
      </w:r>
      <w:r w:rsidRPr="00451861">
        <w:t xml:space="preserve">%) reported experiencing </w:t>
      </w:r>
      <w:r>
        <w:t xml:space="preserve">discrimination </w:t>
      </w:r>
      <w:r w:rsidRPr="00451861">
        <w:t>by either adults or other children</w:t>
      </w:r>
      <w:r>
        <w:t xml:space="preserve"> for any of the reasons listed</w:t>
      </w:r>
      <w:r w:rsidRPr="00451861">
        <w:t xml:space="preserve">, </w:t>
      </w:r>
      <w:r w:rsidR="003277BF">
        <w:t>with girls being more likely than boy</w:t>
      </w:r>
      <w:r w:rsidR="00BD1527">
        <w:t>s</w:t>
      </w:r>
      <w:r w:rsidR="003277BF">
        <w:t xml:space="preserve"> to say they had experienced discrimination (44% of girls compared with 37% of boys)</w:t>
      </w:r>
      <w:r w:rsidR="009F0BC7">
        <w:t>,</w:t>
      </w:r>
      <w:r w:rsidR="003277BF">
        <w:t xml:space="preserve"> and older pupils more likely than younger pupils to experience discrimination (</w:t>
      </w:r>
      <w:r w:rsidR="00BD1527">
        <w:t xml:space="preserve">45% in </w:t>
      </w:r>
      <w:r w:rsidR="00386C56">
        <w:t>S4 declining to 36% in S1).</w:t>
      </w:r>
    </w:p>
    <w:p w:rsidR="00C73B66" w:rsidRDefault="00C73B66" w:rsidP="00C73B66">
      <w:pPr>
        <w:spacing w:after="0"/>
        <w:rPr>
          <w:highlight w:val="yellow"/>
        </w:rPr>
      </w:pPr>
    </w:p>
    <w:p w:rsidR="00C73B66" w:rsidRPr="00451861" w:rsidRDefault="00C73B66" w:rsidP="00C73B66">
      <w:pPr>
        <w:spacing w:after="0"/>
      </w:pPr>
      <w:r>
        <w:t xml:space="preserve">Household type was, however, significantly associated with experiences of discrimination. </w:t>
      </w:r>
      <w:r w:rsidRPr="00451861">
        <w:t xml:space="preserve">Children living in </w:t>
      </w:r>
      <w:r w:rsidR="00386C56">
        <w:t>one parent households</w:t>
      </w:r>
      <w:r w:rsidRPr="00451861">
        <w:t xml:space="preserve"> (</w:t>
      </w:r>
      <w:r w:rsidR="00386C56">
        <w:t>43</w:t>
      </w:r>
      <w:r w:rsidR="00CC5625">
        <w:t>%) or</w:t>
      </w:r>
      <w:r w:rsidRPr="00451861">
        <w:t xml:space="preserve"> in step-famil</w:t>
      </w:r>
      <w:r w:rsidR="00386C56">
        <w:t>ies</w:t>
      </w:r>
      <w:r w:rsidRPr="00451861">
        <w:t xml:space="preserve"> (</w:t>
      </w:r>
      <w:r w:rsidR="00386C56">
        <w:t>48</w:t>
      </w:r>
      <w:r w:rsidRPr="00451861">
        <w:t xml:space="preserve">%) </w:t>
      </w:r>
      <w:r w:rsidR="00CC5625">
        <w:t xml:space="preserve">were significantly more likely than those living in </w:t>
      </w:r>
      <w:r>
        <w:t>two</w:t>
      </w:r>
      <w:r w:rsidR="00CC5625">
        <w:t xml:space="preserve"> parent households</w:t>
      </w:r>
      <w:r w:rsidRPr="00451861">
        <w:t xml:space="preserve"> (</w:t>
      </w:r>
      <w:r w:rsidR="00386C56">
        <w:t>39</w:t>
      </w:r>
      <w:r w:rsidRPr="00451861">
        <w:t>%) to report experi</w:t>
      </w:r>
      <w:r>
        <w:t>en</w:t>
      </w:r>
      <w:r w:rsidRPr="00451861">
        <w:t xml:space="preserve">cing any form of </w:t>
      </w:r>
      <w:r>
        <w:t>discrimination</w:t>
      </w:r>
      <w:r w:rsidRPr="00451861">
        <w:t xml:space="preserve">. </w:t>
      </w:r>
      <w:r w:rsidR="00386C56">
        <w:t xml:space="preserve">Around two </w:t>
      </w:r>
      <w:r w:rsidR="00386C56">
        <w:lastRenderedPageBreak/>
        <w:t>in five</w:t>
      </w:r>
      <w:r>
        <w:t xml:space="preserve"> (</w:t>
      </w:r>
      <w:r w:rsidR="00386C56">
        <w:t>45</w:t>
      </w:r>
      <w:r>
        <w:t xml:space="preserve">%) children with no siblings reported that they had experienced discrimination compared with </w:t>
      </w:r>
      <w:r w:rsidR="00386C56">
        <w:t>40</w:t>
      </w:r>
      <w:r>
        <w:t xml:space="preserve">% of children with one or more siblings at home. </w:t>
      </w:r>
    </w:p>
    <w:p w:rsidR="00C73B66" w:rsidRDefault="00C73B66" w:rsidP="00C73B66">
      <w:pPr>
        <w:spacing w:after="0"/>
        <w:rPr>
          <w:highlight w:val="yellow"/>
        </w:rPr>
      </w:pPr>
    </w:p>
    <w:p w:rsidR="00C73B66" w:rsidRPr="00E3590C" w:rsidRDefault="00C73B66" w:rsidP="00C73B66">
      <w:pPr>
        <w:spacing w:after="0"/>
      </w:pPr>
      <w:r w:rsidRPr="00E3590C">
        <w:t xml:space="preserve">Experience of </w:t>
      </w:r>
      <w:r>
        <w:t>discrimination</w:t>
      </w:r>
      <w:r w:rsidRPr="00E3590C">
        <w:t xml:space="preserve"> increased as area deprivation increased: </w:t>
      </w:r>
      <w:r w:rsidR="00386C56">
        <w:t>41</w:t>
      </w:r>
      <w:r w:rsidRPr="00E3590C">
        <w:t xml:space="preserve">% of children living in the most deprived quintile reported experiencing prejudice compared with </w:t>
      </w:r>
      <w:r w:rsidR="00386C56">
        <w:t>36</w:t>
      </w:r>
      <w:r w:rsidRPr="00E3590C">
        <w:t xml:space="preserve">% of children in </w:t>
      </w:r>
      <w:r>
        <w:t>the least deprived quintile</w:t>
      </w:r>
      <w:r w:rsidRPr="00E3590C">
        <w:t>.</w:t>
      </w:r>
      <w:r>
        <w:t xml:space="preserve"> </w:t>
      </w:r>
    </w:p>
    <w:p w:rsidR="00C73B66" w:rsidRPr="00723AC3" w:rsidRDefault="00C73B66" w:rsidP="00C73B66">
      <w:pPr>
        <w:spacing w:after="0"/>
        <w:rPr>
          <w:highlight w:val="yellow"/>
        </w:rPr>
      </w:pPr>
    </w:p>
    <w:p w:rsidR="00C73B66" w:rsidRDefault="00C73B66" w:rsidP="00C73B66">
      <w:pPr>
        <w:spacing w:after="0"/>
      </w:pPr>
      <w:r w:rsidRPr="00E3590C">
        <w:t>Those eligible for free school meals (</w:t>
      </w:r>
      <w:r w:rsidR="00386C56">
        <w:t>46</w:t>
      </w:r>
      <w:r w:rsidRPr="00E3590C">
        <w:t>%) were more likely than those not eligible (</w:t>
      </w:r>
      <w:r w:rsidR="00386C56">
        <w:t>40</w:t>
      </w:r>
      <w:r w:rsidRPr="00E3590C">
        <w:t>%) to say they had been treated badly. The same was true for those in receipt of children’s services (</w:t>
      </w:r>
      <w:r w:rsidR="0009522A">
        <w:t>54</w:t>
      </w:r>
      <w:r w:rsidRPr="00E3590C">
        <w:t xml:space="preserve">% of those in receipt compared with </w:t>
      </w:r>
      <w:r w:rsidR="0009522A">
        <w:t>41</w:t>
      </w:r>
      <w:r w:rsidRPr="00E3590C">
        <w:t>% of those not</w:t>
      </w:r>
      <w:r w:rsidR="009F0BC7">
        <w:t xml:space="preserve"> in receipt</w:t>
      </w:r>
      <w:r w:rsidRPr="00E3590C">
        <w:t>).</w:t>
      </w:r>
    </w:p>
    <w:p w:rsidR="00C73B66" w:rsidRPr="00AF1A6B" w:rsidRDefault="00C73B66" w:rsidP="00C73B66">
      <w:pPr>
        <w:pStyle w:val="Heading2"/>
        <w:spacing w:line="276" w:lineRule="auto"/>
        <w:ind w:left="902" w:hanging="902"/>
      </w:pPr>
      <w:bookmarkStart w:id="55" w:name="_Toc494182058"/>
      <w:r w:rsidRPr="00AF1A6B">
        <w:t>Place and wellbeing</w:t>
      </w:r>
      <w:bookmarkEnd w:id="55"/>
    </w:p>
    <w:p w:rsidR="00C73B66" w:rsidRDefault="00C73B66" w:rsidP="00C73B66">
      <w:r>
        <w:t xml:space="preserve">This section covers the areas of wellbeing related to the place domain covered in the secondary </w:t>
      </w:r>
      <w:r w:rsidR="0009522A">
        <w:t xml:space="preserve">school </w:t>
      </w:r>
      <w:r>
        <w:t>survey. These are all related to perceptions of the local area and community.</w:t>
      </w:r>
    </w:p>
    <w:p w:rsidR="00C73B66" w:rsidRDefault="00C73B66" w:rsidP="00C73B66">
      <w:pPr>
        <w:pStyle w:val="Heading3"/>
        <w:spacing w:line="276" w:lineRule="auto"/>
      </w:pPr>
      <w:bookmarkStart w:id="56" w:name="_Toc494182059"/>
      <w:r>
        <w:t>Community</w:t>
      </w:r>
      <w:bookmarkEnd w:id="56"/>
    </w:p>
    <w:p w:rsidR="00C73B66" w:rsidRDefault="00C73B66" w:rsidP="00C73B66">
      <w:pPr>
        <w:pStyle w:val="Heading3"/>
        <w:numPr>
          <w:ilvl w:val="3"/>
          <w:numId w:val="13"/>
        </w:numPr>
        <w:spacing w:line="276" w:lineRule="auto"/>
      </w:pPr>
      <w:bookmarkStart w:id="57" w:name="_Toc494182060"/>
      <w:r>
        <w:t>Views on local area (Included, Respected, Safe)</w:t>
      </w:r>
      <w:bookmarkEnd w:id="57"/>
    </w:p>
    <w:p w:rsidR="00C73B66" w:rsidRDefault="00C73B66" w:rsidP="00027B83">
      <w:r>
        <w:t>Secondary school pupils</w:t>
      </w:r>
      <w:r w:rsidRPr="007E4115">
        <w:t xml:space="preserve"> were presented with a series of statements relating to their local area and asked to indicate to what extent they agreed with each statement. </w:t>
      </w:r>
    </w:p>
    <w:tbl>
      <w:tblPr>
        <w:tblW w:w="5068"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088"/>
        <w:gridCol w:w="790"/>
        <w:gridCol w:w="693"/>
        <w:gridCol w:w="16"/>
        <w:gridCol w:w="700"/>
        <w:gridCol w:w="13"/>
        <w:gridCol w:w="814"/>
        <w:gridCol w:w="21"/>
        <w:gridCol w:w="989"/>
        <w:gridCol w:w="14"/>
        <w:gridCol w:w="837"/>
        <w:gridCol w:w="19"/>
        <w:gridCol w:w="966"/>
      </w:tblGrid>
      <w:tr w:rsidR="00C73B66" w:rsidRPr="00AE036D" w:rsidTr="00027B83">
        <w:trPr>
          <w:trHeight w:val="340"/>
        </w:trPr>
        <w:tc>
          <w:tcPr>
            <w:tcW w:w="5000" w:type="pct"/>
            <w:gridSpan w:val="13"/>
            <w:tcBorders>
              <w:top w:val="single" w:sz="12" w:space="0" w:color="auto"/>
              <w:left w:val="nil"/>
              <w:bottom w:val="nil"/>
              <w:right w:val="nil"/>
            </w:tcBorders>
            <w:hideMark/>
          </w:tcPr>
          <w:p w:rsidR="00C73B66" w:rsidRPr="00AE036D" w:rsidRDefault="00C73B66" w:rsidP="00027B83">
            <w:pPr>
              <w:pStyle w:val="BSATableHeading"/>
              <w:spacing w:before="0" w:after="0"/>
              <w:rPr>
                <w:rFonts w:asciiTheme="minorHAnsi" w:hAnsiTheme="minorHAnsi" w:cstheme="minorHAnsi"/>
                <w:sz w:val="20"/>
              </w:rPr>
            </w:pPr>
            <w:r w:rsidRPr="00AE036D">
              <w:rPr>
                <w:rFonts w:asciiTheme="minorHAnsi" w:hAnsiTheme="minorHAnsi" w:cstheme="minorHAnsi"/>
                <w:sz w:val="20"/>
              </w:rPr>
              <w:t>Table 2.4.1a Views on local area</w:t>
            </w:r>
          </w:p>
        </w:tc>
      </w:tr>
      <w:tr w:rsidR="00027B83" w:rsidRPr="00AE036D" w:rsidTr="00027B83">
        <w:trPr>
          <w:trHeight w:val="737"/>
        </w:trPr>
        <w:tc>
          <w:tcPr>
            <w:tcW w:w="1312" w:type="pct"/>
            <w:tcBorders>
              <w:top w:val="nil"/>
              <w:left w:val="nil"/>
              <w:bottom w:val="single" w:sz="6" w:space="0" w:color="auto"/>
              <w:right w:val="nil"/>
            </w:tcBorders>
            <w:vAlign w:val="center"/>
            <w:hideMark/>
          </w:tcPr>
          <w:p w:rsidR="00027B83" w:rsidRPr="00AE036D" w:rsidRDefault="00027B83" w:rsidP="00027B83">
            <w:pPr>
              <w:pStyle w:val="BSATableText"/>
              <w:spacing w:after="0" w:line="240" w:lineRule="auto"/>
              <w:ind w:left="0" w:firstLine="0"/>
              <w:jc w:val="center"/>
              <w:rPr>
                <w:rFonts w:asciiTheme="minorHAnsi" w:hAnsiTheme="minorHAnsi" w:cstheme="minorHAnsi"/>
                <w:sz w:val="20"/>
              </w:rPr>
            </w:pPr>
          </w:p>
        </w:tc>
        <w:tc>
          <w:tcPr>
            <w:tcW w:w="496" w:type="pct"/>
            <w:tcBorders>
              <w:top w:val="nil"/>
              <w:left w:val="nil"/>
              <w:bottom w:val="single" w:sz="6" w:space="0" w:color="auto"/>
              <w:right w:val="nil"/>
            </w:tcBorders>
            <w:vAlign w:val="center"/>
          </w:tcPr>
          <w:p w:rsidR="00027B83" w:rsidRPr="00AE036D" w:rsidRDefault="00027B83" w:rsidP="00027B83">
            <w:pPr>
              <w:pStyle w:val="BSATableNumber"/>
              <w:jc w:val="center"/>
              <w:rPr>
                <w:rFonts w:asciiTheme="minorHAnsi" w:hAnsiTheme="minorHAnsi" w:cstheme="minorHAnsi"/>
                <w:sz w:val="20"/>
              </w:rPr>
            </w:pPr>
            <w:r>
              <w:rPr>
                <w:rFonts w:asciiTheme="minorHAnsi" w:hAnsiTheme="minorHAnsi" w:cstheme="minorHAnsi"/>
                <w:sz w:val="20"/>
              </w:rPr>
              <w:t>Strongly agree</w:t>
            </w:r>
          </w:p>
        </w:tc>
        <w:tc>
          <w:tcPr>
            <w:tcW w:w="435" w:type="pct"/>
            <w:tcBorders>
              <w:top w:val="nil"/>
              <w:left w:val="nil"/>
              <w:bottom w:val="single" w:sz="6" w:space="0" w:color="auto"/>
              <w:right w:val="nil"/>
            </w:tcBorders>
            <w:vAlign w:val="center"/>
          </w:tcPr>
          <w:p w:rsidR="00027B83" w:rsidRPr="00AE036D" w:rsidRDefault="00027B83" w:rsidP="00027B83">
            <w:pPr>
              <w:pStyle w:val="BSATableNumber"/>
              <w:jc w:val="center"/>
              <w:rPr>
                <w:rFonts w:asciiTheme="minorHAnsi" w:hAnsiTheme="minorHAnsi" w:cstheme="minorHAnsi"/>
                <w:sz w:val="20"/>
              </w:rPr>
            </w:pPr>
            <w:r>
              <w:rPr>
                <w:rFonts w:asciiTheme="minorHAnsi" w:hAnsiTheme="minorHAnsi" w:cstheme="minorHAnsi"/>
                <w:sz w:val="20"/>
              </w:rPr>
              <w:t>Tend to agree</w:t>
            </w:r>
          </w:p>
        </w:tc>
        <w:tc>
          <w:tcPr>
            <w:tcW w:w="450" w:type="pct"/>
            <w:gridSpan w:val="2"/>
            <w:tcBorders>
              <w:top w:val="nil"/>
              <w:left w:val="nil"/>
              <w:bottom w:val="single" w:sz="6" w:space="0" w:color="auto"/>
              <w:right w:val="nil"/>
            </w:tcBorders>
            <w:vAlign w:val="center"/>
          </w:tcPr>
          <w:p w:rsidR="00027B83" w:rsidRPr="00AE036D" w:rsidRDefault="00027B83" w:rsidP="00027B83">
            <w:pPr>
              <w:pStyle w:val="BSATableNumber"/>
              <w:jc w:val="center"/>
              <w:rPr>
                <w:rFonts w:asciiTheme="minorHAnsi" w:hAnsiTheme="minorHAnsi" w:cstheme="minorHAnsi"/>
                <w:sz w:val="20"/>
              </w:rPr>
            </w:pPr>
            <w:r>
              <w:rPr>
                <w:rFonts w:asciiTheme="minorHAnsi" w:hAnsiTheme="minorHAnsi" w:cstheme="minorHAnsi"/>
                <w:sz w:val="20"/>
              </w:rPr>
              <w:t>Neither</w:t>
            </w:r>
          </w:p>
        </w:tc>
        <w:tc>
          <w:tcPr>
            <w:tcW w:w="519" w:type="pct"/>
            <w:gridSpan w:val="2"/>
            <w:tcBorders>
              <w:top w:val="nil"/>
              <w:left w:val="nil"/>
              <w:bottom w:val="single" w:sz="6" w:space="0" w:color="auto"/>
              <w:right w:val="nil"/>
            </w:tcBorders>
            <w:vAlign w:val="center"/>
          </w:tcPr>
          <w:p w:rsidR="00027B83" w:rsidRPr="00AE036D" w:rsidRDefault="00027B83" w:rsidP="00027B83">
            <w:pPr>
              <w:pStyle w:val="BSATableNumber"/>
              <w:jc w:val="center"/>
              <w:rPr>
                <w:rFonts w:asciiTheme="minorHAnsi" w:hAnsiTheme="minorHAnsi" w:cstheme="minorHAnsi"/>
                <w:sz w:val="20"/>
              </w:rPr>
            </w:pPr>
            <w:r>
              <w:rPr>
                <w:rFonts w:asciiTheme="minorHAnsi" w:hAnsiTheme="minorHAnsi" w:cstheme="minorHAnsi"/>
                <w:sz w:val="20"/>
              </w:rPr>
              <w:t>Tend to disagree</w:t>
            </w:r>
          </w:p>
        </w:tc>
        <w:tc>
          <w:tcPr>
            <w:tcW w:w="634" w:type="pct"/>
            <w:gridSpan w:val="2"/>
            <w:tcBorders>
              <w:top w:val="nil"/>
              <w:left w:val="nil"/>
              <w:bottom w:val="single" w:sz="6" w:space="0" w:color="auto"/>
              <w:right w:val="nil"/>
            </w:tcBorders>
            <w:vAlign w:val="center"/>
          </w:tcPr>
          <w:p w:rsidR="00027B83" w:rsidRPr="00AE036D" w:rsidRDefault="00027B83" w:rsidP="00027B83">
            <w:pPr>
              <w:pStyle w:val="BSATableNumber"/>
              <w:jc w:val="center"/>
              <w:rPr>
                <w:rFonts w:asciiTheme="minorHAnsi" w:hAnsiTheme="minorHAnsi" w:cstheme="minorHAnsi"/>
                <w:sz w:val="20"/>
              </w:rPr>
            </w:pPr>
            <w:r>
              <w:rPr>
                <w:rFonts w:asciiTheme="minorHAnsi" w:hAnsiTheme="minorHAnsi" w:cstheme="minorHAnsi"/>
                <w:sz w:val="20"/>
              </w:rPr>
              <w:t>Strongly disagree</w:t>
            </w:r>
          </w:p>
        </w:tc>
        <w:tc>
          <w:tcPr>
            <w:tcW w:w="535" w:type="pct"/>
            <w:gridSpan w:val="2"/>
            <w:tcBorders>
              <w:top w:val="nil"/>
              <w:left w:val="nil"/>
              <w:bottom w:val="single" w:sz="6" w:space="0" w:color="auto"/>
              <w:right w:val="nil"/>
            </w:tcBorders>
            <w:vAlign w:val="center"/>
          </w:tcPr>
          <w:p w:rsidR="00027B83" w:rsidRPr="0009522A" w:rsidRDefault="00027B83" w:rsidP="00027B83">
            <w:pPr>
              <w:pStyle w:val="BSATableNumber"/>
              <w:jc w:val="center"/>
              <w:rPr>
                <w:rFonts w:asciiTheme="minorHAnsi" w:hAnsiTheme="minorHAnsi" w:cstheme="minorHAnsi"/>
                <w:i/>
                <w:sz w:val="16"/>
                <w:szCs w:val="16"/>
              </w:rPr>
            </w:pPr>
            <w:r w:rsidRPr="0009522A">
              <w:rPr>
                <w:rFonts w:asciiTheme="minorHAnsi" w:hAnsiTheme="minorHAnsi" w:cstheme="minorHAnsi"/>
                <w:i/>
                <w:sz w:val="16"/>
                <w:szCs w:val="16"/>
              </w:rPr>
              <w:t>Weighted bases</w:t>
            </w:r>
          </w:p>
        </w:tc>
        <w:tc>
          <w:tcPr>
            <w:tcW w:w="619" w:type="pct"/>
            <w:gridSpan w:val="2"/>
            <w:tcBorders>
              <w:top w:val="nil"/>
              <w:left w:val="nil"/>
              <w:bottom w:val="single" w:sz="6" w:space="0" w:color="auto"/>
              <w:right w:val="nil"/>
            </w:tcBorders>
            <w:vAlign w:val="center"/>
            <w:hideMark/>
          </w:tcPr>
          <w:p w:rsidR="00027B83" w:rsidRPr="0009522A" w:rsidRDefault="00027B83" w:rsidP="00027B83">
            <w:pPr>
              <w:pStyle w:val="BSATableNumber"/>
              <w:jc w:val="center"/>
              <w:rPr>
                <w:rFonts w:asciiTheme="minorHAnsi" w:hAnsiTheme="minorHAnsi" w:cstheme="minorHAnsi"/>
                <w:i/>
                <w:sz w:val="16"/>
                <w:szCs w:val="16"/>
              </w:rPr>
            </w:pPr>
            <w:r w:rsidRPr="0009522A">
              <w:rPr>
                <w:rFonts w:asciiTheme="minorHAnsi" w:hAnsiTheme="minorHAnsi" w:cstheme="minorHAnsi"/>
                <w:i/>
                <w:sz w:val="16"/>
                <w:szCs w:val="16"/>
              </w:rPr>
              <w:t>Unweighted bases</w:t>
            </w:r>
          </w:p>
        </w:tc>
      </w:tr>
      <w:tr w:rsidR="00C73B66" w:rsidRPr="00AE036D" w:rsidTr="00027B83">
        <w:trPr>
          <w:trHeight w:val="283"/>
        </w:trPr>
        <w:tc>
          <w:tcPr>
            <w:tcW w:w="5000" w:type="pct"/>
            <w:gridSpan w:val="13"/>
            <w:tcBorders>
              <w:top w:val="nil"/>
              <w:left w:val="nil"/>
              <w:bottom w:val="single" w:sz="6" w:space="0" w:color="auto"/>
              <w:right w:val="nil"/>
            </w:tcBorders>
            <w:vAlign w:val="center"/>
          </w:tcPr>
          <w:p w:rsidR="00C73B66" w:rsidRPr="00AE036D" w:rsidRDefault="00C73B66" w:rsidP="00027B83">
            <w:pPr>
              <w:pStyle w:val="BSATableNumber"/>
              <w:jc w:val="left"/>
              <w:rPr>
                <w:rFonts w:asciiTheme="minorHAnsi" w:hAnsiTheme="minorHAnsi" w:cstheme="minorHAnsi"/>
                <w:i/>
                <w:sz w:val="20"/>
              </w:rPr>
            </w:pPr>
            <w:r w:rsidRPr="00AE036D">
              <w:rPr>
                <w:rFonts w:asciiTheme="minorHAnsi" w:hAnsiTheme="minorHAnsi" w:cstheme="minorHAnsi"/>
                <w:i/>
                <w:sz w:val="20"/>
              </w:rPr>
              <w:t>Row percentages</w:t>
            </w:r>
          </w:p>
        </w:tc>
      </w:tr>
      <w:tr w:rsidR="00027B83" w:rsidRPr="00AE036D" w:rsidTr="00027B83">
        <w:tc>
          <w:tcPr>
            <w:tcW w:w="1312" w:type="pct"/>
            <w:tcBorders>
              <w:top w:val="nil"/>
              <w:left w:val="nil"/>
              <w:bottom w:val="nil"/>
              <w:right w:val="nil"/>
            </w:tcBorders>
            <w:vAlign w:val="center"/>
          </w:tcPr>
          <w:p w:rsidR="00027B83" w:rsidRPr="00AE036D" w:rsidRDefault="00027B83" w:rsidP="00027B83">
            <w:pPr>
              <w:pStyle w:val="BSATableNumber"/>
              <w:jc w:val="left"/>
              <w:rPr>
                <w:rFonts w:asciiTheme="minorHAnsi" w:hAnsiTheme="minorHAnsi" w:cstheme="minorHAnsi"/>
                <w:sz w:val="20"/>
              </w:rPr>
            </w:pPr>
            <w:r w:rsidRPr="00AE036D">
              <w:rPr>
                <w:rFonts w:eastAsia="Calibri" w:cstheme="minorHAnsi"/>
                <w:sz w:val="20"/>
              </w:rPr>
              <w:t>People say ‘hello’ and often stop to talk to each other in the street</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29</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36</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18</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10</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7</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3739</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3737</w:t>
            </w:r>
          </w:p>
        </w:tc>
      </w:tr>
      <w:tr w:rsidR="00027B83" w:rsidRPr="00AE036D" w:rsidTr="00027B83">
        <w:tc>
          <w:tcPr>
            <w:tcW w:w="1312" w:type="pct"/>
            <w:tcBorders>
              <w:top w:val="nil"/>
              <w:left w:val="nil"/>
              <w:bottom w:val="nil"/>
              <w:right w:val="nil"/>
            </w:tcBorders>
            <w:vAlign w:val="center"/>
          </w:tcPr>
          <w:p w:rsidR="00027B83" w:rsidRPr="00AE036D" w:rsidRDefault="00027B83" w:rsidP="00027B83">
            <w:pPr>
              <w:pStyle w:val="BSATableNumber"/>
              <w:jc w:val="left"/>
              <w:rPr>
                <w:rFonts w:asciiTheme="minorHAnsi" w:hAnsiTheme="minorHAnsi" w:cstheme="minorHAnsi"/>
                <w:sz w:val="20"/>
              </w:rPr>
            </w:pPr>
            <w:r w:rsidRPr="00AE036D">
              <w:rPr>
                <w:rFonts w:asciiTheme="minorHAnsi" w:hAnsiTheme="minorHAnsi" w:cstheme="minorHAnsi"/>
                <w:sz w:val="20"/>
              </w:rPr>
              <w:t>It’s a really good place to live</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40</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32</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16</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7</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5</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3787</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3785</w:t>
            </w:r>
          </w:p>
        </w:tc>
      </w:tr>
      <w:tr w:rsidR="00027B83" w:rsidRPr="00AE036D" w:rsidTr="00027B83">
        <w:tc>
          <w:tcPr>
            <w:tcW w:w="1312" w:type="pct"/>
            <w:tcBorders>
              <w:top w:val="nil"/>
              <w:left w:val="nil"/>
              <w:bottom w:val="nil"/>
              <w:right w:val="nil"/>
            </w:tcBorders>
            <w:vAlign w:val="center"/>
          </w:tcPr>
          <w:p w:rsidR="00027B83" w:rsidRPr="00AE036D" w:rsidRDefault="00027B83" w:rsidP="00027B83">
            <w:pPr>
              <w:pStyle w:val="BSATableNumber"/>
              <w:jc w:val="left"/>
              <w:rPr>
                <w:rFonts w:asciiTheme="minorHAnsi" w:hAnsiTheme="minorHAnsi" w:cstheme="minorHAnsi"/>
                <w:sz w:val="20"/>
              </w:rPr>
            </w:pPr>
            <w:r w:rsidRPr="00AE036D">
              <w:rPr>
                <w:rFonts w:asciiTheme="minorHAnsi" w:hAnsiTheme="minorHAnsi" w:cstheme="minorHAnsi"/>
                <w:sz w:val="20"/>
              </w:rPr>
              <w:t>I could ask for help or a favour from neighbours</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36</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28</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16</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10</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10</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3719</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3717</w:t>
            </w:r>
          </w:p>
        </w:tc>
      </w:tr>
      <w:tr w:rsidR="00027B83" w:rsidRPr="00AE036D" w:rsidTr="00027B83">
        <w:tc>
          <w:tcPr>
            <w:tcW w:w="1312" w:type="pct"/>
            <w:tcBorders>
              <w:top w:val="nil"/>
              <w:left w:val="nil"/>
              <w:bottom w:val="nil"/>
              <w:right w:val="nil"/>
            </w:tcBorders>
            <w:vAlign w:val="center"/>
          </w:tcPr>
          <w:p w:rsidR="00027B83" w:rsidRPr="00AE036D" w:rsidRDefault="00027B83" w:rsidP="00027B83">
            <w:pPr>
              <w:pStyle w:val="BSATableNumber"/>
              <w:jc w:val="left"/>
              <w:rPr>
                <w:rFonts w:asciiTheme="minorHAnsi" w:hAnsiTheme="minorHAnsi" w:cstheme="minorHAnsi"/>
                <w:sz w:val="20"/>
              </w:rPr>
            </w:pPr>
            <w:r w:rsidRPr="00AE036D">
              <w:rPr>
                <w:rFonts w:asciiTheme="minorHAnsi" w:hAnsiTheme="minorHAnsi" w:cstheme="minorHAnsi"/>
                <w:sz w:val="20"/>
              </w:rPr>
              <w:t>You can trust people round here</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34</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29</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20</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10</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8</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3719</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3717</w:t>
            </w:r>
          </w:p>
        </w:tc>
      </w:tr>
      <w:tr w:rsidR="00027B83" w:rsidRPr="00AE036D" w:rsidTr="00027B83">
        <w:tc>
          <w:tcPr>
            <w:tcW w:w="1312" w:type="pct"/>
            <w:tcBorders>
              <w:top w:val="nil"/>
              <w:left w:val="nil"/>
              <w:bottom w:val="nil"/>
              <w:right w:val="nil"/>
            </w:tcBorders>
            <w:vAlign w:val="center"/>
          </w:tcPr>
          <w:p w:rsidR="00027B83" w:rsidRPr="00AE036D" w:rsidRDefault="00027B83" w:rsidP="00027B83">
            <w:pPr>
              <w:pStyle w:val="BSATableNumber"/>
              <w:jc w:val="left"/>
              <w:rPr>
                <w:rFonts w:asciiTheme="minorHAnsi" w:hAnsiTheme="minorHAnsi" w:cstheme="minorHAnsi"/>
                <w:sz w:val="20"/>
              </w:rPr>
            </w:pPr>
            <w:r w:rsidRPr="00AE036D">
              <w:rPr>
                <w:rFonts w:asciiTheme="minorHAnsi" w:hAnsiTheme="minorHAnsi" w:cstheme="minorHAnsi"/>
                <w:sz w:val="20"/>
              </w:rPr>
              <w:t>There is nothing for young people to do in this area</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20</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23</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21</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19</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16</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3717</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3714</w:t>
            </w:r>
          </w:p>
        </w:tc>
      </w:tr>
      <w:tr w:rsidR="00027B83" w:rsidRPr="00AE036D" w:rsidTr="00027B83">
        <w:tc>
          <w:tcPr>
            <w:tcW w:w="1312" w:type="pct"/>
            <w:tcBorders>
              <w:top w:val="nil"/>
              <w:left w:val="nil"/>
              <w:bottom w:val="nil"/>
              <w:right w:val="nil"/>
            </w:tcBorders>
            <w:vAlign w:val="center"/>
            <w:hideMark/>
          </w:tcPr>
          <w:p w:rsidR="00027B83" w:rsidRPr="00AE036D" w:rsidRDefault="00027B83" w:rsidP="00027B83">
            <w:pPr>
              <w:pStyle w:val="BSATableNumber"/>
              <w:jc w:val="left"/>
              <w:rPr>
                <w:rFonts w:asciiTheme="minorHAnsi" w:hAnsiTheme="minorHAnsi" w:cstheme="minorHAnsi"/>
                <w:sz w:val="20"/>
              </w:rPr>
            </w:pPr>
            <w:r w:rsidRPr="00AE036D">
              <w:rPr>
                <w:rFonts w:eastAsia="Calibri" w:cstheme="minorHAnsi"/>
                <w:color w:val="000000"/>
                <w:sz w:val="20"/>
              </w:rPr>
              <w:t>I feel safe being outside with my friends in this area</w:t>
            </w:r>
          </w:p>
        </w:tc>
        <w:tc>
          <w:tcPr>
            <w:tcW w:w="496" w:type="pct"/>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46</w:t>
            </w:r>
          </w:p>
        </w:tc>
        <w:tc>
          <w:tcPr>
            <w:tcW w:w="445"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31</w:t>
            </w:r>
          </w:p>
        </w:tc>
        <w:tc>
          <w:tcPr>
            <w:tcW w:w="448"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14</w:t>
            </w:r>
          </w:p>
        </w:tc>
        <w:tc>
          <w:tcPr>
            <w:tcW w:w="524"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5</w:t>
            </w:r>
          </w:p>
        </w:tc>
        <w:tc>
          <w:tcPr>
            <w:tcW w:w="630" w:type="pct"/>
            <w:gridSpan w:val="2"/>
            <w:tcBorders>
              <w:top w:val="nil"/>
              <w:left w:val="nil"/>
              <w:bottom w:val="nil"/>
              <w:right w:val="nil"/>
            </w:tcBorders>
            <w:vAlign w:val="center"/>
          </w:tcPr>
          <w:p w:rsidR="00027B83" w:rsidRPr="00AE036D" w:rsidRDefault="00027B83" w:rsidP="00027B83">
            <w:pPr>
              <w:spacing w:after="0" w:line="240" w:lineRule="auto"/>
              <w:jc w:val="right"/>
              <w:rPr>
                <w:sz w:val="20"/>
                <w:szCs w:val="20"/>
              </w:rPr>
            </w:pPr>
            <w:r w:rsidRPr="00AE036D">
              <w:rPr>
                <w:sz w:val="20"/>
                <w:szCs w:val="20"/>
              </w:rPr>
              <w:t>5</w:t>
            </w:r>
          </w:p>
        </w:tc>
        <w:tc>
          <w:tcPr>
            <w:tcW w:w="538" w:type="pct"/>
            <w:gridSpan w:val="2"/>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3736</w:t>
            </w:r>
          </w:p>
        </w:tc>
        <w:tc>
          <w:tcPr>
            <w:tcW w:w="607" w:type="pct"/>
            <w:tcBorders>
              <w:top w:val="nil"/>
              <w:left w:val="nil"/>
              <w:bottom w:val="nil"/>
              <w:right w:val="nil"/>
            </w:tcBorders>
            <w:vAlign w:val="center"/>
          </w:tcPr>
          <w:p w:rsidR="00027B83" w:rsidRPr="00AE036D" w:rsidRDefault="00027B83" w:rsidP="00027B83">
            <w:pPr>
              <w:spacing w:after="0" w:line="240" w:lineRule="auto"/>
              <w:jc w:val="right"/>
              <w:rPr>
                <w:i/>
                <w:sz w:val="20"/>
                <w:szCs w:val="20"/>
              </w:rPr>
            </w:pPr>
            <w:r w:rsidRPr="00AE036D">
              <w:rPr>
                <w:i/>
                <w:sz w:val="20"/>
                <w:szCs w:val="20"/>
              </w:rPr>
              <w:t>3734</w:t>
            </w:r>
          </w:p>
        </w:tc>
      </w:tr>
      <w:tr w:rsidR="00027B83" w:rsidRPr="00AE036D" w:rsidTr="00027B83">
        <w:tc>
          <w:tcPr>
            <w:tcW w:w="5000" w:type="pct"/>
            <w:gridSpan w:val="13"/>
            <w:tcBorders>
              <w:top w:val="nil"/>
              <w:left w:val="nil"/>
              <w:bottom w:val="single" w:sz="12" w:space="0" w:color="auto"/>
              <w:right w:val="nil"/>
            </w:tcBorders>
          </w:tcPr>
          <w:p w:rsidR="00027B83" w:rsidRPr="00AE036D" w:rsidRDefault="00027B83" w:rsidP="00027B83">
            <w:pPr>
              <w:pStyle w:val="BSATableNumber"/>
              <w:rPr>
                <w:rFonts w:asciiTheme="minorHAnsi" w:hAnsiTheme="minorHAnsi" w:cstheme="minorHAnsi"/>
                <w:i/>
                <w:sz w:val="20"/>
              </w:rPr>
            </w:pPr>
          </w:p>
        </w:tc>
      </w:tr>
    </w:tbl>
    <w:p w:rsidR="00C73B66" w:rsidRPr="00A018E9" w:rsidRDefault="00C73B66" w:rsidP="00C73B66">
      <w:pPr>
        <w:pStyle w:val="BodyCopy"/>
        <w:spacing w:after="200" w:line="276" w:lineRule="auto"/>
        <w:rPr>
          <w:i/>
          <w:sz w:val="18"/>
          <w:szCs w:val="18"/>
        </w:rPr>
      </w:pPr>
      <w:r w:rsidRPr="00A018E9">
        <w:rPr>
          <w:i/>
          <w:sz w:val="18"/>
          <w:szCs w:val="18"/>
        </w:rPr>
        <w:t xml:space="preserve">Source: RCS secondary school survey, </w:t>
      </w:r>
      <w:r>
        <w:rPr>
          <w:i/>
          <w:sz w:val="18"/>
          <w:szCs w:val="18"/>
        </w:rPr>
        <w:t xml:space="preserve">Falkirk, 2017 </w:t>
      </w:r>
    </w:p>
    <w:p w:rsidR="00C73B66" w:rsidRDefault="00C73B66" w:rsidP="00C73B66">
      <w:pPr>
        <w:pStyle w:val="BodyCopy"/>
        <w:spacing w:line="276" w:lineRule="auto"/>
      </w:pPr>
      <w:r>
        <w:lastRenderedPageBreak/>
        <w:t>The majority of pupils were positive about their local area with around three-quarters either strongly agreeing or tending to agree that they felt safe being outside with their friends in their local area (</w:t>
      </w:r>
      <w:r w:rsidR="002E7E7B">
        <w:t>76</w:t>
      </w:r>
      <w:r>
        <w:t>%) and that it’s a really good place to live (72%). A slightly smaller proportion agreed</w:t>
      </w:r>
      <w:r w:rsidRPr="00431105">
        <w:t xml:space="preserve"> </w:t>
      </w:r>
      <w:r>
        <w:t>that people often say ‘hello’ or stop to talk to each other in the street (65%), that you could ask for help or a favour from neighbours (64%) and that they can trust people from round here (6</w:t>
      </w:r>
      <w:r w:rsidR="002E7E7B">
        <w:t>2</w:t>
      </w:r>
      <w:r>
        <w:t xml:space="preserve">%).  </w:t>
      </w:r>
    </w:p>
    <w:p w:rsidR="00C73B66" w:rsidRDefault="00C73B66" w:rsidP="00C73B66">
      <w:pPr>
        <w:pStyle w:val="BodyCopy"/>
        <w:spacing w:line="276" w:lineRule="auto"/>
      </w:pPr>
    </w:p>
    <w:p w:rsidR="00C73B66" w:rsidRDefault="00C73B66" w:rsidP="00C73B66">
      <w:pPr>
        <w:pStyle w:val="BodyCopy"/>
        <w:spacing w:line="276" w:lineRule="auto"/>
      </w:pPr>
      <w:r>
        <w:t xml:space="preserve">The most negative views were evident in relation to the issue of activities and amenities for young people: </w:t>
      </w:r>
      <w:r w:rsidR="002E7E7B">
        <w:t>4</w:t>
      </w:r>
      <w:r>
        <w:t xml:space="preserve">3% agreed that ‘there is nothing for young people to do in this area’, while only </w:t>
      </w:r>
      <w:r w:rsidR="002E7E7B">
        <w:t>36</w:t>
      </w:r>
      <w:r>
        <w:t>% disagreed.</w:t>
      </w:r>
    </w:p>
    <w:p w:rsidR="00C73B66" w:rsidRDefault="00C73B66" w:rsidP="00C73B66">
      <w:pPr>
        <w:pStyle w:val="BodyCopy"/>
        <w:spacing w:line="276" w:lineRule="auto"/>
      </w:pPr>
    </w:p>
    <w:p w:rsidR="00C73B66" w:rsidRDefault="00C73B66" w:rsidP="00C73B66">
      <w:pPr>
        <w:pStyle w:val="BodyCopy"/>
        <w:spacing w:line="276" w:lineRule="auto"/>
      </w:pPr>
      <w:r>
        <w:t xml:space="preserve">There were significant differences for each of the statements by year group, with the younger age groups tending to be more positive. Those in S1 were more likely to </w:t>
      </w:r>
      <w:r w:rsidR="002E7E7B">
        <w:t xml:space="preserve">strongly </w:t>
      </w:r>
      <w:r>
        <w:t>agree their local area is a</w:t>
      </w:r>
      <w:r w:rsidR="002E7E7B">
        <w:t xml:space="preserve"> really good place to live (55%</w:t>
      </w:r>
      <w:r>
        <w:t xml:space="preserve"> declining to 31% i</w:t>
      </w:r>
      <w:r w:rsidR="002E7E7B">
        <w:t>n S4), that they feel safe (55%</w:t>
      </w:r>
      <w:r>
        <w:t xml:space="preserve"> declining to 40% in </w:t>
      </w:r>
      <w:r w:rsidR="002E7E7B">
        <w:t>S4), that people say hello (37%</w:t>
      </w:r>
      <w:r>
        <w:t xml:space="preserve"> declining to 22%), that they could trust people (45% declining to 25%), and th</w:t>
      </w:r>
      <w:r w:rsidR="002E7E7B">
        <w:t>at they could ask for help (46%</w:t>
      </w:r>
      <w:r>
        <w:t xml:space="preserve"> declining to 30%). They were also more likely to </w:t>
      </w:r>
      <w:r w:rsidR="002E7E7B">
        <w:t xml:space="preserve">strongly </w:t>
      </w:r>
      <w:r w:rsidRPr="003673F6">
        <w:t>dis</w:t>
      </w:r>
      <w:r>
        <w:t>agree that there was nothing for young people to do in their local area (</w:t>
      </w:r>
      <w:r w:rsidR="002E7E7B">
        <w:t>28%</w:t>
      </w:r>
      <w:r>
        <w:t xml:space="preserve"> declining to </w:t>
      </w:r>
      <w:r w:rsidR="002E7E7B">
        <w:t>9</w:t>
      </w:r>
      <w:r>
        <w:t>% in S4). Those living in two parent households were also more positive on each of the statements than those in other types of household.</w:t>
      </w:r>
    </w:p>
    <w:p w:rsidR="00C73B66" w:rsidRDefault="00C73B66" w:rsidP="00C73B66">
      <w:pPr>
        <w:pStyle w:val="BodyCopy"/>
        <w:spacing w:line="276" w:lineRule="auto"/>
      </w:pPr>
    </w:p>
    <w:p w:rsidR="00C73B66" w:rsidRDefault="00C73B66" w:rsidP="00C73B66">
      <w:pPr>
        <w:pStyle w:val="BodyCopy"/>
        <w:spacing w:line="276" w:lineRule="auto"/>
      </w:pPr>
      <w:r>
        <w:t xml:space="preserve">Those in the least deprived areas </w:t>
      </w:r>
      <w:r w:rsidR="002E7E7B">
        <w:t>were</w:t>
      </w:r>
      <w:r>
        <w:t xml:space="preserve"> more positive about their local area in relation to each of the statements than </w:t>
      </w:r>
      <w:r w:rsidR="002E7E7B">
        <w:t xml:space="preserve">those </w:t>
      </w:r>
      <w:r>
        <w:t xml:space="preserve">in the more deprived areas. The proportion agreeing decreased as levels of deprivation increased in relation to the statements that it was a really good place to live (83% in the least deprived </w:t>
      </w:r>
      <w:r w:rsidR="002E7E7B">
        <w:t>quintile</w:t>
      </w:r>
      <w:r>
        <w:t xml:space="preserve"> declining to 55% in the most deprived), that they felt safe in their local area was (8</w:t>
      </w:r>
      <w:r w:rsidR="002E7E7B">
        <w:t>5</w:t>
      </w:r>
      <w:r>
        <w:t xml:space="preserve">% declining to 60%), that they could trust people (75% declining to 47%), and that they could ask for help (71% declining to 54%). The proportion disagreeing that there was nothing for young people to do also declined with increasing deprivation (from 42% to 34%). The same patterns were seen in relation to eligibility for free school meals, with those not eligible being more positive. </w:t>
      </w:r>
    </w:p>
    <w:p w:rsidR="00C73B66" w:rsidRDefault="00C73B66" w:rsidP="00C73B66">
      <w:pPr>
        <w:pStyle w:val="BodyCopy"/>
        <w:spacing w:line="276" w:lineRule="auto"/>
      </w:pPr>
    </w:p>
    <w:p w:rsidR="00C73B66" w:rsidRDefault="00C73B66" w:rsidP="00C73B66">
      <w:pPr>
        <w:pStyle w:val="BodyCopy"/>
        <w:spacing w:line="276" w:lineRule="auto"/>
      </w:pPr>
      <w:r>
        <w:t xml:space="preserve">Gender was significantly associated with </w:t>
      </w:r>
      <w:r w:rsidR="002E7E7B">
        <w:t>view on whether</w:t>
      </w:r>
      <w:r>
        <w:t xml:space="preserve"> ‘it’s a really good place to live’ and ‘I feel safe being outside with my friends in this area’, with boys responding more positively than girls to both statements. Boys were also more likely to disagree that ‘there is nothing for young people to do in this area’ (4</w:t>
      </w:r>
      <w:r w:rsidR="002E7E7B">
        <w:t>0</w:t>
      </w:r>
      <w:r>
        <w:t xml:space="preserve">% compared with 32% respectively).  </w:t>
      </w:r>
    </w:p>
    <w:p w:rsidR="00C73B66" w:rsidRDefault="00C73B66" w:rsidP="00C73B66">
      <w:pPr>
        <w:pStyle w:val="BodyCopy"/>
        <w:spacing w:line="276" w:lineRule="auto"/>
      </w:pPr>
    </w:p>
    <w:p w:rsidR="00C73B66" w:rsidRDefault="00F94507" w:rsidP="00C73B66">
      <w:pPr>
        <w:pStyle w:val="BodyCopy"/>
        <w:spacing w:line="276" w:lineRule="auto"/>
      </w:pPr>
      <w:r>
        <w:t xml:space="preserve">Finally </w:t>
      </w:r>
      <w:r w:rsidR="00C73B66">
        <w:t xml:space="preserve">pupils were asked how much they </w:t>
      </w:r>
      <w:r>
        <w:t xml:space="preserve">felt they </w:t>
      </w:r>
      <w:r w:rsidR="00C73B66">
        <w:t>belong</w:t>
      </w:r>
      <w:r w:rsidR="002E7E7B">
        <w:t>ed</w:t>
      </w:r>
      <w:r w:rsidR="00C73B66">
        <w:t xml:space="preserve"> </w:t>
      </w:r>
      <w:r>
        <w:t>to</w:t>
      </w:r>
      <w:r w:rsidR="00C73B66">
        <w:t xml:space="preserve"> their local area. Overall, </w:t>
      </w:r>
      <w:r>
        <w:t>h</w:t>
      </w:r>
      <w:r w:rsidR="00C73B66">
        <w:t>alf of the pupils (50%) said they felt they belonged to their local area, either quite a lot (32%) or a great deal (18%).</w:t>
      </w:r>
    </w:p>
    <w:p w:rsidR="00C73B66" w:rsidRDefault="00C73B66" w:rsidP="00C73B66">
      <w:pPr>
        <w:pStyle w:val="BodyCopy"/>
        <w:spacing w:line="276" w:lineRule="auto"/>
      </w:pPr>
    </w:p>
    <w:p w:rsidR="00C73B66" w:rsidRDefault="00C73B66" w:rsidP="00C73B66">
      <w:pPr>
        <w:pStyle w:val="BodyCopy"/>
        <w:spacing w:line="276" w:lineRule="auto"/>
      </w:pPr>
      <w:r>
        <w:t>Younger people were more likely to report a sense of belongi</w:t>
      </w:r>
      <w:r w:rsidR="00F94507">
        <w:t>ng to their local area (60% in S1, compared with 41% in S</w:t>
      </w:r>
      <w:r>
        <w:t xml:space="preserve">4), as did boys (53%, compared with 48%), those living in the least deprived areas (59%, compared with 39%), those not eligible for free school meals (51%, compared with 40%), those with siblings </w:t>
      </w:r>
      <w:r>
        <w:lastRenderedPageBreak/>
        <w:t>(51%, compared with 44%), and those living with two parents (52%, compared with 36%-48% in other household types).</w:t>
      </w:r>
    </w:p>
    <w:p w:rsidR="00C73B66" w:rsidRDefault="00C73B66" w:rsidP="00C73B66">
      <w:pPr>
        <w:pStyle w:val="Heading3"/>
        <w:numPr>
          <w:ilvl w:val="3"/>
          <w:numId w:val="13"/>
        </w:numPr>
        <w:spacing w:line="276" w:lineRule="auto"/>
      </w:pPr>
      <w:bookmarkStart w:id="58" w:name="_Toc494182061"/>
      <w:r>
        <w:t>Participation in activities (Active, Included)</w:t>
      </w:r>
      <w:bookmarkEnd w:id="58"/>
    </w:p>
    <w:p w:rsidR="00225524" w:rsidRPr="00027B83" w:rsidRDefault="00C73B66" w:rsidP="00027B83">
      <w:pPr>
        <w:pStyle w:val="BodyCopy"/>
        <w:spacing w:line="276" w:lineRule="auto"/>
      </w:pPr>
      <w:r>
        <w:t>In terms of activities participated in daily, S1 to S4 pupils were most likely to mention social networking sites such as Facebook or Twitter (73%) or listening to music (56%). Around a fifth of pupils also said they did activities such as playing computer games (29%), seeing friends (23%), watching films / DVDs (19%), doing a sport such as football or swimming (1</w:t>
      </w:r>
      <w:r w:rsidR="00F94507">
        <w:t>6</w:t>
      </w:r>
      <w:r>
        <w:t>%), or doing a hobby, art or playing a musical instrument (1</w:t>
      </w:r>
      <w:r w:rsidR="00F94507">
        <w:t>5</w:t>
      </w:r>
      <w:r>
        <w:t>%</w:t>
      </w:r>
      <w:r w:rsidR="00F94507">
        <w:t>).</w:t>
      </w:r>
    </w:p>
    <w:p w:rsidR="00225524" w:rsidRDefault="00761252" w:rsidP="00225524">
      <w:pPr>
        <w:pStyle w:val="BodyCopy"/>
        <w:spacing w:after="200" w:line="276" w:lineRule="auto"/>
        <w:rPr>
          <w:i/>
          <w:sz w:val="18"/>
          <w:szCs w:val="18"/>
        </w:rPr>
      </w:pPr>
      <w:r w:rsidRPr="00161D63">
        <w:rPr>
          <w:noProof/>
          <w:color w:val="EEECE1" w:themeColor="background2"/>
        </w:rPr>
        <w:drawing>
          <wp:inline distT="0" distB="0" distL="0" distR="0" wp14:anchorId="245EEFEB" wp14:editId="6926CD21">
            <wp:extent cx="5000624" cy="6162676"/>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Del="00761252">
        <w:rPr>
          <w:noProof/>
        </w:rPr>
        <w:t xml:space="preserve"> </w:t>
      </w:r>
      <w:r w:rsidR="00225524" w:rsidRPr="00A018E9">
        <w:rPr>
          <w:i/>
          <w:sz w:val="18"/>
          <w:szCs w:val="18"/>
        </w:rPr>
        <w:t>Sour</w:t>
      </w:r>
      <w:r w:rsidR="00225524">
        <w:rPr>
          <w:i/>
          <w:sz w:val="18"/>
          <w:szCs w:val="18"/>
        </w:rPr>
        <w:t>ce: RCS secondary school survey</w:t>
      </w:r>
      <w:r w:rsidR="00225524" w:rsidRPr="00A018E9">
        <w:rPr>
          <w:i/>
          <w:sz w:val="18"/>
          <w:szCs w:val="18"/>
        </w:rPr>
        <w:t xml:space="preserve">, </w:t>
      </w:r>
      <w:r w:rsidR="00225524">
        <w:rPr>
          <w:i/>
          <w:sz w:val="18"/>
          <w:szCs w:val="18"/>
        </w:rPr>
        <w:t>Falkirk 2017</w:t>
      </w:r>
    </w:p>
    <w:p w:rsidR="00C73B66" w:rsidRDefault="00C73B66" w:rsidP="00C73B66">
      <w:pPr>
        <w:pStyle w:val="BodyCopy"/>
        <w:spacing w:line="276" w:lineRule="auto"/>
      </w:pPr>
      <w:r>
        <w:t xml:space="preserve">There were </w:t>
      </w:r>
      <w:r w:rsidR="00225524">
        <w:t>different</w:t>
      </w:r>
      <w:r>
        <w:t xml:space="preserve"> levels of participation in different activities </w:t>
      </w:r>
      <w:r w:rsidR="00225524">
        <w:t>between boys and girls</w:t>
      </w:r>
      <w:r>
        <w:t xml:space="preserve">. For example, boys were </w:t>
      </w:r>
      <w:r w:rsidR="006B1307">
        <w:t xml:space="preserve">much </w:t>
      </w:r>
      <w:r>
        <w:t>more likely than girls to say they did sport every day or most days (</w:t>
      </w:r>
      <w:r w:rsidR="00225524">
        <w:t>53</w:t>
      </w:r>
      <w:r>
        <w:t xml:space="preserve">% of boys compared with </w:t>
      </w:r>
      <w:r w:rsidR="00225524">
        <w:t>35</w:t>
      </w:r>
      <w:r>
        <w:t xml:space="preserve">% of girls) – a </w:t>
      </w:r>
      <w:r>
        <w:lastRenderedPageBreak/>
        <w:t xml:space="preserve">finding consistent with the data on physical activity reported </w:t>
      </w:r>
      <w:r w:rsidRPr="00115AB2">
        <w:t>on page 11.</w:t>
      </w:r>
      <w:r>
        <w:t xml:space="preserve"> Boys were more much likely to play computer games every day (48% compared with 9% of girls) but the reverse was true for social networking sites with 81% of girls using these daily compared with 64% of boys. </w:t>
      </w:r>
    </w:p>
    <w:p w:rsidR="00C73B66" w:rsidRDefault="00C73B66" w:rsidP="00C73B66">
      <w:pPr>
        <w:pStyle w:val="BodyCopy"/>
        <w:spacing w:line="276" w:lineRule="auto"/>
      </w:pPr>
    </w:p>
    <w:p w:rsidR="00C73B66" w:rsidRDefault="00C73B66" w:rsidP="00C73B66">
      <w:pPr>
        <w:pStyle w:val="BodyCopy"/>
        <w:spacing w:line="276" w:lineRule="auto"/>
      </w:pPr>
      <w:r>
        <w:t xml:space="preserve">Those in S3 and S4 </w:t>
      </w:r>
      <w:r w:rsidR="006B1307">
        <w:t>tended to make more</w:t>
      </w:r>
      <w:r>
        <w:t xml:space="preserve"> use of online social networking sites, 77</w:t>
      </w:r>
      <w:r w:rsidR="00225524">
        <w:t xml:space="preserve">% in S3 and </w:t>
      </w:r>
      <w:r>
        <w:t>80%</w:t>
      </w:r>
      <w:r w:rsidR="00225524">
        <w:t xml:space="preserve"> in S4</w:t>
      </w:r>
      <w:r>
        <w:t xml:space="preserve"> using them daily, compared with 63% in S1 and 71% in S2. In contrast, those in S1 were more likely to do sport every day or most days (53%) than </w:t>
      </w:r>
      <w:r w:rsidR="0081070C">
        <w:t xml:space="preserve">were </w:t>
      </w:r>
      <w:r>
        <w:t xml:space="preserve">those in S4 (36%). Those in S1 were </w:t>
      </w:r>
      <w:r w:rsidR="00225524">
        <w:t xml:space="preserve">also the </w:t>
      </w:r>
      <w:r>
        <w:t>most likely to report ever going to a museum or gallery (5</w:t>
      </w:r>
      <w:r w:rsidR="00225524">
        <w:t>2</w:t>
      </w:r>
      <w:r>
        <w:t>% compared with 3</w:t>
      </w:r>
      <w:r w:rsidR="00225524">
        <w:t>5</w:t>
      </w:r>
      <w:r>
        <w:t>-4</w:t>
      </w:r>
      <w:r w:rsidR="00225524">
        <w:t>1</w:t>
      </w:r>
      <w:r>
        <w:t>% of older children).</w:t>
      </w:r>
    </w:p>
    <w:p w:rsidR="00C73B66" w:rsidRDefault="00C73B66" w:rsidP="00C73B66">
      <w:pPr>
        <w:pStyle w:val="BodyCopy"/>
        <w:spacing w:line="276" w:lineRule="auto"/>
      </w:pPr>
    </w:p>
    <w:p w:rsidR="00C73B66" w:rsidRDefault="00C73B66" w:rsidP="00C73B66">
      <w:pPr>
        <w:pStyle w:val="BodyCopy"/>
        <w:spacing w:line="276" w:lineRule="auto"/>
      </w:pPr>
      <w:r>
        <w:t>Levels of deprivation were also associated with the types of activities secondary pupils regularly did. Looking round the shops every day or most days declined from 2</w:t>
      </w:r>
      <w:r w:rsidR="00FE6977">
        <w:t>7</w:t>
      </w:r>
      <w:r>
        <w:t xml:space="preserve">% in the most deprived areas to 18% in the least deprived, while the same pattern could be seen for hanging around the streets </w:t>
      </w:r>
      <w:r w:rsidR="00FE6977">
        <w:t>(30% in the most deprived areas</w:t>
      </w:r>
      <w:r>
        <w:t xml:space="preserve"> declining to 17% in the least). Those in the least deprived </w:t>
      </w:r>
      <w:r w:rsidR="00FE6977">
        <w:t>quintile</w:t>
      </w:r>
      <w:r>
        <w:t xml:space="preserve"> were more likely to do sport every day or most days (51%</w:t>
      </w:r>
      <w:r w:rsidR="00FE6977">
        <w:t>) compared with those in the most deprived quintile (</w:t>
      </w:r>
      <w:r>
        <w:t>40%</w:t>
      </w:r>
      <w:r w:rsidR="00FE6977">
        <w:t>)</w:t>
      </w:r>
      <w:r>
        <w:t xml:space="preserve">. </w:t>
      </w:r>
    </w:p>
    <w:p w:rsidR="00C73B66" w:rsidRDefault="00C73B66" w:rsidP="00C73B66">
      <w:pPr>
        <w:pStyle w:val="BodyCopy"/>
        <w:spacing w:line="276" w:lineRule="auto"/>
      </w:pPr>
    </w:p>
    <w:p w:rsidR="00C73B66" w:rsidRDefault="00C73B66" w:rsidP="00C73B66">
      <w:pPr>
        <w:pStyle w:val="BodyCopy"/>
        <w:spacing w:line="276" w:lineRule="auto"/>
      </w:pPr>
      <w:r>
        <w:t>Similar patterns could be seen by household type (those in two parent households being more likely to do sport and less likely to hang around the streets or shops) and by eligibility for free school meals (those eligible being less likely to do sport and more likely to han</w:t>
      </w:r>
      <w:r w:rsidR="00AE3DD5">
        <w:t>g around the streets or shops).</w:t>
      </w:r>
    </w:p>
    <w:p w:rsidR="00C73B66" w:rsidRDefault="00C73B66" w:rsidP="00C73B66">
      <w:pPr>
        <w:pStyle w:val="Heading2"/>
        <w:spacing w:line="276" w:lineRule="auto"/>
        <w:ind w:left="902" w:hanging="902"/>
      </w:pPr>
      <w:bookmarkStart w:id="59" w:name="_Toc494182062"/>
      <w:r>
        <w:t>Summary of key findings from the secondary survey</w:t>
      </w:r>
      <w:bookmarkEnd w:id="59"/>
    </w:p>
    <w:p w:rsidR="00C73B66" w:rsidRDefault="00C73B66" w:rsidP="00C73B66">
      <w:r>
        <w:t xml:space="preserve">Wellbeing decreased from S1 to S4, especially for girls. By S4 only 53% of girls were within the close to average range of the SDQ total difficulties (compared with 65% of boys), driven primarily by emotional difficulties, and were scoring an average of 44.9 on the WEMWBS (compared with 50.3 for boys). </w:t>
      </w:r>
      <w:r w:rsidRPr="003C3D4B">
        <w:t>Total difficulties scores also tended to be higher for children living in more deprived areas, children eligible for free school meals, a</w:t>
      </w:r>
      <w:r>
        <w:t xml:space="preserve">nd children in single-parent, step-families and other household types. </w:t>
      </w:r>
    </w:p>
    <w:p w:rsidR="00C73B66" w:rsidRPr="003C3D4B" w:rsidRDefault="00C73B66" w:rsidP="00C73B66">
      <w:r w:rsidRPr="003C3D4B">
        <w:t xml:space="preserve">WEMWBS scores are closely related to teacher relationship, attitude to school, bullying, body image and </w:t>
      </w:r>
      <w:r w:rsidR="00AF1A6B">
        <w:t xml:space="preserve">having </w:t>
      </w:r>
      <w:r w:rsidRPr="003C3D4B">
        <w:t>friends. Experience of bullying behaviours was associated with lower emotional wellbeing regardless of whether the beha</w:t>
      </w:r>
      <w:r w:rsidR="00AF1A6B">
        <w:t>viours were related to physical</w:t>
      </w:r>
      <w:r w:rsidRPr="003C3D4B">
        <w:t xml:space="preserve"> or verbal bullying, online or in person. </w:t>
      </w:r>
    </w:p>
    <w:p w:rsidR="00C73B66" w:rsidRDefault="00C73B66" w:rsidP="00C73B66">
      <w:r>
        <w:t xml:space="preserve">Girls were more likely than boys to say they felt pressured or strained by schoolwork, rising to 69% of girls by S4. Girls were also less likely than boys to respond positively to statements about their school environment and relationships with teachers and other pupils. </w:t>
      </w:r>
    </w:p>
    <w:p w:rsidR="00C73B66" w:rsidRPr="003C3D4B" w:rsidRDefault="00C73B66" w:rsidP="00C73B66">
      <w:r w:rsidRPr="00AF1A6B">
        <w:t xml:space="preserve">Levels of self-report of smoking, drinking and drug use among S2 and S4 pupils in Falkirk were at roughly the same level as in Scotland in general, although </w:t>
      </w:r>
      <w:r w:rsidRPr="00AF1A6B">
        <w:lastRenderedPageBreak/>
        <w:t>drinking in S2 was below the nationally reported level. By S4,</w:t>
      </w:r>
      <w:r w:rsidRPr="003C3D4B">
        <w:t xml:space="preserve"> one in ten pupils reported being a current smoker, while </w:t>
      </w:r>
      <w:r>
        <w:t xml:space="preserve">one quarter </w:t>
      </w:r>
      <w:r w:rsidRPr="003C3D4B">
        <w:t xml:space="preserve">were drinking at least once a </w:t>
      </w:r>
      <w:r>
        <w:t>fortnight</w:t>
      </w:r>
      <w:r w:rsidRPr="003C3D4B">
        <w:t>. Smoking and alcohol were strongly associated with lower emotional wellbeing and all three behaviours (smoking, alcohol and drugs) were associated with perceptions of there being little to do in the young person’s local area. Among S1-S4 pupils overall,</w:t>
      </w:r>
      <w:r>
        <w:t xml:space="preserve"> over</w:t>
      </w:r>
      <w:r w:rsidRPr="003C3D4B">
        <w:t xml:space="preserve"> half felt there was little to do in their area.</w:t>
      </w:r>
    </w:p>
    <w:p w:rsidR="00B954DB" w:rsidRDefault="00C73B66" w:rsidP="00C73B66">
      <w:r>
        <w:t>Girls were less likely to be physically active and by S4 just 14% reported exercising for an hour each day, compared with 19% of boys. Conversely, boys were more likely to drink sugary drinks at least once a day (29</w:t>
      </w:r>
      <w:r w:rsidRPr="003C3D4B">
        <w:t xml:space="preserve">% of S4 boys in comparison to </w:t>
      </w:r>
      <w:r>
        <w:t>24</w:t>
      </w:r>
      <w:r w:rsidRPr="003C3D4B">
        <w:t>% of</w:t>
      </w:r>
      <w:r w:rsidR="00AF1A6B">
        <w:t xml:space="preserve"> S4</w:t>
      </w:r>
      <w:r w:rsidRPr="003C3D4B">
        <w:t xml:space="preserve"> girls</w:t>
      </w:r>
      <w:r>
        <w:t xml:space="preserve">). Living in a deprived area or being eligible for </w:t>
      </w:r>
      <w:r w:rsidR="00AF1A6B">
        <w:t>free school meals</w:t>
      </w:r>
      <w:r>
        <w:t xml:space="preserve"> was also associated with higher intake of sugary drinks.</w:t>
      </w:r>
      <w:r w:rsidR="00AF1A6B">
        <w:t xml:space="preserve"> </w:t>
      </w:r>
      <w:r w:rsidRPr="003C3D4B">
        <w:t>Likewise, living in a deprived area was associated with decreased consumption of fruit and poorer health in general.</w:t>
      </w:r>
    </w:p>
    <w:p w:rsidR="00C73B66" w:rsidRDefault="00B954DB" w:rsidP="00C73B66">
      <w:r w:rsidRPr="008902B7">
        <w:t xml:space="preserve">Pressure to act in certain ways, in particular to look a certain way, to break rules, have sex, cause trouble, or to take drugs was also felt particularly by certain groups. Boys were more likely than girls to </w:t>
      </w:r>
      <w:r w:rsidR="0081070C">
        <w:t>experience peer pressure</w:t>
      </w:r>
      <w:r w:rsidR="0081070C" w:rsidRPr="008902B7">
        <w:t xml:space="preserve"> </w:t>
      </w:r>
      <w:r w:rsidRPr="008902B7">
        <w:t>(apart from in relation to looking a certain way) and those living in two parent households were less likely to report that they felt pressure to do all but look a certain way. Older pupils were more likely to feel pressure to take drugs and those living in the most deprived areas felt more pressured to break rules, cause trouble</w:t>
      </w:r>
      <w:r w:rsidR="00AF1A6B">
        <w:t xml:space="preserve">, have sex </w:t>
      </w:r>
      <w:r w:rsidRPr="008902B7">
        <w:t>and</w:t>
      </w:r>
      <w:r>
        <w:t xml:space="preserve">, </w:t>
      </w:r>
      <w:r w:rsidRPr="008902B7">
        <w:t xml:space="preserve">to take drugs. Pupils </w:t>
      </w:r>
      <w:r w:rsidR="0081070C">
        <w:t xml:space="preserve">who </w:t>
      </w:r>
      <w:r w:rsidR="0081070C" w:rsidRPr="008902B7">
        <w:t xml:space="preserve">smoked, drank and took drugs </w:t>
      </w:r>
      <w:r w:rsidRPr="008902B7">
        <w:t xml:space="preserve">were also more likely to say they felt </w:t>
      </w:r>
      <w:r w:rsidR="0081070C">
        <w:t xml:space="preserve">peer </w:t>
      </w:r>
      <w:r w:rsidRPr="008902B7">
        <w:t>pressure to have sex.</w:t>
      </w:r>
      <w:r>
        <w:t xml:space="preserve"> </w:t>
      </w:r>
      <w:r w:rsidR="00C73B66" w:rsidRPr="003C3D4B">
        <w:t xml:space="preserve"> </w:t>
      </w:r>
      <w:r w:rsidR="00C73B66">
        <w:t xml:space="preserve"> </w:t>
      </w:r>
    </w:p>
    <w:p w:rsidR="00C73B66" w:rsidRDefault="00C73B66" w:rsidP="00C73B66">
      <w:r w:rsidRPr="008F0BEC">
        <w:t>Around half</w:t>
      </w:r>
      <w:r>
        <w:t xml:space="preserve"> of S1 to S4 pupils ate a meal with at least one parent or carer every night and around one in ten pupils said they hardly ever or never did this. Sitting down to family meals every day differed by family make up with 58% of children living with both parents eating a family meal compared with 45% of pupils in single parent families and 49% of pupils in step</w:t>
      </w:r>
      <w:r w:rsidR="00AF1A6B">
        <w:t>-</w:t>
      </w:r>
      <w:r>
        <w:t>families.</w:t>
      </w:r>
    </w:p>
    <w:p w:rsidR="00C73B66" w:rsidRPr="003C3D4B" w:rsidRDefault="00C73B66" w:rsidP="00C73B66">
      <w:r w:rsidRPr="008F0BEC">
        <w:t xml:space="preserve">One in </w:t>
      </w:r>
      <w:r>
        <w:t xml:space="preserve">ten secondary pupils (10%) reported not feeling safe in the area they lived </w:t>
      </w:r>
      <w:r w:rsidR="00AF1A6B">
        <w:t xml:space="preserve">in </w:t>
      </w:r>
      <w:r>
        <w:t>and 18% felt that they could not trust people who lived locally. The proportion feeling able to trust people in their neighbourh</w:t>
      </w:r>
      <w:r w:rsidR="00CC3288">
        <w:t>ood dropped steadily from S1 (72</w:t>
      </w:r>
      <w:r>
        <w:t xml:space="preserve">%) to S4 (55%). </w:t>
      </w:r>
    </w:p>
    <w:p w:rsidR="00C73B66" w:rsidRPr="003C3D4B" w:rsidRDefault="00C73B66" w:rsidP="00C73B66">
      <w:r w:rsidRPr="003C3D4B">
        <w:t xml:space="preserve">There were </w:t>
      </w:r>
      <w:r w:rsidR="00AF1A6B">
        <w:t>significant</w:t>
      </w:r>
      <w:r w:rsidRPr="003C3D4B">
        <w:t xml:space="preserve"> gender differences in terms of activities children did in their spare time. Although bo</w:t>
      </w:r>
      <w:r w:rsidR="00AF1A6B">
        <w:t>th boys and girls tended to use</w:t>
      </w:r>
      <w:r w:rsidRPr="003C3D4B">
        <w:t xml:space="preserve"> computers or other electronic devices most days, boys were much more likely to play computer games, while girls were much more likely to use social networking sites.</w:t>
      </w:r>
    </w:p>
    <w:p w:rsidR="00C73B66" w:rsidRDefault="00C73B66" w:rsidP="00C73B66"/>
    <w:p w:rsidR="00C73B66" w:rsidRDefault="00C73B66">
      <w:pPr>
        <w:spacing w:after="0" w:line="240" w:lineRule="auto"/>
        <w:rPr>
          <w:rFonts w:ascii="Arial" w:eastAsia="Times New Roman" w:hAnsi="Arial" w:cs="Times New Roman"/>
          <w:b/>
          <w:sz w:val="44"/>
          <w:szCs w:val="20"/>
          <w:lang w:eastAsia="en-GB"/>
        </w:rPr>
      </w:pPr>
      <w:bookmarkStart w:id="60" w:name="_Toc479456946"/>
      <w:r>
        <w:br w:type="page"/>
      </w:r>
    </w:p>
    <w:p w:rsidR="00D1003A" w:rsidRPr="007524C3" w:rsidRDefault="00D1003A" w:rsidP="00D1003A">
      <w:pPr>
        <w:pStyle w:val="Heading1"/>
        <w:pageBreakBefore w:val="0"/>
        <w:spacing w:line="276" w:lineRule="auto"/>
      </w:pPr>
      <w:bookmarkStart w:id="61" w:name="_Toc494182063"/>
      <w:r w:rsidRPr="007524C3">
        <w:lastRenderedPageBreak/>
        <w:t>Findings from the primary school survey</w:t>
      </w:r>
      <w:bookmarkEnd w:id="60"/>
      <w:bookmarkEnd w:id="61"/>
    </w:p>
    <w:p w:rsidR="00D347FA" w:rsidRPr="006054F9" w:rsidRDefault="00D347FA" w:rsidP="00D347FA">
      <w:pPr>
        <w:pStyle w:val="Heading2"/>
        <w:spacing w:line="276" w:lineRule="auto"/>
        <w:ind w:left="902" w:hanging="902"/>
      </w:pPr>
      <w:bookmarkStart w:id="62" w:name="_Toc478636810"/>
      <w:bookmarkStart w:id="63" w:name="_Toc479456947"/>
      <w:bookmarkStart w:id="64" w:name="_Toc494182064"/>
      <w:bookmarkStart w:id="65" w:name="_Toc479456977"/>
      <w:r>
        <w:t>How the survey was carried out</w:t>
      </w:r>
      <w:bookmarkEnd w:id="62"/>
      <w:bookmarkEnd w:id="63"/>
      <w:bookmarkEnd w:id="64"/>
    </w:p>
    <w:p w:rsidR="00D347FA" w:rsidRDefault="007C7AB4" w:rsidP="00D347FA">
      <w:pPr>
        <w:pStyle w:val="BodyCopy"/>
        <w:spacing w:before="120" w:after="200" w:line="276" w:lineRule="auto"/>
        <w:rPr>
          <w:rFonts w:cs="Arial"/>
        </w:rPr>
      </w:pPr>
      <w:r w:rsidRPr="0018751B">
        <w:rPr>
          <w:rFonts w:cs="Arial"/>
        </w:rPr>
        <w:t xml:space="preserve">Conducted in </w:t>
      </w:r>
      <w:r>
        <w:rPr>
          <w:rFonts w:cs="Arial"/>
        </w:rPr>
        <w:t>48</w:t>
      </w:r>
      <w:r w:rsidRPr="0018751B">
        <w:rPr>
          <w:rFonts w:cs="Arial"/>
        </w:rPr>
        <w:t xml:space="preserve"> of </w:t>
      </w:r>
      <w:r>
        <w:rPr>
          <w:rFonts w:cs="Arial"/>
        </w:rPr>
        <w:t>Falkirk</w:t>
      </w:r>
      <w:r w:rsidRPr="0018751B">
        <w:rPr>
          <w:rFonts w:cs="Arial"/>
        </w:rPr>
        <w:t xml:space="preserve">’s </w:t>
      </w:r>
      <w:r>
        <w:rPr>
          <w:rFonts w:cs="Arial"/>
        </w:rPr>
        <w:t xml:space="preserve">50 </w:t>
      </w:r>
      <w:r w:rsidRPr="0018751B">
        <w:rPr>
          <w:rFonts w:cs="Arial"/>
        </w:rPr>
        <w:t xml:space="preserve">primary schools between January and March 2017, this survey comprised a set of age-appropriate questions for children in years Primary 5 to 7 measuring health and wellbeing across the domains of the </w:t>
      </w:r>
      <w:r>
        <w:rPr>
          <w:rFonts w:cs="Arial"/>
        </w:rPr>
        <w:t>p</w:t>
      </w:r>
      <w:r w:rsidRPr="0018751B">
        <w:rPr>
          <w:rFonts w:cs="Arial"/>
        </w:rPr>
        <w:t xml:space="preserve">ersonal (physical and emotional health), </w:t>
      </w:r>
      <w:r>
        <w:rPr>
          <w:rFonts w:cs="Arial"/>
        </w:rPr>
        <w:t>s</w:t>
      </w:r>
      <w:r w:rsidRPr="0018751B">
        <w:rPr>
          <w:rFonts w:cs="Arial"/>
        </w:rPr>
        <w:t xml:space="preserve">ocial (family/peer interactions and school) and </w:t>
      </w:r>
      <w:r>
        <w:rPr>
          <w:rFonts w:cs="Arial"/>
        </w:rPr>
        <w:t>p</w:t>
      </w:r>
      <w:r w:rsidRPr="0018751B">
        <w:rPr>
          <w:rFonts w:cs="Arial"/>
        </w:rPr>
        <w:t xml:space="preserve">lace (child’s local area). The questionnaire was a repeat of a survey conducted in three other CPPs one year previously. The majority of the questions were </w:t>
      </w:r>
      <w:r>
        <w:rPr>
          <w:rFonts w:cs="Arial"/>
        </w:rPr>
        <w:t>established measures</w:t>
      </w:r>
      <w:r w:rsidRPr="0018751B">
        <w:rPr>
          <w:rFonts w:cs="Arial"/>
        </w:rPr>
        <w:t xml:space="preserve"> that have been found to be related to wellbeing and developmental outcomes, </w:t>
      </w:r>
      <w:r>
        <w:rPr>
          <w:rFonts w:cs="Arial"/>
        </w:rPr>
        <w:t>though</w:t>
      </w:r>
      <w:r w:rsidRPr="0018751B">
        <w:rPr>
          <w:rFonts w:cs="Arial"/>
        </w:rPr>
        <w:t xml:space="preserve"> some </w:t>
      </w:r>
      <w:r>
        <w:rPr>
          <w:rFonts w:cs="Arial"/>
        </w:rPr>
        <w:t xml:space="preserve">were </w:t>
      </w:r>
      <w:r w:rsidRPr="0018751B">
        <w:rPr>
          <w:rFonts w:cs="Arial"/>
        </w:rPr>
        <w:t xml:space="preserve">newly developed or adapted questions from national surveys such as Growing Up in Scotland. </w:t>
      </w:r>
      <w:r>
        <w:rPr>
          <w:rFonts w:cs="Arial"/>
        </w:rPr>
        <w:t>As with the secondary survey</w:t>
      </w:r>
      <w:r w:rsidRPr="0018751B">
        <w:rPr>
          <w:rFonts w:cs="Arial"/>
        </w:rPr>
        <w:t xml:space="preserve">, pupils were able to read from and enter answers directly into the computer, but this survey also had an audio element which automatically read out the questions and answer options on each screen. The primary school questionnaire took approximately 20 minutes, on average, for pupils to complete. In total, </w:t>
      </w:r>
      <w:r>
        <w:rPr>
          <w:rFonts w:cs="Arial"/>
        </w:rPr>
        <w:t>4,147</w:t>
      </w:r>
      <w:r w:rsidRPr="0018751B">
        <w:rPr>
          <w:rFonts w:cs="Arial"/>
        </w:rPr>
        <w:t xml:space="preserve"> pupils took part in the primary school survey and agreed for their data to be used, representing </w:t>
      </w:r>
      <w:r>
        <w:rPr>
          <w:rFonts w:cs="Arial"/>
        </w:rPr>
        <w:t>78</w:t>
      </w:r>
      <w:r w:rsidRPr="0018751B">
        <w:rPr>
          <w:rFonts w:cs="Arial"/>
        </w:rPr>
        <w:t>% of the eligible population. Further</w:t>
      </w:r>
      <w:r>
        <w:rPr>
          <w:rFonts w:cs="Arial"/>
        </w:rPr>
        <w:t xml:space="preserve"> details about the survey process can be found </w:t>
      </w:r>
      <w:r>
        <w:rPr>
          <w:rFonts w:cs="Arial"/>
          <w:szCs w:val="22"/>
        </w:rPr>
        <w:t>in the Technical Report</w:t>
      </w:r>
      <w:r>
        <w:rPr>
          <w:rFonts w:cs="Arial"/>
        </w:rPr>
        <w:t>.</w:t>
      </w:r>
    </w:p>
    <w:p w:rsidR="00D347FA" w:rsidRDefault="00D347FA" w:rsidP="00D347FA">
      <w:pPr>
        <w:pStyle w:val="Heading2"/>
        <w:spacing w:line="276" w:lineRule="auto"/>
        <w:ind w:left="902" w:hanging="902"/>
      </w:pPr>
      <w:bookmarkStart w:id="66" w:name="_Toc478636811"/>
      <w:bookmarkStart w:id="67" w:name="_Toc479456948"/>
      <w:bookmarkStart w:id="68" w:name="_Toc494182065"/>
      <w:r>
        <w:t>Personal</w:t>
      </w:r>
      <w:bookmarkEnd w:id="66"/>
      <w:r>
        <w:t xml:space="preserve"> wellbeing</w:t>
      </w:r>
      <w:bookmarkEnd w:id="67"/>
      <w:bookmarkEnd w:id="68"/>
    </w:p>
    <w:p w:rsidR="00D347FA" w:rsidRDefault="00D347FA" w:rsidP="00D347FA">
      <w:pPr>
        <w:pStyle w:val="BodyCopy"/>
        <w:spacing w:line="276" w:lineRule="auto"/>
      </w:pPr>
      <w:r>
        <w:t>We begin by reviewing aspects of wellbeing related to the personal (or individual) domain. These include measures of physical and mental health, subjective wellbeing and healthy living.</w:t>
      </w:r>
    </w:p>
    <w:p w:rsidR="00D347FA" w:rsidRPr="00E44CE0" w:rsidRDefault="00D347FA" w:rsidP="00D347FA">
      <w:pPr>
        <w:pStyle w:val="Heading3"/>
        <w:spacing w:line="276" w:lineRule="auto"/>
      </w:pPr>
      <w:bookmarkStart w:id="69" w:name="_Toc479168236"/>
      <w:bookmarkStart w:id="70" w:name="_Toc479339312"/>
      <w:bookmarkStart w:id="71" w:name="_Toc479168253"/>
      <w:bookmarkStart w:id="72" w:name="_Toc479339329"/>
      <w:bookmarkStart w:id="73" w:name="_Toc479168254"/>
      <w:bookmarkStart w:id="74" w:name="_Toc479339330"/>
      <w:bookmarkStart w:id="75" w:name="_Toc479168255"/>
      <w:bookmarkStart w:id="76" w:name="_Toc479339331"/>
      <w:bookmarkStart w:id="77" w:name="_Toc479168261"/>
      <w:bookmarkStart w:id="78" w:name="_Toc479339337"/>
      <w:bookmarkStart w:id="79" w:name="_Toc478636813"/>
      <w:bookmarkStart w:id="80" w:name="_Toc479456949"/>
      <w:bookmarkStart w:id="81" w:name="_Toc494182066"/>
      <w:bookmarkEnd w:id="69"/>
      <w:bookmarkEnd w:id="70"/>
      <w:bookmarkEnd w:id="71"/>
      <w:bookmarkEnd w:id="72"/>
      <w:bookmarkEnd w:id="73"/>
      <w:bookmarkEnd w:id="74"/>
      <w:bookmarkEnd w:id="75"/>
      <w:bookmarkEnd w:id="76"/>
      <w:bookmarkEnd w:id="77"/>
      <w:bookmarkEnd w:id="78"/>
      <w:r w:rsidRPr="000E5E09">
        <w:rPr>
          <w:color w:val="auto"/>
        </w:rPr>
        <w:t>Gen</w:t>
      </w:r>
      <w:r w:rsidRPr="00E44CE0">
        <w:t>eral health</w:t>
      </w:r>
      <w:bookmarkEnd w:id="79"/>
      <w:r>
        <w:t xml:space="preserve"> (Healthy)</w:t>
      </w:r>
      <w:bookmarkEnd w:id="80"/>
      <w:bookmarkEnd w:id="81"/>
    </w:p>
    <w:p w:rsidR="00D347FA" w:rsidRDefault="00D347FA" w:rsidP="00D347FA">
      <w:pPr>
        <w:pStyle w:val="BodyCopy"/>
        <w:spacing w:before="240" w:line="276" w:lineRule="auto"/>
      </w:pPr>
      <w:r>
        <w:t xml:space="preserve">Most children in P5 to P7 in Falkirk rated their own health as either very good (40%) or good (40%) and only </w:t>
      </w:r>
      <w:r w:rsidR="00393C62">
        <w:t>3</w:t>
      </w:r>
      <w:r>
        <w:t xml:space="preserve">% rated it as bad or very bad. </w:t>
      </w:r>
    </w:p>
    <w:p w:rsidR="00D347FA" w:rsidRDefault="00D347FA" w:rsidP="00D347FA">
      <w:pPr>
        <w:pStyle w:val="BodyCopy"/>
        <w:spacing w:before="240" w:line="276" w:lineRule="auto"/>
      </w:pPr>
      <w:r>
        <w:t xml:space="preserve">Girls were more likely </w:t>
      </w:r>
      <w:r w:rsidR="00C8547D">
        <w:t xml:space="preserve">than boys </w:t>
      </w:r>
      <w:r>
        <w:t xml:space="preserve">to report their health </w:t>
      </w:r>
      <w:r w:rsidR="00A4261E">
        <w:t>as</w:t>
      </w:r>
      <w:r>
        <w:t xml:space="preserve"> good or very good (</w:t>
      </w:r>
      <w:r w:rsidR="00393C62">
        <w:t>83</w:t>
      </w:r>
      <w:r>
        <w:t>% compared with 78%</w:t>
      </w:r>
      <w:r w:rsidR="00A4261E">
        <w:t xml:space="preserve"> respectively</w:t>
      </w:r>
      <w:r>
        <w:t xml:space="preserve">). </w:t>
      </w:r>
      <w:r w:rsidRPr="00A35985">
        <w:t>Those in the least deprived quintile were</w:t>
      </w:r>
      <w:r>
        <w:t xml:space="preserve"> also</w:t>
      </w:r>
      <w:r w:rsidRPr="00A35985">
        <w:t xml:space="preserve"> significantly more likely to report their health as good or very good than those in the mo</w:t>
      </w:r>
      <w:r>
        <w:t>st deprived quintile (</w:t>
      </w:r>
      <w:r w:rsidR="00393C62">
        <w:t>86</w:t>
      </w:r>
      <w:r>
        <w:t xml:space="preserve">% and 73% </w:t>
      </w:r>
      <w:r w:rsidRPr="00A35985">
        <w:t>respectively).</w:t>
      </w:r>
    </w:p>
    <w:p w:rsidR="00D347FA" w:rsidRDefault="00D23195" w:rsidP="00D347FA">
      <w:pPr>
        <w:pStyle w:val="BodyCopy"/>
        <w:spacing w:before="240" w:line="276" w:lineRule="auto"/>
      </w:pPr>
      <w:r>
        <w:t>Those with an</w:t>
      </w:r>
      <w:r w:rsidR="00D347FA">
        <w:t xml:space="preserve"> additional support need</w:t>
      </w:r>
      <w:r>
        <w:t xml:space="preserve"> were less likely to report their health as good (</w:t>
      </w:r>
      <w:r w:rsidR="002B7A21">
        <w:t>75</w:t>
      </w:r>
      <w:r w:rsidR="00D347FA" w:rsidRPr="00A35985">
        <w:t xml:space="preserve">% of those with an additional support need reported their health as good or very good compared with </w:t>
      </w:r>
      <w:r w:rsidR="00D347FA">
        <w:t>82</w:t>
      </w:r>
      <w:r w:rsidR="00D347FA" w:rsidRPr="00A35985">
        <w:t xml:space="preserve">% of those without an </w:t>
      </w:r>
      <w:r w:rsidR="00C8547D">
        <w:t xml:space="preserve">additional support </w:t>
      </w:r>
      <w:r w:rsidR="00D347FA" w:rsidRPr="00A35985">
        <w:t>need</w:t>
      </w:r>
      <w:r>
        <w:t>)</w:t>
      </w:r>
      <w:r w:rsidR="00D347FA" w:rsidRPr="00A35985">
        <w:t xml:space="preserve">. </w:t>
      </w:r>
      <w:r w:rsidR="00D347FA">
        <w:t>Similarly, those in receipt of children’s services were less likely to report good or very good health, compared with children who were not (</w:t>
      </w:r>
      <w:r w:rsidR="002B7A21">
        <w:t>74</w:t>
      </w:r>
      <w:r w:rsidR="00D347FA">
        <w:t xml:space="preserve">% and </w:t>
      </w:r>
      <w:r w:rsidR="002B7A21">
        <w:t>81</w:t>
      </w:r>
      <w:r w:rsidR="00D347FA">
        <w:t xml:space="preserve">% respectively). </w:t>
      </w:r>
    </w:p>
    <w:p w:rsidR="00D347FA" w:rsidRDefault="00D347FA" w:rsidP="00D347FA">
      <w:pPr>
        <w:pStyle w:val="BodyCopy"/>
        <w:spacing w:before="240" w:line="276" w:lineRule="auto"/>
      </w:pPr>
      <w:r w:rsidRPr="00A35985">
        <w:lastRenderedPageBreak/>
        <w:t xml:space="preserve">Those </w:t>
      </w:r>
      <w:r>
        <w:t>eligible for free school</w:t>
      </w:r>
      <w:r w:rsidRPr="00A35985">
        <w:t xml:space="preserve"> meals were also less likely to rep</w:t>
      </w:r>
      <w:r>
        <w:t>ort good or very good health (73% compared with 82</w:t>
      </w:r>
      <w:r w:rsidRPr="00A35985">
        <w:t xml:space="preserve">% of those not eligible). </w:t>
      </w:r>
    </w:p>
    <w:p w:rsidR="00D347FA" w:rsidRDefault="00D347FA" w:rsidP="00D347FA">
      <w:pPr>
        <w:pStyle w:val="BodyCopy"/>
        <w:spacing w:before="240" w:line="276" w:lineRule="auto"/>
      </w:pPr>
      <w:r w:rsidRPr="00A35985">
        <w:t>There were also significant differences in children</w:t>
      </w:r>
      <w:r>
        <w:t>’s</w:t>
      </w:r>
      <w:r w:rsidRPr="00A35985">
        <w:t xml:space="preserve"> self-reported health depending on the type of household they live in. A greater proportion of children living in two</w:t>
      </w:r>
      <w:r>
        <w:t xml:space="preserve"> </w:t>
      </w:r>
      <w:r w:rsidRPr="00A35985">
        <w:t>parent households (</w:t>
      </w:r>
      <w:r w:rsidR="002B7A21">
        <w:t>83</w:t>
      </w:r>
      <w:r w:rsidRPr="00A35985">
        <w:t>%) reported good or very good health than those</w:t>
      </w:r>
      <w:r>
        <w:t xml:space="preserve"> in single parent households (</w:t>
      </w:r>
      <w:r w:rsidR="002B7A21">
        <w:t>73</w:t>
      </w:r>
      <w:r>
        <w:t>%) or step-families (78</w:t>
      </w:r>
      <w:r w:rsidRPr="00A35985">
        <w:t>%).</w:t>
      </w:r>
    </w:p>
    <w:p w:rsidR="00D347FA" w:rsidRDefault="00D347FA" w:rsidP="00D347FA">
      <w:pPr>
        <w:pStyle w:val="BodyCopy"/>
        <w:spacing w:before="240" w:line="276" w:lineRule="auto"/>
      </w:pPr>
      <w:r>
        <w:t>There were, however, no significant differences in self-</w:t>
      </w:r>
      <w:r w:rsidR="00076EDD">
        <w:t>reported general health by age.</w:t>
      </w:r>
    </w:p>
    <w:p w:rsidR="00076EDD" w:rsidRDefault="00076EDD" w:rsidP="00076EDD">
      <w:pPr>
        <w:pStyle w:val="BodyCopy"/>
      </w:pPr>
    </w:p>
    <w:tbl>
      <w:tblPr>
        <w:tblW w:w="8490" w:type="dxa"/>
        <w:tblInd w:w="93" w:type="dxa"/>
        <w:tblLayout w:type="fixed"/>
        <w:tblLook w:val="04A0" w:firstRow="1" w:lastRow="0" w:firstColumn="1" w:lastColumn="0" w:noHBand="0" w:noVBand="1"/>
      </w:tblPr>
      <w:tblGrid>
        <w:gridCol w:w="2849"/>
        <w:gridCol w:w="852"/>
        <w:gridCol w:w="16"/>
        <w:gridCol w:w="693"/>
        <w:gridCol w:w="63"/>
        <w:gridCol w:w="587"/>
        <w:gridCol w:w="14"/>
        <w:gridCol w:w="658"/>
        <w:gridCol w:w="6"/>
        <w:gridCol w:w="708"/>
        <w:gridCol w:w="25"/>
        <w:gridCol w:w="916"/>
        <w:gridCol w:w="9"/>
        <w:gridCol w:w="1094"/>
      </w:tblGrid>
      <w:tr w:rsidR="00D347FA" w:rsidRPr="00F54FC0" w:rsidTr="00F54FC0">
        <w:trPr>
          <w:trHeight w:val="340"/>
        </w:trPr>
        <w:tc>
          <w:tcPr>
            <w:tcW w:w="8490" w:type="dxa"/>
            <w:gridSpan w:val="14"/>
            <w:tcBorders>
              <w:top w:val="single" w:sz="12" w:space="0" w:color="auto"/>
              <w:left w:val="nil"/>
              <w:bottom w:val="nil"/>
              <w:right w:val="nil"/>
            </w:tcBorders>
            <w:shd w:val="clear" w:color="auto" w:fill="auto"/>
            <w:hideMark/>
          </w:tcPr>
          <w:p w:rsidR="00D347FA" w:rsidRPr="00F54FC0" w:rsidRDefault="00D347FA" w:rsidP="00F54FC0">
            <w:pPr>
              <w:keepNext/>
              <w:spacing w:after="0" w:line="240" w:lineRule="auto"/>
              <w:rPr>
                <w:rFonts w:eastAsia="Times New Roman" w:cstheme="minorHAnsi"/>
                <w:b/>
                <w:bCs/>
                <w:color w:val="000000"/>
                <w:sz w:val="20"/>
                <w:szCs w:val="20"/>
                <w:lang w:eastAsia="en-GB"/>
              </w:rPr>
            </w:pPr>
            <w:r w:rsidRPr="00F54FC0">
              <w:rPr>
                <w:rFonts w:eastAsia="Times New Roman" w:cstheme="minorHAnsi"/>
                <w:b/>
                <w:bCs/>
                <w:color w:val="000000"/>
                <w:sz w:val="20"/>
                <w:szCs w:val="20"/>
                <w:lang w:eastAsia="en-GB"/>
              </w:rPr>
              <w:t>Table 3.2.1</w:t>
            </w:r>
            <w:r w:rsidR="0089029F" w:rsidRPr="00F54FC0">
              <w:rPr>
                <w:rFonts w:eastAsia="Times New Roman" w:cstheme="minorHAnsi"/>
                <w:b/>
                <w:bCs/>
                <w:color w:val="000000"/>
                <w:sz w:val="20"/>
                <w:szCs w:val="20"/>
                <w:lang w:eastAsia="en-GB"/>
              </w:rPr>
              <w:t>a</w:t>
            </w:r>
            <w:r w:rsidRPr="00F54FC0">
              <w:rPr>
                <w:rFonts w:eastAsia="Times New Roman" w:cstheme="minorHAnsi"/>
                <w:b/>
                <w:bCs/>
                <w:color w:val="000000"/>
                <w:sz w:val="20"/>
                <w:szCs w:val="20"/>
                <w:lang w:eastAsia="en-GB"/>
              </w:rPr>
              <w:t xml:space="preserve"> General health</w:t>
            </w:r>
          </w:p>
        </w:tc>
      </w:tr>
      <w:tr w:rsidR="00D347FA" w:rsidRPr="00F54FC0" w:rsidTr="00F54FC0">
        <w:trPr>
          <w:trHeight w:val="567"/>
        </w:trPr>
        <w:tc>
          <w:tcPr>
            <w:tcW w:w="2849" w:type="dxa"/>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How is your health in general - Would you say it is…?</w:t>
            </w:r>
          </w:p>
        </w:tc>
        <w:tc>
          <w:tcPr>
            <w:tcW w:w="852" w:type="dxa"/>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color w:val="000000"/>
                <w:sz w:val="20"/>
                <w:szCs w:val="20"/>
                <w:lang w:eastAsia="en-GB"/>
              </w:rPr>
            </w:pPr>
            <w:r w:rsidRPr="00F54FC0">
              <w:rPr>
                <w:rFonts w:eastAsia="Times New Roman" w:cstheme="minorHAnsi"/>
                <w:color w:val="000000"/>
                <w:sz w:val="20"/>
                <w:szCs w:val="20"/>
                <w:lang w:eastAsia="en-GB"/>
              </w:rPr>
              <w:t>Very good</w:t>
            </w:r>
          </w:p>
        </w:tc>
        <w:tc>
          <w:tcPr>
            <w:tcW w:w="772" w:type="dxa"/>
            <w:gridSpan w:val="3"/>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color w:val="000000"/>
                <w:sz w:val="20"/>
                <w:szCs w:val="20"/>
                <w:lang w:eastAsia="en-GB"/>
              </w:rPr>
            </w:pPr>
            <w:r w:rsidRPr="00F54FC0">
              <w:rPr>
                <w:rFonts w:eastAsia="Times New Roman" w:cstheme="minorHAnsi"/>
                <w:color w:val="000000"/>
                <w:sz w:val="20"/>
                <w:szCs w:val="20"/>
                <w:lang w:eastAsia="en-GB"/>
              </w:rPr>
              <w:t>Good</w:t>
            </w:r>
          </w:p>
        </w:tc>
        <w:tc>
          <w:tcPr>
            <w:tcW w:w="587" w:type="dxa"/>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color w:val="000000"/>
                <w:sz w:val="20"/>
                <w:szCs w:val="20"/>
                <w:lang w:eastAsia="en-GB"/>
              </w:rPr>
            </w:pPr>
            <w:r w:rsidRPr="00F54FC0">
              <w:rPr>
                <w:rFonts w:eastAsia="Times New Roman" w:cstheme="minorHAnsi"/>
                <w:color w:val="000000"/>
                <w:sz w:val="20"/>
                <w:szCs w:val="20"/>
                <w:lang w:eastAsia="en-GB"/>
              </w:rPr>
              <w:t>Fair</w:t>
            </w:r>
          </w:p>
        </w:tc>
        <w:tc>
          <w:tcPr>
            <w:tcW w:w="678" w:type="dxa"/>
            <w:gridSpan w:val="3"/>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color w:val="000000"/>
                <w:sz w:val="20"/>
                <w:szCs w:val="20"/>
                <w:lang w:eastAsia="en-GB"/>
              </w:rPr>
            </w:pPr>
            <w:r w:rsidRPr="00F54FC0">
              <w:rPr>
                <w:rFonts w:eastAsia="Times New Roman" w:cstheme="minorHAnsi"/>
                <w:color w:val="000000"/>
                <w:sz w:val="20"/>
                <w:szCs w:val="20"/>
                <w:lang w:eastAsia="en-GB"/>
              </w:rPr>
              <w:t>Bad</w:t>
            </w:r>
          </w:p>
        </w:tc>
        <w:tc>
          <w:tcPr>
            <w:tcW w:w="733" w:type="dxa"/>
            <w:gridSpan w:val="2"/>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color w:val="000000"/>
                <w:sz w:val="20"/>
                <w:szCs w:val="20"/>
                <w:lang w:eastAsia="en-GB"/>
              </w:rPr>
            </w:pPr>
            <w:r w:rsidRPr="00F54FC0">
              <w:rPr>
                <w:rFonts w:eastAsia="Times New Roman" w:cstheme="minorHAnsi"/>
                <w:color w:val="000000"/>
                <w:sz w:val="20"/>
                <w:szCs w:val="20"/>
                <w:lang w:eastAsia="en-GB"/>
              </w:rPr>
              <w:t>Very bad</w:t>
            </w:r>
          </w:p>
        </w:tc>
        <w:tc>
          <w:tcPr>
            <w:tcW w:w="925" w:type="dxa"/>
            <w:gridSpan w:val="2"/>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i/>
                <w:iCs/>
                <w:color w:val="000000"/>
                <w:sz w:val="16"/>
                <w:szCs w:val="16"/>
                <w:lang w:eastAsia="en-GB"/>
              </w:rPr>
            </w:pPr>
            <w:r w:rsidRPr="00F54FC0">
              <w:rPr>
                <w:rFonts w:eastAsia="Times New Roman" w:cstheme="minorHAnsi"/>
                <w:i/>
                <w:iCs/>
                <w:color w:val="000000"/>
                <w:sz w:val="16"/>
                <w:szCs w:val="16"/>
                <w:lang w:eastAsia="en-GB"/>
              </w:rPr>
              <w:t>Weighted base</w:t>
            </w:r>
            <w:r w:rsidR="00A4261E" w:rsidRPr="00F54FC0">
              <w:rPr>
                <w:rFonts w:eastAsia="Times New Roman" w:cstheme="minorHAnsi"/>
                <w:i/>
                <w:iCs/>
                <w:color w:val="000000"/>
                <w:sz w:val="16"/>
                <w:szCs w:val="16"/>
                <w:lang w:eastAsia="en-GB"/>
              </w:rPr>
              <w:t>s</w:t>
            </w:r>
          </w:p>
        </w:tc>
        <w:tc>
          <w:tcPr>
            <w:tcW w:w="1094" w:type="dxa"/>
            <w:tcBorders>
              <w:top w:val="nil"/>
              <w:left w:val="nil"/>
              <w:bottom w:val="single" w:sz="12" w:space="0" w:color="auto"/>
              <w:right w:val="nil"/>
            </w:tcBorders>
            <w:shd w:val="clear" w:color="auto" w:fill="auto"/>
            <w:vAlign w:val="center"/>
            <w:hideMark/>
          </w:tcPr>
          <w:p w:rsidR="00D347FA" w:rsidRPr="00F54FC0" w:rsidRDefault="00D347FA" w:rsidP="00F54FC0">
            <w:pPr>
              <w:keepNext/>
              <w:spacing w:after="0" w:line="240" w:lineRule="auto"/>
              <w:jc w:val="center"/>
              <w:rPr>
                <w:rFonts w:eastAsia="Times New Roman" w:cstheme="minorHAnsi"/>
                <w:i/>
                <w:iCs/>
                <w:color w:val="000000"/>
                <w:sz w:val="16"/>
                <w:szCs w:val="16"/>
                <w:lang w:eastAsia="en-GB"/>
              </w:rPr>
            </w:pPr>
            <w:r w:rsidRPr="00F54FC0">
              <w:rPr>
                <w:rFonts w:eastAsia="Times New Roman" w:cstheme="minorHAnsi"/>
                <w:i/>
                <w:iCs/>
                <w:color w:val="000000"/>
                <w:sz w:val="16"/>
                <w:szCs w:val="16"/>
                <w:lang w:eastAsia="en-GB"/>
              </w:rPr>
              <w:t>Unweighted base</w:t>
            </w:r>
            <w:r w:rsidR="00A4261E" w:rsidRPr="00F54FC0">
              <w:rPr>
                <w:rFonts w:eastAsia="Times New Roman" w:cstheme="minorHAnsi"/>
                <w:i/>
                <w:iCs/>
                <w:color w:val="000000"/>
                <w:sz w:val="16"/>
                <w:szCs w:val="16"/>
                <w:lang w:eastAsia="en-GB"/>
              </w:rPr>
              <w:t>s</w:t>
            </w:r>
          </w:p>
        </w:tc>
      </w:tr>
      <w:tr w:rsidR="00D347FA" w:rsidRPr="00F54FC0" w:rsidTr="00F54FC0">
        <w:trPr>
          <w:trHeight w:val="283"/>
        </w:trPr>
        <w:tc>
          <w:tcPr>
            <w:tcW w:w="8490" w:type="dxa"/>
            <w:gridSpan w:val="14"/>
            <w:tcBorders>
              <w:top w:val="single" w:sz="12" w:space="0" w:color="auto"/>
              <w:left w:val="nil"/>
              <w:bottom w:val="single" w:sz="8" w:space="0" w:color="auto"/>
              <w:right w:val="nil"/>
            </w:tcBorders>
            <w:shd w:val="clear" w:color="auto" w:fill="auto"/>
            <w:vAlign w:val="center"/>
            <w:hideMark/>
          </w:tcPr>
          <w:p w:rsidR="00D347FA" w:rsidRPr="00F54FC0" w:rsidRDefault="00D347FA" w:rsidP="00F54FC0">
            <w:pPr>
              <w:keepNext/>
              <w:spacing w:after="0" w:line="240" w:lineRule="auto"/>
              <w:rPr>
                <w:rFonts w:eastAsia="Times New Roman" w:cstheme="minorHAnsi"/>
                <w:i/>
                <w:iCs/>
                <w:color w:val="000000"/>
                <w:sz w:val="20"/>
                <w:szCs w:val="20"/>
                <w:lang w:eastAsia="en-GB"/>
              </w:rPr>
            </w:pPr>
            <w:r w:rsidRPr="00F54FC0">
              <w:rPr>
                <w:rFonts w:eastAsia="Times New Roman" w:cstheme="minorHAnsi"/>
                <w:i/>
                <w:iCs/>
                <w:color w:val="000000"/>
                <w:sz w:val="20"/>
                <w:szCs w:val="20"/>
                <w:lang w:eastAsia="en-GB"/>
              </w:rPr>
              <w:t>Row percentages</w:t>
            </w:r>
          </w:p>
        </w:tc>
      </w:tr>
      <w:tr w:rsidR="00D347FA" w:rsidRPr="00F54FC0" w:rsidTr="005B7F39">
        <w:trPr>
          <w:trHeight w:val="300"/>
        </w:trPr>
        <w:tc>
          <w:tcPr>
            <w:tcW w:w="2849" w:type="dxa"/>
            <w:tcBorders>
              <w:top w:val="nil"/>
              <w:left w:val="nil"/>
              <w:right w:val="nil"/>
            </w:tcBorders>
            <w:shd w:val="clear" w:color="auto" w:fill="auto"/>
            <w:noWrap/>
            <w:hideMark/>
          </w:tcPr>
          <w:p w:rsidR="00D347FA" w:rsidRPr="00F54FC0" w:rsidRDefault="00D347FA"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All</w:t>
            </w:r>
          </w:p>
        </w:tc>
        <w:tc>
          <w:tcPr>
            <w:tcW w:w="868" w:type="dxa"/>
            <w:gridSpan w:val="2"/>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93" w:type="dxa"/>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color w:val="000000"/>
                <w:sz w:val="20"/>
                <w:szCs w:val="20"/>
              </w:rPr>
            </w:pPr>
            <w:r w:rsidRPr="00F54FC0">
              <w:rPr>
                <w:rFonts w:cstheme="minorHAnsi"/>
                <w:color w:val="000000"/>
                <w:sz w:val="20"/>
                <w:szCs w:val="20"/>
              </w:rPr>
              <w:t>17</w:t>
            </w:r>
          </w:p>
        </w:tc>
        <w:tc>
          <w:tcPr>
            <w:tcW w:w="658" w:type="dxa"/>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i/>
                <w:iCs/>
                <w:color w:val="000000"/>
                <w:sz w:val="20"/>
                <w:szCs w:val="20"/>
              </w:rPr>
            </w:pPr>
            <w:r w:rsidRPr="00F54FC0">
              <w:rPr>
                <w:rFonts w:cstheme="minorHAnsi"/>
                <w:i/>
                <w:iCs/>
                <w:color w:val="000000"/>
                <w:sz w:val="20"/>
                <w:szCs w:val="20"/>
              </w:rPr>
              <w:t>4014</w:t>
            </w:r>
          </w:p>
        </w:tc>
        <w:tc>
          <w:tcPr>
            <w:tcW w:w="1103" w:type="dxa"/>
            <w:gridSpan w:val="2"/>
            <w:tcBorders>
              <w:top w:val="nil"/>
              <w:left w:val="nil"/>
              <w:right w:val="nil"/>
            </w:tcBorders>
            <w:shd w:val="clear" w:color="auto" w:fill="auto"/>
            <w:noWrap/>
            <w:vAlign w:val="center"/>
          </w:tcPr>
          <w:p w:rsidR="00D347FA" w:rsidRPr="00F54FC0" w:rsidRDefault="00D347FA" w:rsidP="005B7F39">
            <w:pPr>
              <w:spacing w:after="0" w:line="240" w:lineRule="auto"/>
              <w:jc w:val="right"/>
              <w:rPr>
                <w:rFonts w:cstheme="minorHAnsi"/>
                <w:i/>
                <w:iCs/>
                <w:color w:val="000000"/>
                <w:sz w:val="20"/>
                <w:szCs w:val="20"/>
              </w:rPr>
            </w:pPr>
            <w:r w:rsidRPr="00F54FC0">
              <w:rPr>
                <w:rFonts w:cstheme="minorHAnsi"/>
                <w:i/>
                <w:iCs/>
                <w:color w:val="000000"/>
                <w:sz w:val="20"/>
                <w:szCs w:val="20"/>
              </w:rPr>
              <w:t>4015</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58" w:type="dxa"/>
            <w:tcBorders>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r>
      <w:tr w:rsidR="00D347FA" w:rsidRPr="00F54FC0" w:rsidTr="005B7F39">
        <w:trPr>
          <w:trHeight w:val="300"/>
        </w:trPr>
        <w:tc>
          <w:tcPr>
            <w:tcW w:w="2849" w:type="dxa"/>
            <w:tcBorders>
              <w:top w:val="nil"/>
              <w:left w:val="nil"/>
              <w:right w:val="nil"/>
            </w:tcBorders>
            <w:shd w:val="clear" w:color="auto" w:fill="auto"/>
            <w:noWrap/>
            <w:hideMark/>
          </w:tcPr>
          <w:p w:rsidR="00D347FA" w:rsidRPr="00F54FC0" w:rsidRDefault="00D347FA"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Boy</w:t>
            </w:r>
          </w:p>
        </w:tc>
        <w:tc>
          <w:tcPr>
            <w:tcW w:w="868"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39</w:t>
            </w:r>
          </w:p>
        </w:tc>
        <w:tc>
          <w:tcPr>
            <w:tcW w:w="693" w:type="dxa"/>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39</w:t>
            </w:r>
          </w:p>
        </w:tc>
        <w:tc>
          <w:tcPr>
            <w:tcW w:w="664" w:type="dxa"/>
            <w:gridSpan w:val="3"/>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19</w:t>
            </w:r>
          </w:p>
        </w:tc>
        <w:tc>
          <w:tcPr>
            <w:tcW w:w="658" w:type="dxa"/>
            <w:tcBorders>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i/>
                <w:iCs/>
                <w:color w:val="000000"/>
                <w:sz w:val="20"/>
                <w:szCs w:val="20"/>
              </w:rPr>
            </w:pPr>
            <w:r w:rsidRPr="00F54FC0">
              <w:rPr>
                <w:rFonts w:cstheme="minorHAnsi"/>
                <w:i/>
                <w:iCs/>
                <w:color w:val="000000"/>
                <w:sz w:val="20"/>
                <w:szCs w:val="20"/>
              </w:rPr>
              <w:t>2016</w:t>
            </w:r>
          </w:p>
        </w:tc>
        <w:tc>
          <w:tcPr>
            <w:tcW w:w="1103"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i/>
                <w:iCs/>
                <w:color w:val="000000"/>
                <w:sz w:val="20"/>
                <w:szCs w:val="20"/>
              </w:rPr>
            </w:pPr>
            <w:r w:rsidRPr="00F54FC0">
              <w:rPr>
                <w:rFonts w:cstheme="minorHAnsi"/>
                <w:i/>
                <w:iCs/>
                <w:color w:val="000000"/>
                <w:sz w:val="20"/>
                <w:szCs w:val="20"/>
              </w:rPr>
              <w:t>1971</w:t>
            </w:r>
          </w:p>
        </w:tc>
      </w:tr>
      <w:tr w:rsidR="00D347FA" w:rsidRPr="00F54FC0" w:rsidTr="005B7F39">
        <w:trPr>
          <w:trHeight w:val="300"/>
        </w:trPr>
        <w:tc>
          <w:tcPr>
            <w:tcW w:w="2849" w:type="dxa"/>
            <w:tcBorders>
              <w:top w:val="nil"/>
              <w:left w:val="nil"/>
              <w:right w:val="nil"/>
            </w:tcBorders>
            <w:shd w:val="clear" w:color="auto" w:fill="auto"/>
            <w:noWrap/>
            <w:hideMark/>
          </w:tcPr>
          <w:p w:rsidR="00D347FA" w:rsidRPr="00F54FC0" w:rsidRDefault="00D347FA"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Girl</w:t>
            </w:r>
          </w:p>
        </w:tc>
        <w:tc>
          <w:tcPr>
            <w:tcW w:w="868"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42</w:t>
            </w:r>
          </w:p>
        </w:tc>
        <w:tc>
          <w:tcPr>
            <w:tcW w:w="693" w:type="dxa"/>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64" w:type="dxa"/>
            <w:gridSpan w:val="3"/>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15</w:t>
            </w:r>
          </w:p>
        </w:tc>
        <w:tc>
          <w:tcPr>
            <w:tcW w:w="658" w:type="dxa"/>
            <w:tcBorders>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color w:val="000000"/>
                <w:sz w:val="20"/>
                <w:szCs w:val="20"/>
              </w:rPr>
            </w:pPr>
            <w:r w:rsidRPr="00F54FC0">
              <w:rPr>
                <w:rFonts w:cstheme="minorHAnsi"/>
                <w:color w:val="000000"/>
                <w:sz w:val="20"/>
                <w:szCs w:val="20"/>
              </w:rPr>
              <w:t>0</w:t>
            </w:r>
          </w:p>
        </w:tc>
        <w:tc>
          <w:tcPr>
            <w:tcW w:w="941"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i/>
                <w:iCs/>
                <w:color w:val="000000"/>
                <w:sz w:val="20"/>
                <w:szCs w:val="20"/>
              </w:rPr>
            </w:pPr>
            <w:r w:rsidRPr="00F54FC0">
              <w:rPr>
                <w:rFonts w:cstheme="minorHAnsi"/>
                <w:i/>
                <w:iCs/>
                <w:color w:val="000000"/>
                <w:sz w:val="20"/>
                <w:szCs w:val="20"/>
              </w:rPr>
              <w:t>1985</w:t>
            </w:r>
          </w:p>
        </w:tc>
        <w:tc>
          <w:tcPr>
            <w:tcW w:w="1103" w:type="dxa"/>
            <w:gridSpan w:val="2"/>
            <w:tcBorders>
              <w:top w:val="nil"/>
              <w:left w:val="nil"/>
              <w:right w:val="nil"/>
            </w:tcBorders>
            <w:shd w:val="clear" w:color="auto" w:fill="auto"/>
            <w:noWrap/>
            <w:vAlign w:val="center"/>
          </w:tcPr>
          <w:p w:rsidR="00D347FA" w:rsidRPr="00F54FC0" w:rsidRDefault="00F224BF" w:rsidP="005B7F39">
            <w:pPr>
              <w:spacing w:after="0" w:line="240" w:lineRule="auto"/>
              <w:jc w:val="right"/>
              <w:rPr>
                <w:rFonts w:cstheme="minorHAnsi"/>
                <w:i/>
                <w:iCs/>
                <w:color w:val="000000"/>
                <w:sz w:val="20"/>
                <w:szCs w:val="20"/>
              </w:rPr>
            </w:pPr>
            <w:r w:rsidRPr="00F54FC0">
              <w:rPr>
                <w:rFonts w:cstheme="minorHAnsi"/>
                <w:i/>
                <w:iCs/>
                <w:color w:val="000000"/>
                <w:sz w:val="20"/>
                <w:szCs w:val="20"/>
              </w:rPr>
              <w:t>2032</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SIMD quintile 1 (most deprived)</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32</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22</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591</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571</w:t>
            </w: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SIMD quintile 2</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38</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19</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1153</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1144</w:t>
            </w: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SIMD quintile 3</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39</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17</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0</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773</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775</w:t>
            </w: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F74A69"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SIMD quintile 4</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44</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14</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733</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745</w:t>
            </w: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SIMD quintile 5 (least deprived)</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48</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37</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12</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743</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760</w:t>
            </w:r>
          </w:p>
        </w:tc>
      </w:tr>
      <w:tr w:rsidR="00051E11" w:rsidRPr="00F54FC0" w:rsidTr="005B7F39">
        <w:trPr>
          <w:trHeight w:val="300"/>
        </w:trPr>
        <w:tc>
          <w:tcPr>
            <w:tcW w:w="2849" w:type="dxa"/>
            <w:tcBorders>
              <w:top w:val="nil"/>
              <w:left w:val="nil"/>
              <w:right w:val="nil"/>
            </w:tcBorders>
            <w:shd w:val="clear" w:color="auto" w:fill="auto"/>
            <w:noWrap/>
          </w:tcPr>
          <w:p w:rsidR="00051E11" w:rsidRPr="00F54FC0" w:rsidRDefault="00051E11"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58"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Eligible for free school meals</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33</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22</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665</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578</w:t>
            </w:r>
          </w:p>
        </w:tc>
      </w:tr>
      <w:tr w:rsidR="009F1C0F" w:rsidRPr="00F54FC0" w:rsidTr="005B7F39">
        <w:trPr>
          <w:trHeight w:val="300"/>
        </w:trPr>
        <w:tc>
          <w:tcPr>
            <w:tcW w:w="2849" w:type="dxa"/>
            <w:tcBorders>
              <w:top w:val="nil"/>
              <w:left w:val="nil"/>
              <w:right w:val="nil"/>
            </w:tcBorders>
            <w:shd w:val="clear" w:color="auto" w:fill="auto"/>
            <w:noWrap/>
            <w:hideMark/>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Not eligible for free school meals</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42</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16</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0</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3349</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3437</w:t>
            </w:r>
          </w:p>
        </w:tc>
      </w:tr>
      <w:tr w:rsidR="00051E11" w:rsidRPr="00F54FC0" w:rsidTr="005B7F39">
        <w:trPr>
          <w:trHeight w:val="300"/>
        </w:trPr>
        <w:tc>
          <w:tcPr>
            <w:tcW w:w="2849" w:type="dxa"/>
            <w:tcBorders>
              <w:top w:val="nil"/>
              <w:left w:val="nil"/>
              <w:right w:val="nil"/>
            </w:tcBorders>
            <w:shd w:val="clear" w:color="auto" w:fill="auto"/>
            <w:noWrap/>
          </w:tcPr>
          <w:p w:rsidR="00051E11" w:rsidRPr="00F54FC0" w:rsidRDefault="00051E11"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58"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r>
      <w:tr w:rsidR="009F1C0F" w:rsidRPr="00F54FC0" w:rsidTr="005B7F39">
        <w:trPr>
          <w:trHeight w:val="300"/>
        </w:trPr>
        <w:tc>
          <w:tcPr>
            <w:tcW w:w="2849" w:type="dxa"/>
            <w:tcBorders>
              <w:top w:val="nil"/>
              <w:left w:val="nil"/>
              <w:right w:val="nil"/>
            </w:tcBorders>
            <w:shd w:val="clear" w:color="auto" w:fill="auto"/>
            <w:noWrap/>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Additional support need</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39</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35</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20</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3</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754</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731</w:t>
            </w:r>
          </w:p>
        </w:tc>
      </w:tr>
      <w:tr w:rsidR="009F1C0F" w:rsidRPr="00F54FC0" w:rsidTr="005B7F39">
        <w:trPr>
          <w:trHeight w:val="300"/>
        </w:trPr>
        <w:tc>
          <w:tcPr>
            <w:tcW w:w="2849" w:type="dxa"/>
            <w:tcBorders>
              <w:top w:val="nil"/>
              <w:left w:val="nil"/>
              <w:right w:val="nil"/>
            </w:tcBorders>
            <w:shd w:val="clear" w:color="auto" w:fill="auto"/>
            <w:noWrap/>
          </w:tcPr>
          <w:p w:rsidR="009F1C0F" w:rsidRPr="00F54FC0" w:rsidRDefault="009F1C0F"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No additional support need</w:t>
            </w:r>
          </w:p>
        </w:tc>
        <w:tc>
          <w:tcPr>
            <w:tcW w:w="868"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93"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41</w:t>
            </w:r>
          </w:p>
        </w:tc>
        <w:tc>
          <w:tcPr>
            <w:tcW w:w="664" w:type="dxa"/>
            <w:gridSpan w:val="3"/>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16</w:t>
            </w:r>
          </w:p>
        </w:tc>
        <w:tc>
          <w:tcPr>
            <w:tcW w:w="658" w:type="dxa"/>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color w:val="000000"/>
                <w:sz w:val="20"/>
                <w:szCs w:val="20"/>
              </w:rPr>
            </w:pPr>
            <w:r w:rsidRPr="00F54FC0">
              <w:rPr>
                <w:rFonts w:cstheme="minorHAnsi"/>
                <w:color w:val="000000"/>
                <w:sz w:val="20"/>
                <w:szCs w:val="20"/>
              </w:rPr>
              <w:t>0</w:t>
            </w:r>
          </w:p>
        </w:tc>
        <w:tc>
          <w:tcPr>
            <w:tcW w:w="941"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3260</w:t>
            </w:r>
          </w:p>
        </w:tc>
        <w:tc>
          <w:tcPr>
            <w:tcW w:w="1103" w:type="dxa"/>
            <w:gridSpan w:val="2"/>
            <w:tcBorders>
              <w:top w:val="nil"/>
              <w:left w:val="nil"/>
              <w:right w:val="nil"/>
            </w:tcBorders>
            <w:shd w:val="clear" w:color="auto" w:fill="auto"/>
            <w:noWrap/>
            <w:vAlign w:val="center"/>
          </w:tcPr>
          <w:p w:rsidR="009F1C0F" w:rsidRPr="00F54FC0" w:rsidRDefault="009F1C0F" w:rsidP="005B7F39">
            <w:pPr>
              <w:spacing w:after="0" w:line="240" w:lineRule="auto"/>
              <w:jc w:val="right"/>
              <w:rPr>
                <w:rFonts w:cstheme="minorHAnsi"/>
                <w:i/>
                <w:iCs/>
                <w:color w:val="000000"/>
                <w:sz w:val="20"/>
                <w:szCs w:val="20"/>
              </w:rPr>
            </w:pPr>
            <w:r w:rsidRPr="00F54FC0">
              <w:rPr>
                <w:rFonts w:cstheme="minorHAnsi"/>
                <w:i/>
                <w:iCs/>
                <w:color w:val="000000"/>
                <w:sz w:val="20"/>
                <w:szCs w:val="20"/>
              </w:rPr>
              <w:t>3284</w:t>
            </w:r>
          </w:p>
        </w:tc>
      </w:tr>
      <w:tr w:rsidR="00051E11" w:rsidRPr="00F54FC0" w:rsidTr="005B7F39">
        <w:trPr>
          <w:trHeight w:val="300"/>
        </w:trPr>
        <w:tc>
          <w:tcPr>
            <w:tcW w:w="2849" w:type="dxa"/>
            <w:tcBorders>
              <w:top w:val="nil"/>
              <w:left w:val="nil"/>
              <w:right w:val="nil"/>
            </w:tcBorders>
            <w:shd w:val="clear" w:color="auto" w:fill="auto"/>
            <w:noWrap/>
          </w:tcPr>
          <w:p w:rsidR="00051E11" w:rsidRPr="00F54FC0" w:rsidRDefault="00051E11"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658" w:type="dxa"/>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51E11" w:rsidRPr="00F54FC0" w:rsidRDefault="00051E11" w:rsidP="005B7F39">
            <w:pPr>
              <w:spacing w:after="0" w:line="240" w:lineRule="auto"/>
              <w:jc w:val="right"/>
              <w:rPr>
                <w:rFonts w:cstheme="minorHAnsi"/>
                <w:i/>
                <w:iCs/>
                <w:color w:val="000000"/>
                <w:sz w:val="20"/>
                <w:szCs w:val="20"/>
              </w:rPr>
            </w:pPr>
          </w:p>
        </w:tc>
      </w:tr>
      <w:tr w:rsidR="00BE11BC" w:rsidRPr="00F54FC0" w:rsidTr="005B7F39">
        <w:trPr>
          <w:trHeight w:val="300"/>
        </w:trPr>
        <w:tc>
          <w:tcPr>
            <w:tcW w:w="2849" w:type="dxa"/>
            <w:tcBorders>
              <w:top w:val="nil"/>
              <w:left w:val="nil"/>
              <w:right w:val="nil"/>
            </w:tcBorders>
            <w:shd w:val="clear" w:color="auto" w:fill="auto"/>
            <w:noWrap/>
          </w:tcPr>
          <w:p w:rsidR="00BE11BC" w:rsidRPr="00F54FC0" w:rsidRDefault="00BE11B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In receipt of children’s services</w:t>
            </w:r>
          </w:p>
        </w:tc>
        <w:tc>
          <w:tcPr>
            <w:tcW w:w="868"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42</w:t>
            </w:r>
          </w:p>
        </w:tc>
        <w:tc>
          <w:tcPr>
            <w:tcW w:w="693" w:type="dxa"/>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33</w:t>
            </w:r>
          </w:p>
        </w:tc>
        <w:tc>
          <w:tcPr>
            <w:tcW w:w="664" w:type="dxa"/>
            <w:gridSpan w:val="3"/>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18</w:t>
            </w:r>
          </w:p>
        </w:tc>
        <w:tc>
          <w:tcPr>
            <w:tcW w:w="658" w:type="dxa"/>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5</w:t>
            </w:r>
          </w:p>
        </w:tc>
        <w:tc>
          <w:tcPr>
            <w:tcW w:w="714"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941"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i/>
                <w:iCs/>
                <w:color w:val="000000"/>
                <w:sz w:val="20"/>
                <w:szCs w:val="20"/>
              </w:rPr>
            </w:pPr>
            <w:r w:rsidRPr="00F54FC0">
              <w:rPr>
                <w:rFonts w:cstheme="minorHAnsi"/>
                <w:i/>
                <w:iCs/>
                <w:color w:val="000000"/>
                <w:sz w:val="20"/>
                <w:szCs w:val="20"/>
              </w:rPr>
              <w:t>207</w:t>
            </w:r>
          </w:p>
        </w:tc>
        <w:tc>
          <w:tcPr>
            <w:tcW w:w="1103"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i/>
                <w:iCs/>
                <w:color w:val="000000"/>
                <w:sz w:val="20"/>
                <w:szCs w:val="20"/>
              </w:rPr>
            </w:pPr>
            <w:r w:rsidRPr="00F54FC0">
              <w:rPr>
                <w:rFonts w:cstheme="minorHAnsi"/>
                <w:i/>
                <w:iCs/>
                <w:color w:val="000000"/>
                <w:sz w:val="20"/>
                <w:szCs w:val="20"/>
              </w:rPr>
              <w:t>191</w:t>
            </w:r>
          </w:p>
        </w:tc>
      </w:tr>
      <w:tr w:rsidR="00BE11BC" w:rsidRPr="00F54FC0" w:rsidTr="005B7F39">
        <w:trPr>
          <w:trHeight w:val="300"/>
        </w:trPr>
        <w:tc>
          <w:tcPr>
            <w:tcW w:w="2849" w:type="dxa"/>
            <w:tcBorders>
              <w:top w:val="nil"/>
              <w:left w:val="nil"/>
              <w:right w:val="nil"/>
            </w:tcBorders>
            <w:shd w:val="clear" w:color="auto" w:fill="auto"/>
            <w:noWrap/>
          </w:tcPr>
          <w:p w:rsidR="00BE11BC" w:rsidRPr="00F54FC0" w:rsidRDefault="00BE11B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Not in receipt of children’s services</w:t>
            </w:r>
          </w:p>
        </w:tc>
        <w:tc>
          <w:tcPr>
            <w:tcW w:w="868"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93" w:type="dxa"/>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17</w:t>
            </w:r>
          </w:p>
        </w:tc>
        <w:tc>
          <w:tcPr>
            <w:tcW w:w="658" w:type="dxa"/>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BE11BC" w:rsidRPr="00F54FC0" w:rsidRDefault="00BE11BC" w:rsidP="005B7F39">
            <w:pPr>
              <w:spacing w:after="0" w:line="240" w:lineRule="auto"/>
              <w:jc w:val="right"/>
              <w:rPr>
                <w:rFonts w:cstheme="minorHAnsi"/>
                <w:i/>
                <w:iCs/>
                <w:color w:val="000000"/>
                <w:sz w:val="20"/>
                <w:szCs w:val="20"/>
              </w:rPr>
            </w:pPr>
            <w:r w:rsidRPr="00F54FC0">
              <w:rPr>
                <w:rFonts w:cstheme="minorHAnsi"/>
                <w:i/>
                <w:iCs/>
                <w:color w:val="000000"/>
                <w:sz w:val="20"/>
                <w:szCs w:val="20"/>
              </w:rPr>
              <w:t>3807</w:t>
            </w:r>
          </w:p>
        </w:tc>
        <w:tc>
          <w:tcPr>
            <w:tcW w:w="1103" w:type="dxa"/>
            <w:gridSpan w:val="2"/>
            <w:tcBorders>
              <w:top w:val="nil"/>
              <w:left w:val="nil"/>
              <w:right w:val="nil"/>
            </w:tcBorders>
            <w:shd w:val="clear" w:color="auto" w:fill="auto"/>
            <w:noWrap/>
            <w:vAlign w:val="center"/>
          </w:tcPr>
          <w:p w:rsidR="00051E11" w:rsidRPr="00F54FC0" w:rsidRDefault="00BE11BC" w:rsidP="005B7F39">
            <w:pPr>
              <w:spacing w:after="0" w:line="240" w:lineRule="auto"/>
              <w:jc w:val="right"/>
              <w:rPr>
                <w:rFonts w:cstheme="minorHAnsi"/>
                <w:i/>
                <w:iCs/>
                <w:color w:val="000000"/>
                <w:sz w:val="20"/>
                <w:szCs w:val="20"/>
              </w:rPr>
            </w:pPr>
            <w:r w:rsidRPr="00F54FC0">
              <w:rPr>
                <w:rFonts w:cstheme="minorHAnsi"/>
                <w:i/>
                <w:iCs/>
                <w:color w:val="000000"/>
                <w:sz w:val="20"/>
                <w:szCs w:val="20"/>
              </w:rPr>
              <w:t>3824</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Two parent household</w:t>
            </w: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42</w:t>
            </w: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40</w:t>
            </w: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15</w:t>
            </w: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2</w:t>
            </w: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0</w:t>
            </w: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2729</w:t>
            </w: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2763</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One parent household</w:t>
            </w: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33</w:t>
            </w: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39</w:t>
            </w: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23</w:t>
            </w: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4</w:t>
            </w: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1</w:t>
            </w: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707</w:t>
            </w: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681</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Step-family</w:t>
            </w: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37</w:t>
            </w: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41</w:t>
            </w: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19</w:t>
            </w: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2</w:t>
            </w: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1</w:t>
            </w: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469</w:t>
            </w: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eastAsia="Times New Roman" w:cstheme="minorHAnsi"/>
                <w:color w:val="000000"/>
                <w:sz w:val="20"/>
                <w:szCs w:val="20"/>
                <w:lang w:eastAsia="en-GB"/>
              </w:rPr>
            </w:pPr>
            <w:r w:rsidRPr="00F54FC0">
              <w:rPr>
                <w:rFonts w:eastAsia="Times New Roman" w:cstheme="minorHAnsi"/>
                <w:color w:val="000000"/>
                <w:sz w:val="20"/>
                <w:szCs w:val="20"/>
                <w:lang w:eastAsia="en-GB"/>
              </w:rPr>
              <w:t>464</w:t>
            </w:r>
          </w:p>
        </w:tc>
      </w:tr>
      <w:tr w:rsidR="0002339C" w:rsidRPr="00F54FC0" w:rsidTr="005B7F39">
        <w:trPr>
          <w:trHeight w:val="300"/>
        </w:trPr>
        <w:tc>
          <w:tcPr>
            <w:tcW w:w="2849" w:type="dxa"/>
            <w:tcBorders>
              <w:top w:val="nil"/>
              <w:left w:val="nil"/>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r w:rsidRPr="00F54FC0">
              <w:rPr>
                <w:rFonts w:eastAsia="Times New Roman" w:cstheme="minorHAnsi"/>
                <w:color w:val="000000"/>
                <w:sz w:val="20"/>
                <w:szCs w:val="20"/>
                <w:lang w:eastAsia="en-GB"/>
              </w:rPr>
              <w:t>Other household type</w:t>
            </w:r>
          </w:p>
        </w:tc>
        <w:tc>
          <w:tcPr>
            <w:tcW w:w="868"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49</w:t>
            </w:r>
          </w:p>
        </w:tc>
        <w:tc>
          <w:tcPr>
            <w:tcW w:w="693"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32</w:t>
            </w:r>
          </w:p>
        </w:tc>
        <w:tc>
          <w:tcPr>
            <w:tcW w:w="664" w:type="dxa"/>
            <w:gridSpan w:val="3"/>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14</w:t>
            </w:r>
          </w:p>
        </w:tc>
        <w:tc>
          <w:tcPr>
            <w:tcW w:w="658" w:type="dxa"/>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7</w:t>
            </w:r>
          </w:p>
        </w:tc>
        <w:tc>
          <w:tcPr>
            <w:tcW w:w="714"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color w:val="000000"/>
                <w:sz w:val="20"/>
                <w:szCs w:val="20"/>
              </w:rPr>
            </w:pPr>
            <w:r w:rsidRPr="00F54FC0">
              <w:rPr>
                <w:rFonts w:cstheme="minorHAnsi"/>
                <w:color w:val="000000"/>
                <w:sz w:val="20"/>
                <w:szCs w:val="20"/>
              </w:rPr>
              <w:t>-</w:t>
            </w:r>
          </w:p>
        </w:tc>
        <w:tc>
          <w:tcPr>
            <w:tcW w:w="941"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77</w:t>
            </w:r>
          </w:p>
        </w:tc>
        <w:tc>
          <w:tcPr>
            <w:tcW w:w="1103" w:type="dxa"/>
            <w:gridSpan w:val="2"/>
            <w:tcBorders>
              <w:top w:val="nil"/>
              <w:left w:val="nil"/>
              <w:right w:val="nil"/>
            </w:tcBorders>
            <w:shd w:val="clear" w:color="auto" w:fill="auto"/>
            <w:noWrap/>
            <w:vAlign w:val="center"/>
          </w:tcPr>
          <w:p w:rsidR="0002339C" w:rsidRPr="00F54FC0" w:rsidRDefault="0002339C" w:rsidP="005B7F39">
            <w:pPr>
              <w:spacing w:after="0" w:line="240" w:lineRule="auto"/>
              <w:jc w:val="right"/>
              <w:rPr>
                <w:rFonts w:cstheme="minorHAnsi"/>
                <w:i/>
                <w:iCs/>
                <w:color w:val="000000"/>
                <w:sz w:val="20"/>
                <w:szCs w:val="20"/>
              </w:rPr>
            </w:pPr>
            <w:r w:rsidRPr="00F54FC0">
              <w:rPr>
                <w:rFonts w:cstheme="minorHAnsi"/>
                <w:i/>
                <w:iCs/>
                <w:color w:val="000000"/>
                <w:sz w:val="20"/>
                <w:szCs w:val="20"/>
              </w:rPr>
              <w:t>74</w:t>
            </w:r>
          </w:p>
        </w:tc>
      </w:tr>
      <w:tr w:rsidR="0002339C" w:rsidRPr="00F54FC0" w:rsidTr="00F54FC0">
        <w:trPr>
          <w:trHeight w:val="227"/>
        </w:trPr>
        <w:tc>
          <w:tcPr>
            <w:tcW w:w="2849" w:type="dxa"/>
            <w:tcBorders>
              <w:top w:val="nil"/>
              <w:left w:val="nil"/>
              <w:bottom w:val="single" w:sz="12" w:space="0" w:color="auto"/>
              <w:right w:val="nil"/>
            </w:tcBorders>
            <w:shd w:val="clear" w:color="auto" w:fill="auto"/>
            <w:noWrap/>
          </w:tcPr>
          <w:p w:rsidR="0002339C" w:rsidRPr="00F54FC0" w:rsidRDefault="0002339C" w:rsidP="00F54FC0">
            <w:pPr>
              <w:spacing w:after="0" w:line="240" w:lineRule="auto"/>
              <w:rPr>
                <w:rFonts w:eastAsia="Times New Roman" w:cstheme="minorHAnsi"/>
                <w:color w:val="000000"/>
                <w:sz w:val="20"/>
                <w:szCs w:val="20"/>
                <w:lang w:eastAsia="en-GB"/>
              </w:rPr>
            </w:pPr>
          </w:p>
        </w:tc>
        <w:tc>
          <w:tcPr>
            <w:tcW w:w="868" w:type="dxa"/>
            <w:gridSpan w:val="2"/>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color w:val="000000"/>
                <w:sz w:val="20"/>
                <w:szCs w:val="20"/>
              </w:rPr>
            </w:pPr>
          </w:p>
        </w:tc>
        <w:tc>
          <w:tcPr>
            <w:tcW w:w="693" w:type="dxa"/>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color w:val="000000"/>
                <w:sz w:val="20"/>
                <w:szCs w:val="20"/>
              </w:rPr>
            </w:pPr>
          </w:p>
        </w:tc>
        <w:tc>
          <w:tcPr>
            <w:tcW w:w="664" w:type="dxa"/>
            <w:gridSpan w:val="3"/>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color w:val="000000"/>
                <w:sz w:val="20"/>
                <w:szCs w:val="20"/>
              </w:rPr>
            </w:pPr>
          </w:p>
        </w:tc>
        <w:tc>
          <w:tcPr>
            <w:tcW w:w="658" w:type="dxa"/>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color w:val="000000"/>
                <w:sz w:val="20"/>
                <w:szCs w:val="20"/>
              </w:rPr>
            </w:pPr>
          </w:p>
        </w:tc>
        <w:tc>
          <w:tcPr>
            <w:tcW w:w="714" w:type="dxa"/>
            <w:gridSpan w:val="2"/>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color w:val="000000"/>
                <w:sz w:val="20"/>
                <w:szCs w:val="20"/>
              </w:rPr>
            </w:pPr>
          </w:p>
        </w:tc>
        <w:tc>
          <w:tcPr>
            <w:tcW w:w="941" w:type="dxa"/>
            <w:gridSpan w:val="2"/>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i/>
                <w:iCs/>
                <w:color w:val="000000"/>
                <w:sz w:val="20"/>
                <w:szCs w:val="20"/>
              </w:rPr>
            </w:pPr>
          </w:p>
        </w:tc>
        <w:tc>
          <w:tcPr>
            <w:tcW w:w="1103" w:type="dxa"/>
            <w:gridSpan w:val="2"/>
            <w:tcBorders>
              <w:top w:val="nil"/>
              <w:left w:val="nil"/>
              <w:bottom w:val="single" w:sz="12" w:space="0" w:color="auto"/>
              <w:right w:val="nil"/>
            </w:tcBorders>
            <w:shd w:val="clear" w:color="auto" w:fill="auto"/>
            <w:noWrap/>
          </w:tcPr>
          <w:p w:rsidR="0002339C" w:rsidRPr="00F54FC0" w:rsidRDefault="0002339C" w:rsidP="00F54FC0">
            <w:pPr>
              <w:spacing w:after="0" w:line="240" w:lineRule="auto"/>
              <w:jc w:val="right"/>
              <w:rPr>
                <w:rFonts w:cstheme="minorHAnsi"/>
                <w:i/>
                <w:iCs/>
                <w:color w:val="000000"/>
                <w:sz w:val="20"/>
                <w:szCs w:val="20"/>
              </w:rPr>
            </w:pPr>
          </w:p>
        </w:tc>
      </w:tr>
    </w:tbl>
    <w:p w:rsidR="00D347FA" w:rsidRDefault="00D347FA" w:rsidP="00D347FA">
      <w:pPr>
        <w:pStyle w:val="BodyCopy"/>
        <w:spacing w:after="200" w:line="276" w:lineRule="auto"/>
        <w:rPr>
          <w:i/>
          <w:sz w:val="18"/>
          <w:szCs w:val="18"/>
        </w:rPr>
      </w:pPr>
      <w:r w:rsidRPr="00051E11">
        <w:rPr>
          <w:i/>
          <w:sz w:val="18"/>
          <w:szCs w:val="18"/>
        </w:rPr>
        <w:t>Source: RCS primary school survey, Fal</w:t>
      </w:r>
      <w:r w:rsidR="00093875">
        <w:rPr>
          <w:i/>
          <w:sz w:val="18"/>
          <w:szCs w:val="18"/>
        </w:rPr>
        <w:t>kirk</w:t>
      </w:r>
      <w:r>
        <w:rPr>
          <w:i/>
          <w:sz w:val="18"/>
          <w:szCs w:val="18"/>
        </w:rPr>
        <w:t xml:space="preserve"> 2017</w:t>
      </w:r>
    </w:p>
    <w:p w:rsidR="00D347FA" w:rsidRDefault="00D347FA" w:rsidP="00D347FA">
      <w:pPr>
        <w:pStyle w:val="Heading3"/>
        <w:spacing w:line="276" w:lineRule="auto"/>
      </w:pPr>
      <w:bookmarkStart w:id="82" w:name="_Toc478636814"/>
      <w:bookmarkStart w:id="83" w:name="_Toc479456950"/>
      <w:bookmarkStart w:id="84" w:name="_Toc494182067"/>
      <w:r>
        <w:lastRenderedPageBreak/>
        <w:t>Healthy living</w:t>
      </w:r>
      <w:bookmarkEnd w:id="82"/>
      <w:bookmarkEnd w:id="83"/>
      <w:bookmarkEnd w:id="84"/>
    </w:p>
    <w:p w:rsidR="00D347FA" w:rsidRDefault="00D347FA" w:rsidP="00D347FA">
      <w:pPr>
        <w:pStyle w:val="Heading3"/>
        <w:numPr>
          <w:ilvl w:val="0"/>
          <w:numId w:val="0"/>
        </w:numPr>
        <w:spacing w:line="276" w:lineRule="auto"/>
        <w:ind w:left="851" w:hanging="851"/>
      </w:pPr>
      <w:bookmarkStart w:id="85" w:name="_Toc478636815"/>
      <w:bookmarkStart w:id="86" w:name="_Toc479456951"/>
      <w:bookmarkStart w:id="87" w:name="_Toc494182068"/>
      <w:r w:rsidRPr="00A4261E">
        <w:rPr>
          <w:color w:val="auto"/>
        </w:rPr>
        <w:t>Ph</w:t>
      </w:r>
      <w:r w:rsidRPr="00A4261E">
        <w:t>ysical activity</w:t>
      </w:r>
      <w:bookmarkEnd w:id="85"/>
      <w:r w:rsidRPr="00A4261E">
        <w:t xml:space="preserve"> (Active, Healthy)</w:t>
      </w:r>
      <w:bookmarkEnd w:id="86"/>
      <w:bookmarkEnd w:id="87"/>
    </w:p>
    <w:p w:rsidR="00D347FA" w:rsidRPr="00F859D1" w:rsidRDefault="00D347FA" w:rsidP="00D347FA">
      <w:pPr>
        <w:spacing w:before="240" w:after="0"/>
        <w:rPr>
          <w:rFonts w:ascii="Arial" w:eastAsia="Times New Roman" w:hAnsi="Arial" w:cs="Times New Roman"/>
          <w:szCs w:val="20"/>
          <w:lang w:eastAsia="en-GB"/>
        </w:rPr>
      </w:pPr>
      <w:r>
        <w:rPr>
          <w:rFonts w:ascii="Arial" w:eastAsia="Times New Roman" w:hAnsi="Arial" w:cs="Times New Roman"/>
          <w:szCs w:val="20"/>
          <w:lang w:eastAsia="en-GB"/>
        </w:rPr>
        <w:t>As noted earlier in the report, t</w:t>
      </w:r>
      <w:r w:rsidRPr="00F859D1">
        <w:rPr>
          <w:rFonts w:ascii="Arial" w:eastAsia="Times New Roman" w:hAnsi="Arial" w:cs="Times New Roman"/>
          <w:szCs w:val="20"/>
          <w:lang w:eastAsia="en-GB"/>
        </w:rPr>
        <w:t>he Chief Medical Officers of the UK publish guidelines on physical activity which recommend that all children from ages 5 to 18 should be active for at least 60 minutes a day on all seven days of the week</w:t>
      </w:r>
      <w:r w:rsidR="006471DB">
        <w:rPr>
          <w:rFonts w:ascii="Arial" w:eastAsia="Times New Roman" w:hAnsi="Arial" w:cs="Times New Roman"/>
          <w:szCs w:val="20"/>
          <w:lang w:eastAsia="en-GB"/>
        </w:rPr>
        <w:t>.</w:t>
      </w:r>
      <w:r w:rsidRPr="00F859D1">
        <w:rPr>
          <w:rFonts w:ascii="Arial" w:eastAsia="Times New Roman" w:hAnsi="Arial" w:cs="Times New Roman"/>
          <w:szCs w:val="20"/>
          <w:vertAlign w:val="superscript"/>
          <w:lang w:eastAsia="en-GB"/>
        </w:rPr>
        <w:endnoteReference w:id="14"/>
      </w:r>
      <w:r w:rsidRPr="00F859D1">
        <w:rPr>
          <w:rFonts w:ascii="Arial" w:eastAsia="Times New Roman" w:hAnsi="Arial" w:cs="Times New Roman"/>
          <w:szCs w:val="20"/>
          <w:lang w:eastAsia="en-GB"/>
        </w:rPr>
        <w:t xml:space="preserve"> Children taking part in the survey were provided with examples of being active</w:t>
      </w:r>
      <w:r w:rsidRPr="00F859D1">
        <w:rPr>
          <w:rFonts w:ascii="Arial" w:eastAsia="Times New Roman" w:hAnsi="Arial" w:cs="Times New Roman"/>
          <w:szCs w:val="20"/>
          <w:vertAlign w:val="superscript"/>
          <w:lang w:eastAsia="en-GB"/>
        </w:rPr>
        <w:endnoteReference w:id="15"/>
      </w:r>
      <w:r w:rsidRPr="00F859D1">
        <w:rPr>
          <w:rFonts w:ascii="Arial" w:eastAsia="Times New Roman" w:hAnsi="Arial" w:cs="Times New Roman"/>
          <w:szCs w:val="20"/>
          <w:lang w:eastAsia="en-GB"/>
        </w:rPr>
        <w:t xml:space="preserve"> and then asked how often they spend time being physically active. </w:t>
      </w:r>
    </w:p>
    <w:p w:rsidR="00D347FA" w:rsidRDefault="00D347FA" w:rsidP="00D347FA">
      <w:pPr>
        <w:spacing w:before="240" w:after="0"/>
        <w:rPr>
          <w:rFonts w:ascii="Arial" w:eastAsia="Times New Roman" w:hAnsi="Arial" w:cs="Times New Roman"/>
          <w:szCs w:val="20"/>
          <w:lang w:eastAsia="en-GB"/>
        </w:rPr>
      </w:pPr>
      <w:r w:rsidRPr="00357CCC">
        <w:rPr>
          <w:rFonts w:ascii="Arial" w:eastAsia="Times New Roman" w:hAnsi="Arial" w:cs="Times New Roman"/>
          <w:szCs w:val="20"/>
          <w:lang w:eastAsia="en-GB"/>
        </w:rPr>
        <w:t xml:space="preserve">In total, </w:t>
      </w:r>
      <w:r>
        <w:rPr>
          <w:rFonts w:ascii="Arial" w:eastAsia="Times New Roman" w:hAnsi="Arial" w:cs="Times New Roman"/>
          <w:szCs w:val="20"/>
          <w:lang w:eastAsia="en-GB"/>
        </w:rPr>
        <w:t>47</w:t>
      </w:r>
      <w:r w:rsidRPr="00357CCC">
        <w:rPr>
          <w:rFonts w:ascii="Arial" w:eastAsia="Times New Roman" w:hAnsi="Arial" w:cs="Times New Roman"/>
          <w:szCs w:val="20"/>
          <w:lang w:eastAsia="en-GB"/>
        </w:rPr>
        <w:t xml:space="preserve">% of children in P5 to P7 in </w:t>
      </w:r>
      <w:r>
        <w:rPr>
          <w:rFonts w:ascii="Arial" w:eastAsia="Times New Roman" w:hAnsi="Arial" w:cs="Times New Roman"/>
          <w:szCs w:val="20"/>
          <w:lang w:eastAsia="en-GB"/>
        </w:rPr>
        <w:t>Falkirk</w:t>
      </w:r>
      <w:r w:rsidRPr="00357CCC">
        <w:rPr>
          <w:rFonts w:ascii="Arial" w:eastAsia="Times New Roman" w:hAnsi="Arial" w:cs="Times New Roman"/>
          <w:szCs w:val="20"/>
          <w:lang w:eastAsia="en-GB"/>
        </w:rPr>
        <w:t xml:space="preserve"> reported that they were active every day, with a further </w:t>
      </w:r>
      <w:r>
        <w:rPr>
          <w:rFonts w:ascii="Arial" w:eastAsia="Times New Roman" w:hAnsi="Arial" w:cs="Times New Roman"/>
          <w:szCs w:val="20"/>
          <w:lang w:eastAsia="en-GB"/>
        </w:rPr>
        <w:t>33</w:t>
      </w:r>
      <w:r w:rsidRPr="00357CCC">
        <w:rPr>
          <w:rFonts w:ascii="Arial" w:eastAsia="Times New Roman" w:hAnsi="Arial" w:cs="Times New Roman"/>
          <w:szCs w:val="20"/>
          <w:lang w:eastAsia="en-GB"/>
        </w:rPr>
        <w:t xml:space="preserve">% active most days, </w:t>
      </w:r>
      <w:r>
        <w:rPr>
          <w:rFonts w:ascii="Arial" w:eastAsia="Times New Roman" w:hAnsi="Arial" w:cs="Times New Roman"/>
          <w:szCs w:val="20"/>
          <w:lang w:eastAsia="en-GB"/>
        </w:rPr>
        <w:t>15</w:t>
      </w:r>
      <w:r w:rsidRPr="00357CCC">
        <w:rPr>
          <w:rFonts w:ascii="Arial" w:eastAsia="Times New Roman" w:hAnsi="Arial" w:cs="Times New Roman"/>
          <w:szCs w:val="20"/>
          <w:lang w:eastAsia="en-GB"/>
        </w:rPr>
        <w:t>% s</w:t>
      </w:r>
      <w:r>
        <w:rPr>
          <w:rFonts w:ascii="Arial" w:eastAsia="Times New Roman" w:hAnsi="Arial" w:cs="Times New Roman"/>
          <w:szCs w:val="20"/>
          <w:lang w:eastAsia="en-GB"/>
        </w:rPr>
        <w:t>ome days, 4% rarely active and 1</w:t>
      </w:r>
      <w:r w:rsidRPr="00357CCC">
        <w:rPr>
          <w:rFonts w:ascii="Arial" w:eastAsia="Times New Roman" w:hAnsi="Arial" w:cs="Times New Roman"/>
          <w:szCs w:val="20"/>
          <w:lang w:eastAsia="en-GB"/>
        </w:rPr>
        <w:t xml:space="preserve">% never active. </w:t>
      </w:r>
    </w:p>
    <w:p w:rsidR="00D347FA" w:rsidRDefault="00D347FA" w:rsidP="00D347FA">
      <w:pPr>
        <w:spacing w:before="240" w:after="0"/>
        <w:rPr>
          <w:rFonts w:ascii="Arial" w:eastAsia="Times New Roman" w:hAnsi="Arial" w:cs="Times New Roman"/>
          <w:szCs w:val="20"/>
          <w:lang w:eastAsia="en-GB"/>
        </w:rPr>
      </w:pPr>
      <w:r>
        <w:rPr>
          <w:rFonts w:ascii="Arial" w:eastAsia="Times New Roman" w:hAnsi="Arial" w:cs="Times New Roman"/>
          <w:szCs w:val="20"/>
          <w:lang w:eastAsia="en-GB"/>
        </w:rPr>
        <w:t>Children living in the least deprived areas were more likely than those living in the most deprived areas to engage in physical activity everyday (51% compared with 44%). Similarly, more children who were not eligible for free school meals reported that they were active every</w:t>
      </w:r>
      <w:r w:rsidR="006471DB">
        <w:rPr>
          <w:rFonts w:ascii="Arial" w:eastAsia="Times New Roman" w:hAnsi="Arial" w:cs="Times New Roman"/>
          <w:szCs w:val="20"/>
          <w:lang w:eastAsia="en-GB"/>
        </w:rPr>
        <w:t xml:space="preserve"> </w:t>
      </w:r>
      <w:r>
        <w:rPr>
          <w:rFonts w:ascii="Arial" w:eastAsia="Times New Roman" w:hAnsi="Arial" w:cs="Times New Roman"/>
          <w:szCs w:val="20"/>
          <w:lang w:eastAsia="en-GB"/>
        </w:rPr>
        <w:t xml:space="preserve">day than children who were eligible (48% and 43% respectively). </w:t>
      </w:r>
    </w:p>
    <w:p w:rsidR="001104F2" w:rsidRDefault="001104F2" w:rsidP="001104F2">
      <w:pPr>
        <w:spacing w:before="240" w:after="0"/>
        <w:rPr>
          <w:rFonts w:ascii="Arial" w:eastAsia="Times New Roman" w:hAnsi="Arial" w:cs="Times New Roman"/>
          <w:szCs w:val="20"/>
          <w:lang w:eastAsia="en-GB"/>
        </w:rPr>
      </w:pPr>
      <w:r>
        <w:rPr>
          <w:rFonts w:ascii="Arial" w:eastAsia="Times New Roman" w:hAnsi="Arial" w:cs="Times New Roman"/>
          <w:szCs w:val="20"/>
          <w:lang w:eastAsia="en-GB"/>
        </w:rPr>
        <w:t>Children with a garden at home in which they could play were more likely than those without to be active every day (48% compared with 40%), suggesting the need to ensure an alternative safe place for children who do not have access to a garden to play in.</w:t>
      </w:r>
    </w:p>
    <w:p w:rsidR="001104F2" w:rsidRDefault="001104F2" w:rsidP="00D347FA">
      <w:pPr>
        <w:spacing w:before="240" w:after="0"/>
        <w:rPr>
          <w:rFonts w:ascii="Arial" w:eastAsia="Times New Roman" w:hAnsi="Arial" w:cs="Times New Roman"/>
          <w:szCs w:val="20"/>
          <w:lang w:eastAsia="en-GB"/>
        </w:rPr>
      </w:pPr>
      <w:r>
        <w:rPr>
          <w:rFonts w:ascii="Arial" w:eastAsia="Times New Roman" w:hAnsi="Arial" w:cs="Times New Roman"/>
          <w:szCs w:val="20"/>
          <w:lang w:eastAsia="en-GB"/>
        </w:rPr>
        <w:t>The relationship between physical activity and unhealthy dietary behaviour, such as consumption of fizzy drinks highlights the compounding effect that the two may have on levels of obesity. Around half (49-52%) of those who rarely or never drank fizzy drinks were physically active every day compared with 41-43% of those who drank fizzy drinks most days or every day.</w:t>
      </w:r>
    </w:p>
    <w:p w:rsidR="00BD529D" w:rsidRDefault="00177C31" w:rsidP="00D347FA">
      <w:pPr>
        <w:spacing w:before="240" w:after="0"/>
        <w:rPr>
          <w:rFonts w:ascii="Arial" w:eastAsia="Times New Roman" w:hAnsi="Arial" w:cs="Times New Roman"/>
          <w:szCs w:val="20"/>
          <w:lang w:eastAsia="en-GB"/>
        </w:rPr>
      </w:pPr>
      <w:r>
        <w:rPr>
          <w:noProof/>
          <w:lang w:eastAsia="en-GB"/>
        </w:rPr>
        <w:lastRenderedPageBreak/>
        <w:drawing>
          <wp:inline distT="0" distB="0" distL="0" distR="0" wp14:anchorId="10986520" wp14:editId="416C32F3">
            <wp:extent cx="4953000" cy="3535680"/>
            <wp:effectExtent l="0" t="0" r="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47FA" w:rsidRPr="00B460B0" w:rsidRDefault="00C852EB" w:rsidP="00D347FA">
      <w:pPr>
        <w:spacing w:before="240" w:after="0"/>
      </w:pPr>
      <w:r>
        <w:rPr>
          <w:rFonts w:ascii="Arial" w:eastAsia="Times New Roman" w:hAnsi="Arial" w:cs="Times New Roman"/>
          <w:szCs w:val="20"/>
          <w:lang w:eastAsia="en-GB"/>
        </w:rPr>
        <w:t xml:space="preserve">A slightly different </w:t>
      </w:r>
      <w:r w:rsidR="00D347FA">
        <w:rPr>
          <w:rFonts w:ascii="Arial" w:eastAsia="Times New Roman" w:hAnsi="Arial" w:cs="Times New Roman"/>
          <w:szCs w:val="20"/>
          <w:lang w:eastAsia="en-GB"/>
        </w:rPr>
        <w:t xml:space="preserve">question was asked in the secondary survey </w:t>
      </w:r>
      <w:r w:rsidRPr="00C852EB">
        <w:rPr>
          <w:rFonts w:ascii="Arial" w:eastAsia="Times New Roman" w:hAnsi="Arial" w:cs="Times New Roman"/>
          <w:szCs w:val="20"/>
          <w:lang w:eastAsia="en-GB"/>
        </w:rPr>
        <w:t>(see section 2.2.2), but it was still possible to see</w:t>
      </w:r>
      <w:r w:rsidR="00D347FA">
        <w:rPr>
          <w:rFonts w:ascii="Arial" w:eastAsia="Times New Roman" w:hAnsi="Arial" w:cs="Times New Roman"/>
          <w:szCs w:val="20"/>
          <w:lang w:eastAsia="en-GB"/>
        </w:rPr>
        <w:t xml:space="preserve"> that daily physical activity was higher in primary.</w:t>
      </w:r>
    </w:p>
    <w:p w:rsidR="00D347FA" w:rsidRDefault="00D347FA" w:rsidP="00D347FA">
      <w:pPr>
        <w:pStyle w:val="Heading3"/>
        <w:numPr>
          <w:ilvl w:val="0"/>
          <w:numId w:val="0"/>
        </w:numPr>
        <w:spacing w:line="276" w:lineRule="auto"/>
        <w:ind w:left="851" w:hanging="851"/>
      </w:pPr>
      <w:bookmarkStart w:id="88" w:name="_Toc478636816"/>
      <w:bookmarkStart w:id="89" w:name="_Toc479456952"/>
      <w:bookmarkStart w:id="90" w:name="_Toc494182069"/>
      <w:r w:rsidRPr="000233C9">
        <w:rPr>
          <w:color w:val="auto"/>
        </w:rPr>
        <w:t>Die</w:t>
      </w:r>
      <w:r>
        <w:t>t and nutrition</w:t>
      </w:r>
      <w:bookmarkEnd w:id="88"/>
      <w:r>
        <w:t xml:space="preserve"> (Healthy)</w:t>
      </w:r>
      <w:bookmarkEnd w:id="89"/>
      <w:bookmarkEnd w:id="90"/>
    </w:p>
    <w:p w:rsidR="00D347FA" w:rsidRDefault="0049568A" w:rsidP="00D347FA">
      <w:pPr>
        <w:pStyle w:val="BodyCopy"/>
        <w:spacing w:before="240" w:line="276" w:lineRule="auto"/>
      </w:pPr>
      <w:r>
        <w:t xml:space="preserve">There is clearly a long way to go before all primary pupils reach recommended levels of fruit and vegetable consumption. </w:t>
      </w:r>
      <w:r w:rsidR="00D347FA">
        <w:t xml:space="preserve">Although </w:t>
      </w:r>
      <w:r>
        <w:t>the</w:t>
      </w:r>
      <w:r w:rsidR="00D347FA">
        <w:t xml:space="preserve"> majority of pupils in P5 to P7 said that they ate fruit either every day (42%) or most days (32%), and a smaller proportion said they ate vegetables eve</w:t>
      </w:r>
      <w:r>
        <w:t>ry day (29%) or most days (33%).</w:t>
      </w:r>
      <w:r w:rsidR="00D347FA">
        <w:t xml:space="preserve"> </w:t>
      </w:r>
    </w:p>
    <w:p w:rsidR="00D347FA" w:rsidRDefault="00D347FA" w:rsidP="00D347FA">
      <w:pPr>
        <w:pStyle w:val="BodyCopy"/>
        <w:spacing w:before="240" w:line="276" w:lineRule="auto"/>
      </w:pPr>
      <w:r>
        <w:t xml:space="preserve">Primary pupils were asked about consumption of fizzy drinks as a proxy indicator of </w:t>
      </w:r>
      <w:r w:rsidR="006471DB">
        <w:t xml:space="preserve">an </w:t>
      </w:r>
      <w:r w:rsidRPr="006471DB">
        <w:t>unhealthy</w:t>
      </w:r>
      <w:r>
        <w:rPr>
          <w:i/>
        </w:rPr>
        <w:t xml:space="preserve"> </w:t>
      </w:r>
      <w:r>
        <w:t>diet. Only a small proportion (9%) said they never consumed fizzy drinks and over a quarter said that they did so either most days (17%) or every day (11%).</w:t>
      </w:r>
    </w:p>
    <w:p w:rsidR="00D347FA" w:rsidRDefault="00D347FA" w:rsidP="0002339C">
      <w:pPr>
        <w:pStyle w:val="BodyCopy"/>
      </w:pPr>
    </w:p>
    <w:tbl>
      <w:tblPr>
        <w:tblW w:w="8628" w:type="dxa"/>
        <w:tblInd w:w="93" w:type="dxa"/>
        <w:tblLook w:val="04A0" w:firstRow="1" w:lastRow="0" w:firstColumn="1" w:lastColumn="0" w:noHBand="0" w:noVBand="1"/>
      </w:tblPr>
      <w:tblGrid>
        <w:gridCol w:w="2758"/>
        <w:gridCol w:w="780"/>
        <w:gridCol w:w="781"/>
        <w:gridCol w:w="781"/>
        <w:gridCol w:w="794"/>
        <w:gridCol w:w="781"/>
        <w:gridCol w:w="892"/>
        <w:gridCol w:w="1061"/>
      </w:tblGrid>
      <w:tr w:rsidR="00D347FA" w:rsidRPr="004C13A3" w:rsidTr="005B7F39">
        <w:trPr>
          <w:trHeight w:val="340"/>
        </w:trPr>
        <w:tc>
          <w:tcPr>
            <w:tcW w:w="8628" w:type="dxa"/>
            <w:gridSpan w:val="8"/>
            <w:tcBorders>
              <w:top w:val="single" w:sz="12" w:space="0" w:color="auto"/>
              <w:left w:val="nil"/>
              <w:bottom w:val="nil"/>
              <w:right w:val="nil"/>
            </w:tcBorders>
            <w:shd w:val="clear" w:color="auto" w:fill="auto"/>
            <w:hideMark/>
          </w:tcPr>
          <w:p w:rsidR="00D347FA" w:rsidRPr="004C13A3" w:rsidRDefault="00D347FA" w:rsidP="005B7F39">
            <w:pPr>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Table 3.2.</w:t>
            </w:r>
            <w:r w:rsidR="00177C31">
              <w:rPr>
                <w:rFonts w:ascii="Arial" w:eastAsia="Times New Roman" w:hAnsi="Arial" w:cs="Arial"/>
                <w:b/>
                <w:bCs/>
                <w:color w:val="000000"/>
                <w:sz w:val="20"/>
                <w:szCs w:val="20"/>
                <w:lang w:eastAsia="en-GB"/>
              </w:rPr>
              <w:t>2b</w:t>
            </w:r>
            <w:r w:rsidR="00177C31" w:rsidRPr="004C13A3">
              <w:rPr>
                <w:rFonts w:ascii="Arial" w:eastAsia="Times New Roman" w:hAnsi="Arial" w:cs="Arial"/>
                <w:b/>
                <w:bCs/>
                <w:color w:val="000000"/>
                <w:sz w:val="20"/>
                <w:szCs w:val="20"/>
                <w:lang w:eastAsia="en-GB"/>
              </w:rPr>
              <w:t xml:space="preserve"> </w:t>
            </w:r>
            <w:r w:rsidRPr="004C13A3">
              <w:rPr>
                <w:rFonts w:ascii="Arial" w:eastAsia="Times New Roman" w:hAnsi="Arial" w:cs="Arial"/>
                <w:b/>
                <w:bCs/>
                <w:color w:val="000000"/>
                <w:sz w:val="20"/>
                <w:szCs w:val="20"/>
                <w:lang w:eastAsia="en-GB"/>
              </w:rPr>
              <w:t>Diet</w:t>
            </w:r>
          </w:p>
        </w:tc>
      </w:tr>
      <w:tr w:rsidR="00D347FA" w:rsidRPr="004C13A3" w:rsidTr="00A4261E">
        <w:trPr>
          <w:trHeight w:val="632"/>
        </w:trPr>
        <w:tc>
          <w:tcPr>
            <w:tcW w:w="2758"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Frequency of consumption</w:t>
            </w:r>
          </w:p>
        </w:tc>
        <w:tc>
          <w:tcPr>
            <w:tcW w:w="780"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Every day</w:t>
            </w:r>
          </w:p>
        </w:tc>
        <w:tc>
          <w:tcPr>
            <w:tcW w:w="781"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Most days</w:t>
            </w:r>
          </w:p>
        </w:tc>
        <w:tc>
          <w:tcPr>
            <w:tcW w:w="781"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Some days</w:t>
            </w:r>
          </w:p>
        </w:tc>
        <w:tc>
          <w:tcPr>
            <w:tcW w:w="794"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Rarely</w:t>
            </w:r>
          </w:p>
        </w:tc>
        <w:tc>
          <w:tcPr>
            <w:tcW w:w="781"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Never</w:t>
            </w:r>
          </w:p>
        </w:tc>
        <w:tc>
          <w:tcPr>
            <w:tcW w:w="892"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i/>
                <w:iCs/>
                <w:color w:val="000000"/>
                <w:sz w:val="16"/>
                <w:szCs w:val="16"/>
                <w:lang w:eastAsia="en-GB"/>
              </w:rPr>
            </w:pPr>
            <w:r w:rsidRPr="004C13A3">
              <w:rPr>
                <w:rFonts w:ascii="Arial" w:eastAsia="Times New Roman" w:hAnsi="Arial" w:cs="Arial"/>
                <w:i/>
                <w:iCs/>
                <w:color w:val="000000"/>
                <w:sz w:val="16"/>
                <w:szCs w:val="16"/>
                <w:lang w:eastAsia="en-GB"/>
              </w:rPr>
              <w:t>Weighted base</w:t>
            </w:r>
            <w:r w:rsidR="006471DB">
              <w:rPr>
                <w:rFonts w:ascii="Arial" w:eastAsia="Times New Roman" w:hAnsi="Arial" w:cs="Arial"/>
                <w:i/>
                <w:iCs/>
                <w:color w:val="000000"/>
                <w:sz w:val="16"/>
                <w:szCs w:val="16"/>
                <w:lang w:eastAsia="en-GB"/>
              </w:rPr>
              <w:t>s</w:t>
            </w:r>
          </w:p>
        </w:tc>
        <w:tc>
          <w:tcPr>
            <w:tcW w:w="1061" w:type="dxa"/>
            <w:tcBorders>
              <w:top w:val="nil"/>
              <w:left w:val="nil"/>
              <w:bottom w:val="single" w:sz="12" w:space="0" w:color="auto"/>
              <w:right w:val="nil"/>
            </w:tcBorders>
            <w:shd w:val="clear" w:color="auto" w:fill="auto"/>
            <w:vAlign w:val="center"/>
            <w:hideMark/>
          </w:tcPr>
          <w:p w:rsidR="00D347FA" w:rsidRPr="004C13A3" w:rsidRDefault="00D347FA" w:rsidP="005B7F39">
            <w:pPr>
              <w:spacing w:after="0" w:line="240" w:lineRule="auto"/>
              <w:jc w:val="center"/>
              <w:rPr>
                <w:rFonts w:ascii="Arial" w:eastAsia="Times New Roman" w:hAnsi="Arial" w:cs="Arial"/>
                <w:i/>
                <w:iCs/>
                <w:color w:val="000000"/>
                <w:sz w:val="16"/>
                <w:szCs w:val="16"/>
                <w:lang w:eastAsia="en-GB"/>
              </w:rPr>
            </w:pPr>
            <w:r w:rsidRPr="004C13A3">
              <w:rPr>
                <w:rFonts w:ascii="Arial" w:eastAsia="Times New Roman" w:hAnsi="Arial" w:cs="Arial"/>
                <w:i/>
                <w:iCs/>
                <w:color w:val="000000"/>
                <w:sz w:val="16"/>
                <w:szCs w:val="16"/>
                <w:lang w:eastAsia="en-GB"/>
              </w:rPr>
              <w:t>Unweighted base</w:t>
            </w:r>
            <w:r w:rsidR="006471DB">
              <w:rPr>
                <w:rFonts w:ascii="Arial" w:eastAsia="Times New Roman" w:hAnsi="Arial" w:cs="Arial"/>
                <w:i/>
                <w:iCs/>
                <w:color w:val="000000"/>
                <w:sz w:val="16"/>
                <w:szCs w:val="16"/>
                <w:lang w:eastAsia="en-GB"/>
              </w:rPr>
              <w:t>s</w:t>
            </w:r>
          </w:p>
        </w:tc>
      </w:tr>
      <w:tr w:rsidR="00D347FA" w:rsidRPr="004C13A3" w:rsidTr="005B7F39">
        <w:trPr>
          <w:trHeight w:val="283"/>
        </w:trPr>
        <w:tc>
          <w:tcPr>
            <w:tcW w:w="8628" w:type="dxa"/>
            <w:gridSpan w:val="8"/>
            <w:tcBorders>
              <w:top w:val="single" w:sz="12" w:space="0" w:color="auto"/>
              <w:left w:val="nil"/>
              <w:bottom w:val="single" w:sz="8" w:space="0" w:color="auto"/>
              <w:right w:val="nil"/>
            </w:tcBorders>
            <w:shd w:val="clear" w:color="auto" w:fill="auto"/>
            <w:vAlign w:val="center"/>
            <w:hideMark/>
          </w:tcPr>
          <w:p w:rsidR="00D347FA" w:rsidRPr="004C13A3" w:rsidRDefault="00D347FA" w:rsidP="005B7F39">
            <w:pPr>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4C13A3" w:rsidTr="005B7F39">
        <w:trPr>
          <w:trHeight w:val="300"/>
        </w:trPr>
        <w:tc>
          <w:tcPr>
            <w:tcW w:w="2758" w:type="dxa"/>
            <w:tcBorders>
              <w:top w:val="nil"/>
              <w:left w:val="nil"/>
              <w:bottom w:val="nil"/>
              <w:right w:val="nil"/>
            </w:tcBorders>
            <w:shd w:val="clear" w:color="auto" w:fill="auto"/>
            <w:vAlign w:val="center"/>
            <w:hideMark/>
          </w:tcPr>
          <w:p w:rsidR="00D347FA" w:rsidRPr="004C13A3" w:rsidRDefault="00D347FA" w:rsidP="005B7F39">
            <w:pPr>
              <w:spacing w:after="0" w:line="240" w:lineRule="auto"/>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How often do you eat fruit?</w:t>
            </w:r>
          </w:p>
        </w:tc>
        <w:tc>
          <w:tcPr>
            <w:tcW w:w="780"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42</w:t>
            </w:r>
          </w:p>
        </w:tc>
        <w:tc>
          <w:tcPr>
            <w:tcW w:w="781"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781"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794"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781"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892"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4012</w:t>
            </w:r>
          </w:p>
        </w:tc>
        <w:tc>
          <w:tcPr>
            <w:tcW w:w="1061" w:type="dxa"/>
            <w:tcBorders>
              <w:top w:val="nil"/>
              <w:left w:val="nil"/>
              <w:bottom w:val="nil"/>
              <w:right w:val="nil"/>
            </w:tcBorders>
            <w:shd w:val="clear" w:color="auto" w:fill="auto"/>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4013</w:t>
            </w:r>
          </w:p>
        </w:tc>
      </w:tr>
      <w:tr w:rsidR="00D347FA" w:rsidRPr="004C13A3" w:rsidTr="005B7F39">
        <w:trPr>
          <w:trHeight w:val="300"/>
        </w:trPr>
        <w:tc>
          <w:tcPr>
            <w:tcW w:w="2758" w:type="dxa"/>
            <w:tcBorders>
              <w:top w:val="nil"/>
              <w:left w:val="nil"/>
              <w:bottom w:val="nil"/>
              <w:right w:val="nil"/>
            </w:tcBorders>
            <w:shd w:val="clear" w:color="auto" w:fill="auto"/>
            <w:noWrap/>
            <w:vAlign w:val="bottom"/>
            <w:hideMark/>
          </w:tcPr>
          <w:p w:rsidR="00D347FA" w:rsidRPr="004C13A3" w:rsidRDefault="00D347FA" w:rsidP="005B7F39">
            <w:pPr>
              <w:spacing w:after="0" w:line="240" w:lineRule="auto"/>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How often do you eat vegetables?</w:t>
            </w:r>
          </w:p>
        </w:tc>
        <w:tc>
          <w:tcPr>
            <w:tcW w:w="780"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781"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781"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20</w:t>
            </w:r>
          </w:p>
        </w:tc>
        <w:tc>
          <w:tcPr>
            <w:tcW w:w="794"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781"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3994</w:t>
            </w:r>
          </w:p>
        </w:tc>
        <w:tc>
          <w:tcPr>
            <w:tcW w:w="1061" w:type="dxa"/>
            <w:tcBorders>
              <w:top w:val="nil"/>
              <w:left w:val="nil"/>
              <w:bottom w:val="nil"/>
              <w:right w:val="nil"/>
            </w:tcBorders>
            <w:shd w:val="clear" w:color="auto" w:fill="auto"/>
            <w:noWrap/>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3995</w:t>
            </w:r>
          </w:p>
        </w:tc>
      </w:tr>
      <w:tr w:rsidR="00D347FA" w:rsidRPr="004C13A3" w:rsidTr="005B7F39">
        <w:trPr>
          <w:trHeight w:val="300"/>
        </w:trPr>
        <w:tc>
          <w:tcPr>
            <w:tcW w:w="2758" w:type="dxa"/>
            <w:tcBorders>
              <w:top w:val="nil"/>
              <w:left w:val="nil"/>
              <w:right w:val="nil"/>
            </w:tcBorders>
            <w:shd w:val="clear" w:color="auto" w:fill="auto"/>
            <w:noWrap/>
            <w:vAlign w:val="bottom"/>
            <w:hideMark/>
          </w:tcPr>
          <w:p w:rsidR="00D347FA" w:rsidRPr="004C13A3" w:rsidRDefault="00D347FA" w:rsidP="005B7F39">
            <w:pPr>
              <w:spacing w:after="0" w:line="240" w:lineRule="auto"/>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How often do you drink fizzy drinks?</w:t>
            </w:r>
          </w:p>
        </w:tc>
        <w:tc>
          <w:tcPr>
            <w:tcW w:w="780"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781"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781"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35</w:t>
            </w:r>
          </w:p>
        </w:tc>
        <w:tc>
          <w:tcPr>
            <w:tcW w:w="794"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28</w:t>
            </w:r>
          </w:p>
        </w:tc>
        <w:tc>
          <w:tcPr>
            <w:tcW w:w="781"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2"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4002</w:t>
            </w:r>
          </w:p>
        </w:tc>
        <w:tc>
          <w:tcPr>
            <w:tcW w:w="1061" w:type="dxa"/>
            <w:tcBorders>
              <w:top w:val="nil"/>
              <w:left w:val="nil"/>
              <w:right w:val="nil"/>
            </w:tcBorders>
            <w:shd w:val="clear" w:color="auto" w:fill="auto"/>
            <w:noWrap/>
            <w:vAlign w:val="center"/>
          </w:tcPr>
          <w:p w:rsidR="00D347FA" w:rsidRDefault="00D347FA" w:rsidP="005B7F39">
            <w:pPr>
              <w:spacing w:after="0" w:line="240" w:lineRule="auto"/>
              <w:jc w:val="right"/>
              <w:rPr>
                <w:rFonts w:ascii="Arial" w:hAnsi="Arial" w:cs="Arial"/>
                <w:i/>
                <w:iCs/>
                <w:color w:val="000000"/>
                <w:sz w:val="20"/>
                <w:szCs w:val="20"/>
              </w:rPr>
            </w:pPr>
            <w:r>
              <w:rPr>
                <w:rFonts w:ascii="Arial" w:hAnsi="Arial" w:cs="Arial"/>
                <w:i/>
                <w:iCs/>
                <w:color w:val="000000"/>
                <w:sz w:val="20"/>
                <w:szCs w:val="20"/>
              </w:rPr>
              <w:t>4003</w:t>
            </w:r>
          </w:p>
        </w:tc>
      </w:tr>
      <w:tr w:rsidR="00D347FA" w:rsidRPr="004C13A3" w:rsidTr="005B7F39">
        <w:trPr>
          <w:trHeight w:val="227"/>
        </w:trPr>
        <w:tc>
          <w:tcPr>
            <w:tcW w:w="2758"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780"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781"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781"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794"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781"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color w:val="000000"/>
                <w:sz w:val="20"/>
                <w:szCs w:val="20"/>
                <w:lang w:eastAsia="en-GB"/>
              </w:rPr>
            </w:pPr>
            <w:r w:rsidRPr="004C13A3">
              <w:rPr>
                <w:rFonts w:ascii="Arial" w:eastAsia="Times New Roman" w:hAnsi="Arial" w:cs="Arial"/>
                <w:color w:val="000000"/>
                <w:sz w:val="20"/>
                <w:szCs w:val="20"/>
                <w:lang w:eastAsia="en-GB"/>
              </w:rPr>
              <w:t> </w:t>
            </w:r>
          </w:p>
        </w:tc>
        <w:tc>
          <w:tcPr>
            <w:tcW w:w="892"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i/>
                <w:iCs/>
                <w:color w:val="000000"/>
                <w:sz w:val="20"/>
                <w:szCs w:val="20"/>
                <w:lang w:eastAsia="en-GB"/>
              </w:rPr>
            </w:pPr>
            <w:r w:rsidRPr="004C13A3">
              <w:rPr>
                <w:rFonts w:ascii="Arial" w:eastAsia="Times New Roman" w:hAnsi="Arial" w:cs="Arial"/>
                <w:i/>
                <w:iCs/>
                <w:color w:val="000000"/>
                <w:sz w:val="20"/>
                <w:szCs w:val="20"/>
                <w:lang w:eastAsia="en-GB"/>
              </w:rPr>
              <w:t> </w:t>
            </w:r>
          </w:p>
        </w:tc>
        <w:tc>
          <w:tcPr>
            <w:tcW w:w="1061" w:type="dxa"/>
            <w:tcBorders>
              <w:top w:val="nil"/>
              <w:left w:val="nil"/>
              <w:bottom w:val="single" w:sz="12" w:space="0" w:color="auto"/>
              <w:right w:val="nil"/>
            </w:tcBorders>
            <w:shd w:val="clear" w:color="auto" w:fill="auto"/>
            <w:noWrap/>
            <w:vAlign w:val="bottom"/>
            <w:hideMark/>
          </w:tcPr>
          <w:p w:rsidR="00D347FA" w:rsidRPr="004C13A3" w:rsidRDefault="00D347FA" w:rsidP="005B7F39">
            <w:pPr>
              <w:spacing w:after="0" w:line="240" w:lineRule="auto"/>
              <w:jc w:val="right"/>
              <w:rPr>
                <w:rFonts w:ascii="Arial" w:eastAsia="Times New Roman" w:hAnsi="Arial" w:cs="Arial"/>
                <w:i/>
                <w:iCs/>
                <w:color w:val="000000"/>
                <w:sz w:val="20"/>
                <w:szCs w:val="20"/>
                <w:lang w:eastAsia="en-GB"/>
              </w:rPr>
            </w:pPr>
            <w:r w:rsidRPr="004C13A3">
              <w:rPr>
                <w:rFonts w:ascii="Arial" w:eastAsia="Times New Roman" w:hAnsi="Arial" w:cs="Arial"/>
                <w:i/>
                <w:iCs/>
                <w:color w:val="000000"/>
                <w:sz w:val="20"/>
                <w:szCs w:val="20"/>
                <w:lang w:eastAsia="en-GB"/>
              </w:rPr>
              <w:t> </w:t>
            </w: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sidR="00093875">
        <w:rPr>
          <w:i/>
          <w:sz w:val="18"/>
          <w:szCs w:val="18"/>
        </w:rPr>
        <w:t>primary school survey, Falkirk</w:t>
      </w:r>
      <w:r>
        <w:rPr>
          <w:i/>
          <w:sz w:val="18"/>
          <w:szCs w:val="18"/>
        </w:rPr>
        <w:t xml:space="preserve"> 2017</w:t>
      </w:r>
    </w:p>
    <w:p w:rsidR="00D347FA" w:rsidRDefault="006471DB" w:rsidP="00D347FA">
      <w:pPr>
        <w:pStyle w:val="BodyCopy"/>
        <w:spacing w:before="240" w:line="276" w:lineRule="auto"/>
      </w:pPr>
      <w:r>
        <w:lastRenderedPageBreak/>
        <w:t>There were also differences by gender with</w:t>
      </w:r>
      <w:r w:rsidR="00D347FA">
        <w:t xml:space="preserve"> </w:t>
      </w:r>
      <w:r>
        <w:t>b</w:t>
      </w:r>
      <w:r w:rsidR="00D347FA">
        <w:t xml:space="preserve">oys </w:t>
      </w:r>
      <w:r>
        <w:t>being</w:t>
      </w:r>
      <w:r w:rsidR="00D347FA">
        <w:t xml:space="preserve"> less likely than girls to eat both fruit (35% doing so every day  compared with 49% of girls) and vegetables (25% compared with 33%</w:t>
      </w:r>
      <w:r>
        <w:t xml:space="preserve"> respectively</w:t>
      </w:r>
      <w:r w:rsidR="00D347FA">
        <w:t xml:space="preserve">). They were also </w:t>
      </w:r>
      <w:r w:rsidR="00D347FA" w:rsidRPr="006471DB">
        <w:t>more</w:t>
      </w:r>
      <w:r w:rsidR="00D347FA">
        <w:t xml:space="preserve"> likely to consume fizzy drinks every day or most days (34%</w:t>
      </w:r>
      <w:r>
        <w:t>)</w:t>
      </w:r>
      <w:r w:rsidR="00D347FA">
        <w:t xml:space="preserve"> compared with </w:t>
      </w:r>
      <w:r>
        <w:t>girls (</w:t>
      </w:r>
      <w:r w:rsidR="00D347FA">
        <w:t>22%</w:t>
      </w:r>
      <w:r>
        <w:t>)</w:t>
      </w:r>
      <w:r w:rsidR="00D347FA">
        <w:t>.</w:t>
      </w:r>
    </w:p>
    <w:p w:rsidR="00D347FA" w:rsidRDefault="00D347FA" w:rsidP="00D347FA">
      <w:pPr>
        <w:pStyle w:val="BodyCopy"/>
        <w:spacing w:before="240" w:line="276" w:lineRule="auto"/>
      </w:pPr>
      <w:r>
        <w:t xml:space="preserve">Not surprisingly, links with </w:t>
      </w:r>
      <w:r w:rsidR="006471DB">
        <w:t xml:space="preserve">income and </w:t>
      </w:r>
      <w:r>
        <w:t>deprivation were also evident</w:t>
      </w:r>
      <w:r w:rsidR="006471DB">
        <w:t xml:space="preserve"> with</w:t>
      </w:r>
      <w:r>
        <w:t xml:space="preserve"> frequent consumption of </w:t>
      </w:r>
      <w:r w:rsidR="006471DB">
        <w:t xml:space="preserve">fruit and </w:t>
      </w:r>
      <w:r>
        <w:t xml:space="preserve">vegetables lower among those eligible for free school meals and among those in the </w:t>
      </w:r>
      <w:r w:rsidRPr="00FD6C91">
        <w:t>most deprived areas</w:t>
      </w:r>
      <w:r w:rsidR="006471DB">
        <w:t>.</w:t>
      </w:r>
      <w:r w:rsidRPr="00FD6C91">
        <w:t xml:space="preserve"> </w:t>
      </w:r>
      <w:r w:rsidR="006471DB">
        <w:t>For example, t</w:t>
      </w:r>
      <w:r>
        <w:t>hose in the most deprived quintile were less likely to consume fruit every day than those in the least deprived quintile (</w:t>
      </w:r>
      <w:r w:rsidR="00E57CE7">
        <w:t>35</w:t>
      </w:r>
      <w:r>
        <w:t xml:space="preserve">% compared with </w:t>
      </w:r>
      <w:r w:rsidR="00E57CE7">
        <w:t>50</w:t>
      </w:r>
      <w:r>
        <w:t>%</w:t>
      </w:r>
      <w:r w:rsidR="006471DB">
        <w:t xml:space="preserve"> respectively</w:t>
      </w:r>
      <w:r>
        <w:t>)</w:t>
      </w:r>
      <w:r w:rsidR="006471DB">
        <w:t xml:space="preserve"> as were those who were</w:t>
      </w:r>
      <w:r w:rsidRPr="00222940">
        <w:t xml:space="preserve"> </w:t>
      </w:r>
      <w:r>
        <w:t>eligible for free school meals (</w:t>
      </w:r>
      <w:r w:rsidR="00E57CE7">
        <w:t>29</w:t>
      </w:r>
      <w:r w:rsidRPr="00222940">
        <w:t xml:space="preserve">% </w:t>
      </w:r>
      <w:r w:rsidR="006471DB">
        <w:t xml:space="preserve">consuming fruit </w:t>
      </w:r>
      <w:r w:rsidRPr="00222940">
        <w:t>every da</w:t>
      </w:r>
      <w:r>
        <w:t xml:space="preserve">y or most days compared with </w:t>
      </w:r>
      <w:r w:rsidR="00E57CE7">
        <w:t>44</w:t>
      </w:r>
      <w:r>
        <w:t>% of those not in receipt</w:t>
      </w:r>
      <w:r w:rsidR="006471DB">
        <w:t xml:space="preserve"> of free school meals</w:t>
      </w:r>
      <w:r>
        <w:t xml:space="preserve">). </w:t>
      </w:r>
    </w:p>
    <w:p w:rsidR="00D347FA" w:rsidRPr="00FD6C91" w:rsidRDefault="00D347FA" w:rsidP="00D347FA">
      <w:pPr>
        <w:pStyle w:val="BodyCopy"/>
        <w:spacing w:before="240" w:line="276" w:lineRule="auto"/>
      </w:pPr>
      <w:r>
        <w:t xml:space="preserve">Fizzy drinks were </w:t>
      </w:r>
      <w:r w:rsidRPr="00FD6C91">
        <w:t xml:space="preserve">consumed every day or most days by </w:t>
      </w:r>
      <w:r>
        <w:t>38</w:t>
      </w:r>
      <w:r w:rsidRPr="00FD6C91">
        <w:t xml:space="preserve">% of those in the most deprived </w:t>
      </w:r>
      <w:r>
        <w:t>quintile</w:t>
      </w:r>
      <w:r w:rsidRPr="00FD6C91">
        <w:t xml:space="preserve"> compared with just </w:t>
      </w:r>
      <w:r>
        <w:t>17</w:t>
      </w:r>
      <w:r w:rsidRPr="00FD6C91">
        <w:t xml:space="preserve">% of those in the least deprived. </w:t>
      </w:r>
      <w:r>
        <w:t xml:space="preserve">Those eligible for free school meals also consumed these drinks more frequently (40%) than </w:t>
      </w:r>
      <w:r w:rsidR="00C852EB">
        <w:t xml:space="preserve">did </w:t>
      </w:r>
      <w:r>
        <w:t xml:space="preserve">those not in receipt of </w:t>
      </w:r>
      <w:r w:rsidR="006572DA">
        <w:t xml:space="preserve">free school </w:t>
      </w:r>
      <w:r>
        <w:t>meals (26%).</w:t>
      </w:r>
    </w:p>
    <w:p w:rsidR="00D347FA" w:rsidRDefault="00D347FA" w:rsidP="00D347FA">
      <w:pPr>
        <w:pStyle w:val="BodyCopy"/>
        <w:spacing w:before="240" w:line="276" w:lineRule="auto"/>
      </w:pPr>
      <w:r w:rsidRPr="005C545A">
        <w:t xml:space="preserve">There was also some evidence of less healthy dietary behaviours among children in single </w:t>
      </w:r>
      <w:r w:rsidR="00DA2DB4">
        <w:t>parent households and step-families and those with no siblings</w:t>
      </w:r>
      <w:r w:rsidRPr="005C545A">
        <w:t xml:space="preserve">. For example, </w:t>
      </w:r>
      <w:r>
        <w:t>daily</w:t>
      </w:r>
      <w:r w:rsidRPr="005C545A">
        <w:t xml:space="preserve"> vegetable consumption was less common among those in single</w:t>
      </w:r>
      <w:r w:rsidR="00DA2DB4">
        <w:t xml:space="preserve"> </w:t>
      </w:r>
      <w:r w:rsidRPr="005C545A">
        <w:t>parent households (</w:t>
      </w:r>
      <w:r>
        <w:t>25</w:t>
      </w:r>
      <w:r w:rsidRPr="005C545A">
        <w:t>%</w:t>
      </w:r>
      <w:r w:rsidR="00DA2DB4">
        <w:t>)</w:t>
      </w:r>
      <w:r w:rsidRPr="005C545A">
        <w:t xml:space="preserve"> compared with </w:t>
      </w:r>
      <w:r w:rsidR="00DA2DB4">
        <w:t>those living in two parent households (</w:t>
      </w:r>
      <w:r>
        <w:t>31</w:t>
      </w:r>
      <w:r w:rsidRPr="005C545A">
        <w:t>%</w:t>
      </w:r>
      <w:r w:rsidR="00DA2DB4">
        <w:t>)</w:t>
      </w:r>
      <w:r w:rsidRPr="005C545A">
        <w:t>.</w:t>
      </w:r>
      <w:r>
        <w:t xml:space="preserve"> </w:t>
      </w:r>
    </w:p>
    <w:p w:rsidR="00D347FA" w:rsidRPr="00087FA4" w:rsidRDefault="00D347FA" w:rsidP="00D347FA">
      <w:pPr>
        <w:pStyle w:val="BodyCopy"/>
        <w:spacing w:before="240" w:line="276" w:lineRule="auto"/>
      </w:pPr>
      <w:r>
        <w:t>The same pattern was evident for fruit consumption, with</w:t>
      </w:r>
      <w:r w:rsidRPr="005C545A">
        <w:t xml:space="preserve"> </w:t>
      </w:r>
      <w:r>
        <w:t>those in single</w:t>
      </w:r>
      <w:r w:rsidR="00DA2DB4">
        <w:t xml:space="preserve"> </w:t>
      </w:r>
      <w:r>
        <w:t>parent households eating fruit less frequently (34% daily compared with 44% in two</w:t>
      </w:r>
      <w:r w:rsidR="00DA2DB4">
        <w:t xml:space="preserve"> </w:t>
      </w:r>
      <w:r>
        <w:t xml:space="preserve">parent households). </w:t>
      </w:r>
      <w:r w:rsidRPr="005C545A">
        <w:t>Th</w:t>
      </w:r>
      <w:r>
        <w:t>ose in single</w:t>
      </w:r>
      <w:r w:rsidR="00DA2DB4">
        <w:t xml:space="preserve"> </w:t>
      </w:r>
      <w:r>
        <w:t>parent households</w:t>
      </w:r>
      <w:r w:rsidRPr="005C545A">
        <w:t xml:space="preserve">, by contrast, were more likely to consume fizzy drinks every </w:t>
      </w:r>
      <w:r>
        <w:t xml:space="preserve">day </w:t>
      </w:r>
      <w:r w:rsidRPr="005C545A">
        <w:t>or most days (</w:t>
      </w:r>
      <w:r>
        <w:t>35</w:t>
      </w:r>
      <w:r w:rsidRPr="005C545A">
        <w:t>% compare</w:t>
      </w:r>
      <w:r>
        <w:t>d with 25</w:t>
      </w:r>
      <w:r w:rsidRPr="005C545A">
        <w:t>% in two</w:t>
      </w:r>
      <w:r w:rsidR="00DA2DB4">
        <w:t xml:space="preserve"> </w:t>
      </w:r>
      <w:r w:rsidRPr="005C545A">
        <w:t>parent households).</w:t>
      </w:r>
    </w:p>
    <w:p w:rsidR="00D347FA" w:rsidRDefault="00D347FA" w:rsidP="00D347FA">
      <w:pPr>
        <w:pStyle w:val="BodyCopy"/>
        <w:spacing w:before="240" w:line="276" w:lineRule="auto"/>
      </w:pPr>
      <w:r w:rsidRPr="00F16A48">
        <w:t xml:space="preserve">It is also worth noting an association between healthy dietary behaviour and family mealtime routines. For instance, </w:t>
      </w:r>
      <w:r>
        <w:t>daily</w:t>
      </w:r>
      <w:r w:rsidRPr="00F16A48">
        <w:t xml:space="preserve"> vegetable consumption was lower among those who rarely</w:t>
      </w:r>
      <w:r w:rsidR="00E57CE7">
        <w:t xml:space="preserve"> or never</w:t>
      </w:r>
      <w:r w:rsidR="00DA2DB4">
        <w:t xml:space="preserve"> sat</w:t>
      </w:r>
      <w:r w:rsidRPr="00F16A48">
        <w:t xml:space="preserve"> down to a meal with their family (</w:t>
      </w:r>
      <w:r>
        <w:t>19</w:t>
      </w:r>
      <w:r w:rsidR="00E57CE7">
        <w:t>-22</w:t>
      </w:r>
      <w:r w:rsidRPr="00F16A48">
        <w:t xml:space="preserve">%, compared with </w:t>
      </w:r>
      <w:r>
        <w:t>25</w:t>
      </w:r>
      <w:r w:rsidR="00E57CE7">
        <w:t>-39</w:t>
      </w:r>
      <w:r w:rsidRPr="00F16A48">
        <w:t xml:space="preserve">% among those who </w:t>
      </w:r>
      <w:r w:rsidR="00DA2DB4">
        <w:t>at</w:t>
      </w:r>
      <w:r w:rsidR="00E30750">
        <w:t>e</w:t>
      </w:r>
      <w:r w:rsidRPr="00F16A48">
        <w:t xml:space="preserve"> together most days</w:t>
      </w:r>
      <w:r w:rsidR="00E57CE7">
        <w:t xml:space="preserve"> or every day</w:t>
      </w:r>
      <w:r w:rsidRPr="00F16A48">
        <w:t>). Similar patterns were evident in relation to consumption of fruit and fizzy drinks.</w:t>
      </w:r>
      <w:r w:rsidR="00C852EB">
        <w:t xml:space="preserve"> </w:t>
      </w:r>
      <w:r w:rsidR="000C0231">
        <w:t>Similar</w:t>
      </w:r>
      <w:r w:rsidR="00C852EB">
        <w:t xml:space="preserve"> patterns were seen for the secondary school survey (see section 2.2.2), although the slightly different question wording means that responses are not directly comparable.</w:t>
      </w:r>
    </w:p>
    <w:p w:rsidR="00D347FA" w:rsidRDefault="00C15A19" w:rsidP="00D347FA">
      <w:pPr>
        <w:pStyle w:val="BodyCopy"/>
        <w:spacing w:before="240" w:line="276" w:lineRule="auto"/>
      </w:pPr>
      <w:r>
        <w:rPr>
          <w:noProof/>
        </w:rPr>
        <w:lastRenderedPageBreak/>
        <w:drawing>
          <wp:inline distT="0" distB="0" distL="0" distR="0" wp14:anchorId="6EEB6233" wp14:editId="57233B22">
            <wp:extent cx="4951095" cy="3327158"/>
            <wp:effectExtent l="0" t="0" r="1905" b="698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347FA" w:rsidRPr="00A018E9" w:rsidRDefault="00D347FA" w:rsidP="00D347FA">
      <w:pPr>
        <w:pStyle w:val="BodyCopy"/>
        <w:spacing w:after="200" w:line="276" w:lineRule="auto"/>
        <w:rPr>
          <w:i/>
          <w:sz w:val="18"/>
          <w:szCs w:val="18"/>
        </w:rPr>
      </w:pPr>
      <w:r>
        <w:rPr>
          <w:i/>
          <w:sz w:val="18"/>
          <w:szCs w:val="18"/>
        </w:rPr>
        <w:t xml:space="preserve">        </w:t>
      </w:r>
      <w:r w:rsidRPr="00A018E9">
        <w:rPr>
          <w:i/>
          <w:sz w:val="18"/>
          <w:szCs w:val="18"/>
        </w:rPr>
        <w:t xml:space="preserve">Source: RCS </w:t>
      </w:r>
      <w:r>
        <w:rPr>
          <w:i/>
          <w:sz w:val="18"/>
          <w:szCs w:val="18"/>
        </w:rPr>
        <w:t>primary school survey, Falkirk 2017</w:t>
      </w:r>
    </w:p>
    <w:p w:rsidR="00D347FA" w:rsidRDefault="00D347FA" w:rsidP="00D347FA">
      <w:pPr>
        <w:pStyle w:val="Heading3"/>
        <w:numPr>
          <w:ilvl w:val="0"/>
          <w:numId w:val="0"/>
        </w:numPr>
        <w:spacing w:line="276" w:lineRule="auto"/>
        <w:ind w:left="851" w:hanging="851"/>
      </w:pPr>
      <w:bookmarkStart w:id="91" w:name="_Toc478636817"/>
      <w:bookmarkStart w:id="92" w:name="_Toc479456953"/>
      <w:bookmarkStart w:id="93" w:name="_Toc494182070"/>
      <w:r w:rsidRPr="00867735">
        <w:rPr>
          <w:color w:val="auto"/>
        </w:rPr>
        <w:t>Den</w:t>
      </w:r>
      <w:r w:rsidRPr="00867735">
        <w:t>tal health</w:t>
      </w:r>
      <w:bookmarkEnd w:id="91"/>
      <w:r w:rsidRPr="00867735">
        <w:t xml:space="preserve"> (Healthy)</w:t>
      </w:r>
      <w:bookmarkEnd w:id="92"/>
      <w:bookmarkEnd w:id="93"/>
    </w:p>
    <w:p w:rsidR="00D347FA" w:rsidRDefault="00D347FA" w:rsidP="00D347FA">
      <w:pPr>
        <w:pStyle w:val="BodyCopy"/>
        <w:spacing w:before="240" w:line="276" w:lineRule="auto"/>
      </w:pPr>
      <w:r>
        <w:t>The Chief Dental Officer recommends that children should brush their teeth at least twice a day with fluoride toothpaste</w:t>
      </w:r>
      <w:r>
        <w:rPr>
          <w:rStyle w:val="EndnoteReference"/>
          <w:rFonts w:eastAsiaTheme="minorHAnsi"/>
        </w:rPr>
        <w:endnoteReference w:id="16"/>
      </w:r>
      <w:r w:rsidRPr="00005AC3">
        <w:t xml:space="preserve"> </w:t>
      </w:r>
      <w:r>
        <w:t>and frequency of tooth brushing has been shown to be a reliable proxy measure for oral hygiene.</w:t>
      </w:r>
      <w:r>
        <w:rPr>
          <w:rStyle w:val="EndnoteReference"/>
          <w:rFonts w:eastAsiaTheme="minorHAnsi"/>
        </w:rPr>
        <w:endnoteReference w:id="17"/>
      </w:r>
      <w:r>
        <w:t xml:space="preserve"> Around three-quarters (74%) of children in P5</w:t>
      </w:r>
      <w:r w:rsidR="00867735">
        <w:t xml:space="preserve"> to</w:t>
      </w:r>
      <w:r>
        <w:t xml:space="preserve"> P7 in Falkirk met this target, while 5% brushed their teeth less than once a day.</w:t>
      </w:r>
    </w:p>
    <w:p w:rsidR="00D347FA" w:rsidRDefault="00D347FA" w:rsidP="00D347FA">
      <w:pPr>
        <w:pStyle w:val="BodyCopy"/>
        <w:spacing w:before="240" w:line="276" w:lineRule="auto"/>
      </w:pPr>
      <w:r>
        <w:t xml:space="preserve">As the following table shows, some groups of pupils were more likely to brush their teeth at least twice a day. These included girls, those </w:t>
      </w:r>
      <w:r w:rsidR="00867735">
        <w:t xml:space="preserve">living </w:t>
      </w:r>
      <w:r>
        <w:t xml:space="preserve">in </w:t>
      </w:r>
      <w:r w:rsidR="00867735">
        <w:t xml:space="preserve">more </w:t>
      </w:r>
      <w:r>
        <w:t xml:space="preserve">deprived </w:t>
      </w:r>
      <w:r w:rsidR="00867735">
        <w:t>area</w:t>
      </w:r>
      <w:r>
        <w:t xml:space="preserve">, and those not eligible for free school meals. Those with one sibling at home were also more likely than those with either no siblings or more than one </w:t>
      </w:r>
      <w:r w:rsidR="00867735">
        <w:t xml:space="preserve">sibling </w:t>
      </w:r>
      <w:r>
        <w:t>to brush their teeth twice daily</w:t>
      </w:r>
      <w:r w:rsidR="0049568A">
        <w:t>. And</w:t>
      </w:r>
      <w:r>
        <w:t xml:space="preserve"> those living in two</w:t>
      </w:r>
      <w:r w:rsidR="00867735">
        <w:t xml:space="preserve"> </w:t>
      </w:r>
      <w:r>
        <w:t xml:space="preserve">parent households </w:t>
      </w:r>
      <w:r w:rsidR="0049568A">
        <w:t>were more likely to brush their teeth twice daily (</w:t>
      </w:r>
      <w:r>
        <w:t>compared with those in single</w:t>
      </w:r>
      <w:r w:rsidR="00867735">
        <w:t xml:space="preserve"> </w:t>
      </w:r>
      <w:r>
        <w:t xml:space="preserve">parent </w:t>
      </w:r>
      <w:r w:rsidR="00867735">
        <w:t xml:space="preserve">households </w:t>
      </w:r>
      <w:r>
        <w:t>or step-families</w:t>
      </w:r>
      <w:r w:rsidR="0049568A">
        <w:t>)</w:t>
      </w:r>
      <w:r>
        <w:t>.</w:t>
      </w:r>
    </w:p>
    <w:p w:rsidR="00D347FA" w:rsidRDefault="00253A6C" w:rsidP="00D347FA">
      <w:pPr>
        <w:pStyle w:val="BodyCopy"/>
        <w:spacing w:before="240" w:line="276" w:lineRule="auto"/>
      </w:pPr>
      <w:r>
        <w:t xml:space="preserve">Importantly, given the potential compounding effects, those who drank fizzy drinks every day or on most days were also markedly less likely to brush their teeth at least twice </w:t>
      </w:r>
      <w:r w:rsidR="00655324">
        <w:t xml:space="preserve">a </w:t>
      </w:r>
      <w:r>
        <w:t>day (56% and 62%, respectively) compared with those who rarely or never consumed fizzy drinks (83% and 80%).</w:t>
      </w:r>
      <w:r w:rsidR="00D347FA">
        <w:t xml:space="preserve"> </w:t>
      </w:r>
    </w:p>
    <w:p w:rsidR="00D347FA" w:rsidRDefault="00D347FA" w:rsidP="00D347FA">
      <w:pPr>
        <w:pStyle w:val="BodyCopy"/>
        <w:spacing w:before="240" w:line="276" w:lineRule="auto"/>
      </w:pPr>
    </w:p>
    <w:p w:rsidR="00D710A5" w:rsidRDefault="00D710A5" w:rsidP="00D347FA">
      <w:pPr>
        <w:pStyle w:val="BodyCopy"/>
        <w:spacing w:before="240" w:line="276" w:lineRule="auto"/>
      </w:pPr>
    </w:p>
    <w:p w:rsidR="00D710A5" w:rsidRDefault="00D710A5" w:rsidP="00D347FA">
      <w:pPr>
        <w:pStyle w:val="BodyCopy"/>
        <w:spacing w:before="240" w:line="276" w:lineRule="auto"/>
      </w:pPr>
    </w:p>
    <w:p w:rsidR="00D710A5" w:rsidRDefault="00D710A5" w:rsidP="00D347FA">
      <w:pPr>
        <w:pStyle w:val="BodyCopy"/>
        <w:spacing w:before="240" w:line="276" w:lineRule="auto"/>
      </w:pPr>
    </w:p>
    <w:tbl>
      <w:tblPr>
        <w:tblW w:w="8674" w:type="dxa"/>
        <w:tblInd w:w="93" w:type="dxa"/>
        <w:tblLook w:val="04A0" w:firstRow="1" w:lastRow="0" w:firstColumn="1" w:lastColumn="0" w:noHBand="0" w:noVBand="1"/>
      </w:tblPr>
      <w:tblGrid>
        <w:gridCol w:w="3516"/>
        <w:gridCol w:w="1025"/>
        <w:gridCol w:w="825"/>
        <w:gridCol w:w="1129"/>
        <w:gridCol w:w="1005"/>
        <w:gridCol w:w="1174"/>
      </w:tblGrid>
      <w:tr w:rsidR="00D347FA" w:rsidRPr="00034B72" w:rsidTr="005B7F39">
        <w:trPr>
          <w:trHeight w:val="340"/>
        </w:trPr>
        <w:tc>
          <w:tcPr>
            <w:tcW w:w="0" w:type="auto"/>
            <w:gridSpan w:val="6"/>
            <w:tcBorders>
              <w:top w:val="single" w:sz="12" w:space="0" w:color="auto"/>
              <w:left w:val="nil"/>
              <w:bottom w:val="nil"/>
              <w:right w:val="nil"/>
            </w:tcBorders>
            <w:shd w:val="clear" w:color="auto" w:fill="auto"/>
            <w:hideMark/>
          </w:tcPr>
          <w:p w:rsidR="00D347FA" w:rsidRPr="00D710A5" w:rsidRDefault="00D347FA" w:rsidP="005B7F39">
            <w:pPr>
              <w:keepNext/>
              <w:spacing w:after="0" w:line="240" w:lineRule="auto"/>
              <w:rPr>
                <w:rFonts w:ascii="Arial" w:eastAsia="Times New Roman" w:hAnsi="Arial" w:cs="Arial"/>
                <w:b/>
                <w:bCs/>
                <w:color w:val="000000"/>
                <w:sz w:val="20"/>
                <w:szCs w:val="20"/>
                <w:lang w:eastAsia="en-GB"/>
              </w:rPr>
            </w:pPr>
            <w:r w:rsidRPr="00D710A5">
              <w:rPr>
                <w:rFonts w:ascii="Arial" w:eastAsia="Times New Roman" w:hAnsi="Arial" w:cs="Arial"/>
                <w:b/>
                <w:bCs/>
                <w:color w:val="000000"/>
                <w:sz w:val="20"/>
                <w:szCs w:val="20"/>
                <w:lang w:eastAsia="en-GB"/>
              </w:rPr>
              <w:lastRenderedPageBreak/>
              <w:t>Table 3.2.2</w:t>
            </w:r>
            <w:r w:rsidR="00177C31">
              <w:rPr>
                <w:rFonts w:ascii="Arial" w:eastAsia="Times New Roman" w:hAnsi="Arial" w:cs="Arial"/>
                <w:b/>
                <w:bCs/>
                <w:color w:val="000000"/>
                <w:sz w:val="20"/>
                <w:szCs w:val="20"/>
                <w:lang w:eastAsia="en-GB"/>
              </w:rPr>
              <w:t>d</w:t>
            </w:r>
            <w:r w:rsidRPr="00D710A5">
              <w:rPr>
                <w:rFonts w:ascii="Arial" w:eastAsia="Times New Roman" w:hAnsi="Arial" w:cs="Arial"/>
                <w:b/>
                <w:bCs/>
                <w:color w:val="000000"/>
                <w:sz w:val="20"/>
                <w:szCs w:val="20"/>
                <w:lang w:eastAsia="en-GB"/>
              </w:rPr>
              <w:t xml:space="preserve"> Dental health</w:t>
            </w:r>
          </w:p>
        </w:tc>
      </w:tr>
      <w:tr w:rsidR="00D347FA" w:rsidRPr="00034B72" w:rsidTr="005B7F39">
        <w:trPr>
          <w:trHeight w:val="1020"/>
        </w:trPr>
        <w:tc>
          <w:tcPr>
            <w:tcW w:w="0" w:type="auto"/>
            <w:tcBorders>
              <w:top w:val="nil"/>
              <w:left w:val="nil"/>
              <w:bottom w:val="single" w:sz="12" w:space="0" w:color="auto"/>
              <w:right w:val="nil"/>
            </w:tcBorders>
            <w:shd w:val="clear" w:color="auto" w:fill="auto"/>
            <w:vAlign w:val="center"/>
            <w:hideMark/>
          </w:tcPr>
          <w:p w:rsidR="00D347FA" w:rsidRPr="00D710A5" w:rsidRDefault="00D347FA" w:rsidP="005B7F39">
            <w:pPr>
              <w:spacing w:after="0" w:line="240" w:lineRule="auto"/>
              <w:rPr>
                <w:rFonts w:ascii="Arial" w:eastAsia="Times New Roman" w:hAnsi="Arial" w:cs="Arial"/>
                <w:color w:val="000000"/>
                <w:sz w:val="20"/>
                <w:szCs w:val="20"/>
                <w:lang w:eastAsia="en-GB"/>
              </w:rPr>
            </w:pPr>
            <w:r w:rsidRPr="00D710A5">
              <w:rPr>
                <w:rFonts w:ascii="Arial" w:eastAsia="Times New Roman" w:hAnsi="Arial" w:cs="Arial"/>
                <w:color w:val="000000"/>
                <w:sz w:val="20"/>
                <w:szCs w:val="20"/>
                <w:lang w:eastAsia="en-GB"/>
              </w:rPr>
              <w:t>How often do you brush your teeth with toothpaste?</w:t>
            </w:r>
          </w:p>
        </w:tc>
        <w:tc>
          <w:tcPr>
            <w:tcW w:w="0" w:type="auto"/>
            <w:tcBorders>
              <w:top w:val="nil"/>
              <w:left w:val="nil"/>
              <w:bottom w:val="single" w:sz="12" w:space="0" w:color="auto"/>
              <w:right w:val="nil"/>
            </w:tcBorders>
            <w:shd w:val="clear" w:color="auto" w:fill="auto"/>
            <w:vAlign w:val="center"/>
            <w:hideMark/>
          </w:tcPr>
          <w:p w:rsidR="00D347FA" w:rsidRPr="00D710A5" w:rsidRDefault="00D347FA" w:rsidP="005B7F39">
            <w:pPr>
              <w:spacing w:after="0" w:line="240" w:lineRule="auto"/>
              <w:jc w:val="center"/>
              <w:rPr>
                <w:rFonts w:ascii="Arial" w:eastAsia="Times New Roman" w:hAnsi="Arial" w:cs="Arial"/>
                <w:color w:val="000000"/>
                <w:sz w:val="20"/>
                <w:szCs w:val="20"/>
                <w:lang w:eastAsia="en-GB"/>
              </w:rPr>
            </w:pPr>
            <w:r w:rsidRPr="00D710A5">
              <w:rPr>
                <w:rFonts w:ascii="Arial" w:eastAsia="Times New Roman" w:hAnsi="Arial" w:cs="Arial"/>
                <w:color w:val="000000"/>
                <w:sz w:val="20"/>
                <w:szCs w:val="20"/>
                <w:lang w:eastAsia="en-GB"/>
              </w:rPr>
              <w:t>More than once a day</w:t>
            </w:r>
          </w:p>
        </w:tc>
        <w:tc>
          <w:tcPr>
            <w:tcW w:w="0" w:type="auto"/>
            <w:tcBorders>
              <w:top w:val="nil"/>
              <w:left w:val="nil"/>
              <w:bottom w:val="single" w:sz="12" w:space="0" w:color="auto"/>
              <w:right w:val="nil"/>
            </w:tcBorders>
            <w:shd w:val="clear" w:color="auto" w:fill="auto"/>
            <w:vAlign w:val="center"/>
            <w:hideMark/>
          </w:tcPr>
          <w:p w:rsidR="00D347FA" w:rsidRPr="00D710A5" w:rsidRDefault="00D347FA" w:rsidP="005B7F39">
            <w:pPr>
              <w:spacing w:after="0" w:line="240" w:lineRule="auto"/>
              <w:jc w:val="center"/>
              <w:rPr>
                <w:rFonts w:ascii="Arial" w:eastAsia="Times New Roman" w:hAnsi="Arial" w:cs="Arial"/>
                <w:color w:val="000000"/>
                <w:sz w:val="20"/>
                <w:szCs w:val="20"/>
                <w:lang w:eastAsia="en-GB"/>
              </w:rPr>
            </w:pPr>
            <w:r w:rsidRPr="00D710A5">
              <w:rPr>
                <w:rFonts w:ascii="Arial" w:eastAsia="Times New Roman" w:hAnsi="Arial" w:cs="Arial"/>
                <w:color w:val="000000"/>
                <w:sz w:val="20"/>
                <w:szCs w:val="20"/>
                <w:lang w:eastAsia="en-GB"/>
              </w:rPr>
              <w:t>Once a day</w:t>
            </w:r>
          </w:p>
        </w:tc>
        <w:tc>
          <w:tcPr>
            <w:tcW w:w="0" w:type="auto"/>
            <w:tcBorders>
              <w:top w:val="nil"/>
              <w:left w:val="nil"/>
              <w:bottom w:val="single" w:sz="12" w:space="0" w:color="auto"/>
              <w:right w:val="nil"/>
            </w:tcBorders>
            <w:shd w:val="clear" w:color="auto" w:fill="auto"/>
            <w:vAlign w:val="center"/>
            <w:hideMark/>
          </w:tcPr>
          <w:p w:rsidR="00D347FA" w:rsidRPr="00D710A5" w:rsidRDefault="00D347FA" w:rsidP="005B7F39">
            <w:pPr>
              <w:spacing w:after="0" w:line="240" w:lineRule="auto"/>
              <w:jc w:val="center"/>
              <w:rPr>
                <w:rFonts w:ascii="Arial" w:eastAsia="Times New Roman" w:hAnsi="Arial" w:cs="Arial"/>
                <w:color w:val="000000"/>
                <w:sz w:val="20"/>
                <w:szCs w:val="20"/>
                <w:lang w:eastAsia="en-GB"/>
              </w:rPr>
            </w:pPr>
            <w:r w:rsidRPr="00D710A5">
              <w:rPr>
                <w:rFonts w:ascii="Arial" w:eastAsia="Times New Roman" w:hAnsi="Arial" w:cs="Arial"/>
                <w:color w:val="000000"/>
                <w:sz w:val="20"/>
                <w:szCs w:val="20"/>
                <w:lang w:eastAsia="en-GB"/>
              </w:rPr>
              <w:t>Less often than once a day</w:t>
            </w:r>
          </w:p>
        </w:tc>
        <w:tc>
          <w:tcPr>
            <w:tcW w:w="0" w:type="auto"/>
            <w:tcBorders>
              <w:top w:val="nil"/>
              <w:left w:val="nil"/>
              <w:bottom w:val="single" w:sz="12" w:space="0" w:color="auto"/>
              <w:right w:val="nil"/>
            </w:tcBorders>
            <w:shd w:val="clear" w:color="auto" w:fill="auto"/>
            <w:vAlign w:val="center"/>
            <w:hideMark/>
          </w:tcPr>
          <w:p w:rsidR="00D347FA" w:rsidRPr="009F2F77" w:rsidRDefault="00D347FA" w:rsidP="005B7F39">
            <w:pPr>
              <w:spacing w:after="0" w:line="240" w:lineRule="auto"/>
              <w:jc w:val="center"/>
              <w:rPr>
                <w:rFonts w:ascii="Arial" w:eastAsia="Times New Roman" w:hAnsi="Arial" w:cs="Arial"/>
                <w:i/>
                <w:iCs/>
                <w:color w:val="000000"/>
                <w:sz w:val="16"/>
                <w:szCs w:val="16"/>
                <w:lang w:eastAsia="en-GB"/>
              </w:rPr>
            </w:pPr>
            <w:r w:rsidRPr="009F2F77">
              <w:rPr>
                <w:rFonts w:ascii="Arial" w:eastAsia="Times New Roman" w:hAnsi="Arial" w:cs="Arial"/>
                <w:i/>
                <w:iCs/>
                <w:color w:val="000000"/>
                <w:sz w:val="16"/>
                <w:szCs w:val="16"/>
                <w:lang w:eastAsia="en-GB"/>
              </w:rPr>
              <w:t>Weighted base</w:t>
            </w:r>
            <w:r w:rsidR="00D710A5">
              <w:rPr>
                <w:rFonts w:ascii="Arial" w:eastAsia="Times New Roman" w:hAnsi="Arial" w:cs="Arial"/>
                <w:i/>
                <w:iCs/>
                <w:color w:val="000000"/>
                <w:sz w:val="16"/>
                <w:szCs w:val="16"/>
                <w:lang w:eastAsia="en-GB"/>
              </w:rPr>
              <w:t>s</w:t>
            </w:r>
          </w:p>
        </w:tc>
        <w:tc>
          <w:tcPr>
            <w:tcW w:w="0" w:type="auto"/>
            <w:tcBorders>
              <w:top w:val="nil"/>
              <w:left w:val="nil"/>
              <w:bottom w:val="single" w:sz="12" w:space="0" w:color="auto"/>
              <w:right w:val="nil"/>
            </w:tcBorders>
            <w:shd w:val="clear" w:color="auto" w:fill="auto"/>
            <w:vAlign w:val="center"/>
            <w:hideMark/>
          </w:tcPr>
          <w:p w:rsidR="00D347FA" w:rsidRPr="009F2F77" w:rsidRDefault="00D347FA" w:rsidP="005B7F39">
            <w:pPr>
              <w:spacing w:after="0" w:line="240" w:lineRule="auto"/>
              <w:jc w:val="center"/>
              <w:rPr>
                <w:rFonts w:ascii="Arial" w:eastAsia="Times New Roman" w:hAnsi="Arial" w:cs="Arial"/>
                <w:i/>
                <w:iCs/>
                <w:color w:val="000000"/>
                <w:sz w:val="16"/>
                <w:szCs w:val="16"/>
                <w:lang w:eastAsia="en-GB"/>
              </w:rPr>
            </w:pPr>
            <w:r w:rsidRPr="009F2F77">
              <w:rPr>
                <w:rFonts w:ascii="Arial" w:eastAsia="Times New Roman" w:hAnsi="Arial" w:cs="Arial"/>
                <w:i/>
                <w:iCs/>
                <w:color w:val="000000"/>
                <w:sz w:val="16"/>
                <w:szCs w:val="16"/>
                <w:lang w:eastAsia="en-GB"/>
              </w:rPr>
              <w:t>Unweighted base</w:t>
            </w:r>
            <w:r w:rsidR="00D710A5">
              <w:rPr>
                <w:rFonts w:ascii="Arial" w:eastAsia="Times New Roman" w:hAnsi="Arial" w:cs="Arial"/>
                <w:i/>
                <w:iCs/>
                <w:color w:val="000000"/>
                <w:sz w:val="16"/>
                <w:szCs w:val="16"/>
                <w:lang w:eastAsia="en-GB"/>
              </w:rPr>
              <w:t>s</w:t>
            </w:r>
          </w:p>
        </w:tc>
      </w:tr>
      <w:tr w:rsidR="00D347FA" w:rsidRPr="00034B72" w:rsidTr="005B7F39">
        <w:trPr>
          <w:trHeight w:val="283"/>
        </w:trPr>
        <w:tc>
          <w:tcPr>
            <w:tcW w:w="0" w:type="auto"/>
            <w:gridSpan w:val="6"/>
            <w:tcBorders>
              <w:top w:val="single" w:sz="12" w:space="0" w:color="auto"/>
              <w:left w:val="nil"/>
              <w:bottom w:val="single" w:sz="8" w:space="0" w:color="auto"/>
              <w:right w:val="nil"/>
            </w:tcBorders>
            <w:shd w:val="clear" w:color="auto" w:fill="auto"/>
            <w:vAlign w:val="center"/>
            <w:hideMark/>
          </w:tcPr>
          <w:p w:rsidR="00D347FA" w:rsidRPr="00034B72" w:rsidRDefault="00D347FA" w:rsidP="005B7F39">
            <w:pPr>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D710A5" w:rsidTr="005B7F39">
        <w:trPr>
          <w:trHeight w:val="300"/>
        </w:trPr>
        <w:tc>
          <w:tcPr>
            <w:tcW w:w="0" w:type="auto"/>
            <w:tcBorders>
              <w:top w:val="nil"/>
              <w:left w:val="nil"/>
              <w:bottom w:val="nil"/>
              <w:right w:val="nil"/>
            </w:tcBorders>
            <w:shd w:val="clear" w:color="auto" w:fill="auto"/>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All</w:t>
            </w:r>
          </w:p>
        </w:tc>
        <w:tc>
          <w:tcPr>
            <w:tcW w:w="0" w:type="auto"/>
            <w:tcBorders>
              <w:top w:val="nil"/>
              <w:left w:val="nil"/>
              <w:bottom w:val="nil"/>
              <w:right w:val="nil"/>
            </w:tcBorders>
            <w:shd w:val="clear" w:color="auto" w:fill="auto"/>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74</w:t>
            </w:r>
          </w:p>
        </w:tc>
        <w:tc>
          <w:tcPr>
            <w:tcW w:w="0" w:type="auto"/>
            <w:tcBorders>
              <w:top w:val="nil"/>
              <w:left w:val="nil"/>
              <w:bottom w:val="nil"/>
              <w:right w:val="nil"/>
            </w:tcBorders>
            <w:shd w:val="clear" w:color="auto" w:fill="auto"/>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21</w:t>
            </w:r>
          </w:p>
        </w:tc>
        <w:tc>
          <w:tcPr>
            <w:tcW w:w="0" w:type="auto"/>
            <w:tcBorders>
              <w:top w:val="nil"/>
              <w:left w:val="nil"/>
              <w:bottom w:val="nil"/>
              <w:right w:val="nil"/>
            </w:tcBorders>
            <w:shd w:val="clear" w:color="auto" w:fill="auto"/>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5</w:t>
            </w:r>
          </w:p>
        </w:tc>
        <w:tc>
          <w:tcPr>
            <w:tcW w:w="0" w:type="auto"/>
            <w:tcBorders>
              <w:top w:val="nil"/>
              <w:left w:val="nil"/>
              <w:bottom w:val="nil"/>
              <w:right w:val="nil"/>
            </w:tcBorders>
            <w:shd w:val="clear" w:color="auto" w:fill="auto"/>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4035</w:t>
            </w:r>
          </w:p>
        </w:tc>
        <w:tc>
          <w:tcPr>
            <w:tcW w:w="0" w:type="auto"/>
            <w:tcBorders>
              <w:top w:val="nil"/>
              <w:left w:val="nil"/>
              <w:bottom w:val="nil"/>
              <w:right w:val="nil"/>
            </w:tcBorders>
            <w:shd w:val="clear" w:color="auto" w:fill="auto"/>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4037</w:t>
            </w:r>
          </w:p>
        </w:tc>
      </w:tr>
      <w:tr w:rsidR="00D710A5" w:rsidRPr="00D710A5" w:rsidTr="005B7F39">
        <w:trPr>
          <w:trHeight w:val="300"/>
        </w:trPr>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i/>
                <w:iCs/>
                <w:color w:val="000000"/>
                <w:sz w:val="20"/>
                <w:szCs w:val="20"/>
              </w:rPr>
            </w:pP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Boy</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25</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2022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1977</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Girl</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80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2000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2047</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SIMD quintile 1 (most deprived)</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596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576</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SIMD quintile 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1159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1150</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SIMD quintile 3</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5</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773</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775</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SIMD quintile 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80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18</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740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752</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SIMD quintile 5 (least deprived)</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84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748</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765</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Eligible for free school meals</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11</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664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577</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Not eligible for free school meals</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77</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3371</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3460</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No siblings at home</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1251</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1242</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One sibling at home</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78</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3</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1511</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1533</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Two or more siblings at home</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1260</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1250</w:t>
            </w:r>
          </w:p>
        </w:tc>
      </w:tr>
      <w:tr w:rsidR="00D710A5" w:rsidRPr="00D710A5" w:rsidTr="005B7F39">
        <w:trPr>
          <w:trHeight w:val="300"/>
        </w:trPr>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710A5" w:rsidRPr="00D710A5" w:rsidRDefault="00D710A5" w:rsidP="005B7F39">
            <w:pPr>
              <w:spacing w:after="0" w:line="240" w:lineRule="auto"/>
              <w:jc w:val="right"/>
              <w:rPr>
                <w:rFonts w:cstheme="minorHAnsi"/>
                <w:i/>
                <w:iCs/>
                <w:color w:val="000000"/>
                <w:sz w:val="20"/>
                <w:szCs w:val="20"/>
              </w:rPr>
            </w:pP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Two parent household</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77</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2749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2783</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One parent household</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64</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28</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8</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702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677</w:t>
            </w:r>
          </w:p>
        </w:tc>
      </w:tr>
      <w:tr w:rsidR="00D347FA" w:rsidRPr="00D710A5" w:rsidTr="005B7F39">
        <w:trPr>
          <w:trHeight w:val="300"/>
        </w:trPr>
        <w:tc>
          <w:tcPr>
            <w:tcW w:w="0" w:type="auto"/>
            <w:tcBorders>
              <w:top w:val="nil"/>
              <w:left w:val="nil"/>
              <w:bottom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Step-family</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6</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469</w:t>
            </w:r>
          </w:p>
        </w:tc>
        <w:tc>
          <w:tcPr>
            <w:tcW w:w="0" w:type="auto"/>
            <w:tcBorders>
              <w:top w:val="nil"/>
              <w:left w:val="nil"/>
              <w:bottom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465</w:t>
            </w:r>
          </w:p>
        </w:tc>
      </w:tr>
      <w:tr w:rsidR="00D347FA" w:rsidRPr="00D710A5" w:rsidTr="005B7F39">
        <w:trPr>
          <w:trHeight w:val="300"/>
        </w:trPr>
        <w:tc>
          <w:tcPr>
            <w:tcW w:w="0" w:type="auto"/>
            <w:tcBorders>
              <w:top w:val="nil"/>
              <w:left w:val="nil"/>
              <w:right w:val="nil"/>
            </w:tcBorders>
            <w:shd w:val="clear" w:color="auto" w:fill="auto"/>
            <w:noWrap/>
            <w:vAlign w:val="center"/>
            <w:hideMark/>
          </w:tcPr>
          <w:p w:rsidR="00D347FA" w:rsidRPr="00D710A5" w:rsidRDefault="00D347FA" w:rsidP="005B7F39">
            <w:pPr>
              <w:spacing w:after="0" w:line="240" w:lineRule="auto"/>
              <w:rPr>
                <w:rFonts w:eastAsia="Times New Roman" w:cstheme="minorHAnsi"/>
                <w:color w:val="000000"/>
                <w:sz w:val="20"/>
                <w:szCs w:val="20"/>
                <w:lang w:eastAsia="en-GB"/>
              </w:rPr>
            </w:pPr>
            <w:r w:rsidRPr="00D710A5">
              <w:rPr>
                <w:rFonts w:eastAsia="Times New Roman" w:cstheme="minorHAnsi"/>
                <w:color w:val="000000"/>
                <w:sz w:val="20"/>
                <w:szCs w:val="20"/>
                <w:lang w:eastAsia="en-GB"/>
              </w:rPr>
              <w:t>Other household type</w:t>
            </w:r>
          </w:p>
        </w:tc>
        <w:tc>
          <w:tcPr>
            <w:tcW w:w="0" w:type="auto"/>
            <w:tcBorders>
              <w:top w:val="nil"/>
              <w:left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72</w:t>
            </w:r>
          </w:p>
        </w:tc>
        <w:tc>
          <w:tcPr>
            <w:tcW w:w="0" w:type="auto"/>
            <w:tcBorders>
              <w:top w:val="nil"/>
              <w:left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18</w:t>
            </w:r>
          </w:p>
        </w:tc>
        <w:tc>
          <w:tcPr>
            <w:tcW w:w="0" w:type="auto"/>
            <w:tcBorders>
              <w:top w:val="nil"/>
              <w:left w:val="nil"/>
              <w:right w:val="nil"/>
            </w:tcBorders>
            <w:shd w:val="clear" w:color="auto" w:fill="auto"/>
            <w:noWrap/>
            <w:vAlign w:val="center"/>
          </w:tcPr>
          <w:p w:rsidR="00D347FA" w:rsidRPr="00D710A5" w:rsidRDefault="00D347FA" w:rsidP="005B7F39">
            <w:pPr>
              <w:spacing w:after="0" w:line="240" w:lineRule="auto"/>
              <w:jc w:val="right"/>
              <w:rPr>
                <w:rFonts w:cstheme="minorHAnsi"/>
                <w:color w:val="000000"/>
                <w:sz w:val="20"/>
                <w:szCs w:val="20"/>
              </w:rPr>
            </w:pPr>
            <w:r w:rsidRPr="00D710A5">
              <w:rPr>
                <w:rFonts w:cstheme="minorHAnsi"/>
                <w:color w:val="000000"/>
                <w:sz w:val="20"/>
                <w:szCs w:val="20"/>
              </w:rPr>
              <w:t>10</w:t>
            </w:r>
          </w:p>
        </w:tc>
        <w:tc>
          <w:tcPr>
            <w:tcW w:w="0" w:type="auto"/>
            <w:tcBorders>
              <w:top w:val="nil"/>
              <w:left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76</w:t>
            </w:r>
          </w:p>
        </w:tc>
        <w:tc>
          <w:tcPr>
            <w:tcW w:w="0" w:type="auto"/>
            <w:tcBorders>
              <w:top w:val="nil"/>
              <w:left w:val="nil"/>
              <w:right w:val="nil"/>
            </w:tcBorders>
            <w:shd w:val="clear" w:color="auto" w:fill="auto"/>
            <w:noWrap/>
            <w:vAlign w:val="center"/>
          </w:tcPr>
          <w:p w:rsidR="00D347FA" w:rsidRPr="00D710A5" w:rsidRDefault="00D347FA" w:rsidP="005B7F39">
            <w:pPr>
              <w:spacing w:after="0" w:line="240" w:lineRule="auto"/>
              <w:jc w:val="right"/>
              <w:rPr>
                <w:rFonts w:cstheme="minorHAnsi"/>
                <w:i/>
                <w:iCs/>
                <w:color w:val="000000"/>
                <w:sz w:val="20"/>
                <w:szCs w:val="20"/>
              </w:rPr>
            </w:pPr>
            <w:r w:rsidRPr="00D710A5">
              <w:rPr>
                <w:rFonts w:cstheme="minorHAnsi"/>
                <w:i/>
                <w:iCs/>
                <w:color w:val="000000"/>
                <w:sz w:val="20"/>
                <w:szCs w:val="20"/>
              </w:rPr>
              <w:t>73</w:t>
            </w:r>
          </w:p>
        </w:tc>
      </w:tr>
      <w:tr w:rsidR="00D347FA" w:rsidRPr="00D710A5" w:rsidTr="005B7F39">
        <w:trPr>
          <w:trHeight w:val="227"/>
        </w:trPr>
        <w:tc>
          <w:tcPr>
            <w:tcW w:w="0" w:type="auto"/>
            <w:tcBorders>
              <w:top w:val="nil"/>
              <w:left w:val="nil"/>
              <w:bottom w:val="single" w:sz="12" w:space="0" w:color="auto"/>
              <w:right w:val="nil"/>
            </w:tcBorders>
            <w:shd w:val="clear" w:color="auto" w:fill="auto"/>
            <w:noWrap/>
            <w:vAlign w:val="center"/>
            <w:hideMark/>
          </w:tcPr>
          <w:p w:rsidR="00D347FA" w:rsidRPr="00D710A5" w:rsidRDefault="00D347FA" w:rsidP="005B7F39">
            <w:pPr>
              <w:spacing w:after="0" w:line="240" w:lineRule="auto"/>
              <w:jc w:val="center"/>
              <w:rPr>
                <w:rFonts w:eastAsia="Times New Roman" w:cstheme="minorHAnsi"/>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D710A5" w:rsidRDefault="00D347FA" w:rsidP="005B7F39">
            <w:pPr>
              <w:spacing w:after="0" w:line="240" w:lineRule="auto"/>
              <w:jc w:val="right"/>
              <w:rPr>
                <w:rFonts w:eastAsia="Times New Roman" w:cstheme="minorHAnsi"/>
                <w:i/>
                <w:iCs/>
                <w:color w:val="000000"/>
                <w:sz w:val="20"/>
                <w:szCs w:val="20"/>
                <w:lang w:eastAsia="en-GB"/>
              </w:rPr>
            </w:pPr>
          </w:p>
        </w:tc>
      </w:tr>
    </w:tbl>
    <w:p w:rsidR="00D347FA" w:rsidRPr="00A018E9" w:rsidRDefault="00D347FA" w:rsidP="00D347FA">
      <w:pPr>
        <w:pStyle w:val="BodyCopy"/>
        <w:spacing w:after="200" w:line="276" w:lineRule="auto"/>
        <w:rPr>
          <w:i/>
          <w:sz w:val="18"/>
          <w:szCs w:val="18"/>
        </w:rPr>
      </w:pPr>
      <w:bookmarkStart w:id="94" w:name="_Toc478636818"/>
      <w:bookmarkStart w:id="95" w:name="_Toc479456954"/>
      <w:r w:rsidRPr="00A018E9">
        <w:rPr>
          <w:i/>
          <w:sz w:val="18"/>
          <w:szCs w:val="18"/>
        </w:rPr>
        <w:t xml:space="preserve">Source: RCS </w:t>
      </w:r>
      <w:r>
        <w:rPr>
          <w:i/>
          <w:sz w:val="18"/>
          <w:szCs w:val="18"/>
        </w:rPr>
        <w:t>primary school survey, Falkirk 2017</w:t>
      </w:r>
    </w:p>
    <w:p w:rsidR="00D347FA" w:rsidRDefault="00D347FA" w:rsidP="00D347FA">
      <w:pPr>
        <w:pStyle w:val="Heading3"/>
        <w:numPr>
          <w:ilvl w:val="0"/>
          <w:numId w:val="0"/>
        </w:numPr>
        <w:spacing w:line="276" w:lineRule="auto"/>
        <w:ind w:left="851" w:hanging="851"/>
      </w:pPr>
      <w:bookmarkStart w:id="96" w:name="_Toc494182071"/>
      <w:r w:rsidRPr="000233C9">
        <w:rPr>
          <w:color w:val="auto"/>
        </w:rPr>
        <w:t>Exp</w:t>
      </w:r>
      <w:r>
        <w:t>osure to smoking</w:t>
      </w:r>
      <w:bookmarkEnd w:id="94"/>
      <w:r>
        <w:t xml:space="preserve"> (Healthy, Safe)</w:t>
      </w:r>
      <w:bookmarkEnd w:id="95"/>
      <w:bookmarkEnd w:id="96"/>
    </w:p>
    <w:p w:rsidR="00D347FA" w:rsidRDefault="0049568A" w:rsidP="00D347FA">
      <w:pPr>
        <w:pStyle w:val="BodyCopy"/>
        <w:spacing w:before="240" w:line="276" w:lineRule="auto"/>
      </w:pPr>
      <w:r>
        <w:t>R</w:t>
      </w:r>
      <w:r w:rsidR="00D347FA">
        <w:t>ates of smoking in Scotland – as elsewhere in the UK – are declining</w:t>
      </w:r>
      <w:r>
        <w:t>. Among the pupils in Falkirk</w:t>
      </w:r>
      <w:r w:rsidR="00D347FA">
        <w:t xml:space="preserve"> 21% in P5 to P7 are still frequently exposed to smoke inside their home, either sometimes or most days (10% and 11% respectively). These figures appear relatively high: data from the Scottish Health Survey show that 12% of children in Scotland aged between 8 and 11 live in accommodation where someone smokes</w:t>
      </w:r>
      <w:r w:rsidR="00867735">
        <w:t>.</w:t>
      </w:r>
      <w:r w:rsidR="00D347FA">
        <w:rPr>
          <w:rStyle w:val="EndnoteReference"/>
          <w:rFonts w:eastAsiaTheme="minorHAnsi"/>
        </w:rPr>
        <w:endnoteReference w:id="18"/>
      </w:r>
      <w:r w:rsidR="00D347FA">
        <w:t xml:space="preserve"> </w:t>
      </w:r>
    </w:p>
    <w:p w:rsidR="00D347FA" w:rsidRDefault="00D347FA" w:rsidP="00D347FA">
      <w:pPr>
        <w:pStyle w:val="BodyCopy"/>
        <w:spacing w:before="240" w:line="276" w:lineRule="auto"/>
      </w:pPr>
      <w:r>
        <w:t xml:space="preserve">There are very clear health inequalities here: 39% of children in the most deprived areas had frequent exposure to second hand smoke, compared with only 9% in the least deprived quintile. Almost half (45%) of those eligible for free school meals were exposed to smoking in their home compared with 16% of those who were not eligible for free school meals. </w:t>
      </w:r>
    </w:p>
    <w:p w:rsidR="00D347FA" w:rsidRDefault="00D347FA" w:rsidP="00D347FA">
      <w:pPr>
        <w:pStyle w:val="BodyCopy"/>
        <w:spacing w:before="240" w:line="276" w:lineRule="auto"/>
      </w:pPr>
      <w:r>
        <w:t xml:space="preserve">Those in </w:t>
      </w:r>
      <w:r w:rsidR="00867735">
        <w:t xml:space="preserve">one </w:t>
      </w:r>
      <w:r>
        <w:t>parent households or step-families were also more likely to be exposed (</w:t>
      </w:r>
      <w:r w:rsidR="00E52C7C">
        <w:t>35</w:t>
      </w:r>
      <w:r>
        <w:t>% and 32% respectively, compared with 15% of those in two</w:t>
      </w:r>
      <w:r w:rsidR="00867735">
        <w:t xml:space="preserve"> </w:t>
      </w:r>
      <w:r>
        <w:t xml:space="preserve">parent </w:t>
      </w:r>
      <w:r>
        <w:lastRenderedPageBreak/>
        <w:t xml:space="preserve">households). The same was true for children with no siblings at home (25% compared with 15% of those with one sibling). </w:t>
      </w:r>
    </w:p>
    <w:p w:rsidR="00D347FA" w:rsidRDefault="00D347FA" w:rsidP="00D347FA">
      <w:pPr>
        <w:pStyle w:val="BodyCopy"/>
        <w:spacing w:before="240" w:line="276" w:lineRule="auto"/>
      </w:pPr>
      <w:r>
        <w:t>Finally, boys were slight more likely to have frequent exposure to second hand smoke than girls (22% compared with 20%).</w:t>
      </w:r>
    </w:p>
    <w:p w:rsidR="00D347FA" w:rsidRDefault="00D6395C" w:rsidP="00D347FA">
      <w:pPr>
        <w:pStyle w:val="BodyCopy"/>
        <w:spacing w:before="240" w:line="276" w:lineRule="auto"/>
      </w:pPr>
      <w:r>
        <w:rPr>
          <w:noProof/>
        </w:rPr>
        <w:drawing>
          <wp:inline distT="0" distB="0" distL="0" distR="0" wp14:anchorId="7DA063E2" wp14:editId="0D24E1D2">
            <wp:extent cx="4951095" cy="3322851"/>
            <wp:effectExtent l="0" t="0" r="1905"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5324" w:rsidRDefault="00655324" w:rsidP="00D347FA">
      <w:pPr>
        <w:pStyle w:val="BodyCopy"/>
        <w:spacing w:after="200" w:line="276" w:lineRule="auto"/>
        <w:rPr>
          <w:i/>
          <w:sz w:val="18"/>
          <w:szCs w:val="18"/>
        </w:rPr>
      </w:pP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Heading3"/>
        <w:spacing w:line="276" w:lineRule="auto"/>
      </w:pPr>
      <w:bookmarkStart w:id="97" w:name="_Toc478636819"/>
      <w:bookmarkStart w:id="98" w:name="_Toc479456955"/>
      <w:bookmarkStart w:id="99" w:name="_Toc494182072"/>
      <w:r>
        <w:t>Mental health and wellbeing</w:t>
      </w:r>
      <w:bookmarkEnd w:id="97"/>
      <w:bookmarkEnd w:id="98"/>
      <w:bookmarkEnd w:id="99"/>
    </w:p>
    <w:p w:rsidR="00D347FA" w:rsidRDefault="00D347FA" w:rsidP="00D347FA">
      <w:pPr>
        <w:pStyle w:val="Heading3"/>
        <w:numPr>
          <w:ilvl w:val="0"/>
          <w:numId w:val="0"/>
        </w:numPr>
        <w:spacing w:line="276" w:lineRule="auto"/>
      </w:pPr>
      <w:bookmarkStart w:id="100" w:name="_Toc478636820"/>
      <w:bookmarkStart w:id="101" w:name="_Toc479456956"/>
      <w:bookmarkStart w:id="102" w:name="_Toc494182073"/>
      <w:r w:rsidRPr="000233C9">
        <w:rPr>
          <w:color w:val="auto"/>
        </w:rPr>
        <w:t>Life satisfaction</w:t>
      </w:r>
      <w:bookmarkEnd w:id="100"/>
      <w:r w:rsidRPr="000233C9">
        <w:rPr>
          <w:color w:val="auto"/>
        </w:rPr>
        <w:t xml:space="preserve"> </w:t>
      </w:r>
      <w:r>
        <w:t>(Healthy, Included)</w:t>
      </w:r>
      <w:bookmarkEnd w:id="101"/>
      <w:bookmarkEnd w:id="102"/>
    </w:p>
    <w:p w:rsidR="00D347FA" w:rsidRPr="001F75C1" w:rsidRDefault="00D347FA" w:rsidP="00D347FA">
      <w:pPr>
        <w:pStyle w:val="BodyCopy"/>
        <w:spacing w:before="240" w:line="276" w:lineRule="auto"/>
        <w:rPr>
          <w:rFonts w:eastAsia="Calibri" w:cstheme="minorHAnsi"/>
          <w:color w:val="000000"/>
        </w:rPr>
      </w:pPr>
      <w:r w:rsidRPr="001F75C1">
        <w:rPr>
          <w:rFonts w:eastAsia="Calibri" w:cstheme="minorHAnsi"/>
          <w:color w:val="000000"/>
        </w:rPr>
        <w:t xml:space="preserve">Subjective wellbeing </w:t>
      </w:r>
      <w:r>
        <w:rPr>
          <w:rFonts w:eastAsia="Calibri" w:cstheme="minorHAnsi"/>
          <w:color w:val="000000"/>
        </w:rPr>
        <w:t xml:space="preserve">is concerned with emotional experiences and the cognitive aspect of </w:t>
      </w:r>
      <w:r w:rsidRPr="001F75C1">
        <w:rPr>
          <w:rFonts w:eastAsia="Calibri" w:cstheme="minorHAnsi"/>
          <w:color w:val="000000"/>
        </w:rPr>
        <w:t>evaluating one’s life, including overall life satisfactio</w:t>
      </w:r>
      <w:r>
        <w:rPr>
          <w:rFonts w:eastAsia="Calibri" w:cstheme="minorHAnsi"/>
          <w:color w:val="000000"/>
        </w:rPr>
        <w:t>n</w:t>
      </w:r>
      <w:r w:rsidR="00760A0E">
        <w:rPr>
          <w:rFonts w:eastAsia="Calibri" w:cstheme="minorHAnsi"/>
          <w:color w:val="000000"/>
        </w:rPr>
        <w:t>.</w:t>
      </w:r>
      <w:r>
        <w:rPr>
          <w:rStyle w:val="EndnoteReference"/>
          <w:rFonts w:eastAsia="Calibri" w:cstheme="minorHAnsi"/>
          <w:color w:val="000000"/>
        </w:rPr>
        <w:endnoteReference w:id="19"/>
      </w:r>
      <w:r w:rsidRPr="001F75C1">
        <w:rPr>
          <w:rFonts w:eastAsia="Calibri" w:cstheme="minorHAnsi"/>
          <w:color w:val="000000"/>
        </w:rPr>
        <w:t xml:space="preserve"> </w:t>
      </w:r>
      <w:r>
        <w:rPr>
          <w:rFonts w:eastAsia="Calibri" w:cstheme="minorHAnsi"/>
          <w:color w:val="000000"/>
        </w:rPr>
        <w:t xml:space="preserve">As </w:t>
      </w:r>
      <w:r w:rsidRPr="001F75C1">
        <w:rPr>
          <w:rFonts w:eastAsia="Calibri" w:cstheme="minorHAnsi"/>
          <w:color w:val="000000"/>
        </w:rPr>
        <w:t>emotional states may be relatively trans</w:t>
      </w:r>
      <w:r>
        <w:rPr>
          <w:rFonts w:eastAsia="Calibri" w:cstheme="minorHAnsi"/>
          <w:color w:val="000000"/>
        </w:rPr>
        <w:t>ient among children of this age th</w:t>
      </w:r>
      <w:r w:rsidR="0049568A">
        <w:rPr>
          <w:rFonts w:eastAsia="Calibri" w:cstheme="minorHAnsi"/>
          <w:color w:val="000000"/>
        </w:rPr>
        <w:t>e</w:t>
      </w:r>
      <w:r>
        <w:rPr>
          <w:rFonts w:eastAsia="Calibri" w:cstheme="minorHAnsi"/>
          <w:color w:val="000000"/>
        </w:rPr>
        <w:t xml:space="preserve"> survey </w:t>
      </w:r>
      <w:r w:rsidRPr="001F75C1">
        <w:rPr>
          <w:rFonts w:eastAsia="Calibri" w:cstheme="minorHAnsi"/>
          <w:color w:val="000000"/>
        </w:rPr>
        <w:t>focus</w:t>
      </w:r>
      <w:r>
        <w:rPr>
          <w:rFonts w:eastAsia="Calibri" w:cstheme="minorHAnsi"/>
          <w:color w:val="000000"/>
        </w:rPr>
        <w:t>e</w:t>
      </w:r>
      <w:r w:rsidR="0049568A">
        <w:rPr>
          <w:rFonts w:eastAsia="Calibri" w:cstheme="minorHAnsi"/>
          <w:color w:val="000000"/>
        </w:rPr>
        <w:t>d</w:t>
      </w:r>
      <w:r w:rsidRPr="001F75C1">
        <w:rPr>
          <w:rFonts w:eastAsia="Calibri" w:cstheme="minorHAnsi"/>
          <w:color w:val="000000"/>
        </w:rPr>
        <w:t xml:space="preserve"> on cognitive aspec</w:t>
      </w:r>
      <w:r>
        <w:rPr>
          <w:rFonts w:eastAsia="Calibri" w:cstheme="minorHAnsi"/>
          <w:color w:val="000000"/>
        </w:rPr>
        <w:t>ts of subjective wellbeing</w:t>
      </w:r>
      <w:r w:rsidRPr="001F75C1">
        <w:rPr>
          <w:rFonts w:eastAsia="Calibri" w:cstheme="minorHAnsi"/>
          <w:color w:val="000000"/>
        </w:rPr>
        <w:t>.</w:t>
      </w:r>
      <w:r w:rsidRPr="001F75C1">
        <w:rPr>
          <w:rFonts w:cstheme="minorHAnsi"/>
          <w:sz w:val="24"/>
        </w:rPr>
        <w:t xml:space="preserve"> </w:t>
      </w:r>
    </w:p>
    <w:p w:rsidR="00D347FA" w:rsidRDefault="00D347FA" w:rsidP="00D347FA">
      <w:pPr>
        <w:pStyle w:val="BodyCopy"/>
        <w:spacing w:before="240" w:line="276" w:lineRule="auto"/>
      </w:pPr>
      <w:r>
        <w:t xml:space="preserve">Most children in P5 to P7 in </w:t>
      </w:r>
      <w:r w:rsidR="00760A0E">
        <w:t>Falkirk</w:t>
      </w:r>
      <w:r>
        <w:t xml:space="preserve"> seem to feel satisfied with their lives across a range of measures and, as Chart 3.2.3a suggests, the findings for this age group are broadly comparable with those found among a national sample of 7-8 year-olds by the Growing Up in Scotland study. </w:t>
      </w:r>
    </w:p>
    <w:p w:rsidR="00D347FA" w:rsidRDefault="00D347FA" w:rsidP="00D347FA">
      <w:pPr>
        <w:autoSpaceDE w:val="0"/>
        <w:autoSpaceDN w:val="0"/>
        <w:adjustRightInd w:val="0"/>
        <w:spacing w:after="0"/>
      </w:pPr>
    </w:p>
    <w:p w:rsidR="00D347FA" w:rsidRPr="00A018E9" w:rsidRDefault="00AE0FAF" w:rsidP="00D710A5">
      <w:pPr>
        <w:pStyle w:val="BodyCopy"/>
        <w:spacing w:after="200" w:line="276" w:lineRule="auto"/>
        <w:rPr>
          <w:i/>
          <w:sz w:val="18"/>
          <w:szCs w:val="18"/>
        </w:rPr>
      </w:pPr>
      <w:r>
        <w:rPr>
          <w:noProof/>
        </w:rPr>
        <w:lastRenderedPageBreak/>
        <w:drawing>
          <wp:inline distT="0" distB="0" distL="0" distR="0" wp14:anchorId="5AF7ED69" wp14:editId="745BB0DB">
            <wp:extent cx="5400675" cy="3513773"/>
            <wp:effectExtent l="0" t="0" r="0" b="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347FA" w:rsidRPr="00A018E9">
        <w:rPr>
          <w:i/>
          <w:sz w:val="18"/>
          <w:szCs w:val="18"/>
        </w:rPr>
        <w:t xml:space="preserve">Source: RCS </w:t>
      </w:r>
      <w:r w:rsidR="00D347FA">
        <w:rPr>
          <w:i/>
          <w:sz w:val="18"/>
          <w:szCs w:val="18"/>
        </w:rPr>
        <w:t>primary school survey, Falkirk</w:t>
      </w:r>
      <w:r w:rsidR="00093875">
        <w:rPr>
          <w:i/>
          <w:sz w:val="18"/>
          <w:szCs w:val="18"/>
        </w:rPr>
        <w:t>,</w:t>
      </w:r>
      <w:r w:rsidR="00D347FA">
        <w:rPr>
          <w:i/>
          <w:sz w:val="18"/>
          <w:szCs w:val="18"/>
        </w:rPr>
        <w:t xml:space="preserve"> 2017, Growing Up in Scotland, 2015</w:t>
      </w:r>
    </w:p>
    <w:p w:rsidR="00D347FA" w:rsidRDefault="00D347FA" w:rsidP="00D347FA">
      <w:pPr>
        <w:pStyle w:val="BodyCopy"/>
        <w:spacing w:line="276" w:lineRule="auto"/>
      </w:pPr>
      <w:r w:rsidRPr="00123565">
        <w:t>Subjective wellbeing was assessed using two measures, one of which was an abbreviated version of Huebner’s Life Satisfaction Scale</w:t>
      </w:r>
      <w:r w:rsidRPr="00123565">
        <w:rPr>
          <w:rStyle w:val="EndnoteReference"/>
          <w:rFonts w:eastAsiaTheme="minorHAnsi"/>
        </w:rPr>
        <w:endnoteReference w:id="20"/>
      </w:r>
      <w:r w:rsidRPr="00123565">
        <w:t xml:space="preserve"> which has been previously used on Growing Up in Scotland</w:t>
      </w:r>
      <w:r w:rsidR="00AE0FAF">
        <w:t>.</w:t>
      </w:r>
      <w:r w:rsidRPr="00123565">
        <w:rPr>
          <w:rStyle w:val="EndnoteReference"/>
          <w:rFonts w:eastAsiaTheme="minorHAnsi"/>
        </w:rPr>
        <w:endnoteReference w:id="21"/>
      </w:r>
      <w:r w:rsidRPr="00123565">
        <w:t xml:space="preserve"> </w:t>
      </w:r>
      <w:r w:rsidRPr="00123565">
        <w:rPr>
          <w:rFonts w:eastAsia="Calibri" w:cs="Arial"/>
          <w:szCs w:val="24"/>
        </w:rPr>
        <w:t>This scale was developed for use with children aged 7-14. Numerous studies have demonstrated the validity of the scale and found it to be associated in the expected directions with self-esteem, anxiety and depression</w:t>
      </w:r>
      <w:r w:rsidR="00AE0FAF">
        <w:rPr>
          <w:rFonts w:eastAsia="Calibri" w:cs="Arial"/>
          <w:szCs w:val="24"/>
        </w:rPr>
        <w:t>.</w:t>
      </w:r>
      <w:r w:rsidRPr="00123565">
        <w:rPr>
          <w:rStyle w:val="EndnoteReference"/>
          <w:rFonts w:eastAsia="Calibri" w:cs="Arial"/>
          <w:szCs w:val="24"/>
        </w:rPr>
        <w:endnoteReference w:id="22"/>
      </w:r>
    </w:p>
    <w:p w:rsidR="00D347FA" w:rsidRDefault="00D347FA" w:rsidP="00D347FA">
      <w:pPr>
        <w:pStyle w:val="BodyCopy"/>
        <w:spacing w:line="276" w:lineRule="auto"/>
      </w:pPr>
    </w:p>
    <w:p w:rsidR="00D347FA" w:rsidRDefault="00D347FA" w:rsidP="00D347FA">
      <w:pPr>
        <w:pStyle w:val="BodyCopy"/>
        <w:spacing w:line="276" w:lineRule="auto"/>
      </w:pPr>
      <w:r>
        <w:t xml:space="preserve">Based on mean scores within the sample in Falkirk, pupils were assigned to life satisfaction categories: 34% fell into the ‘high life satisfaction’ category, 34% the </w:t>
      </w:r>
      <w:r w:rsidR="0049568A">
        <w:t>‘</w:t>
      </w:r>
      <w:r>
        <w:t>medium</w:t>
      </w:r>
      <w:r w:rsidR="0049568A">
        <w:t>’</w:t>
      </w:r>
      <w:r>
        <w:t xml:space="preserve"> category and 31% the ‘low life satisfaction’ category. </w:t>
      </w:r>
      <w:r w:rsidR="00FC052E">
        <w:t>These categories are helpful in understanding the way in which life satisfaction is patterned across different groups of the population</w:t>
      </w:r>
      <w:r w:rsidR="0049568A">
        <w:t>. T</w:t>
      </w:r>
      <w:r w:rsidR="00FC052E">
        <w:t>hey are not intended to identify prevalence of high or low life satisfaction for the whole population. More details are provided in the appendix.</w:t>
      </w:r>
      <w:r>
        <w:t xml:space="preserve"> </w:t>
      </w:r>
    </w:p>
    <w:p w:rsidR="00D347FA" w:rsidRDefault="00D347FA" w:rsidP="00D347FA">
      <w:pPr>
        <w:pStyle w:val="BodyCopy"/>
        <w:spacing w:line="276" w:lineRule="auto"/>
      </w:pPr>
    </w:p>
    <w:p w:rsidR="00D347FA" w:rsidRPr="00E96348" w:rsidRDefault="00D347FA" w:rsidP="00D347FA">
      <w:pPr>
        <w:pStyle w:val="BodyCopy"/>
        <w:spacing w:line="276" w:lineRule="auto"/>
      </w:pPr>
      <w:r w:rsidRPr="00E96348">
        <w:t>In terms of basic socio-demographic characteristics, having ‘high life satisfaction’ was associated with not having an additional support need (</w:t>
      </w:r>
      <w:r>
        <w:t>36</w:t>
      </w:r>
      <w:r w:rsidRPr="00E96348">
        <w:t xml:space="preserve">% compared with </w:t>
      </w:r>
      <w:r>
        <w:t>29</w:t>
      </w:r>
      <w:r w:rsidRPr="00E96348">
        <w:t>% among those with such a need)</w:t>
      </w:r>
      <w:r>
        <w:t xml:space="preserve"> </w:t>
      </w:r>
      <w:r w:rsidRPr="00E96348">
        <w:t>and livi</w:t>
      </w:r>
      <w:r>
        <w:t>ng in a two</w:t>
      </w:r>
      <w:r w:rsidR="00AE0FAF">
        <w:t xml:space="preserve"> </w:t>
      </w:r>
      <w:r>
        <w:t>parent household (37% compared with 28</w:t>
      </w:r>
      <w:r w:rsidRPr="00E96348">
        <w:t>% among those in a one</w:t>
      </w:r>
      <w:r w:rsidR="00AE0FAF">
        <w:t xml:space="preserve"> </w:t>
      </w:r>
      <w:r w:rsidRPr="00E96348">
        <w:t xml:space="preserve">parent household and </w:t>
      </w:r>
      <w:r>
        <w:t>32</w:t>
      </w:r>
      <w:r w:rsidRPr="00E96348">
        <w:t>% in a step-family).</w:t>
      </w:r>
    </w:p>
    <w:p w:rsidR="00D347FA" w:rsidRPr="00E96348" w:rsidRDefault="00D347FA" w:rsidP="00D347FA">
      <w:pPr>
        <w:pStyle w:val="BodyCopy"/>
        <w:spacing w:before="240" w:line="276" w:lineRule="auto"/>
      </w:pPr>
      <w:r>
        <w:t>High life satisfaction</w:t>
      </w:r>
      <w:r w:rsidRPr="00E96348">
        <w:t xml:space="preserve"> was also strongly associated with a range of other factors – some of which have been shown to be drivers or predictors of wellbeing in other studies. For example, among those exposed to abov</w:t>
      </w:r>
      <w:r>
        <w:t>e average levels of bullying, 19</w:t>
      </w:r>
      <w:r w:rsidRPr="00E96348">
        <w:t>% reported high le</w:t>
      </w:r>
      <w:r>
        <w:t>vels of life satisfaction and 49</w:t>
      </w:r>
      <w:r w:rsidRPr="00E96348">
        <w:t>% low levels</w:t>
      </w:r>
      <w:r w:rsidR="00FA0FE7">
        <w:t>.</w:t>
      </w:r>
    </w:p>
    <w:p w:rsidR="00D347FA" w:rsidRDefault="00D347FA" w:rsidP="00D347FA">
      <w:pPr>
        <w:pStyle w:val="BodyCopy"/>
        <w:spacing w:before="240" w:line="276" w:lineRule="auto"/>
      </w:pPr>
      <w:r w:rsidRPr="00EB39E5">
        <w:t xml:space="preserve">Those with more positive relationships with their teachers also tended to </w:t>
      </w:r>
      <w:r w:rsidR="00FC052E" w:rsidRPr="00FC052E">
        <w:t>exhibit greater</w:t>
      </w:r>
      <w:r w:rsidR="00FC052E">
        <w:t xml:space="preserve"> </w:t>
      </w:r>
      <w:r>
        <w:t>life satisfaction (51</w:t>
      </w:r>
      <w:r w:rsidRPr="00EB39E5">
        <w:t>% havi</w:t>
      </w:r>
      <w:r>
        <w:t>ng high life satisfaction and 15</w:t>
      </w:r>
      <w:r w:rsidRPr="00EB39E5">
        <w:t xml:space="preserve">% low life </w:t>
      </w:r>
      <w:r w:rsidRPr="00EB39E5">
        <w:lastRenderedPageBreak/>
        <w:t>satisfaction) than those with less positive relationships (</w:t>
      </w:r>
      <w:r>
        <w:t xml:space="preserve">22% </w:t>
      </w:r>
      <w:r w:rsidR="00FA0FE7">
        <w:t xml:space="preserve">having </w:t>
      </w:r>
      <w:r>
        <w:t>high life satisfaction and 47</w:t>
      </w:r>
      <w:r w:rsidRPr="00EB39E5">
        <w:t>% low life satisfaction). The same pattern was seen fo</w:t>
      </w:r>
      <w:r>
        <w:t xml:space="preserve">r </w:t>
      </w:r>
      <w:r w:rsidRPr="003F01C8">
        <w:t>relationships with parents (</w:t>
      </w:r>
      <w:r>
        <w:t>53</w:t>
      </w:r>
      <w:r w:rsidRPr="003F01C8">
        <w:t xml:space="preserve">% with more positive relationships having high levels of life satisfaction and </w:t>
      </w:r>
      <w:r>
        <w:t>16</w:t>
      </w:r>
      <w:r w:rsidRPr="003F01C8">
        <w:t xml:space="preserve">% low, compared with </w:t>
      </w:r>
      <w:r>
        <w:t>16</w:t>
      </w:r>
      <w:r w:rsidRPr="003F01C8">
        <w:t xml:space="preserve">% high and </w:t>
      </w:r>
      <w:r>
        <w:t>51</w:t>
      </w:r>
      <w:r w:rsidRPr="003F01C8">
        <w:t>% low for those with less positive relationships).</w:t>
      </w:r>
      <w:r>
        <w:t xml:space="preserve"> Worry about the health of someone in the family </w:t>
      </w:r>
      <w:r w:rsidR="00FC052E" w:rsidRPr="00FC052E">
        <w:t xml:space="preserve">was also significantly related to </w:t>
      </w:r>
      <w:r>
        <w:t xml:space="preserve">life satisfaction, with those who worried a lot </w:t>
      </w:r>
      <w:r w:rsidR="00FC052E">
        <w:t xml:space="preserve">being over </w:t>
      </w:r>
      <w:r>
        <w:t xml:space="preserve">twice as likely to have low levels of satisfaction </w:t>
      </w:r>
      <w:r w:rsidR="00FC052E">
        <w:t xml:space="preserve">as </w:t>
      </w:r>
      <w:r>
        <w:t>those not worrying at all (39% compared with 18%).</w:t>
      </w:r>
    </w:p>
    <w:p w:rsidR="00D347FA" w:rsidRDefault="00D6395C" w:rsidP="003B6B0A">
      <w:pPr>
        <w:pStyle w:val="BodyCopy"/>
        <w:spacing w:before="240" w:line="276" w:lineRule="auto"/>
        <w:rPr>
          <w:i/>
          <w:sz w:val="18"/>
          <w:szCs w:val="18"/>
        </w:rPr>
      </w:pPr>
      <w:r>
        <w:rPr>
          <w:noProof/>
        </w:rPr>
        <w:drawing>
          <wp:inline distT="0" distB="0" distL="0" distR="0" wp14:anchorId="7C9CA7FB" wp14:editId="20E55414">
            <wp:extent cx="4951095" cy="3661150"/>
            <wp:effectExtent l="0" t="0" r="1905"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6B0A" w:rsidRDefault="003B6B0A" w:rsidP="003B6B0A">
      <w:pPr>
        <w:pStyle w:val="BodyCopy"/>
        <w:spacing w:line="276" w:lineRule="auto"/>
        <w:rPr>
          <w:i/>
          <w:sz w:val="18"/>
          <w:szCs w:val="18"/>
        </w:rPr>
      </w:pP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before="240" w:line="276" w:lineRule="auto"/>
      </w:pPr>
      <w:r>
        <w:t xml:space="preserve">Not surprisingly, given what we have already seen about the significance of relationships with teachers and experiences of bullying, how children feel about their lives as a whole is strongly </w:t>
      </w:r>
      <w:r w:rsidR="00FC052E">
        <w:t xml:space="preserve">associated with their </w:t>
      </w:r>
      <w:r>
        <w:t>feel</w:t>
      </w:r>
      <w:r w:rsidR="00FC052E">
        <w:t>ings</w:t>
      </w:r>
      <w:r>
        <w:t xml:space="preserve"> about school. For example, pupils who felt positive about school tended to have higher levels of life satisfaction: of those who liked school a lot, 46% had high levels of life satisfaction compared with only 17% of those who did not like school at all. Among those who worried a lot about not doing well at school, 49% </w:t>
      </w:r>
      <w:r w:rsidRPr="00FA0FE7">
        <w:t>had low levels</w:t>
      </w:r>
      <w:r>
        <w:t xml:space="preserve"> of life satisfaction compared with 19% who did not worry at all about doing well at school. </w:t>
      </w:r>
      <w:r w:rsidR="00FC052E" w:rsidRPr="00FC052E">
        <w:t>Although the exact nature of these relationships is not clear – feeling positive about school may impact on wider life satisfaction or vice versa – they serve as a reminder of the centrality of school within children’s lives.</w:t>
      </w:r>
    </w:p>
    <w:p w:rsidR="00D347FA" w:rsidRDefault="00D347FA" w:rsidP="00D347FA">
      <w:pPr>
        <w:pStyle w:val="BodyCopy"/>
        <w:spacing w:before="240" w:line="276" w:lineRule="auto"/>
      </w:pPr>
      <w:r>
        <w:t xml:space="preserve">Friendships </w:t>
      </w:r>
      <w:r w:rsidR="00FC052E">
        <w:t>are also relevant</w:t>
      </w:r>
      <w:r>
        <w:t xml:space="preserve"> here</w:t>
      </w:r>
      <w:r w:rsidR="00CA29F6">
        <w:t>. H</w:t>
      </w:r>
      <w:r>
        <w:t>aving three or more close friends, having friends who were always nice, and having friends who were never mean all</w:t>
      </w:r>
      <w:r w:rsidR="00FA0FE7">
        <w:t xml:space="preserve"> being</w:t>
      </w:r>
      <w:r>
        <w:t xml:space="preserve"> associated with higher levels of life satisfaction. For example, those whose friends were always nice were more than twice as likely as those whose </w:t>
      </w:r>
      <w:r>
        <w:lastRenderedPageBreak/>
        <w:t>friends were sometimes or never nice to have high life satisfaction (44% compared with 18%).</w:t>
      </w:r>
    </w:p>
    <w:p w:rsidR="00D347FA" w:rsidRDefault="00D347FA" w:rsidP="009E6BBD">
      <w:pPr>
        <w:pStyle w:val="Heading3"/>
        <w:numPr>
          <w:ilvl w:val="0"/>
          <w:numId w:val="0"/>
        </w:numPr>
        <w:spacing w:line="276" w:lineRule="auto"/>
        <w:ind w:left="851" w:hanging="851"/>
      </w:pPr>
      <w:bookmarkStart w:id="103" w:name="_Toc478636821"/>
      <w:bookmarkStart w:id="104" w:name="_Toc479456957"/>
      <w:bookmarkStart w:id="105" w:name="_Toc494182074"/>
      <w:r w:rsidRPr="00C85B52">
        <w:rPr>
          <w:color w:val="auto"/>
        </w:rPr>
        <w:t>Mo</w:t>
      </w:r>
      <w:r w:rsidRPr="00C85B52">
        <w:t>od and emotions</w:t>
      </w:r>
      <w:bookmarkEnd w:id="103"/>
      <w:r w:rsidRPr="00C85B52">
        <w:t xml:space="preserve"> (Healthy)</w:t>
      </w:r>
      <w:bookmarkEnd w:id="104"/>
      <w:bookmarkEnd w:id="105"/>
    </w:p>
    <w:p w:rsidR="00D347FA" w:rsidRDefault="00D347FA" w:rsidP="009E6BBD">
      <w:pPr>
        <w:pStyle w:val="BodyCopy"/>
        <w:keepNext/>
        <w:spacing w:line="276" w:lineRule="auto"/>
      </w:pPr>
      <w:r>
        <w:t>As well as questions about general life satisfaction, primary pupils were also asked questions about frequency of ‘affect’ – in other words, how often they feel happy or sad and how often they worry. It was explained that everyone has times when they feel happy, sad or angry and they were asked to say whether they felt like this always, often, sometimes or never.</w:t>
      </w:r>
      <w:r w:rsidRPr="00323F56">
        <w:t xml:space="preserve"> </w:t>
      </w:r>
      <w:r>
        <w:t>A very similar set of questions was previously used across the UK in the Millennium Cohort Study (MCS) with children aged 7</w:t>
      </w:r>
      <w:r>
        <w:rPr>
          <w:rStyle w:val="EndnoteReference"/>
          <w:rFonts w:eastAsiaTheme="minorHAnsi"/>
        </w:rPr>
        <w:endnoteReference w:id="23"/>
      </w:r>
      <w:r>
        <w:t xml:space="preserve"> and again aged 11</w:t>
      </w:r>
      <w:r w:rsidR="005F0DB3">
        <w:t>.</w:t>
      </w:r>
      <w:r>
        <w:rPr>
          <w:rStyle w:val="EndnoteReference"/>
          <w:rFonts w:eastAsiaTheme="minorHAnsi"/>
        </w:rPr>
        <w:endnoteReference w:id="24"/>
      </w:r>
    </w:p>
    <w:p w:rsidR="009E6BBD" w:rsidRDefault="009E6BBD" w:rsidP="009E6BBD">
      <w:pPr>
        <w:pStyle w:val="BodyCopy"/>
        <w:keepNext/>
        <w:spacing w:line="276" w:lineRule="auto"/>
      </w:pPr>
    </w:p>
    <w:tbl>
      <w:tblPr>
        <w:tblW w:w="8804" w:type="dxa"/>
        <w:tblInd w:w="93" w:type="dxa"/>
        <w:tblLayout w:type="fixed"/>
        <w:tblLook w:val="04A0" w:firstRow="1" w:lastRow="0" w:firstColumn="1" w:lastColumn="0" w:noHBand="0" w:noVBand="1"/>
      </w:tblPr>
      <w:tblGrid>
        <w:gridCol w:w="2566"/>
        <w:gridCol w:w="1087"/>
        <w:gridCol w:w="899"/>
        <w:gridCol w:w="1217"/>
        <w:gridCol w:w="767"/>
        <w:gridCol w:w="132"/>
        <w:gridCol w:w="861"/>
        <w:gridCol w:w="38"/>
        <w:gridCol w:w="1237"/>
      </w:tblGrid>
      <w:tr w:rsidR="00D347FA" w:rsidRPr="005F0DB3" w:rsidTr="009E6BBD">
        <w:trPr>
          <w:trHeight w:val="340"/>
        </w:trPr>
        <w:tc>
          <w:tcPr>
            <w:tcW w:w="8804" w:type="dxa"/>
            <w:gridSpan w:val="9"/>
            <w:tcBorders>
              <w:top w:val="single" w:sz="12" w:space="0" w:color="auto"/>
              <w:left w:val="nil"/>
              <w:bottom w:val="nil"/>
              <w:right w:val="nil"/>
            </w:tcBorders>
            <w:shd w:val="clear" w:color="auto" w:fill="auto"/>
            <w:hideMark/>
          </w:tcPr>
          <w:p w:rsidR="00D347FA" w:rsidRPr="005F0DB3" w:rsidRDefault="00D347FA" w:rsidP="009E6BBD">
            <w:pPr>
              <w:keepNext/>
              <w:spacing w:after="0" w:line="240" w:lineRule="auto"/>
              <w:rPr>
                <w:rFonts w:ascii="Arial" w:eastAsia="Times New Roman" w:hAnsi="Arial" w:cs="Arial"/>
                <w:b/>
                <w:bCs/>
                <w:color w:val="000000"/>
                <w:sz w:val="20"/>
                <w:szCs w:val="20"/>
                <w:lang w:eastAsia="en-GB"/>
              </w:rPr>
            </w:pPr>
            <w:r w:rsidRPr="005F0DB3">
              <w:rPr>
                <w:rFonts w:ascii="Arial" w:eastAsia="Times New Roman" w:hAnsi="Arial" w:cs="Arial"/>
                <w:b/>
                <w:bCs/>
                <w:color w:val="000000"/>
                <w:sz w:val="20"/>
                <w:szCs w:val="20"/>
                <w:lang w:eastAsia="en-GB"/>
              </w:rPr>
              <w:t>Table 3.2.3c Mood and emotions</w:t>
            </w:r>
          </w:p>
        </w:tc>
      </w:tr>
      <w:tr w:rsidR="00D347FA" w:rsidRPr="005F0DB3" w:rsidTr="009E6BBD">
        <w:trPr>
          <w:trHeight w:val="510"/>
        </w:trPr>
        <w:tc>
          <w:tcPr>
            <w:tcW w:w="2566" w:type="dxa"/>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rPr>
                <w:rFonts w:ascii="Arial" w:eastAsia="Times New Roman" w:hAnsi="Arial" w:cs="Arial"/>
                <w:color w:val="000000"/>
                <w:sz w:val="20"/>
                <w:szCs w:val="20"/>
                <w:lang w:eastAsia="en-GB"/>
              </w:rPr>
            </w:pPr>
            <w:r w:rsidRPr="005F0DB3">
              <w:rPr>
                <w:rFonts w:ascii="Arial" w:eastAsia="Times New Roman" w:hAnsi="Arial" w:cs="Arial"/>
                <w:color w:val="000000"/>
                <w:sz w:val="20"/>
                <w:szCs w:val="20"/>
                <w:lang w:eastAsia="en-GB"/>
              </w:rPr>
              <w:t>Mood and emotions items</w:t>
            </w:r>
          </w:p>
        </w:tc>
        <w:tc>
          <w:tcPr>
            <w:tcW w:w="1087" w:type="dxa"/>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color w:val="000000"/>
                <w:sz w:val="20"/>
                <w:szCs w:val="20"/>
                <w:lang w:eastAsia="en-GB"/>
              </w:rPr>
            </w:pPr>
            <w:r w:rsidRPr="005F0DB3">
              <w:rPr>
                <w:rFonts w:ascii="Arial" w:eastAsia="Times New Roman" w:hAnsi="Arial" w:cs="Arial"/>
                <w:color w:val="000000"/>
                <w:sz w:val="20"/>
                <w:szCs w:val="20"/>
                <w:lang w:eastAsia="en-GB"/>
              </w:rPr>
              <w:t>Always</w:t>
            </w:r>
          </w:p>
        </w:tc>
        <w:tc>
          <w:tcPr>
            <w:tcW w:w="899" w:type="dxa"/>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color w:val="000000"/>
                <w:sz w:val="20"/>
                <w:szCs w:val="20"/>
                <w:lang w:eastAsia="en-GB"/>
              </w:rPr>
            </w:pPr>
            <w:r w:rsidRPr="005F0DB3">
              <w:rPr>
                <w:rFonts w:ascii="Arial" w:eastAsia="Times New Roman" w:hAnsi="Arial" w:cs="Arial"/>
                <w:color w:val="000000"/>
                <w:sz w:val="20"/>
                <w:szCs w:val="20"/>
                <w:lang w:eastAsia="en-GB"/>
              </w:rPr>
              <w:t>Often</w:t>
            </w:r>
          </w:p>
        </w:tc>
        <w:tc>
          <w:tcPr>
            <w:tcW w:w="1217" w:type="dxa"/>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color w:val="000000"/>
                <w:sz w:val="20"/>
                <w:szCs w:val="20"/>
                <w:lang w:eastAsia="en-GB"/>
              </w:rPr>
            </w:pPr>
            <w:r w:rsidRPr="005F0DB3">
              <w:rPr>
                <w:rFonts w:ascii="Arial" w:eastAsia="Times New Roman" w:hAnsi="Arial" w:cs="Arial"/>
                <w:color w:val="000000"/>
                <w:sz w:val="20"/>
                <w:szCs w:val="20"/>
                <w:lang w:eastAsia="en-GB"/>
              </w:rPr>
              <w:t>Sometimes</w:t>
            </w:r>
          </w:p>
        </w:tc>
        <w:tc>
          <w:tcPr>
            <w:tcW w:w="767" w:type="dxa"/>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color w:val="000000"/>
                <w:sz w:val="20"/>
                <w:szCs w:val="20"/>
                <w:lang w:eastAsia="en-GB"/>
              </w:rPr>
            </w:pPr>
            <w:r w:rsidRPr="005F0DB3">
              <w:rPr>
                <w:rFonts w:ascii="Arial" w:eastAsia="Times New Roman" w:hAnsi="Arial" w:cs="Arial"/>
                <w:color w:val="000000"/>
                <w:sz w:val="20"/>
                <w:szCs w:val="20"/>
                <w:lang w:eastAsia="en-GB"/>
              </w:rPr>
              <w:t>Never</w:t>
            </w:r>
          </w:p>
        </w:tc>
        <w:tc>
          <w:tcPr>
            <w:tcW w:w="993" w:type="dxa"/>
            <w:gridSpan w:val="2"/>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i/>
                <w:iCs/>
                <w:color w:val="000000"/>
                <w:sz w:val="18"/>
                <w:szCs w:val="18"/>
                <w:lang w:eastAsia="en-GB"/>
              </w:rPr>
            </w:pPr>
            <w:r w:rsidRPr="005F0DB3">
              <w:rPr>
                <w:rFonts w:ascii="Arial" w:eastAsia="Times New Roman" w:hAnsi="Arial" w:cs="Arial"/>
                <w:i/>
                <w:iCs/>
                <w:color w:val="000000"/>
                <w:sz w:val="18"/>
                <w:szCs w:val="18"/>
                <w:lang w:eastAsia="en-GB"/>
              </w:rPr>
              <w:t>Weighted base</w:t>
            </w:r>
            <w:r w:rsidR="005F0DB3">
              <w:rPr>
                <w:rFonts w:ascii="Arial" w:eastAsia="Times New Roman" w:hAnsi="Arial" w:cs="Arial"/>
                <w:i/>
                <w:iCs/>
                <w:color w:val="000000"/>
                <w:sz w:val="18"/>
                <w:szCs w:val="18"/>
                <w:lang w:eastAsia="en-GB"/>
              </w:rPr>
              <w:t>s</w:t>
            </w:r>
          </w:p>
        </w:tc>
        <w:tc>
          <w:tcPr>
            <w:tcW w:w="1275" w:type="dxa"/>
            <w:gridSpan w:val="2"/>
            <w:tcBorders>
              <w:top w:val="nil"/>
              <w:left w:val="nil"/>
              <w:bottom w:val="single" w:sz="12" w:space="0" w:color="auto"/>
              <w:right w:val="nil"/>
            </w:tcBorders>
            <w:shd w:val="clear" w:color="auto" w:fill="auto"/>
            <w:vAlign w:val="center"/>
            <w:hideMark/>
          </w:tcPr>
          <w:p w:rsidR="00D347FA" w:rsidRPr="005F0DB3" w:rsidRDefault="00D347FA" w:rsidP="009E6BBD">
            <w:pPr>
              <w:keepNext/>
              <w:spacing w:after="0" w:line="240" w:lineRule="auto"/>
              <w:jc w:val="center"/>
              <w:rPr>
                <w:rFonts w:ascii="Arial" w:eastAsia="Times New Roman" w:hAnsi="Arial" w:cs="Arial"/>
                <w:i/>
                <w:iCs/>
                <w:color w:val="000000"/>
                <w:sz w:val="18"/>
                <w:szCs w:val="18"/>
                <w:lang w:eastAsia="en-GB"/>
              </w:rPr>
            </w:pPr>
            <w:r w:rsidRPr="005F0DB3">
              <w:rPr>
                <w:rFonts w:ascii="Arial" w:eastAsia="Times New Roman" w:hAnsi="Arial" w:cs="Arial"/>
                <w:i/>
                <w:iCs/>
                <w:color w:val="000000"/>
                <w:sz w:val="18"/>
                <w:szCs w:val="18"/>
                <w:lang w:eastAsia="en-GB"/>
              </w:rPr>
              <w:t>Unweighted base</w:t>
            </w:r>
            <w:r w:rsidR="005F0DB3">
              <w:rPr>
                <w:rFonts w:ascii="Arial" w:eastAsia="Times New Roman" w:hAnsi="Arial" w:cs="Arial"/>
                <w:i/>
                <w:iCs/>
                <w:color w:val="000000"/>
                <w:sz w:val="18"/>
                <w:szCs w:val="18"/>
                <w:lang w:eastAsia="en-GB"/>
              </w:rPr>
              <w:t>s</w:t>
            </w:r>
          </w:p>
        </w:tc>
      </w:tr>
      <w:tr w:rsidR="00D347FA" w:rsidRPr="00BD2CB7" w:rsidTr="00AE3DD5">
        <w:trPr>
          <w:trHeight w:val="283"/>
        </w:trPr>
        <w:tc>
          <w:tcPr>
            <w:tcW w:w="8804" w:type="dxa"/>
            <w:gridSpan w:val="9"/>
            <w:tcBorders>
              <w:top w:val="single" w:sz="12" w:space="0" w:color="auto"/>
              <w:left w:val="nil"/>
              <w:bottom w:val="single" w:sz="8" w:space="0" w:color="auto"/>
              <w:right w:val="nil"/>
            </w:tcBorders>
            <w:shd w:val="clear" w:color="auto" w:fill="auto"/>
            <w:vAlign w:val="center"/>
            <w:hideMark/>
          </w:tcPr>
          <w:p w:rsidR="00D347FA" w:rsidRPr="00BD2CB7" w:rsidRDefault="00D347FA" w:rsidP="009E6BBD">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BD2CB7" w:rsidTr="003169A7">
        <w:trPr>
          <w:trHeight w:val="300"/>
        </w:trPr>
        <w:tc>
          <w:tcPr>
            <w:tcW w:w="2566" w:type="dxa"/>
            <w:tcBorders>
              <w:top w:val="nil"/>
              <w:left w:val="nil"/>
              <w:bottom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feel happy?</w:t>
            </w:r>
          </w:p>
        </w:tc>
        <w:tc>
          <w:tcPr>
            <w:tcW w:w="108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8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54</w:t>
            </w:r>
          </w:p>
        </w:tc>
        <w:tc>
          <w:tcPr>
            <w:tcW w:w="121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w:t>
            </w:r>
            <w:r w:rsidR="00E52C7C">
              <w:rPr>
                <w:rFonts w:ascii="Arial" w:hAnsi="Arial" w:cs="Arial"/>
                <w:color w:val="000000"/>
                <w:sz w:val="20"/>
                <w:szCs w:val="20"/>
              </w:rPr>
              <w:t>0</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4045</w:t>
            </w:r>
          </w:p>
        </w:tc>
        <w:tc>
          <w:tcPr>
            <w:tcW w:w="123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4046</w:t>
            </w:r>
          </w:p>
        </w:tc>
      </w:tr>
      <w:tr w:rsidR="00D347FA" w:rsidRPr="00BD2CB7" w:rsidTr="003169A7">
        <w:trPr>
          <w:trHeight w:val="300"/>
        </w:trPr>
        <w:tc>
          <w:tcPr>
            <w:tcW w:w="2566" w:type="dxa"/>
            <w:tcBorders>
              <w:top w:val="nil"/>
              <w:left w:val="nil"/>
              <w:bottom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get worried about what will happen to you?</w:t>
            </w:r>
          </w:p>
        </w:tc>
        <w:tc>
          <w:tcPr>
            <w:tcW w:w="108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8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19</w:t>
            </w:r>
          </w:p>
        </w:tc>
        <w:tc>
          <w:tcPr>
            <w:tcW w:w="121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4018</w:t>
            </w:r>
          </w:p>
        </w:tc>
        <w:tc>
          <w:tcPr>
            <w:tcW w:w="123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4018</w:t>
            </w:r>
          </w:p>
        </w:tc>
      </w:tr>
      <w:tr w:rsidR="00D347FA" w:rsidRPr="00BD2CB7" w:rsidTr="003169A7">
        <w:trPr>
          <w:trHeight w:val="300"/>
        </w:trPr>
        <w:tc>
          <w:tcPr>
            <w:tcW w:w="2566" w:type="dxa"/>
            <w:tcBorders>
              <w:top w:val="nil"/>
              <w:left w:val="nil"/>
              <w:bottom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feel sad?</w:t>
            </w:r>
          </w:p>
        </w:tc>
        <w:tc>
          <w:tcPr>
            <w:tcW w:w="108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8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121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73</w:t>
            </w:r>
          </w:p>
        </w:tc>
        <w:tc>
          <w:tcPr>
            <w:tcW w:w="899" w:type="dxa"/>
            <w:gridSpan w:val="2"/>
            <w:tcBorders>
              <w:top w:val="nil"/>
              <w:left w:val="nil"/>
              <w:bottom w:val="nil"/>
              <w:right w:val="nil"/>
            </w:tcBorders>
            <w:shd w:val="clear" w:color="auto" w:fill="auto"/>
            <w:noWrap/>
            <w:vAlign w:val="center"/>
          </w:tcPr>
          <w:p w:rsidR="00D347FA" w:rsidRDefault="00E52C7C" w:rsidP="009E6BBD">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4002</w:t>
            </w:r>
          </w:p>
        </w:tc>
        <w:tc>
          <w:tcPr>
            <w:tcW w:w="123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4004</w:t>
            </w:r>
          </w:p>
        </w:tc>
      </w:tr>
      <w:tr w:rsidR="00D347FA" w:rsidRPr="00BD2CB7" w:rsidTr="003169A7">
        <w:trPr>
          <w:trHeight w:val="300"/>
        </w:trPr>
        <w:tc>
          <w:tcPr>
            <w:tcW w:w="2566" w:type="dxa"/>
            <w:tcBorders>
              <w:top w:val="nil"/>
              <w:left w:val="nil"/>
              <w:bottom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feel afraid or scared?</w:t>
            </w:r>
          </w:p>
        </w:tc>
        <w:tc>
          <w:tcPr>
            <w:tcW w:w="108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1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54</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899"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3985</w:t>
            </w:r>
          </w:p>
        </w:tc>
        <w:tc>
          <w:tcPr>
            <w:tcW w:w="1237"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3986</w:t>
            </w:r>
          </w:p>
        </w:tc>
      </w:tr>
      <w:tr w:rsidR="00D347FA" w:rsidRPr="00BD2CB7" w:rsidTr="003169A7">
        <w:trPr>
          <w:trHeight w:val="300"/>
        </w:trPr>
        <w:tc>
          <w:tcPr>
            <w:tcW w:w="2566" w:type="dxa"/>
            <w:tcBorders>
              <w:top w:val="nil"/>
              <w:left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laugh?</w:t>
            </w:r>
          </w:p>
        </w:tc>
        <w:tc>
          <w:tcPr>
            <w:tcW w:w="1087"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47</w:t>
            </w:r>
          </w:p>
        </w:tc>
        <w:tc>
          <w:tcPr>
            <w:tcW w:w="899"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1217"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899"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899"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4024</w:t>
            </w:r>
          </w:p>
        </w:tc>
        <w:tc>
          <w:tcPr>
            <w:tcW w:w="1237"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4025</w:t>
            </w:r>
          </w:p>
        </w:tc>
      </w:tr>
      <w:tr w:rsidR="00D347FA" w:rsidRPr="00BD2CB7" w:rsidTr="003169A7">
        <w:trPr>
          <w:trHeight w:val="300"/>
        </w:trPr>
        <w:tc>
          <w:tcPr>
            <w:tcW w:w="2566" w:type="dxa"/>
            <w:tcBorders>
              <w:top w:val="nil"/>
              <w:left w:val="nil"/>
              <w:right w:val="nil"/>
            </w:tcBorders>
            <w:shd w:val="clear" w:color="auto" w:fill="auto"/>
            <w:hideMark/>
          </w:tcPr>
          <w:p w:rsidR="00D347FA" w:rsidRPr="00BD2CB7" w:rsidRDefault="00D347FA" w:rsidP="003169A7">
            <w:pPr>
              <w:keepNext/>
              <w:spacing w:after="0" w:line="240" w:lineRule="auto"/>
              <w:rPr>
                <w:rFonts w:ascii="Arial" w:eastAsia="Times New Roman" w:hAnsi="Arial" w:cs="Arial"/>
                <w:color w:val="000000"/>
                <w:sz w:val="20"/>
                <w:szCs w:val="20"/>
                <w:lang w:eastAsia="en-GB"/>
              </w:rPr>
            </w:pPr>
            <w:r w:rsidRPr="00BD2CB7">
              <w:rPr>
                <w:rFonts w:ascii="Arial" w:eastAsia="Times New Roman" w:hAnsi="Arial" w:cs="Arial"/>
                <w:color w:val="000000"/>
                <w:sz w:val="20"/>
                <w:szCs w:val="20"/>
                <w:lang w:eastAsia="en-GB"/>
              </w:rPr>
              <w:t>How often do you lose your temper?</w:t>
            </w:r>
          </w:p>
        </w:tc>
        <w:tc>
          <w:tcPr>
            <w:tcW w:w="1087" w:type="dxa"/>
            <w:tcBorders>
              <w:top w:val="nil"/>
              <w:left w:val="nil"/>
              <w:right w:val="nil"/>
            </w:tcBorders>
            <w:shd w:val="clear" w:color="auto" w:fill="auto"/>
            <w:noWrap/>
            <w:vAlign w:val="center"/>
          </w:tcPr>
          <w:p w:rsidR="00D347FA" w:rsidRDefault="00E52C7C" w:rsidP="009E6BBD">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99"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1217"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50</w:t>
            </w:r>
          </w:p>
        </w:tc>
        <w:tc>
          <w:tcPr>
            <w:tcW w:w="899"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899"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3989</w:t>
            </w:r>
          </w:p>
        </w:tc>
        <w:tc>
          <w:tcPr>
            <w:tcW w:w="1237"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3988</w:t>
            </w:r>
          </w:p>
        </w:tc>
      </w:tr>
      <w:tr w:rsidR="00A36A1A" w:rsidRPr="00BD2CB7" w:rsidTr="009E6BBD">
        <w:trPr>
          <w:trHeight w:val="227"/>
        </w:trPr>
        <w:tc>
          <w:tcPr>
            <w:tcW w:w="2566" w:type="dxa"/>
            <w:tcBorders>
              <w:top w:val="nil"/>
              <w:left w:val="nil"/>
              <w:bottom w:val="single" w:sz="12" w:space="0" w:color="auto"/>
              <w:right w:val="nil"/>
            </w:tcBorders>
            <w:shd w:val="clear" w:color="auto" w:fill="auto"/>
            <w:vAlign w:val="bottom"/>
          </w:tcPr>
          <w:p w:rsidR="00A36A1A" w:rsidRPr="00BD2CB7" w:rsidRDefault="00A36A1A" w:rsidP="009E6BBD">
            <w:pPr>
              <w:keepNext/>
              <w:spacing w:after="0" w:line="240" w:lineRule="auto"/>
              <w:rPr>
                <w:rFonts w:ascii="Arial" w:eastAsia="Times New Roman" w:hAnsi="Arial" w:cs="Arial"/>
                <w:color w:val="000000"/>
                <w:sz w:val="20"/>
                <w:szCs w:val="20"/>
                <w:lang w:eastAsia="en-GB"/>
              </w:rPr>
            </w:pPr>
          </w:p>
        </w:tc>
        <w:tc>
          <w:tcPr>
            <w:tcW w:w="1087" w:type="dxa"/>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99" w:type="dxa"/>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1217" w:type="dxa"/>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99" w:type="dxa"/>
            <w:gridSpan w:val="2"/>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99" w:type="dxa"/>
            <w:gridSpan w:val="2"/>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c>
          <w:tcPr>
            <w:tcW w:w="1237" w:type="dxa"/>
            <w:tcBorders>
              <w:top w:val="nil"/>
              <w:left w:val="nil"/>
              <w:bottom w:val="single" w:sz="12" w:space="0" w:color="auto"/>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r>
    </w:tbl>
    <w:p w:rsidR="00D347FA"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after="200" w:line="276" w:lineRule="auto"/>
      </w:pPr>
      <w:r>
        <w:t xml:space="preserve">Responses to these questions were summed to create a scale of mood and emotions, with the first and fifth items reversed, so that higher scores indicated more positive mood. </w:t>
      </w:r>
      <w:r w:rsidR="005F0DB3">
        <w:t xml:space="preserve">Around </w:t>
      </w:r>
      <w:r w:rsidR="00D53E78">
        <w:t>three in ten</w:t>
      </w:r>
      <w:r w:rsidR="005F0DB3">
        <w:t xml:space="preserve"> (</w:t>
      </w:r>
      <w:r w:rsidR="00D53E78">
        <w:t>29</w:t>
      </w:r>
      <w:r>
        <w:t>%</w:t>
      </w:r>
      <w:r w:rsidR="005F0DB3">
        <w:t>)</w:t>
      </w:r>
      <w:r>
        <w:t xml:space="preserve"> of those in P5</w:t>
      </w:r>
      <w:r w:rsidR="005F0DB3">
        <w:t xml:space="preserve"> to</w:t>
      </w:r>
      <w:r>
        <w:t xml:space="preserve"> P7 in </w:t>
      </w:r>
      <w:r w:rsidR="005F0DB3">
        <w:t>Falkirk</w:t>
      </w:r>
      <w:r>
        <w:t xml:space="preserve"> were categorised as having ‘higher’ mood, </w:t>
      </w:r>
      <w:r w:rsidR="00D53E78">
        <w:t>45</w:t>
      </w:r>
      <w:r>
        <w:t xml:space="preserve">% ‘average’ and </w:t>
      </w:r>
      <w:r w:rsidR="00D53E78">
        <w:t>26</w:t>
      </w:r>
      <w:r>
        <w:t>% ‘lower’.</w:t>
      </w:r>
    </w:p>
    <w:p w:rsidR="00D347FA" w:rsidRDefault="00D347FA" w:rsidP="00D347FA">
      <w:pPr>
        <w:pStyle w:val="BodyCopy"/>
        <w:spacing w:before="240" w:line="276" w:lineRule="auto"/>
      </w:pPr>
      <w:r>
        <w:t xml:space="preserve">Girls were more likely </w:t>
      </w:r>
      <w:r w:rsidR="00FC052E">
        <w:t xml:space="preserve">than boys </w:t>
      </w:r>
      <w:r>
        <w:t>to have ‘higher’ mood (32% compared with 25%), as were those in two</w:t>
      </w:r>
      <w:r w:rsidR="005A68EF">
        <w:t xml:space="preserve"> </w:t>
      </w:r>
      <w:r>
        <w:t>parent households (30% compared with 23% of those in single</w:t>
      </w:r>
      <w:r w:rsidR="005A68EF">
        <w:t xml:space="preserve"> </w:t>
      </w:r>
      <w:r>
        <w:t xml:space="preserve">parent households and 26% of those in step-families). </w:t>
      </w:r>
    </w:p>
    <w:p w:rsidR="00D347FA" w:rsidRPr="000430CC" w:rsidRDefault="00D347FA" w:rsidP="00D347FA">
      <w:pPr>
        <w:pStyle w:val="BodyCopy"/>
        <w:spacing w:before="240" w:line="276" w:lineRule="auto"/>
      </w:pPr>
      <w:r>
        <w:t xml:space="preserve">Children with additional support needs were much more likely to score </w:t>
      </w:r>
      <w:r w:rsidRPr="005A68EF">
        <w:t>lower</w:t>
      </w:r>
      <w:r>
        <w:rPr>
          <w:i/>
        </w:rPr>
        <w:t xml:space="preserve"> </w:t>
      </w:r>
      <w:r>
        <w:t xml:space="preserve">on the moods and emotions scale than their peers without such needs (34% and 24% respectively). </w:t>
      </w:r>
    </w:p>
    <w:p w:rsidR="00D347FA" w:rsidRPr="00EB39E5" w:rsidRDefault="00D347FA" w:rsidP="00D347FA">
      <w:pPr>
        <w:pStyle w:val="BodyCopy"/>
        <w:spacing w:before="240" w:line="276" w:lineRule="auto"/>
      </w:pPr>
      <w:r>
        <w:t>Interestingly, t</w:t>
      </w:r>
      <w:r w:rsidRPr="00EB39E5">
        <w:t xml:space="preserve">here were no significant differences by </w:t>
      </w:r>
      <w:r>
        <w:t xml:space="preserve">school year, </w:t>
      </w:r>
      <w:r w:rsidRPr="00EB39E5">
        <w:t xml:space="preserve">area deprivation, being </w:t>
      </w:r>
      <w:r>
        <w:t>eligible for free school</w:t>
      </w:r>
      <w:r w:rsidRPr="00EB39E5">
        <w:t xml:space="preserve"> meals, or being in receipt of children’s services.</w:t>
      </w:r>
    </w:p>
    <w:p w:rsidR="00D347FA" w:rsidRDefault="00D6395C" w:rsidP="00D347FA">
      <w:pPr>
        <w:pStyle w:val="BodyCopy"/>
        <w:spacing w:before="240" w:line="276" w:lineRule="auto"/>
      </w:pPr>
      <w:r>
        <w:rPr>
          <w:noProof/>
        </w:rPr>
        <w:lastRenderedPageBreak/>
        <w:drawing>
          <wp:inline distT="0" distB="0" distL="0" distR="0" wp14:anchorId="18D73B8A" wp14:editId="1413E06C">
            <wp:extent cx="4951095" cy="3323108"/>
            <wp:effectExtent l="0" t="0" r="1905"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47FA" w:rsidRDefault="00D347FA" w:rsidP="00D347FA">
      <w:pPr>
        <w:pStyle w:val="BodyCopy"/>
        <w:spacing w:after="200" w:line="276" w:lineRule="auto"/>
        <w:rPr>
          <w:i/>
          <w:sz w:val="18"/>
          <w:szCs w:val="18"/>
        </w:rPr>
      </w:pPr>
      <w:r w:rsidRPr="00BE4F92">
        <w:t xml:space="preserve"> </w:t>
      </w:r>
      <w:r w:rsidRPr="00A018E9">
        <w:rPr>
          <w:i/>
          <w:sz w:val="18"/>
          <w:szCs w:val="18"/>
        </w:rPr>
        <w:t xml:space="preserve">Source: RCS </w:t>
      </w:r>
      <w:r>
        <w:rPr>
          <w:i/>
          <w:sz w:val="18"/>
          <w:szCs w:val="18"/>
        </w:rPr>
        <w:t>primary school survey, Falkirk 2017</w:t>
      </w:r>
    </w:p>
    <w:p w:rsidR="00D347FA" w:rsidRPr="001E064D" w:rsidRDefault="00D347FA" w:rsidP="00D347FA">
      <w:pPr>
        <w:pStyle w:val="Heading2"/>
        <w:spacing w:line="276" w:lineRule="auto"/>
      </w:pPr>
      <w:r w:rsidRPr="00BE4F92">
        <w:t xml:space="preserve">  </w:t>
      </w:r>
      <w:bookmarkStart w:id="106" w:name="_Toc478636822"/>
      <w:bookmarkStart w:id="107" w:name="_Toc479456958"/>
      <w:bookmarkStart w:id="108" w:name="_Toc494182075"/>
      <w:r w:rsidRPr="001E064D">
        <w:t>Social</w:t>
      </w:r>
      <w:bookmarkEnd w:id="106"/>
      <w:r w:rsidRPr="001E064D">
        <w:t xml:space="preserve"> wellbeing</w:t>
      </w:r>
      <w:bookmarkEnd w:id="107"/>
      <w:bookmarkEnd w:id="108"/>
    </w:p>
    <w:p w:rsidR="00D347FA" w:rsidRDefault="00D347FA" w:rsidP="00D347FA">
      <w:pPr>
        <w:pStyle w:val="BodyCopy"/>
        <w:spacing w:before="240" w:line="276" w:lineRule="auto"/>
      </w:pPr>
      <w:r>
        <w:t>This section covers the sub-areas of wellbeing related to the social domain, namely family, educational and learning environment, peer relationships and friendships and societal influences.</w:t>
      </w:r>
    </w:p>
    <w:p w:rsidR="00D347FA" w:rsidRDefault="00D347FA" w:rsidP="00D347FA">
      <w:pPr>
        <w:pStyle w:val="Heading3"/>
        <w:spacing w:line="276" w:lineRule="auto"/>
      </w:pPr>
      <w:bookmarkStart w:id="109" w:name="_Toc478636824"/>
      <w:bookmarkStart w:id="110" w:name="_Toc479456959"/>
      <w:bookmarkStart w:id="111" w:name="_Toc494182076"/>
      <w:r>
        <w:t>Family</w:t>
      </w:r>
      <w:bookmarkEnd w:id="109"/>
      <w:bookmarkEnd w:id="110"/>
      <w:bookmarkEnd w:id="111"/>
    </w:p>
    <w:p w:rsidR="00D347FA" w:rsidRDefault="00D347FA" w:rsidP="00D347FA">
      <w:pPr>
        <w:pStyle w:val="Heading3"/>
        <w:numPr>
          <w:ilvl w:val="0"/>
          <w:numId w:val="0"/>
        </w:numPr>
        <w:spacing w:line="276" w:lineRule="auto"/>
        <w:ind w:left="851" w:hanging="851"/>
      </w:pPr>
      <w:bookmarkStart w:id="112" w:name="_Toc478636825"/>
      <w:bookmarkStart w:id="113" w:name="_Toc479456960"/>
      <w:bookmarkStart w:id="114" w:name="_Toc494182077"/>
      <w:r w:rsidRPr="000233C9">
        <w:rPr>
          <w:color w:val="auto"/>
        </w:rPr>
        <w:t>Fa</w:t>
      </w:r>
      <w:r>
        <w:t>mily relations</w:t>
      </w:r>
      <w:bookmarkEnd w:id="112"/>
      <w:r>
        <w:t xml:space="preserve"> (Nurtured, Included)</w:t>
      </w:r>
      <w:bookmarkEnd w:id="113"/>
      <w:bookmarkEnd w:id="114"/>
    </w:p>
    <w:p w:rsidR="00D347FA" w:rsidRDefault="00D347FA" w:rsidP="00D347FA">
      <w:pPr>
        <w:pStyle w:val="BodyCopy"/>
        <w:spacing w:before="240" w:line="276" w:lineRule="auto"/>
        <w:rPr>
          <w:color w:val="000000"/>
          <w:shd w:val="clear" w:color="auto" w:fill="FFFFFF"/>
        </w:rPr>
      </w:pPr>
      <w:r>
        <w:t>Primary pupils were asked a set of questions on the quality of their relationship with their parents drawn from the People in My Life (PIML) scale.</w:t>
      </w:r>
      <w:r>
        <w:rPr>
          <w:rStyle w:val="EndnoteReference"/>
          <w:rFonts w:eastAsiaTheme="minorHAnsi"/>
        </w:rPr>
        <w:endnoteReference w:id="25"/>
      </w:r>
      <w:r>
        <w:rPr>
          <w:color w:val="000000"/>
          <w:shd w:val="clear" w:color="auto" w:fill="FFFFFF"/>
        </w:rPr>
        <w:t xml:space="preserve"> </w:t>
      </w:r>
      <w:r>
        <w:rPr>
          <w:rStyle w:val="EndnoteReference"/>
          <w:rFonts w:eastAsiaTheme="minorHAnsi"/>
          <w:color w:val="000000"/>
          <w:shd w:val="clear" w:color="auto" w:fill="FFFFFF"/>
        </w:rPr>
        <w:endnoteReference w:id="26"/>
      </w:r>
    </w:p>
    <w:p w:rsidR="00D347FA" w:rsidRDefault="00D347FA" w:rsidP="00D347FA">
      <w:pPr>
        <w:pStyle w:val="BodyCopy"/>
        <w:spacing w:before="240" w:line="276" w:lineRule="auto"/>
      </w:pPr>
      <w:r>
        <w:t>A majority (58%) said that their parents could always tell when they were upset about something and 69% that their parents would always ask if they knew something was bothering them. Smaller proportions said they always talk to their parents if they were having a problem (46%) and that they always shared their thoughts and feelings with their parents (38%).</w:t>
      </w:r>
    </w:p>
    <w:p w:rsidR="00D347FA" w:rsidRDefault="00D347FA" w:rsidP="00D347FA">
      <w:pPr>
        <w:pStyle w:val="BodyCopy"/>
        <w:spacing w:before="240" w:line="276" w:lineRule="auto"/>
      </w:pPr>
    </w:p>
    <w:p w:rsidR="00D347FA" w:rsidRDefault="00D347FA" w:rsidP="00D347FA">
      <w:pPr>
        <w:pStyle w:val="BodyCopy"/>
        <w:spacing w:line="276" w:lineRule="auto"/>
      </w:pPr>
    </w:p>
    <w:tbl>
      <w:tblPr>
        <w:tblW w:w="8628" w:type="dxa"/>
        <w:tblInd w:w="93" w:type="dxa"/>
        <w:tblLayout w:type="fixed"/>
        <w:tblLook w:val="04A0" w:firstRow="1" w:lastRow="0" w:firstColumn="1" w:lastColumn="0" w:noHBand="0" w:noVBand="1"/>
      </w:tblPr>
      <w:tblGrid>
        <w:gridCol w:w="2426"/>
        <w:gridCol w:w="992"/>
        <w:gridCol w:w="1276"/>
        <w:gridCol w:w="992"/>
        <w:gridCol w:w="850"/>
        <w:gridCol w:w="993"/>
        <w:gridCol w:w="1099"/>
      </w:tblGrid>
      <w:tr w:rsidR="00D347FA" w:rsidRPr="00705326" w:rsidTr="009E6BBD">
        <w:trPr>
          <w:trHeight w:val="340"/>
        </w:trPr>
        <w:tc>
          <w:tcPr>
            <w:tcW w:w="8628" w:type="dxa"/>
            <w:gridSpan w:val="7"/>
            <w:tcBorders>
              <w:top w:val="single" w:sz="12" w:space="0" w:color="auto"/>
              <w:left w:val="nil"/>
              <w:bottom w:val="nil"/>
              <w:right w:val="nil"/>
            </w:tcBorders>
            <w:shd w:val="clear" w:color="auto" w:fill="auto"/>
            <w:hideMark/>
          </w:tcPr>
          <w:p w:rsidR="00D347FA" w:rsidRPr="00705326" w:rsidRDefault="00D347FA" w:rsidP="009E6BBD">
            <w:pPr>
              <w:keepNext/>
              <w:spacing w:after="0" w:line="240" w:lineRule="auto"/>
              <w:rPr>
                <w:rFonts w:ascii="Arial" w:eastAsia="Times New Roman" w:hAnsi="Arial" w:cs="Arial"/>
                <w:b/>
                <w:bCs/>
                <w:color w:val="000000"/>
                <w:sz w:val="20"/>
                <w:szCs w:val="20"/>
                <w:lang w:eastAsia="en-GB"/>
              </w:rPr>
            </w:pPr>
            <w:r w:rsidRPr="00705326">
              <w:rPr>
                <w:rFonts w:ascii="Arial" w:eastAsia="Times New Roman" w:hAnsi="Arial" w:cs="Arial"/>
                <w:b/>
                <w:bCs/>
                <w:color w:val="000000"/>
                <w:sz w:val="20"/>
                <w:szCs w:val="20"/>
                <w:lang w:eastAsia="en-GB"/>
              </w:rPr>
              <w:lastRenderedPageBreak/>
              <w:t xml:space="preserve">Table </w:t>
            </w:r>
            <w:r>
              <w:rPr>
                <w:rFonts w:ascii="Arial" w:eastAsia="Times New Roman" w:hAnsi="Arial" w:cs="Arial"/>
                <w:b/>
                <w:bCs/>
                <w:color w:val="000000"/>
                <w:sz w:val="20"/>
                <w:szCs w:val="20"/>
                <w:lang w:eastAsia="en-GB"/>
              </w:rPr>
              <w:t>3.3.1a</w:t>
            </w:r>
            <w:r w:rsidRPr="00705326">
              <w:rPr>
                <w:rFonts w:ascii="Arial" w:eastAsia="Times New Roman" w:hAnsi="Arial" w:cs="Arial"/>
                <w:b/>
                <w:bCs/>
                <w:color w:val="000000"/>
                <w:sz w:val="20"/>
                <w:szCs w:val="20"/>
                <w:lang w:eastAsia="en-GB"/>
              </w:rPr>
              <w:t xml:space="preserve"> Parent-child relationship</w:t>
            </w:r>
          </w:p>
        </w:tc>
      </w:tr>
      <w:tr w:rsidR="00D347FA" w:rsidRPr="00705326" w:rsidTr="009E6BBD">
        <w:trPr>
          <w:trHeight w:val="510"/>
        </w:trPr>
        <w:tc>
          <w:tcPr>
            <w:tcW w:w="2426"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People in my life items</w:t>
            </w:r>
          </w:p>
        </w:tc>
        <w:tc>
          <w:tcPr>
            <w:tcW w:w="992"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Never</w:t>
            </w:r>
          </w:p>
        </w:tc>
        <w:tc>
          <w:tcPr>
            <w:tcW w:w="1276"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Sometimes</w:t>
            </w:r>
          </w:p>
        </w:tc>
        <w:tc>
          <w:tcPr>
            <w:tcW w:w="992"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Often</w:t>
            </w:r>
          </w:p>
        </w:tc>
        <w:tc>
          <w:tcPr>
            <w:tcW w:w="850"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Always</w:t>
            </w:r>
          </w:p>
        </w:tc>
        <w:tc>
          <w:tcPr>
            <w:tcW w:w="993"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i/>
                <w:iCs/>
                <w:color w:val="000000"/>
                <w:sz w:val="16"/>
                <w:szCs w:val="16"/>
                <w:lang w:eastAsia="en-GB"/>
              </w:rPr>
            </w:pPr>
            <w:r w:rsidRPr="00705326">
              <w:rPr>
                <w:rFonts w:ascii="Arial" w:eastAsia="Times New Roman" w:hAnsi="Arial" w:cs="Arial"/>
                <w:i/>
                <w:iCs/>
                <w:color w:val="000000"/>
                <w:sz w:val="16"/>
                <w:szCs w:val="16"/>
                <w:lang w:eastAsia="en-GB"/>
              </w:rPr>
              <w:t>Weighted base</w:t>
            </w:r>
            <w:r w:rsidR="00A36A1A">
              <w:rPr>
                <w:rFonts w:ascii="Arial" w:eastAsia="Times New Roman" w:hAnsi="Arial" w:cs="Arial"/>
                <w:i/>
                <w:iCs/>
                <w:color w:val="000000"/>
                <w:sz w:val="16"/>
                <w:szCs w:val="16"/>
                <w:lang w:eastAsia="en-GB"/>
              </w:rPr>
              <w:t>s</w:t>
            </w:r>
          </w:p>
        </w:tc>
        <w:tc>
          <w:tcPr>
            <w:tcW w:w="1099" w:type="dxa"/>
            <w:tcBorders>
              <w:top w:val="nil"/>
              <w:left w:val="nil"/>
              <w:bottom w:val="single" w:sz="12" w:space="0" w:color="auto"/>
              <w:right w:val="nil"/>
            </w:tcBorders>
            <w:shd w:val="clear" w:color="auto" w:fill="auto"/>
            <w:vAlign w:val="center"/>
            <w:hideMark/>
          </w:tcPr>
          <w:p w:rsidR="00D347FA" w:rsidRPr="00705326" w:rsidRDefault="00D347FA" w:rsidP="009E6BBD">
            <w:pPr>
              <w:keepNext/>
              <w:spacing w:after="0" w:line="240" w:lineRule="auto"/>
              <w:jc w:val="center"/>
              <w:rPr>
                <w:rFonts w:ascii="Arial" w:eastAsia="Times New Roman" w:hAnsi="Arial" w:cs="Arial"/>
                <w:i/>
                <w:iCs/>
                <w:color w:val="000000"/>
                <w:sz w:val="16"/>
                <w:szCs w:val="16"/>
                <w:lang w:eastAsia="en-GB"/>
              </w:rPr>
            </w:pPr>
            <w:r w:rsidRPr="00705326">
              <w:rPr>
                <w:rFonts w:ascii="Arial" w:eastAsia="Times New Roman" w:hAnsi="Arial" w:cs="Arial"/>
                <w:i/>
                <w:iCs/>
                <w:color w:val="000000"/>
                <w:sz w:val="16"/>
                <w:szCs w:val="16"/>
                <w:lang w:eastAsia="en-GB"/>
              </w:rPr>
              <w:t>Unweighted base</w:t>
            </w:r>
            <w:r w:rsidR="00A36A1A">
              <w:rPr>
                <w:rFonts w:ascii="Arial" w:eastAsia="Times New Roman" w:hAnsi="Arial" w:cs="Arial"/>
                <w:i/>
                <w:iCs/>
                <w:color w:val="000000"/>
                <w:sz w:val="16"/>
                <w:szCs w:val="16"/>
                <w:lang w:eastAsia="en-GB"/>
              </w:rPr>
              <w:t>s</w:t>
            </w:r>
          </w:p>
        </w:tc>
      </w:tr>
      <w:tr w:rsidR="00D347FA" w:rsidRPr="00705326" w:rsidTr="009E6BBD">
        <w:trPr>
          <w:trHeight w:val="283"/>
        </w:trPr>
        <w:tc>
          <w:tcPr>
            <w:tcW w:w="8628" w:type="dxa"/>
            <w:gridSpan w:val="7"/>
            <w:tcBorders>
              <w:top w:val="single" w:sz="12" w:space="0" w:color="auto"/>
              <w:left w:val="nil"/>
              <w:bottom w:val="single" w:sz="8" w:space="0" w:color="auto"/>
              <w:right w:val="nil"/>
            </w:tcBorders>
            <w:shd w:val="clear" w:color="auto" w:fill="auto"/>
            <w:vAlign w:val="center"/>
            <w:hideMark/>
          </w:tcPr>
          <w:p w:rsidR="00D347FA" w:rsidRPr="00705326" w:rsidRDefault="00D347FA" w:rsidP="009E6BBD">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705326" w:rsidTr="009E6BBD">
        <w:trPr>
          <w:trHeight w:val="567"/>
        </w:trPr>
        <w:tc>
          <w:tcPr>
            <w:tcW w:w="2426" w:type="dxa"/>
            <w:tcBorders>
              <w:top w:val="nil"/>
              <w:left w:val="nil"/>
              <w:bottom w:val="nil"/>
              <w:right w:val="nil"/>
            </w:tcBorders>
            <w:shd w:val="clear" w:color="auto" w:fill="auto"/>
            <w:vAlign w:val="center"/>
            <w:hideMark/>
          </w:tcPr>
          <w:p w:rsidR="00D347FA" w:rsidRPr="00705326" w:rsidRDefault="00D347FA" w:rsidP="009E6BBD">
            <w:pPr>
              <w:keepNext/>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My parents can tell when I am upset about something</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276"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850"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58</w:t>
            </w:r>
          </w:p>
        </w:tc>
        <w:tc>
          <w:tcPr>
            <w:tcW w:w="993"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3922</w:t>
            </w:r>
          </w:p>
        </w:tc>
        <w:tc>
          <w:tcPr>
            <w:tcW w:w="10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3924</w:t>
            </w:r>
          </w:p>
        </w:tc>
      </w:tr>
      <w:tr w:rsidR="00D347FA" w:rsidRPr="00705326" w:rsidTr="00A36A1A">
        <w:trPr>
          <w:trHeight w:val="515"/>
        </w:trPr>
        <w:tc>
          <w:tcPr>
            <w:tcW w:w="2426" w:type="dxa"/>
            <w:tcBorders>
              <w:top w:val="nil"/>
              <w:left w:val="nil"/>
              <w:bottom w:val="nil"/>
              <w:right w:val="nil"/>
            </w:tcBorders>
            <w:shd w:val="clear" w:color="auto" w:fill="auto"/>
            <w:vAlign w:val="bottom"/>
            <w:hideMark/>
          </w:tcPr>
          <w:p w:rsidR="00D347FA" w:rsidRPr="00705326" w:rsidRDefault="00D347FA" w:rsidP="009E6BBD">
            <w:pPr>
              <w:keepNext/>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I talk to my parents when I am having a problem</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1276"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850"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993"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3945</w:t>
            </w:r>
          </w:p>
        </w:tc>
        <w:tc>
          <w:tcPr>
            <w:tcW w:w="10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3947</w:t>
            </w:r>
          </w:p>
        </w:tc>
      </w:tr>
      <w:tr w:rsidR="00D347FA" w:rsidRPr="00705326" w:rsidTr="00A36A1A">
        <w:trPr>
          <w:trHeight w:val="515"/>
        </w:trPr>
        <w:tc>
          <w:tcPr>
            <w:tcW w:w="2426" w:type="dxa"/>
            <w:tcBorders>
              <w:top w:val="nil"/>
              <w:left w:val="nil"/>
              <w:bottom w:val="nil"/>
              <w:right w:val="nil"/>
            </w:tcBorders>
            <w:shd w:val="clear" w:color="auto" w:fill="auto"/>
            <w:vAlign w:val="bottom"/>
            <w:hideMark/>
          </w:tcPr>
          <w:p w:rsidR="00D347FA" w:rsidRPr="00705326" w:rsidRDefault="00D347FA" w:rsidP="009E6BBD">
            <w:pPr>
              <w:keepNext/>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If my parents know that something is bothering me, they ask me about it</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1276"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992"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18</w:t>
            </w:r>
          </w:p>
        </w:tc>
        <w:tc>
          <w:tcPr>
            <w:tcW w:w="850"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69</w:t>
            </w:r>
          </w:p>
        </w:tc>
        <w:tc>
          <w:tcPr>
            <w:tcW w:w="993"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3916</w:t>
            </w:r>
          </w:p>
        </w:tc>
        <w:tc>
          <w:tcPr>
            <w:tcW w:w="1099"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3918</w:t>
            </w:r>
          </w:p>
        </w:tc>
      </w:tr>
      <w:tr w:rsidR="00D347FA" w:rsidRPr="00705326" w:rsidTr="009E6BBD">
        <w:trPr>
          <w:trHeight w:val="515"/>
        </w:trPr>
        <w:tc>
          <w:tcPr>
            <w:tcW w:w="2426" w:type="dxa"/>
            <w:tcBorders>
              <w:top w:val="nil"/>
              <w:left w:val="nil"/>
              <w:right w:val="nil"/>
            </w:tcBorders>
            <w:shd w:val="clear" w:color="auto" w:fill="auto"/>
            <w:vAlign w:val="bottom"/>
            <w:hideMark/>
          </w:tcPr>
          <w:p w:rsidR="00D347FA" w:rsidRPr="00705326" w:rsidRDefault="00D347FA" w:rsidP="009E6BBD">
            <w:pPr>
              <w:keepNext/>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I share my thoughts and feelings with my parents</w:t>
            </w:r>
          </w:p>
        </w:tc>
        <w:tc>
          <w:tcPr>
            <w:tcW w:w="992"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276"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27</w:t>
            </w:r>
          </w:p>
        </w:tc>
        <w:tc>
          <w:tcPr>
            <w:tcW w:w="992"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28</w:t>
            </w:r>
          </w:p>
        </w:tc>
        <w:tc>
          <w:tcPr>
            <w:tcW w:w="850"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38</w:t>
            </w:r>
          </w:p>
        </w:tc>
        <w:tc>
          <w:tcPr>
            <w:tcW w:w="993"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3908</w:t>
            </w:r>
          </w:p>
        </w:tc>
        <w:tc>
          <w:tcPr>
            <w:tcW w:w="1099"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3910</w:t>
            </w:r>
          </w:p>
        </w:tc>
      </w:tr>
      <w:tr w:rsidR="00D347FA" w:rsidRPr="00705326" w:rsidTr="009E6BBD">
        <w:trPr>
          <w:trHeight w:val="227"/>
        </w:trPr>
        <w:tc>
          <w:tcPr>
            <w:tcW w:w="2426"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 </w:t>
            </w:r>
          </w:p>
        </w:tc>
        <w:tc>
          <w:tcPr>
            <w:tcW w:w="992"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 </w:t>
            </w:r>
          </w:p>
        </w:tc>
        <w:tc>
          <w:tcPr>
            <w:tcW w:w="1276"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 </w:t>
            </w:r>
          </w:p>
        </w:tc>
        <w:tc>
          <w:tcPr>
            <w:tcW w:w="992"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 </w:t>
            </w:r>
          </w:p>
        </w:tc>
        <w:tc>
          <w:tcPr>
            <w:tcW w:w="850"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color w:val="000000"/>
                <w:sz w:val="20"/>
                <w:szCs w:val="20"/>
                <w:lang w:eastAsia="en-GB"/>
              </w:rPr>
            </w:pPr>
            <w:r w:rsidRPr="00705326">
              <w:rPr>
                <w:rFonts w:ascii="Arial" w:eastAsia="Times New Roman" w:hAnsi="Arial" w:cs="Arial"/>
                <w:color w:val="000000"/>
                <w:sz w:val="20"/>
                <w:szCs w:val="20"/>
                <w:lang w:eastAsia="en-GB"/>
              </w:rPr>
              <w:t> </w:t>
            </w:r>
          </w:p>
        </w:tc>
        <w:tc>
          <w:tcPr>
            <w:tcW w:w="993"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i/>
                <w:iCs/>
                <w:color w:val="000000"/>
                <w:sz w:val="20"/>
                <w:szCs w:val="20"/>
                <w:lang w:eastAsia="en-GB"/>
              </w:rPr>
            </w:pPr>
            <w:r w:rsidRPr="00705326">
              <w:rPr>
                <w:rFonts w:ascii="Arial" w:eastAsia="Times New Roman" w:hAnsi="Arial" w:cs="Arial"/>
                <w:i/>
                <w:iCs/>
                <w:color w:val="000000"/>
                <w:sz w:val="20"/>
                <w:szCs w:val="20"/>
                <w:lang w:eastAsia="en-GB"/>
              </w:rPr>
              <w:t> </w:t>
            </w:r>
          </w:p>
        </w:tc>
        <w:tc>
          <w:tcPr>
            <w:tcW w:w="1099" w:type="dxa"/>
            <w:tcBorders>
              <w:top w:val="nil"/>
              <w:left w:val="nil"/>
              <w:bottom w:val="single" w:sz="12" w:space="0" w:color="auto"/>
              <w:right w:val="nil"/>
            </w:tcBorders>
            <w:shd w:val="clear" w:color="auto" w:fill="auto"/>
            <w:noWrap/>
            <w:vAlign w:val="bottom"/>
            <w:hideMark/>
          </w:tcPr>
          <w:p w:rsidR="00D347FA" w:rsidRPr="00705326" w:rsidRDefault="00D347FA" w:rsidP="009E6BBD">
            <w:pPr>
              <w:spacing w:after="0" w:line="240" w:lineRule="auto"/>
              <w:jc w:val="right"/>
              <w:rPr>
                <w:rFonts w:ascii="Arial" w:eastAsia="Times New Roman" w:hAnsi="Arial" w:cs="Arial"/>
                <w:i/>
                <w:iCs/>
                <w:color w:val="000000"/>
                <w:sz w:val="20"/>
                <w:szCs w:val="20"/>
                <w:lang w:eastAsia="en-GB"/>
              </w:rPr>
            </w:pPr>
            <w:r w:rsidRPr="00705326">
              <w:rPr>
                <w:rFonts w:ascii="Arial" w:eastAsia="Times New Roman" w:hAnsi="Arial" w:cs="Arial"/>
                <w:i/>
                <w:iCs/>
                <w:color w:val="000000"/>
                <w:sz w:val="20"/>
                <w:szCs w:val="20"/>
                <w:lang w:eastAsia="en-GB"/>
              </w:rPr>
              <w:t> </w:t>
            </w: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 xml:space="preserve">primary school survey, </w:t>
      </w:r>
      <w:r w:rsidR="005F0DB3">
        <w:rPr>
          <w:i/>
          <w:sz w:val="18"/>
          <w:szCs w:val="18"/>
        </w:rPr>
        <w:t>Falkirk</w:t>
      </w:r>
      <w:r>
        <w:rPr>
          <w:i/>
          <w:sz w:val="18"/>
          <w:szCs w:val="18"/>
        </w:rPr>
        <w:t xml:space="preserve"> 20</w:t>
      </w:r>
      <w:r w:rsidR="005F0DB3">
        <w:rPr>
          <w:i/>
          <w:sz w:val="18"/>
          <w:szCs w:val="18"/>
        </w:rPr>
        <w:t>17</w:t>
      </w:r>
    </w:p>
    <w:p w:rsidR="00D347FA" w:rsidRDefault="00D347FA" w:rsidP="00D347FA">
      <w:pPr>
        <w:pStyle w:val="BodyCopy"/>
        <w:spacing w:before="240" w:line="276" w:lineRule="auto"/>
      </w:pPr>
      <w:r>
        <w:t>As with previous questions, in order to better understand variations in response, four items were used to build a scale of parent-child relationships: 35% of children in Falkirk scored within the ‘higher’ category, as having more positive relationships, 37% were categorised as average, and 27% scored within the ‘lower’ category.</w:t>
      </w:r>
      <w:r w:rsidR="004527D7">
        <w:t xml:space="preserve"> More details of this scale are provided in the appendix.</w:t>
      </w:r>
    </w:p>
    <w:p w:rsidR="00D347FA" w:rsidRDefault="00D347FA" w:rsidP="00D347FA">
      <w:pPr>
        <w:pStyle w:val="BodyCopy"/>
        <w:spacing w:before="240" w:line="276" w:lineRule="auto"/>
      </w:pPr>
      <w:r>
        <w:t xml:space="preserve">There were no significant differences in parent-child relationship score according to most of the demographic variables, including year group, area deprivation and receipt of children’s services. </w:t>
      </w:r>
    </w:p>
    <w:p w:rsidR="00D347FA" w:rsidRDefault="00D347FA" w:rsidP="00D347FA">
      <w:pPr>
        <w:pStyle w:val="BodyCopy"/>
        <w:spacing w:before="240" w:line="276" w:lineRule="auto"/>
      </w:pPr>
      <w:r>
        <w:t>There w</w:t>
      </w:r>
      <w:r w:rsidR="0027196C">
        <w:t>ere</w:t>
      </w:r>
      <w:r>
        <w:t>, however, difference</w:t>
      </w:r>
      <w:r w:rsidR="0027196C">
        <w:t>s</w:t>
      </w:r>
      <w:r>
        <w:t xml:space="preserve"> b</w:t>
      </w:r>
      <w:r w:rsidR="0027196C">
        <w:t>y</w:t>
      </w:r>
      <w:r>
        <w:t xml:space="preserve"> </w:t>
      </w:r>
      <w:r w:rsidR="0027196C">
        <w:t>gender</w:t>
      </w:r>
      <w:r>
        <w:t>, with girls having higher parent-child relationship scores than boys (42% of girls being in the ‘higher’ category compared with 29% of boys). Those in two</w:t>
      </w:r>
      <w:r w:rsidR="0027196C">
        <w:t xml:space="preserve"> </w:t>
      </w:r>
      <w:r>
        <w:t xml:space="preserve">parent households </w:t>
      </w:r>
      <w:r w:rsidR="0027196C">
        <w:t>were also more likely to score in the ‘</w:t>
      </w:r>
      <w:r>
        <w:t>higher</w:t>
      </w:r>
      <w:r w:rsidR="0027196C">
        <w:t>’ category</w:t>
      </w:r>
      <w:r>
        <w:t xml:space="preserve"> than those in single</w:t>
      </w:r>
      <w:r w:rsidR="0027196C">
        <w:t xml:space="preserve"> </w:t>
      </w:r>
      <w:r>
        <w:t xml:space="preserve">parent households and step-families (37% compared with 33% and 32% respectively), as did children not eligible for free school meals (36% compared with 31% of children who were eligible). </w:t>
      </w:r>
    </w:p>
    <w:p w:rsidR="00D347FA" w:rsidRDefault="004527D7" w:rsidP="00D347FA">
      <w:pPr>
        <w:pStyle w:val="BodyCopy"/>
        <w:spacing w:before="240" w:line="276" w:lineRule="auto"/>
      </w:pPr>
      <w:r>
        <w:t>T</w:t>
      </w:r>
      <w:r w:rsidR="00D347FA">
        <w:t>he frequency with which children s</w:t>
      </w:r>
      <w:r w:rsidR="0027196C">
        <w:t>a</w:t>
      </w:r>
      <w:r w:rsidR="00D347FA">
        <w:t xml:space="preserve">t down </w:t>
      </w:r>
      <w:r w:rsidR="0027196C">
        <w:t>and had</w:t>
      </w:r>
      <w:r w:rsidR="00D347FA">
        <w:t xml:space="preserve"> a meal with their parents </w:t>
      </w:r>
      <w:r>
        <w:t xml:space="preserve">was also a powerful predictor of higher scores on the PIML scale: of </w:t>
      </w:r>
      <w:r w:rsidR="00D347FA">
        <w:t xml:space="preserve">those who sat down to a meal with their parents every day, 43% </w:t>
      </w:r>
      <w:r>
        <w:t xml:space="preserve">scored </w:t>
      </w:r>
      <w:r w:rsidR="00D347FA">
        <w:t xml:space="preserve">in the ‘higher’ category, indicating more positive relationships. By contrast, </w:t>
      </w:r>
      <w:r w:rsidR="0027196C">
        <w:t>among those</w:t>
      </w:r>
      <w:r w:rsidR="00D347FA">
        <w:t xml:space="preserve"> who never sat down to a meal with either parent, only 26% were in the ‘higher’ category. </w:t>
      </w:r>
    </w:p>
    <w:p w:rsidR="00D347FA" w:rsidRDefault="00D347FA" w:rsidP="00D347FA">
      <w:pPr>
        <w:pStyle w:val="BodyCopy"/>
        <w:spacing w:line="276" w:lineRule="auto"/>
        <w:rPr>
          <w:b/>
          <w:sz w:val="28"/>
          <w:highlight w:val="green"/>
        </w:rPr>
      </w:pPr>
    </w:p>
    <w:p w:rsidR="00D347FA" w:rsidRDefault="00131FD9" w:rsidP="00D347FA">
      <w:pPr>
        <w:pStyle w:val="BodyCopy"/>
        <w:spacing w:before="240" w:line="276" w:lineRule="auto"/>
      </w:pPr>
      <w:r>
        <w:rPr>
          <w:noProof/>
        </w:rPr>
        <w:lastRenderedPageBreak/>
        <w:drawing>
          <wp:inline distT="0" distB="0" distL="0" distR="0" wp14:anchorId="5995470E" wp14:editId="4ED3CA4A">
            <wp:extent cx="4953000" cy="3649980"/>
            <wp:effectExtent l="0" t="0" r="0" b="762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sidR="00093875">
        <w:rPr>
          <w:i/>
          <w:sz w:val="18"/>
          <w:szCs w:val="18"/>
        </w:rPr>
        <w:t>primary school survey, Falkirk</w:t>
      </w:r>
      <w:r>
        <w:rPr>
          <w:i/>
          <w:sz w:val="18"/>
          <w:szCs w:val="18"/>
        </w:rPr>
        <w:t xml:space="preserve"> 2017</w:t>
      </w:r>
    </w:p>
    <w:p w:rsidR="00D347FA" w:rsidRDefault="00D347FA" w:rsidP="00D347FA">
      <w:pPr>
        <w:pStyle w:val="BodyCopy"/>
        <w:spacing w:before="240" w:line="276" w:lineRule="auto"/>
      </w:pPr>
      <w:r>
        <w:t xml:space="preserve">Overall, </w:t>
      </w:r>
      <w:r w:rsidR="0027196C">
        <w:t>around two in five children</w:t>
      </w:r>
      <w:r>
        <w:t xml:space="preserve"> (42%) </w:t>
      </w:r>
      <w:r w:rsidRPr="007504C1">
        <w:t>s</w:t>
      </w:r>
      <w:r>
        <w:t>a</w:t>
      </w:r>
      <w:r w:rsidRPr="007504C1">
        <w:t xml:space="preserve">t down at a table to eat a main meal with one or both of </w:t>
      </w:r>
      <w:r>
        <w:t>thei</w:t>
      </w:r>
      <w:r w:rsidRPr="007504C1">
        <w:t>r parents</w:t>
      </w:r>
      <w:r>
        <w:t xml:space="preserve"> every day. </w:t>
      </w:r>
      <w:r w:rsidR="00C636C1">
        <w:t xml:space="preserve">Around one in five </w:t>
      </w:r>
      <w:r>
        <w:t xml:space="preserve">(22%) </w:t>
      </w:r>
      <w:r w:rsidR="004527D7">
        <w:t xml:space="preserve">reported doing </w:t>
      </w:r>
      <w:r>
        <w:t>so on ‘most days’ and a further 16% on ‘some days’. By contrast, few did so ‘rarely’ (13%) or ‘never’ (7%).</w:t>
      </w:r>
    </w:p>
    <w:p w:rsidR="00D347FA" w:rsidRDefault="00D347FA" w:rsidP="00D347FA">
      <w:pPr>
        <w:pStyle w:val="BodyCopy"/>
        <w:spacing w:before="240" w:line="276" w:lineRule="auto"/>
      </w:pPr>
      <w:r>
        <w:t xml:space="preserve">Older children were more likely to sit down for a meal with their parents every day or most days (44% in P7 compared with 40% in P6 and 41% in P5). There was also a clear link with deprivation, with the proportion answering ‘every day’ rising from 34% in the most deprived areas to 51% in the least deprived. Of those eligible for free school meals, 31% said they sat down to a meal with their parents most days or every day compared with 44% of those </w:t>
      </w:r>
      <w:r w:rsidR="004527D7">
        <w:t xml:space="preserve">who were </w:t>
      </w:r>
      <w:r>
        <w:t xml:space="preserve">not eligible. </w:t>
      </w:r>
    </w:p>
    <w:p w:rsidR="00D347FA" w:rsidRDefault="00D347FA" w:rsidP="00D347FA">
      <w:pPr>
        <w:pStyle w:val="BodyCopy"/>
        <w:spacing w:before="240" w:line="276" w:lineRule="auto"/>
      </w:pPr>
      <w:r>
        <w:t>Those in two parent households were also more likely than those in single parent households or step-families to eat with their parents most days or every day (45% compared with 32</w:t>
      </w:r>
      <w:r w:rsidR="0027196C">
        <w:t xml:space="preserve">% and </w:t>
      </w:r>
      <w:r>
        <w:t>36%</w:t>
      </w:r>
      <w:r w:rsidR="0027196C">
        <w:t xml:space="preserve"> respectively</w:t>
      </w:r>
      <w:r>
        <w:t>).</w:t>
      </w:r>
      <w:r w:rsidR="0027196C">
        <w:t xml:space="preserve"> </w:t>
      </w:r>
      <w:r>
        <w:t xml:space="preserve">Finally, those with one sibling at home were more likely to sit down for a meal most days or every day than </w:t>
      </w:r>
      <w:r w:rsidR="004527D7">
        <w:t xml:space="preserve">were </w:t>
      </w:r>
      <w:r>
        <w:t>those with no siblings or two or more siblings (44% compared with 39</w:t>
      </w:r>
      <w:r w:rsidR="0027196C">
        <w:t xml:space="preserve">% and </w:t>
      </w:r>
      <w:r>
        <w:t>41%</w:t>
      </w:r>
      <w:r w:rsidR="0027196C">
        <w:t xml:space="preserve"> respectively</w:t>
      </w:r>
      <w:r>
        <w:t>).</w:t>
      </w:r>
    </w:p>
    <w:p w:rsidR="00D347FA" w:rsidRDefault="00D347FA" w:rsidP="00D347FA">
      <w:pPr>
        <w:rPr>
          <w:lang w:eastAsia="en-GB"/>
        </w:rPr>
      </w:pPr>
    </w:p>
    <w:p w:rsidR="00D347FA" w:rsidRPr="00195618" w:rsidRDefault="00D347FA" w:rsidP="00D347FA">
      <w:pPr>
        <w:rPr>
          <w:lang w:eastAsia="en-GB"/>
        </w:rPr>
      </w:pPr>
    </w:p>
    <w:p w:rsidR="00D347FA" w:rsidRDefault="00131FD9" w:rsidP="00D347FA">
      <w:pPr>
        <w:rPr>
          <w:lang w:eastAsia="en-GB"/>
        </w:rPr>
      </w:pPr>
      <w:r>
        <w:rPr>
          <w:noProof/>
          <w:lang w:eastAsia="en-GB"/>
        </w:rPr>
        <w:lastRenderedPageBreak/>
        <w:drawing>
          <wp:inline distT="0" distB="0" distL="0" distR="0" wp14:anchorId="2E04496F" wp14:editId="7581E4EA">
            <wp:extent cx="4953000" cy="3634740"/>
            <wp:effectExtent l="0" t="0" r="0" b="381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w:t>
      </w:r>
      <w:r w:rsidRPr="00A018E9">
        <w:rPr>
          <w:i/>
          <w:sz w:val="18"/>
          <w:szCs w:val="18"/>
        </w:rPr>
        <w:t>16</w:t>
      </w:r>
      <w:r>
        <w:rPr>
          <w:i/>
          <w:sz w:val="18"/>
          <w:szCs w:val="18"/>
        </w:rPr>
        <w:t>/17</w:t>
      </w:r>
    </w:p>
    <w:p w:rsidR="00D347FA" w:rsidRDefault="00B23A72" w:rsidP="00D347FA">
      <w:pPr>
        <w:pStyle w:val="BodyCopy"/>
        <w:spacing w:before="240" w:line="276" w:lineRule="auto"/>
      </w:pPr>
      <w:r>
        <w:t>Around</w:t>
      </w:r>
      <w:r w:rsidR="00D347FA">
        <w:t xml:space="preserve"> three quarters of children</w:t>
      </w:r>
      <w:r>
        <w:t xml:space="preserve"> in P5 to P7</w:t>
      </w:r>
      <w:r w:rsidR="00D347FA">
        <w:t xml:space="preserve"> (73</w:t>
      </w:r>
      <w:r w:rsidR="00D347FA" w:rsidRPr="00160535">
        <w:t>%</w:t>
      </w:r>
      <w:r w:rsidR="00D347FA">
        <w:t>) said that they ‘always’ enjoyed being with their family and a further 21% said they ‘often’ did. Children in P5 (78%) and P6 (72%) were more likely to say they always enjoyed family time compared with children in P7 (69%), as were those in two</w:t>
      </w:r>
      <w:r>
        <w:t xml:space="preserve"> </w:t>
      </w:r>
      <w:r w:rsidR="00D347FA">
        <w:t>parent households (75% compared with 69% in both single</w:t>
      </w:r>
      <w:r>
        <w:t xml:space="preserve"> </w:t>
      </w:r>
      <w:r w:rsidR="00D347FA">
        <w:t>parent households and in step-families). Children with no siblings at home were more likely to report ‘always’ enjoying being with their family than those with one</w:t>
      </w:r>
      <w:r w:rsidR="00C636C1">
        <w:t>,</w:t>
      </w:r>
      <w:r w:rsidR="00D347FA">
        <w:t xml:space="preserve"> or two or more siblings at home (79% compared with 70%</w:t>
      </w:r>
      <w:r>
        <w:t xml:space="preserve"> for both</w:t>
      </w:r>
      <w:r w:rsidR="00C636C1">
        <w:t xml:space="preserve"> respectively</w:t>
      </w:r>
      <w:r w:rsidR="00D347FA">
        <w:t xml:space="preserve">). There were, however, no significant differences between boys and girls or socio-economic factors, such as area deprivation and free school meals. </w:t>
      </w:r>
    </w:p>
    <w:p w:rsidR="00D347FA" w:rsidRDefault="00D347FA" w:rsidP="00D347FA">
      <w:pPr>
        <w:pStyle w:val="BodyCopy"/>
        <w:spacing w:before="240" w:line="276" w:lineRule="auto"/>
      </w:pPr>
      <w:r>
        <w:t>Children were also asked h</w:t>
      </w:r>
      <w:r w:rsidRPr="00F63CDC">
        <w:t>ow often there are a lot of bad arguments or fights at home</w:t>
      </w:r>
      <w:r>
        <w:t>: 38% said ‘never’ and a further 43% said ‘sometimes’, with 13% saying ‘often’ and 5% ‘always’. Children in P5 were more likely than those in P6 or P7 to report that there were ever bad arguments at home (6</w:t>
      </w:r>
      <w:r w:rsidR="00C636C1">
        <w:t>6</w:t>
      </w:r>
      <w:r>
        <w:t>% compared with 6</w:t>
      </w:r>
      <w:r w:rsidR="00C636C1">
        <w:t>1</w:t>
      </w:r>
      <w:r>
        <w:t>% and 5</w:t>
      </w:r>
      <w:r w:rsidR="00C636C1">
        <w:t>7</w:t>
      </w:r>
      <w:r>
        <w:t xml:space="preserve">% respectively). Boys were </w:t>
      </w:r>
      <w:r w:rsidR="001E064D">
        <w:t xml:space="preserve">also </w:t>
      </w:r>
      <w:r>
        <w:t>more likely than girls to say there were ever bad arguments or fights (67% compared with 5</w:t>
      </w:r>
      <w:r w:rsidR="00093875">
        <w:t>6</w:t>
      </w:r>
      <w:r>
        <w:t>%).</w:t>
      </w:r>
    </w:p>
    <w:p w:rsidR="00D347FA" w:rsidRDefault="00D347FA" w:rsidP="00D347FA">
      <w:pPr>
        <w:pStyle w:val="BodyCopy"/>
        <w:spacing w:before="240" w:line="276" w:lineRule="auto"/>
      </w:pPr>
      <w:r>
        <w:t>Those from step-families were also more likely to report there ever b</w:t>
      </w:r>
      <w:r w:rsidR="001E064D">
        <w:t>eing bad arguments at home (6</w:t>
      </w:r>
      <w:r w:rsidR="00093875">
        <w:t>7</w:t>
      </w:r>
      <w:r w:rsidR="001E064D">
        <w:t>%</w:t>
      </w:r>
      <w:r>
        <w:t xml:space="preserve"> compa</w:t>
      </w:r>
      <w:r w:rsidR="001E064D">
        <w:t>red with 6</w:t>
      </w:r>
      <w:r w:rsidR="00093875">
        <w:t>5</w:t>
      </w:r>
      <w:r w:rsidR="001E064D">
        <w:t xml:space="preserve">% of those in single </w:t>
      </w:r>
      <w:r>
        <w:t>parent households an</w:t>
      </w:r>
      <w:r w:rsidR="001E064D">
        <w:t xml:space="preserve">d 60% in two </w:t>
      </w:r>
      <w:r>
        <w:t>parent households). Children with two or more siblings at home were more likely to report ther</w:t>
      </w:r>
      <w:r w:rsidR="001E064D">
        <w:t>e ever being bad arguments (66%</w:t>
      </w:r>
      <w:r>
        <w:t xml:space="preserve"> </w:t>
      </w:r>
      <w:r w:rsidR="00527F94">
        <w:t xml:space="preserve">doing so, </w:t>
      </w:r>
      <w:r>
        <w:t>compared with 6</w:t>
      </w:r>
      <w:r w:rsidR="00093875">
        <w:t>0</w:t>
      </w:r>
      <w:r>
        <w:t xml:space="preserve">% of those with one sibling and 59% of those with no siblings). </w:t>
      </w:r>
    </w:p>
    <w:p w:rsidR="00D347FA" w:rsidRDefault="00D347FA" w:rsidP="00D347FA">
      <w:pPr>
        <w:pStyle w:val="BodyCopy"/>
        <w:spacing w:before="240" w:line="276" w:lineRule="auto"/>
      </w:pPr>
    </w:p>
    <w:tbl>
      <w:tblPr>
        <w:tblW w:w="8804" w:type="dxa"/>
        <w:tblInd w:w="93" w:type="dxa"/>
        <w:tblLayout w:type="fixed"/>
        <w:tblLook w:val="04A0" w:firstRow="1" w:lastRow="0" w:firstColumn="1" w:lastColumn="0" w:noHBand="0" w:noVBand="1"/>
      </w:tblPr>
      <w:tblGrid>
        <w:gridCol w:w="2688"/>
        <w:gridCol w:w="845"/>
        <w:gridCol w:w="168"/>
        <w:gridCol w:w="677"/>
        <w:gridCol w:w="173"/>
        <w:gridCol w:w="1095"/>
        <w:gridCol w:w="181"/>
        <w:gridCol w:w="664"/>
        <w:gridCol w:w="187"/>
        <w:gridCol w:w="800"/>
        <w:gridCol w:w="192"/>
        <w:gridCol w:w="1134"/>
      </w:tblGrid>
      <w:tr w:rsidR="00D347FA" w:rsidRPr="007504C1" w:rsidTr="009E6BBD">
        <w:trPr>
          <w:trHeight w:val="340"/>
        </w:trPr>
        <w:tc>
          <w:tcPr>
            <w:tcW w:w="8804" w:type="dxa"/>
            <w:gridSpan w:val="12"/>
            <w:tcBorders>
              <w:top w:val="single" w:sz="12" w:space="0" w:color="auto"/>
              <w:left w:val="nil"/>
              <w:bottom w:val="nil"/>
              <w:right w:val="nil"/>
            </w:tcBorders>
            <w:shd w:val="clear" w:color="auto" w:fill="auto"/>
            <w:hideMark/>
          </w:tcPr>
          <w:p w:rsidR="00D347FA" w:rsidRPr="007504C1" w:rsidRDefault="00D347FA" w:rsidP="009E6BBD">
            <w:pPr>
              <w:keepNext/>
              <w:spacing w:after="0" w:line="240" w:lineRule="auto"/>
              <w:rPr>
                <w:rFonts w:ascii="Arial" w:eastAsia="Times New Roman" w:hAnsi="Arial" w:cs="Arial"/>
                <w:b/>
                <w:bCs/>
                <w:color w:val="000000"/>
                <w:sz w:val="20"/>
                <w:szCs w:val="20"/>
                <w:lang w:eastAsia="en-GB"/>
              </w:rPr>
            </w:pPr>
            <w:r w:rsidRPr="007504C1">
              <w:rPr>
                <w:rFonts w:ascii="Arial" w:eastAsia="Times New Roman" w:hAnsi="Arial" w:cs="Arial"/>
                <w:b/>
                <w:bCs/>
                <w:color w:val="000000"/>
                <w:sz w:val="20"/>
                <w:szCs w:val="20"/>
                <w:lang w:eastAsia="en-GB"/>
              </w:rPr>
              <w:lastRenderedPageBreak/>
              <w:t xml:space="preserve">Table </w:t>
            </w:r>
            <w:r>
              <w:rPr>
                <w:rFonts w:ascii="Arial" w:eastAsia="Times New Roman" w:hAnsi="Arial" w:cs="Arial"/>
                <w:b/>
                <w:bCs/>
                <w:color w:val="000000"/>
                <w:sz w:val="20"/>
                <w:szCs w:val="20"/>
                <w:lang w:eastAsia="en-GB"/>
              </w:rPr>
              <w:t>3.3.1d</w:t>
            </w:r>
            <w:r w:rsidRPr="007504C1">
              <w:rPr>
                <w:rFonts w:ascii="Arial" w:eastAsia="Times New Roman" w:hAnsi="Arial" w:cs="Arial"/>
                <w:b/>
                <w:bCs/>
                <w:color w:val="000000"/>
                <w:sz w:val="20"/>
                <w:szCs w:val="20"/>
                <w:lang w:eastAsia="en-GB"/>
              </w:rPr>
              <w:t xml:space="preserve"> Family arguments</w:t>
            </w:r>
          </w:p>
        </w:tc>
      </w:tr>
      <w:tr w:rsidR="001E064D" w:rsidRPr="007504C1" w:rsidTr="009E6BBD">
        <w:trPr>
          <w:trHeight w:val="794"/>
        </w:trPr>
        <w:tc>
          <w:tcPr>
            <w:tcW w:w="2688" w:type="dxa"/>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How often are there a lot of bad arguments or fights at home?</w:t>
            </w:r>
          </w:p>
        </w:tc>
        <w:tc>
          <w:tcPr>
            <w:tcW w:w="1013" w:type="dxa"/>
            <w:gridSpan w:val="2"/>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Always</w:t>
            </w:r>
          </w:p>
        </w:tc>
        <w:tc>
          <w:tcPr>
            <w:tcW w:w="850" w:type="dxa"/>
            <w:gridSpan w:val="2"/>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Often</w:t>
            </w:r>
          </w:p>
        </w:tc>
        <w:tc>
          <w:tcPr>
            <w:tcW w:w="1276" w:type="dxa"/>
            <w:gridSpan w:val="2"/>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Sometimes</w:t>
            </w:r>
          </w:p>
        </w:tc>
        <w:tc>
          <w:tcPr>
            <w:tcW w:w="851" w:type="dxa"/>
            <w:gridSpan w:val="2"/>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Never</w:t>
            </w:r>
          </w:p>
        </w:tc>
        <w:tc>
          <w:tcPr>
            <w:tcW w:w="992" w:type="dxa"/>
            <w:gridSpan w:val="2"/>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i/>
                <w:iCs/>
                <w:color w:val="000000"/>
                <w:sz w:val="16"/>
                <w:szCs w:val="16"/>
                <w:lang w:eastAsia="en-GB"/>
              </w:rPr>
            </w:pPr>
            <w:r w:rsidRPr="007504C1">
              <w:rPr>
                <w:rFonts w:ascii="Arial" w:eastAsia="Times New Roman" w:hAnsi="Arial" w:cs="Arial"/>
                <w:i/>
                <w:iCs/>
                <w:color w:val="000000"/>
                <w:sz w:val="16"/>
                <w:szCs w:val="16"/>
                <w:lang w:eastAsia="en-GB"/>
              </w:rPr>
              <w:t>Weighted base</w:t>
            </w:r>
            <w:r w:rsidR="001E064D">
              <w:rPr>
                <w:rFonts w:ascii="Arial" w:eastAsia="Times New Roman" w:hAnsi="Arial" w:cs="Arial"/>
                <w:i/>
                <w:iCs/>
                <w:color w:val="000000"/>
                <w:sz w:val="16"/>
                <w:szCs w:val="16"/>
                <w:lang w:eastAsia="en-GB"/>
              </w:rPr>
              <w:t>s</w:t>
            </w:r>
          </w:p>
        </w:tc>
        <w:tc>
          <w:tcPr>
            <w:tcW w:w="1134" w:type="dxa"/>
            <w:tcBorders>
              <w:top w:val="nil"/>
              <w:left w:val="nil"/>
              <w:bottom w:val="single" w:sz="12" w:space="0" w:color="auto"/>
              <w:right w:val="nil"/>
            </w:tcBorders>
            <w:shd w:val="clear" w:color="auto" w:fill="auto"/>
            <w:vAlign w:val="center"/>
            <w:hideMark/>
          </w:tcPr>
          <w:p w:rsidR="00D347FA" w:rsidRPr="007504C1" w:rsidRDefault="00D347FA" w:rsidP="009E6BBD">
            <w:pPr>
              <w:keepNext/>
              <w:spacing w:after="0" w:line="240" w:lineRule="auto"/>
              <w:jc w:val="center"/>
              <w:rPr>
                <w:rFonts w:ascii="Arial" w:eastAsia="Times New Roman" w:hAnsi="Arial" w:cs="Arial"/>
                <w:i/>
                <w:iCs/>
                <w:color w:val="000000"/>
                <w:sz w:val="16"/>
                <w:szCs w:val="16"/>
                <w:lang w:eastAsia="en-GB"/>
              </w:rPr>
            </w:pPr>
            <w:r w:rsidRPr="007504C1">
              <w:rPr>
                <w:rFonts w:ascii="Arial" w:eastAsia="Times New Roman" w:hAnsi="Arial" w:cs="Arial"/>
                <w:i/>
                <w:iCs/>
                <w:color w:val="000000"/>
                <w:sz w:val="16"/>
                <w:szCs w:val="16"/>
                <w:lang w:eastAsia="en-GB"/>
              </w:rPr>
              <w:t>Unweighted base</w:t>
            </w:r>
            <w:r w:rsidR="001E064D">
              <w:rPr>
                <w:rFonts w:ascii="Arial" w:eastAsia="Times New Roman" w:hAnsi="Arial" w:cs="Arial"/>
                <w:i/>
                <w:iCs/>
                <w:color w:val="000000"/>
                <w:sz w:val="16"/>
                <w:szCs w:val="16"/>
                <w:lang w:eastAsia="en-GB"/>
              </w:rPr>
              <w:t>s</w:t>
            </w:r>
          </w:p>
        </w:tc>
      </w:tr>
      <w:tr w:rsidR="00D347FA" w:rsidRPr="007504C1" w:rsidTr="001E064D">
        <w:trPr>
          <w:trHeight w:val="282"/>
        </w:trPr>
        <w:tc>
          <w:tcPr>
            <w:tcW w:w="8804" w:type="dxa"/>
            <w:gridSpan w:val="12"/>
            <w:tcBorders>
              <w:top w:val="single" w:sz="12" w:space="0" w:color="auto"/>
              <w:left w:val="nil"/>
              <w:bottom w:val="single" w:sz="8" w:space="0" w:color="auto"/>
              <w:right w:val="nil"/>
            </w:tcBorders>
            <w:shd w:val="clear" w:color="auto" w:fill="auto"/>
            <w:vAlign w:val="center"/>
            <w:hideMark/>
          </w:tcPr>
          <w:p w:rsidR="00D347FA" w:rsidRPr="007504C1" w:rsidRDefault="00D347FA" w:rsidP="009E6BBD">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7504C1" w:rsidTr="00A36A1A">
        <w:trPr>
          <w:trHeight w:val="256"/>
        </w:trPr>
        <w:tc>
          <w:tcPr>
            <w:tcW w:w="2688" w:type="dxa"/>
            <w:tcBorders>
              <w:top w:val="nil"/>
              <w:left w:val="nil"/>
              <w:bottom w:val="nil"/>
              <w:right w:val="nil"/>
            </w:tcBorders>
            <w:shd w:val="clear" w:color="auto" w:fill="auto"/>
            <w:vAlign w:val="center"/>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All</w:t>
            </w:r>
          </w:p>
        </w:tc>
        <w:tc>
          <w:tcPr>
            <w:tcW w:w="845" w:type="dxa"/>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45" w:type="dxa"/>
            <w:gridSpan w:val="2"/>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68" w:type="dxa"/>
            <w:gridSpan w:val="2"/>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845" w:type="dxa"/>
            <w:gridSpan w:val="2"/>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38</w:t>
            </w:r>
          </w:p>
        </w:tc>
        <w:tc>
          <w:tcPr>
            <w:tcW w:w="987" w:type="dxa"/>
            <w:gridSpan w:val="2"/>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3914</w:t>
            </w:r>
          </w:p>
        </w:tc>
        <w:tc>
          <w:tcPr>
            <w:tcW w:w="1326" w:type="dxa"/>
            <w:gridSpan w:val="2"/>
            <w:tcBorders>
              <w:top w:val="nil"/>
              <w:left w:val="nil"/>
              <w:bottom w:val="nil"/>
              <w:right w:val="nil"/>
            </w:tcBorders>
            <w:shd w:val="clear" w:color="auto" w:fill="auto"/>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3915</w:t>
            </w:r>
          </w:p>
        </w:tc>
      </w:tr>
      <w:tr w:rsidR="00A36A1A" w:rsidRPr="007504C1" w:rsidTr="00A36A1A">
        <w:trPr>
          <w:trHeight w:val="256"/>
        </w:trPr>
        <w:tc>
          <w:tcPr>
            <w:tcW w:w="2688" w:type="dxa"/>
            <w:tcBorders>
              <w:top w:val="nil"/>
              <w:left w:val="nil"/>
              <w:bottom w:val="nil"/>
              <w:right w:val="nil"/>
            </w:tcBorders>
            <w:shd w:val="clear" w:color="auto" w:fill="auto"/>
            <w:noWrap/>
            <w:vAlign w:val="bottom"/>
          </w:tcPr>
          <w:p w:rsidR="00A36A1A" w:rsidRPr="007504C1" w:rsidRDefault="00A36A1A" w:rsidP="009E6BBD">
            <w:pPr>
              <w:keepNext/>
              <w:spacing w:after="0" w:line="240" w:lineRule="auto"/>
              <w:rPr>
                <w:rFonts w:ascii="Arial" w:eastAsia="Times New Roman" w:hAnsi="Arial" w:cs="Arial"/>
                <w:color w:val="000000"/>
                <w:sz w:val="20"/>
                <w:szCs w:val="20"/>
                <w:lang w:eastAsia="en-GB"/>
              </w:rPr>
            </w:pPr>
          </w:p>
        </w:tc>
        <w:tc>
          <w:tcPr>
            <w:tcW w:w="845" w:type="dxa"/>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1268"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987"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c>
          <w:tcPr>
            <w:tcW w:w="1326"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r>
      <w:tr w:rsidR="00D347FA" w:rsidRPr="007504C1" w:rsidTr="00A36A1A">
        <w:trPr>
          <w:trHeight w:val="256"/>
        </w:trPr>
        <w:tc>
          <w:tcPr>
            <w:tcW w:w="2688" w:type="dxa"/>
            <w:tcBorders>
              <w:top w:val="nil"/>
              <w:left w:val="nil"/>
              <w:bottom w:val="nil"/>
              <w:right w:val="nil"/>
            </w:tcBorders>
            <w:shd w:val="clear" w:color="auto" w:fill="auto"/>
            <w:noWrap/>
            <w:vAlign w:val="bottom"/>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P5</w:t>
            </w:r>
          </w:p>
        </w:tc>
        <w:tc>
          <w:tcPr>
            <w:tcW w:w="845"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1268"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987"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1329</w:t>
            </w:r>
          </w:p>
        </w:tc>
        <w:tc>
          <w:tcPr>
            <w:tcW w:w="1326"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1318</w:t>
            </w:r>
          </w:p>
        </w:tc>
      </w:tr>
      <w:tr w:rsidR="00D347FA" w:rsidRPr="007504C1" w:rsidTr="00A36A1A">
        <w:trPr>
          <w:trHeight w:val="256"/>
        </w:trPr>
        <w:tc>
          <w:tcPr>
            <w:tcW w:w="2688" w:type="dxa"/>
            <w:tcBorders>
              <w:top w:val="nil"/>
              <w:left w:val="nil"/>
              <w:bottom w:val="nil"/>
              <w:right w:val="nil"/>
            </w:tcBorders>
            <w:shd w:val="clear" w:color="auto" w:fill="auto"/>
            <w:noWrap/>
            <w:vAlign w:val="bottom"/>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P6</w:t>
            </w:r>
          </w:p>
        </w:tc>
        <w:tc>
          <w:tcPr>
            <w:tcW w:w="845"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68"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39</w:t>
            </w:r>
          </w:p>
        </w:tc>
        <w:tc>
          <w:tcPr>
            <w:tcW w:w="987"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1261</w:t>
            </w:r>
          </w:p>
        </w:tc>
        <w:tc>
          <w:tcPr>
            <w:tcW w:w="1326"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1230</w:t>
            </w:r>
          </w:p>
        </w:tc>
      </w:tr>
      <w:tr w:rsidR="00D347FA" w:rsidRPr="007504C1" w:rsidTr="00A36A1A">
        <w:trPr>
          <w:trHeight w:val="256"/>
        </w:trPr>
        <w:tc>
          <w:tcPr>
            <w:tcW w:w="2688" w:type="dxa"/>
            <w:tcBorders>
              <w:top w:val="nil"/>
              <w:left w:val="nil"/>
              <w:bottom w:val="nil"/>
              <w:right w:val="nil"/>
            </w:tcBorders>
            <w:shd w:val="clear" w:color="auto" w:fill="auto"/>
            <w:noWrap/>
            <w:vAlign w:val="bottom"/>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P7</w:t>
            </w:r>
          </w:p>
        </w:tc>
        <w:tc>
          <w:tcPr>
            <w:tcW w:w="845"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1268"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987"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1294</w:t>
            </w:r>
          </w:p>
        </w:tc>
        <w:tc>
          <w:tcPr>
            <w:tcW w:w="1326"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1338</w:t>
            </w:r>
          </w:p>
        </w:tc>
      </w:tr>
      <w:tr w:rsidR="00A36A1A" w:rsidRPr="007504C1" w:rsidTr="00A36A1A">
        <w:trPr>
          <w:trHeight w:val="256"/>
        </w:trPr>
        <w:tc>
          <w:tcPr>
            <w:tcW w:w="2688" w:type="dxa"/>
            <w:tcBorders>
              <w:top w:val="nil"/>
              <w:left w:val="nil"/>
              <w:bottom w:val="nil"/>
              <w:right w:val="nil"/>
            </w:tcBorders>
            <w:shd w:val="clear" w:color="auto" w:fill="auto"/>
            <w:noWrap/>
            <w:vAlign w:val="bottom"/>
          </w:tcPr>
          <w:p w:rsidR="00A36A1A" w:rsidRPr="007504C1" w:rsidRDefault="00A36A1A" w:rsidP="009E6BBD">
            <w:pPr>
              <w:keepNext/>
              <w:spacing w:after="0" w:line="240" w:lineRule="auto"/>
              <w:rPr>
                <w:rFonts w:ascii="Arial" w:eastAsia="Times New Roman" w:hAnsi="Arial" w:cs="Arial"/>
                <w:color w:val="000000"/>
                <w:sz w:val="20"/>
                <w:szCs w:val="20"/>
                <w:lang w:eastAsia="en-GB"/>
              </w:rPr>
            </w:pPr>
          </w:p>
        </w:tc>
        <w:tc>
          <w:tcPr>
            <w:tcW w:w="845" w:type="dxa"/>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1268"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987"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c>
          <w:tcPr>
            <w:tcW w:w="1326" w:type="dxa"/>
            <w:gridSpan w:val="2"/>
            <w:tcBorders>
              <w:top w:val="nil"/>
              <w:left w:val="nil"/>
              <w:bottom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r>
      <w:tr w:rsidR="00D347FA" w:rsidRPr="007504C1" w:rsidTr="00A36A1A">
        <w:trPr>
          <w:trHeight w:val="256"/>
        </w:trPr>
        <w:tc>
          <w:tcPr>
            <w:tcW w:w="2688" w:type="dxa"/>
            <w:tcBorders>
              <w:top w:val="nil"/>
              <w:left w:val="nil"/>
              <w:bottom w:val="nil"/>
              <w:right w:val="nil"/>
            </w:tcBorders>
            <w:shd w:val="clear" w:color="auto" w:fill="auto"/>
            <w:noWrap/>
            <w:vAlign w:val="bottom"/>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Boy</w:t>
            </w:r>
          </w:p>
        </w:tc>
        <w:tc>
          <w:tcPr>
            <w:tcW w:w="845" w:type="dxa"/>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1268"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47</w:t>
            </w:r>
          </w:p>
        </w:tc>
        <w:tc>
          <w:tcPr>
            <w:tcW w:w="845"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987"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1959</w:t>
            </w:r>
          </w:p>
        </w:tc>
        <w:tc>
          <w:tcPr>
            <w:tcW w:w="1326" w:type="dxa"/>
            <w:gridSpan w:val="2"/>
            <w:tcBorders>
              <w:top w:val="nil"/>
              <w:left w:val="nil"/>
              <w:bottom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1915</w:t>
            </w:r>
          </w:p>
        </w:tc>
      </w:tr>
      <w:tr w:rsidR="00D347FA" w:rsidRPr="007504C1" w:rsidTr="00A36A1A">
        <w:trPr>
          <w:trHeight w:val="256"/>
        </w:trPr>
        <w:tc>
          <w:tcPr>
            <w:tcW w:w="2688" w:type="dxa"/>
            <w:tcBorders>
              <w:top w:val="nil"/>
              <w:left w:val="nil"/>
              <w:right w:val="nil"/>
            </w:tcBorders>
            <w:shd w:val="clear" w:color="auto" w:fill="auto"/>
            <w:noWrap/>
            <w:vAlign w:val="bottom"/>
            <w:hideMark/>
          </w:tcPr>
          <w:p w:rsidR="00D347FA" w:rsidRPr="007504C1" w:rsidRDefault="00D347FA" w:rsidP="009E6BBD">
            <w:pPr>
              <w:keepNext/>
              <w:spacing w:after="0" w:line="240" w:lineRule="auto"/>
              <w:rPr>
                <w:rFonts w:ascii="Arial" w:eastAsia="Times New Roman" w:hAnsi="Arial" w:cs="Arial"/>
                <w:color w:val="000000"/>
                <w:sz w:val="20"/>
                <w:szCs w:val="20"/>
                <w:lang w:eastAsia="en-GB"/>
              </w:rPr>
            </w:pPr>
            <w:r w:rsidRPr="007504C1">
              <w:rPr>
                <w:rFonts w:ascii="Arial" w:eastAsia="Times New Roman" w:hAnsi="Arial" w:cs="Arial"/>
                <w:color w:val="000000"/>
                <w:sz w:val="20"/>
                <w:szCs w:val="20"/>
                <w:lang w:eastAsia="en-GB"/>
              </w:rPr>
              <w:t>Girl</w:t>
            </w:r>
          </w:p>
        </w:tc>
        <w:tc>
          <w:tcPr>
            <w:tcW w:w="845"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45"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1268"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845"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987"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1944</w:t>
            </w:r>
          </w:p>
        </w:tc>
        <w:tc>
          <w:tcPr>
            <w:tcW w:w="1326"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1989</w:t>
            </w:r>
          </w:p>
        </w:tc>
      </w:tr>
      <w:tr w:rsidR="00A36A1A" w:rsidRPr="007C746D" w:rsidTr="00A36A1A">
        <w:trPr>
          <w:trHeight w:val="269"/>
        </w:trPr>
        <w:tc>
          <w:tcPr>
            <w:tcW w:w="2688" w:type="dxa"/>
            <w:tcBorders>
              <w:top w:val="nil"/>
              <w:left w:val="nil"/>
              <w:right w:val="nil"/>
            </w:tcBorders>
            <w:shd w:val="clear" w:color="auto" w:fill="auto"/>
            <w:noWrap/>
            <w:vAlign w:val="bottom"/>
          </w:tcPr>
          <w:p w:rsidR="00A36A1A" w:rsidRPr="007C746D" w:rsidRDefault="00A36A1A" w:rsidP="009E6BBD">
            <w:pPr>
              <w:spacing w:after="0" w:line="240" w:lineRule="auto"/>
              <w:rPr>
                <w:rFonts w:ascii="Arial" w:hAnsi="Arial" w:cs="Arial"/>
                <w:color w:val="000000"/>
                <w:sz w:val="20"/>
                <w:szCs w:val="20"/>
              </w:rPr>
            </w:pPr>
          </w:p>
        </w:tc>
        <w:tc>
          <w:tcPr>
            <w:tcW w:w="845" w:type="dxa"/>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1268" w:type="dxa"/>
            <w:gridSpan w:val="2"/>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987" w:type="dxa"/>
            <w:gridSpan w:val="2"/>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c>
          <w:tcPr>
            <w:tcW w:w="1326" w:type="dxa"/>
            <w:gridSpan w:val="2"/>
            <w:tcBorders>
              <w:top w:val="nil"/>
              <w:left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r>
      <w:tr w:rsidR="00D347FA" w:rsidRPr="007C746D" w:rsidTr="00A36A1A">
        <w:trPr>
          <w:trHeight w:val="269"/>
        </w:trPr>
        <w:tc>
          <w:tcPr>
            <w:tcW w:w="2688" w:type="dxa"/>
            <w:tcBorders>
              <w:top w:val="nil"/>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bookmarkStart w:id="115" w:name="_Toc478636826"/>
            <w:bookmarkStart w:id="116" w:name="_Toc479456961"/>
            <w:r w:rsidRPr="007C746D">
              <w:rPr>
                <w:rFonts w:ascii="Arial" w:hAnsi="Arial" w:cs="Arial"/>
                <w:color w:val="000000"/>
                <w:sz w:val="20"/>
                <w:szCs w:val="20"/>
              </w:rPr>
              <w:t>No siblings at home</w:t>
            </w:r>
          </w:p>
        </w:tc>
        <w:tc>
          <w:tcPr>
            <w:tcW w:w="845" w:type="dxa"/>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845"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68"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41</w:t>
            </w:r>
          </w:p>
        </w:tc>
        <w:tc>
          <w:tcPr>
            <w:tcW w:w="845"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41</w:t>
            </w:r>
          </w:p>
        </w:tc>
        <w:tc>
          <w:tcPr>
            <w:tcW w:w="987"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1189</w:t>
            </w:r>
          </w:p>
        </w:tc>
        <w:tc>
          <w:tcPr>
            <w:tcW w:w="1326" w:type="dxa"/>
            <w:gridSpan w:val="2"/>
            <w:tcBorders>
              <w:top w:val="nil"/>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1179</w:t>
            </w:r>
          </w:p>
        </w:tc>
      </w:tr>
      <w:tr w:rsidR="00D347FA" w:rsidRPr="007C746D" w:rsidTr="00A36A1A">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One sibling at home</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1483</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1504</w:t>
            </w:r>
          </w:p>
        </w:tc>
      </w:tr>
      <w:tr w:rsidR="00D347FA" w:rsidRPr="007C746D" w:rsidTr="00A36A1A">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Two or more siblings at home</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1230</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1220</w:t>
            </w:r>
          </w:p>
        </w:tc>
      </w:tr>
      <w:tr w:rsidR="00A36A1A" w:rsidRPr="007C746D" w:rsidTr="00A36A1A">
        <w:trPr>
          <w:trHeight w:val="269"/>
        </w:trPr>
        <w:tc>
          <w:tcPr>
            <w:tcW w:w="2688" w:type="dxa"/>
            <w:tcBorders>
              <w:left w:val="nil"/>
              <w:right w:val="nil"/>
            </w:tcBorders>
            <w:shd w:val="clear" w:color="auto" w:fill="auto"/>
            <w:noWrap/>
            <w:vAlign w:val="bottom"/>
          </w:tcPr>
          <w:p w:rsidR="00A36A1A" w:rsidRPr="007C746D" w:rsidRDefault="00A36A1A" w:rsidP="009E6BBD">
            <w:pPr>
              <w:spacing w:after="0" w:line="240" w:lineRule="auto"/>
              <w:rPr>
                <w:rFonts w:ascii="Arial" w:hAnsi="Arial" w:cs="Arial"/>
                <w:color w:val="000000"/>
                <w:sz w:val="20"/>
                <w:szCs w:val="20"/>
              </w:rPr>
            </w:pPr>
          </w:p>
        </w:tc>
        <w:tc>
          <w:tcPr>
            <w:tcW w:w="845" w:type="dxa"/>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1268" w:type="dxa"/>
            <w:gridSpan w:val="2"/>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845" w:type="dxa"/>
            <w:gridSpan w:val="2"/>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color w:val="000000"/>
                <w:sz w:val="20"/>
                <w:szCs w:val="20"/>
              </w:rPr>
            </w:pPr>
          </w:p>
        </w:tc>
        <w:tc>
          <w:tcPr>
            <w:tcW w:w="987" w:type="dxa"/>
            <w:gridSpan w:val="2"/>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c>
          <w:tcPr>
            <w:tcW w:w="1326" w:type="dxa"/>
            <w:gridSpan w:val="2"/>
            <w:tcBorders>
              <w:left w:val="nil"/>
              <w:right w:val="nil"/>
            </w:tcBorders>
            <w:shd w:val="clear" w:color="auto" w:fill="auto"/>
            <w:noWrap/>
            <w:vAlign w:val="center"/>
          </w:tcPr>
          <w:p w:rsidR="00A36A1A" w:rsidRDefault="00A36A1A" w:rsidP="009E6BBD">
            <w:pPr>
              <w:spacing w:after="0" w:line="240" w:lineRule="auto"/>
              <w:jc w:val="right"/>
              <w:rPr>
                <w:rFonts w:ascii="Arial" w:hAnsi="Arial" w:cs="Arial"/>
                <w:i/>
                <w:iCs/>
                <w:color w:val="000000"/>
                <w:sz w:val="20"/>
                <w:szCs w:val="20"/>
              </w:rPr>
            </w:pPr>
          </w:p>
        </w:tc>
      </w:tr>
      <w:tr w:rsidR="00D347FA" w:rsidRPr="007C746D" w:rsidTr="00A36A1A">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Two parent household</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43</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40</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2691</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2725</w:t>
            </w:r>
          </w:p>
        </w:tc>
      </w:tr>
      <w:tr w:rsidR="00D347FA" w:rsidRPr="007C746D" w:rsidTr="00A36A1A">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One parent household</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42</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35</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699</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674</w:t>
            </w:r>
          </w:p>
        </w:tc>
      </w:tr>
      <w:tr w:rsidR="00D347FA" w:rsidRPr="007C746D" w:rsidTr="00A36A1A">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Step-family</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456</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451</w:t>
            </w:r>
          </w:p>
        </w:tc>
      </w:tr>
      <w:tr w:rsidR="00D347FA" w:rsidRPr="007C746D" w:rsidTr="009E6BBD">
        <w:trPr>
          <w:trHeight w:val="269"/>
        </w:trPr>
        <w:tc>
          <w:tcPr>
            <w:tcW w:w="2688" w:type="dxa"/>
            <w:tcBorders>
              <w:left w:val="nil"/>
              <w:right w:val="nil"/>
            </w:tcBorders>
            <w:shd w:val="clear" w:color="auto" w:fill="auto"/>
            <w:noWrap/>
            <w:vAlign w:val="bottom"/>
            <w:hideMark/>
          </w:tcPr>
          <w:p w:rsidR="00D347FA" w:rsidRPr="007C746D" w:rsidRDefault="00D347FA" w:rsidP="009E6BBD">
            <w:pPr>
              <w:spacing w:after="0" w:line="240" w:lineRule="auto"/>
              <w:rPr>
                <w:rFonts w:ascii="Arial" w:hAnsi="Arial" w:cs="Arial"/>
                <w:color w:val="000000"/>
                <w:sz w:val="20"/>
                <w:szCs w:val="20"/>
              </w:rPr>
            </w:pPr>
            <w:r w:rsidRPr="007C746D">
              <w:rPr>
                <w:rFonts w:ascii="Arial" w:hAnsi="Arial" w:cs="Arial"/>
                <w:color w:val="000000"/>
                <w:sz w:val="20"/>
                <w:szCs w:val="20"/>
              </w:rPr>
              <w:t>Other household type</w:t>
            </w:r>
          </w:p>
        </w:tc>
        <w:tc>
          <w:tcPr>
            <w:tcW w:w="845" w:type="dxa"/>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268"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47</w:t>
            </w:r>
          </w:p>
        </w:tc>
        <w:tc>
          <w:tcPr>
            <w:tcW w:w="845"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color w:val="000000"/>
                <w:sz w:val="20"/>
                <w:szCs w:val="20"/>
              </w:rPr>
            </w:pPr>
            <w:r>
              <w:rPr>
                <w:rFonts w:ascii="Arial" w:hAnsi="Arial" w:cs="Arial"/>
                <w:color w:val="000000"/>
                <w:sz w:val="20"/>
                <w:szCs w:val="20"/>
              </w:rPr>
              <w:t>37</w:t>
            </w:r>
          </w:p>
        </w:tc>
        <w:tc>
          <w:tcPr>
            <w:tcW w:w="987"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67</w:t>
            </w:r>
          </w:p>
        </w:tc>
        <w:tc>
          <w:tcPr>
            <w:tcW w:w="1326" w:type="dxa"/>
            <w:gridSpan w:val="2"/>
            <w:tcBorders>
              <w:left w:val="nil"/>
              <w:right w:val="nil"/>
            </w:tcBorders>
            <w:shd w:val="clear" w:color="auto" w:fill="auto"/>
            <w:noWrap/>
            <w:vAlign w:val="center"/>
          </w:tcPr>
          <w:p w:rsidR="00D347FA" w:rsidRDefault="00D347FA" w:rsidP="009E6BBD">
            <w:pPr>
              <w:spacing w:after="0" w:line="240" w:lineRule="auto"/>
              <w:jc w:val="right"/>
              <w:rPr>
                <w:rFonts w:ascii="Arial" w:hAnsi="Arial" w:cs="Arial"/>
                <w:i/>
                <w:iCs/>
                <w:color w:val="000000"/>
                <w:sz w:val="20"/>
                <w:szCs w:val="20"/>
              </w:rPr>
            </w:pPr>
            <w:r>
              <w:rPr>
                <w:rFonts w:ascii="Arial" w:hAnsi="Arial" w:cs="Arial"/>
                <w:i/>
                <w:iCs/>
                <w:color w:val="000000"/>
                <w:sz w:val="20"/>
                <w:szCs w:val="20"/>
              </w:rPr>
              <w:t>65</w:t>
            </w:r>
          </w:p>
        </w:tc>
      </w:tr>
      <w:tr w:rsidR="00D347FA" w:rsidRPr="007C746D" w:rsidTr="009E6BBD">
        <w:trPr>
          <w:trHeight w:val="227"/>
        </w:trPr>
        <w:tc>
          <w:tcPr>
            <w:tcW w:w="2688" w:type="dxa"/>
            <w:tcBorders>
              <w:left w:val="nil"/>
              <w:bottom w:val="single" w:sz="12" w:space="0" w:color="auto"/>
              <w:right w:val="nil"/>
            </w:tcBorders>
            <w:shd w:val="clear" w:color="auto" w:fill="auto"/>
            <w:noWrap/>
            <w:vAlign w:val="bottom"/>
          </w:tcPr>
          <w:p w:rsidR="00D347FA" w:rsidRPr="007C746D" w:rsidRDefault="00D347FA" w:rsidP="009E6BBD">
            <w:pPr>
              <w:spacing w:after="0" w:line="240" w:lineRule="auto"/>
              <w:rPr>
                <w:rFonts w:ascii="Arial" w:hAnsi="Arial" w:cs="Arial"/>
                <w:color w:val="000000"/>
                <w:sz w:val="20"/>
                <w:szCs w:val="20"/>
              </w:rPr>
            </w:pPr>
          </w:p>
        </w:tc>
        <w:tc>
          <w:tcPr>
            <w:tcW w:w="845" w:type="dxa"/>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color w:val="000000"/>
                <w:sz w:val="20"/>
                <w:szCs w:val="20"/>
              </w:rPr>
            </w:pPr>
          </w:p>
        </w:tc>
        <w:tc>
          <w:tcPr>
            <w:tcW w:w="845" w:type="dxa"/>
            <w:gridSpan w:val="2"/>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color w:val="000000"/>
                <w:sz w:val="20"/>
                <w:szCs w:val="20"/>
              </w:rPr>
            </w:pPr>
          </w:p>
        </w:tc>
        <w:tc>
          <w:tcPr>
            <w:tcW w:w="1268" w:type="dxa"/>
            <w:gridSpan w:val="2"/>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color w:val="000000"/>
                <w:sz w:val="20"/>
                <w:szCs w:val="20"/>
              </w:rPr>
            </w:pPr>
          </w:p>
        </w:tc>
        <w:tc>
          <w:tcPr>
            <w:tcW w:w="845" w:type="dxa"/>
            <w:gridSpan w:val="2"/>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color w:val="000000"/>
                <w:sz w:val="20"/>
                <w:szCs w:val="20"/>
              </w:rPr>
            </w:pPr>
          </w:p>
        </w:tc>
        <w:tc>
          <w:tcPr>
            <w:tcW w:w="987" w:type="dxa"/>
            <w:gridSpan w:val="2"/>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i/>
                <w:iCs/>
                <w:color w:val="000000"/>
                <w:sz w:val="20"/>
                <w:szCs w:val="20"/>
              </w:rPr>
            </w:pPr>
          </w:p>
        </w:tc>
        <w:tc>
          <w:tcPr>
            <w:tcW w:w="1326" w:type="dxa"/>
            <w:gridSpan w:val="2"/>
            <w:tcBorders>
              <w:left w:val="nil"/>
              <w:bottom w:val="single" w:sz="12" w:space="0" w:color="auto"/>
              <w:right w:val="nil"/>
            </w:tcBorders>
            <w:shd w:val="clear" w:color="auto" w:fill="auto"/>
            <w:noWrap/>
            <w:vAlign w:val="bottom"/>
          </w:tcPr>
          <w:p w:rsidR="00D347FA" w:rsidRDefault="00D347FA" w:rsidP="009E6BBD">
            <w:pPr>
              <w:spacing w:after="0" w:line="240" w:lineRule="auto"/>
              <w:jc w:val="right"/>
              <w:rPr>
                <w:rFonts w:ascii="Arial" w:hAnsi="Arial" w:cs="Arial"/>
                <w:i/>
                <w:iCs/>
                <w:color w:val="000000"/>
                <w:sz w:val="20"/>
                <w:szCs w:val="20"/>
              </w:rPr>
            </w:pP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Pr="00F63CDC" w:rsidRDefault="00D347FA" w:rsidP="00D347FA">
      <w:pPr>
        <w:pStyle w:val="Heading3"/>
        <w:numPr>
          <w:ilvl w:val="0"/>
          <w:numId w:val="0"/>
        </w:numPr>
        <w:spacing w:line="276" w:lineRule="auto"/>
        <w:ind w:left="851" w:hanging="851"/>
      </w:pPr>
      <w:bookmarkStart w:id="117" w:name="_Toc494182078"/>
      <w:r w:rsidRPr="00C0093D">
        <w:rPr>
          <w:color w:val="auto"/>
        </w:rPr>
        <w:t>Wor</w:t>
      </w:r>
      <w:r w:rsidRPr="00C0093D">
        <w:t>ries about parental health</w:t>
      </w:r>
      <w:bookmarkEnd w:id="115"/>
      <w:r w:rsidRPr="00C0093D">
        <w:t xml:space="preserve"> (Healthy)</w:t>
      </w:r>
      <w:bookmarkEnd w:id="116"/>
      <w:bookmarkEnd w:id="117"/>
    </w:p>
    <w:p w:rsidR="00D347FA" w:rsidRDefault="00D347FA" w:rsidP="00D347FA">
      <w:pPr>
        <w:pStyle w:val="BodyCopy"/>
        <w:spacing w:before="240" w:line="276" w:lineRule="auto"/>
      </w:pPr>
      <w:r>
        <w:t>It was noted earlier that propensity to worry about school work was correlated with lower levels of life satisfaction</w:t>
      </w:r>
      <w:r w:rsidRPr="00F23945">
        <w:t xml:space="preserve"> </w:t>
      </w:r>
      <w:r>
        <w:t xml:space="preserve">among children in P5 to P7. Children were asked two broader questions about things they might worry about: the health of someone in their family and adults drinking too much at home. Of course, it should be emphasised that these are measures of worry not actual prevalence of the thing being worried about. </w:t>
      </w:r>
    </w:p>
    <w:p w:rsidR="00D347FA" w:rsidRDefault="00D347FA" w:rsidP="00D347FA">
      <w:pPr>
        <w:pStyle w:val="BodyCopy"/>
        <w:spacing w:before="240" w:line="276" w:lineRule="auto"/>
      </w:pPr>
      <w:r>
        <w:t>Overall, 35% reported that they worried a lot about a family member’s health, 26% quite a lot, 25% not very much and 14% not at all. Levels of worry about adults drinking too much were lower: 17% reported worrying a lot, 15% quite a lot, 27% not very much and 41% not at all.</w:t>
      </w:r>
    </w:p>
    <w:p w:rsidR="00D347FA" w:rsidRDefault="00D347FA" w:rsidP="00D347FA">
      <w:pPr>
        <w:pStyle w:val="BodyCopy"/>
        <w:spacing w:before="240" w:line="276" w:lineRule="auto"/>
      </w:pPr>
      <w:r>
        <w:t>The proportion who said that they worried a lot or quite a lot about a family member’s health was higher among those elig</w:t>
      </w:r>
      <w:r w:rsidR="001E064D">
        <w:t>ible for free school meals (66%</w:t>
      </w:r>
      <w:r>
        <w:t xml:space="preserve"> compared with 59% of those not eligible), tho</w:t>
      </w:r>
      <w:r w:rsidR="001E064D">
        <w:t>se living in a step-family (65%</w:t>
      </w:r>
      <w:r>
        <w:t xml:space="preserve"> compared with 58% in a two</w:t>
      </w:r>
      <w:r w:rsidR="00C0093D">
        <w:t xml:space="preserve"> </w:t>
      </w:r>
      <w:r>
        <w:t xml:space="preserve">parent household), and those with no siblings at home (65%) or two or more siblings (61%) </w:t>
      </w:r>
      <w:r w:rsidR="001E064D">
        <w:t>compared with those with</w:t>
      </w:r>
      <w:r>
        <w:t xml:space="preserve"> one sibling (58%).</w:t>
      </w:r>
      <w:r w:rsidRPr="00E258C7">
        <w:t xml:space="preserve"> </w:t>
      </w:r>
      <w:r>
        <w:t xml:space="preserve">There was also significant variation </w:t>
      </w:r>
      <w:r w:rsidR="001E064D">
        <w:t>by gender</w:t>
      </w:r>
      <w:r>
        <w:t>, with boys reporting worrying more than girls (64%</w:t>
      </w:r>
      <w:r w:rsidR="00093875">
        <w:t xml:space="preserve"> worrying a lot or</w:t>
      </w:r>
      <w:r w:rsidR="00EE52E8">
        <w:t xml:space="preserve"> quite a lot</w:t>
      </w:r>
      <w:r>
        <w:t xml:space="preserve"> compared with 58%</w:t>
      </w:r>
      <w:r w:rsidR="00EE52E8">
        <w:t xml:space="preserve"> </w:t>
      </w:r>
      <w:r w:rsidR="00093875">
        <w:t>of girls</w:t>
      </w:r>
      <w:r>
        <w:t xml:space="preserve">). The proportion of children who worried </w:t>
      </w:r>
      <w:r w:rsidR="00EE52E8">
        <w:t xml:space="preserve">was also related to area deprivation, </w:t>
      </w:r>
      <w:r>
        <w:t xml:space="preserve">with 67% in the most deprived quintile worrying a lot or quite a lot compared with 56% in the least deprived quintile. </w:t>
      </w:r>
    </w:p>
    <w:p w:rsidR="00D347FA" w:rsidRDefault="00D347FA" w:rsidP="00D347FA">
      <w:pPr>
        <w:pStyle w:val="BodyCopy"/>
        <w:spacing w:before="240" w:line="276" w:lineRule="auto"/>
      </w:pPr>
      <w:r>
        <w:rPr>
          <w:noProof/>
        </w:rPr>
        <w:lastRenderedPageBreak/>
        <w:drawing>
          <wp:inline distT="0" distB="0" distL="0" distR="0" wp14:anchorId="1337CAB0" wp14:editId="5E678825">
            <wp:extent cx="5400675" cy="362486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w:t>
      </w:r>
      <w:r w:rsidR="00093875">
        <w:rPr>
          <w:i/>
          <w:sz w:val="18"/>
          <w:szCs w:val="18"/>
        </w:rPr>
        <w:t>1</w:t>
      </w:r>
      <w:r>
        <w:rPr>
          <w:i/>
          <w:sz w:val="18"/>
          <w:szCs w:val="18"/>
        </w:rPr>
        <w:t>7</w:t>
      </w:r>
    </w:p>
    <w:p w:rsidR="00D347FA" w:rsidRDefault="00D347FA" w:rsidP="00D347FA">
      <w:pPr>
        <w:pStyle w:val="BodyCopy"/>
        <w:spacing w:before="240" w:line="276" w:lineRule="auto"/>
      </w:pPr>
      <w:r>
        <w:t>The proportion who worried a lot or quite a lot about adults drinking too much at home differed significantly by year group</w:t>
      </w:r>
      <w:r w:rsidR="00E63A68">
        <w:t>.</w:t>
      </w:r>
      <w:r>
        <w:t xml:space="preserve"> </w:t>
      </w:r>
      <w:r w:rsidR="00E63A68">
        <w:t>T</w:t>
      </w:r>
      <w:r>
        <w:t xml:space="preserve">hose in P7 </w:t>
      </w:r>
      <w:r w:rsidR="00E63A68">
        <w:t>were</w:t>
      </w:r>
      <w:r>
        <w:t xml:space="preserve"> less likely to worry a lot or quite a lot (25%</w:t>
      </w:r>
      <w:r w:rsidR="00EE52E8">
        <w:t>)</w:t>
      </w:r>
      <w:r>
        <w:t xml:space="preserve"> compared with </w:t>
      </w:r>
      <w:r w:rsidR="00EE52E8">
        <w:t>those in P6 (31%) and those in P5 (</w:t>
      </w:r>
      <w:r>
        <w:t>40%</w:t>
      </w:r>
      <w:r w:rsidR="00EE52E8">
        <w:t>)</w:t>
      </w:r>
      <w:r>
        <w:t>. This difference may relate to the timing of health education messages via the curriculum and other channels.</w:t>
      </w:r>
      <w:r w:rsidRPr="00E258C7">
        <w:t xml:space="preserve"> </w:t>
      </w:r>
    </w:p>
    <w:p w:rsidR="00D347FA" w:rsidRPr="00E258C7" w:rsidRDefault="00EE52E8" w:rsidP="00D347FA">
      <w:pPr>
        <w:pStyle w:val="BodyCopy"/>
        <w:spacing w:before="240" w:line="276" w:lineRule="auto"/>
      </w:pPr>
      <w:r>
        <w:t xml:space="preserve">Levels of worry </w:t>
      </w:r>
      <w:r w:rsidR="00093875">
        <w:t xml:space="preserve">about drinking </w:t>
      </w:r>
      <w:r>
        <w:t>differed by area deprivation with</w:t>
      </w:r>
      <w:r w:rsidR="00D347FA">
        <w:t xml:space="preserve"> 40</w:t>
      </w:r>
      <w:r w:rsidR="00D347FA" w:rsidRPr="00E258C7">
        <w:t>% of those in the most deprived quintile worr</w:t>
      </w:r>
      <w:r>
        <w:t>ying</w:t>
      </w:r>
      <w:r w:rsidR="00D347FA" w:rsidRPr="00E258C7">
        <w:t xml:space="preserve"> a lot or quite a lot</w:t>
      </w:r>
      <w:r>
        <w:t xml:space="preserve"> compared with 26% </w:t>
      </w:r>
      <w:r w:rsidR="00D347FA" w:rsidRPr="00E258C7">
        <w:t>in the</w:t>
      </w:r>
      <w:r w:rsidR="00D347FA">
        <w:t xml:space="preserve"> least deprived</w:t>
      </w:r>
      <w:r>
        <w:t xml:space="preserve"> quintile</w:t>
      </w:r>
      <w:r w:rsidR="00D347FA" w:rsidRPr="00E258C7">
        <w:t xml:space="preserve">. </w:t>
      </w:r>
      <w:r w:rsidR="00D347FA">
        <w:t>Children eligible for free school meals were more likely to worry a lot of quite a lot (36%, compared with 32% of those not eligible). C</w:t>
      </w:r>
      <w:r w:rsidR="00D347FA" w:rsidRPr="00E258C7">
        <w:t xml:space="preserve">hildren with step-parents </w:t>
      </w:r>
      <w:r w:rsidR="00D347FA">
        <w:t xml:space="preserve">and those living in single-parent households </w:t>
      </w:r>
      <w:r w:rsidR="00D347FA" w:rsidRPr="00E258C7">
        <w:t>tended to worry about their parents drinking more than those in two-parent (</w:t>
      </w:r>
      <w:r w:rsidR="00D347FA">
        <w:t>38</w:t>
      </w:r>
      <w:r w:rsidR="00D347FA" w:rsidRPr="00E258C7">
        <w:t>%</w:t>
      </w:r>
      <w:r w:rsidR="00D347FA">
        <w:t xml:space="preserve"> and 35%</w:t>
      </w:r>
      <w:r w:rsidR="00D347FA" w:rsidRPr="00E258C7">
        <w:t xml:space="preserve"> reporting they worried a lot </w:t>
      </w:r>
      <w:r w:rsidR="00D347FA">
        <w:t>or quite a lot, compared with 31</w:t>
      </w:r>
      <w:r w:rsidR="00D347FA" w:rsidRPr="00E258C7">
        <w:t xml:space="preserve">% in two-parent families). </w:t>
      </w:r>
      <w:r w:rsidR="00D347FA">
        <w:t>Finally, those with no siblings were more likely to worry a lot or quite a lot than those with one or more siblings (35%, compared with 29% of those with one sibling and 32% of those with two or more).</w:t>
      </w:r>
    </w:p>
    <w:p w:rsidR="00D347FA" w:rsidRDefault="00D347FA" w:rsidP="00D347FA">
      <w:pPr>
        <w:pStyle w:val="Heading3"/>
        <w:spacing w:line="276" w:lineRule="auto"/>
      </w:pPr>
      <w:bookmarkStart w:id="118" w:name="_Toc478636827"/>
      <w:bookmarkStart w:id="119" w:name="_Toc479456962"/>
      <w:bookmarkStart w:id="120" w:name="_Toc494182079"/>
      <w:r>
        <w:t>Educational and learning environment</w:t>
      </w:r>
      <w:bookmarkEnd w:id="118"/>
      <w:bookmarkEnd w:id="119"/>
      <w:bookmarkEnd w:id="120"/>
    </w:p>
    <w:p w:rsidR="00D347FA" w:rsidRDefault="00D347FA" w:rsidP="00D347FA">
      <w:pPr>
        <w:pStyle w:val="Heading3"/>
        <w:numPr>
          <w:ilvl w:val="0"/>
          <w:numId w:val="0"/>
        </w:numPr>
        <w:spacing w:line="276" w:lineRule="auto"/>
        <w:ind w:left="851" w:hanging="851"/>
      </w:pPr>
      <w:bookmarkStart w:id="121" w:name="_Toc478636828"/>
      <w:bookmarkStart w:id="122" w:name="_Toc479456963"/>
      <w:bookmarkStart w:id="123" w:name="_Toc494182080"/>
      <w:r w:rsidRPr="000233C9">
        <w:rPr>
          <w:color w:val="auto"/>
        </w:rPr>
        <w:t>Educ</w:t>
      </w:r>
      <w:r>
        <w:t>ational enjoyment and engagement</w:t>
      </w:r>
      <w:bookmarkEnd w:id="121"/>
      <w:r>
        <w:t xml:space="preserve"> (Achieving, Included)</w:t>
      </w:r>
      <w:bookmarkEnd w:id="122"/>
      <w:bookmarkEnd w:id="123"/>
    </w:p>
    <w:p w:rsidR="00D347FA" w:rsidRDefault="00D347FA" w:rsidP="00D347FA">
      <w:pPr>
        <w:pStyle w:val="BodyCopy"/>
        <w:spacing w:line="276" w:lineRule="auto"/>
      </w:pPr>
      <w:r>
        <w:t>It is widely recognised and reflected in policy making that educational engagement and a positive experience of schooling is closely associated with positive mental, emotional, social and physical wellbeing both inside and outside of school</w:t>
      </w:r>
      <w:r w:rsidR="00C0093D">
        <w:t>.</w:t>
      </w:r>
      <w:r>
        <w:rPr>
          <w:rStyle w:val="EndnoteReference"/>
          <w:rFonts w:eastAsiaTheme="minorHAnsi"/>
        </w:rPr>
        <w:endnoteReference w:id="27"/>
      </w:r>
      <w:r>
        <w:t xml:space="preserve"> It is also established that a positive school experience can </w:t>
      </w:r>
      <w:r>
        <w:lastRenderedPageBreak/>
        <w:t>act as a protective factor for children who may be experiencing adversity in other areas of their lives</w:t>
      </w:r>
      <w:r w:rsidR="00C0093D">
        <w:t>.</w:t>
      </w:r>
      <w:r>
        <w:rPr>
          <w:rStyle w:val="EndnoteReference"/>
          <w:rFonts w:eastAsiaTheme="minorHAnsi"/>
        </w:rPr>
        <w:endnoteReference w:id="28"/>
      </w:r>
    </w:p>
    <w:p w:rsidR="00D347FA" w:rsidRDefault="00D347FA" w:rsidP="00D347FA">
      <w:pPr>
        <w:pStyle w:val="BodyCopy"/>
        <w:spacing w:before="240" w:line="276" w:lineRule="auto"/>
      </w:pPr>
      <w:r>
        <w:t xml:space="preserve">Children were asked about their enjoyment of school and whether they have ever skipped school when their parents didn’t know, even if only for half a day or a little while. </w:t>
      </w:r>
    </w:p>
    <w:p w:rsidR="00D347FA" w:rsidRDefault="00D347FA" w:rsidP="00D347FA">
      <w:pPr>
        <w:pStyle w:val="BodyCopy"/>
        <w:spacing w:before="240" w:line="276" w:lineRule="auto"/>
      </w:pPr>
      <w:r>
        <w:t>Overall, a third of children in P5, P6 and P7 said they liked school a lot (33%)</w:t>
      </w:r>
      <w:r w:rsidR="00C0093D">
        <w:t xml:space="preserve"> with a</w:t>
      </w:r>
      <w:r>
        <w:t>round half sa</w:t>
      </w:r>
      <w:r w:rsidR="00C0093D">
        <w:t>ying</w:t>
      </w:r>
      <w:r>
        <w:t xml:space="preserve"> they liked it a bit (45%), 14% not very much, and 9% not at all.</w:t>
      </w:r>
    </w:p>
    <w:p w:rsidR="004B116A" w:rsidRDefault="00C8693D" w:rsidP="007C46D3">
      <w:pPr>
        <w:pStyle w:val="BodyCopy"/>
        <w:spacing w:before="240" w:line="276" w:lineRule="auto"/>
      </w:pPr>
      <w:r>
        <w:t xml:space="preserve">Boys were less likely to enjoy school than girls (70% compared with 85% respectively). </w:t>
      </w:r>
      <w:r w:rsidR="004B116A">
        <w:t xml:space="preserve">This is in contrast to findings from the secondary school survey, in which a slightly lower proportion of girls than boys reported liking school. </w:t>
      </w:r>
    </w:p>
    <w:p w:rsidR="00D347FA" w:rsidRDefault="00D347FA" w:rsidP="007C46D3">
      <w:pPr>
        <w:pStyle w:val="BodyCopy"/>
        <w:spacing w:before="240" w:line="276" w:lineRule="auto"/>
      </w:pPr>
      <w:r w:rsidRPr="0032152D">
        <w:t xml:space="preserve">Those in the most deprived quintile were </w:t>
      </w:r>
      <w:r w:rsidR="00C8693D">
        <w:t xml:space="preserve">also </w:t>
      </w:r>
      <w:r w:rsidRPr="0032152D">
        <w:t>less likely</w:t>
      </w:r>
      <w:r>
        <w:t xml:space="preserve"> to enjoy school a lot or a bit (74%) than</w:t>
      </w:r>
      <w:r w:rsidRPr="0032152D">
        <w:t xml:space="preserve"> </w:t>
      </w:r>
      <w:r>
        <w:t>those in the least deprived quintile (78</w:t>
      </w:r>
      <w:r w:rsidRPr="0032152D">
        <w:t>%).</w:t>
      </w:r>
      <w:r>
        <w:t xml:space="preserve"> A smaller proportion of those eligible for free school meals also reported enjoying school (71% compared with 79% of those not eligible). </w:t>
      </w:r>
      <w:r w:rsidRPr="00FB6199">
        <w:t>Children with</w:t>
      </w:r>
      <w:r w:rsidR="00574027">
        <w:t>out an</w:t>
      </w:r>
      <w:r>
        <w:t xml:space="preserve"> additional support need</w:t>
      </w:r>
      <w:r w:rsidRPr="00FB6199">
        <w:t xml:space="preserve"> were also more likely to report enjoying school </w:t>
      </w:r>
      <w:r>
        <w:t>(7</w:t>
      </w:r>
      <w:r w:rsidR="007C46D3">
        <w:t>4%</w:t>
      </w:r>
      <w:r>
        <w:t>) compared with those with such a need (78%).</w:t>
      </w:r>
    </w:p>
    <w:p w:rsidR="00D347FA" w:rsidRDefault="00D347FA" w:rsidP="00D347FA">
      <w:pPr>
        <w:rPr>
          <w:lang w:eastAsia="en-GB"/>
        </w:rPr>
      </w:pPr>
      <w:r>
        <w:rPr>
          <w:noProof/>
          <w:lang w:eastAsia="en-GB"/>
        </w:rPr>
        <w:drawing>
          <wp:inline distT="0" distB="0" distL="0" distR="0" wp14:anchorId="44DED4D9" wp14:editId="339867C4">
            <wp:extent cx="5400675" cy="36248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before="240" w:line="276" w:lineRule="auto"/>
      </w:pPr>
      <w:r>
        <w:t>Two other findings are worth highlighting here. First, those who experienced higher levels of bullying were less likely to report enjoying school (68% compared with 78</w:t>
      </w:r>
      <w:r w:rsidR="00C0093D">
        <w:t xml:space="preserve">% </w:t>
      </w:r>
      <w:r w:rsidR="009E5557">
        <w:t xml:space="preserve">of those </w:t>
      </w:r>
      <w:r w:rsidR="00C0093D">
        <w:t xml:space="preserve">with average exposure to bullying and </w:t>
      </w:r>
      <w:r>
        <w:t xml:space="preserve">84% </w:t>
      </w:r>
      <w:r w:rsidR="00C0093D">
        <w:t xml:space="preserve">with </w:t>
      </w:r>
      <w:r>
        <w:t xml:space="preserve">little exposure). </w:t>
      </w:r>
    </w:p>
    <w:p w:rsidR="00D347FA" w:rsidRDefault="00D347FA" w:rsidP="009E6BBD">
      <w:pPr>
        <w:pStyle w:val="BodyCopy"/>
        <w:spacing w:before="240" w:line="276" w:lineRule="auto"/>
      </w:pPr>
      <w:r>
        <w:lastRenderedPageBreak/>
        <w:t xml:space="preserve">The most obvious differences in enjoyment of school, however, were between </w:t>
      </w:r>
      <w:r w:rsidRPr="007B1EC0">
        <w:t xml:space="preserve">those with more and </w:t>
      </w:r>
      <w:r w:rsidR="00CB6E2B" w:rsidRPr="007B1EC0">
        <w:t xml:space="preserve">those with </w:t>
      </w:r>
      <w:r w:rsidRPr="007B1EC0">
        <w:t xml:space="preserve">less positive relationships with their teachers: 94% of those with a higher score on the educational environment scale (see page </w:t>
      </w:r>
      <w:r w:rsidR="007B1EC0" w:rsidRPr="007B1EC0">
        <w:t>72</w:t>
      </w:r>
      <w:r w:rsidRPr="007B1EC0">
        <w:t>) said they enjoyed</w:t>
      </w:r>
      <w:r>
        <w:t xml:space="preserve"> school (56% a lot and 38% a bit) compared with 62% of those with a lower score on the scale (19% a lot and 43% a bit).</w:t>
      </w:r>
    </w:p>
    <w:p w:rsidR="00D347FA" w:rsidRDefault="00A20985" w:rsidP="00D347FA">
      <w:pPr>
        <w:rPr>
          <w:lang w:eastAsia="en-GB"/>
        </w:rPr>
      </w:pPr>
      <w:r>
        <w:rPr>
          <w:noProof/>
          <w:lang w:eastAsia="en-GB"/>
        </w:rPr>
        <w:drawing>
          <wp:inline distT="0" distB="0" distL="0" distR="0" wp14:anchorId="78D1A95C" wp14:editId="1E5B227D">
            <wp:extent cx="4951095" cy="3661150"/>
            <wp:effectExtent l="0" t="0" r="1905"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keepNext/>
        <w:spacing w:before="240" w:line="276" w:lineRule="auto"/>
      </w:pPr>
      <w:r w:rsidRPr="00574027">
        <w:t>Overall, 8% of children in P5 to P7 in Falkirk said they had ever skipped school without</w:t>
      </w:r>
      <w:r>
        <w:t xml:space="preserve"> their parents knowing. Younger children were more likely to </w:t>
      </w:r>
      <w:r w:rsidR="00574027">
        <w:t>say they had</w:t>
      </w:r>
      <w:r>
        <w:t xml:space="preserve"> skipped school (10% in P5 compared with 8% of those in P6 and 5% in P7). The figure was higher among boys than girls (11% compared with 4%</w:t>
      </w:r>
      <w:r w:rsidR="00574027">
        <w:t xml:space="preserve"> respectively</w:t>
      </w:r>
      <w:r>
        <w:t>) and among those eligible for free school meals (14% compared with 7% of those not eligible). C</w:t>
      </w:r>
      <w:r w:rsidRPr="00DD4840">
        <w:t xml:space="preserve">hildren in the most deprived </w:t>
      </w:r>
      <w:r>
        <w:t>quintile</w:t>
      </w:r>
      <w:r w:rsidRPr="00DD4840">
        <w:t xml:space="preserve"> were more likely to </w:t>
      </w:r>
      <w:r>
        <w:t xml:space="preserve">have </w:t>
      </w:r>
      <w:r w:rsidRPr="00DD4840">
        <w:t>skip</w:t>
      </w:r>
      <w:r>
        <w:t>ped</w:t>
      </w:r>
      <w:r w:rsidRPr="00DD4840">
        <w:t xml:space="preserve"> school tha</w:t>
      </w:r>
      <w:r>
        <w:t xml:space="preserve">n </w:t>
      </w:r>
      <w:r w:rsidR="009E5557">
        <w:t xml:space="preserve">were </w:t>
      </w:r>
      <w:r>
        <w:t>those in the least deprived (12% and 5</w:t>
      </w:r>
      <w:r w:rsidRPr="00DD4840">
        <w:t>% respectively).</w:t>
      </w:r>
    </w:p>
    <w:p w:rsidR="00D347FA" w:rsidRDefault="00D347FA" w:rsidP="00D347FA">
      <w:pPr>
        <w:pStyle w:val="BodyCopy"/>
        <w:keepNext/>
        <w:spacing w:before="240" w:line="276" w:lineRule="auto"/>
      </w:pPr>
      <w:r>
        <w:t>Some differences were also evident by family circumstances</w:t>
      </w:r>
      <w:r w:rsidR="00574027">
        <w:t xml:space="preserve"> with</w:t>
      </w:r>
      <w:r>
        <w:t xml:space="preserve"> </w:t>
      </w:r>
      <w:r w:rsidR="00574027">
        <w:t>t</w:t>
      </w:r>
      <w:r>
        <w:t xml:space="preserve">hose with no siblings at home </w:t>
      </w:r>
      <w:r w:rsidR="007C46D3">
        <w:t xml:space="preserve">or two or more siblings at home </w:t>
      </w:r>
      <w:r w:rsidR="00574027">
        <w:t xml:space="preserve">being </w:t>
      </w:r>
      <w:r>
        <w:t xml:space="preserve">more likely to </w:t>
      </w:r>
      <w:r w:rsidR="007C46D3">
        <w:t>say they had</w:t>
      </w:r>
      <w:r>
        <w:t xml:space="preserve"> skipped school (9%</w:t>
      </w:r>
      <w:r w:rsidR="007C46D3">
        <w:t xml:space="preserve"> for both</w:t>
      </w:r>
      <w:r>
        <w:t>) compared with 6% of those with one sibling. Those living in step-families were also more likely to have skipped school (12% compared with 6% of those in two</w:t>
      </w:r>
      <w:r w:rsidR="00574027">
        <w:t xml:space="preserve"> </w:t>
      </w:r>
      <w:r>
        <w:t>parent households and 10% of those in one</w:t>
      </w:r>
      <w:r w:rsidR="00574027">
        <w:t xml:space="preserve"> </w:t>
      </w:r>
      <w:r>
        <w:t>parent households).</w:t>
      </w:r>
      <w:r w:rsidRPr="007F189D">
        <w:t xml:space="preserve"> </w:t>
      </w:r>
      <w:r w:rsidR="009E5557">
        <w:t>C</w:t>
      </w:r>
      <w:r>
        <w:t>hildren</w:t>
      </w:r>
      <w:r w:rsidRPr="00DD4840">
        <w:t xml:space="preserve"> with additional support needs</w:t>
      </w:r>
      <w:r>
        <w:t xml:space="preserve"> were more likely to </w:t>
      </w:r>
      <w:r w:rsidR="00574027">
        <w:t>say they had skipped</w:t>
      </w:r>
      <w:r>
        <w:t xml:space="preserve"> school than those with no such needs (14% and 6% respectively)</w:t>
      </w:r>
      <w:r w:rsidR="009E5557">
        <w:t>. Similarly</w:t>
      </w:r>
      <w:r>
        <w:t xml:space="preserve">, </w:t>
      </w:r>
      <w:r w:rsidR="009E5557">
        <w:t>pupils</w:t>
      </w:r>
      <w:r>
        <w:t xml:space="preserve"> in receipt of children’s services</w:t>
      </w:r>
      <w:r w:rsidR="009E5557">
        <w:t xml:space="preserve"> were also around twice as likely as those who were not to say they had skipped school</w:t>
      </w:r>
      <w:r>
        <w:t xml:space="preserve"> (15% compared with 7%). </w:t>
      </w:r>
    </w:p>
    <w:p w:rsidR="00D347FA" w:rsidRDefault="00D347FA" w:rsidP="00D347FA">
      <w:pPr>
        <w:pStyle w:val="BodyCopy"/>
        <w:spacing w:before="240" w:line="276" w:lineRule="auto"/>
      </w:pPr>
    </w:p>
    <w:tbl>
      <w:tblPr>
        <w:tblW w:w="8162" w:type="dxa"/>
        <w:tblInd w:w="93" w:type="dxa"/>
        <w:tblLook w:val="04A0" w:firstRow="1" w:lastRow="0" w:firstColumn="1" w:lastColumn="0" w:noHBand="0" w:noVBand="1"/>
      </w:tblPr>
      <w:tblGrid>
        <w:gridCol w:w="3984"/>
        <w:gridCol w:w="993"/>
        <w:gridCol w:w="850"/>
        <w:gridCol w:w="1083"/>
        <w:gridCol w:w="1252"/>
      </w:tblGrid>
      <w:tr w:rsidR="00D347FA" w:rsidRPr="009E6BBD" w:rsidTr="009E6BBD">
        <w:trPr>
          <w:trHeight w:val="340"/>
        </w:trPr>
        <w:tc>
          <w:tcPr>
            <w:tcW w:w="8162" w:type="dxa"/>
            <w:gridSpan w:val="5"/>
            <w:tcBorders>
              <w:top w:val="single" w:sz="12" w:space="0" w:color="auto"/>
              <w:left w:val="nil"/>
              <w:bottom w:val="nil"/>
              <w:right w:val="nil"/>
            </w:tcBorders>
            <w:shd w:val="clear" w:color="auto" w:fill="auto"/>
            <w:hideMark/>
          </w:tcPr>
          <w:p w:rsidR="00D347FA" w:rsidRPr="009E6BBD" w:rsidRDefault="00D347FA" w:rsidP="009E6BBD">
            <w:pPr>
              <w:keepNext/>
              <w:spacing w:after="0" w:line="240" w:lineRule="auto"/>
              <w:rPr>
                <w:rFonts w:eastAsia="Times New Roman" w:cstheme="minorHAnsi"/>
                <w:b/>
                <w:bCs/>
                <w:color w:val="000000"/>
                <w:sz w:val="20"/>
                <w:szCs w:val="20"/>
                <w:lang w:eastAsia="en-GB"/>
              </w:rPr>
            </w:pPr>
            <w:r w:rsidRPr="009E6BBD">
              <w:rPr>
                <w:rFonts w:eastAsia="Times New Roman" w:cstheme="minorHAnsi"/>
                <w:b/>
                <w:bCs/>
                <w:color w:val="000000"/>
                <w:sz w:val="20"/>
                <w:szCs w:val="20"/>
                <w:lang w:eastAsia="en-GB"/>
              </w:rPr>
              <w:lastRenderedPageBreak/>
              <w:t>Table 3.3.2c Ever skipped school</w:t>
            </w:r>
          </w:p>
        </w:tc>
      </w:tr>
      <w:tr w:rsidR="00D347FA" w:rsidRPr="009E6BBD" w:rsidTr="009E6BBD">
        <w:trPr>
          <w:trHeight w:val="737"/>
        </w:trPr>
        <w:tc>
          <w:tcPr>
            <w:tcW w:w="3984" w:type="dxa"/>
            <w:tcBorders>
              <w:top w:val="nil"/>
              <w:left w:val="nil"/>
              <w:bottom w:val="single" w:sz="12" w:space="0" w:color="auto"/>
              <w:right w:val="nil"/>
            </w:tcBorders>
            <w:shd w:val="clear" w:color="auto" w:fill="auto"/>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eastAsia="Times New Roman" w:cstheme="minorHAnsi"/>
                <w:color w:val="000000"/>
                <w:sz w:val="20"/>
                <w:szCs w:val="20"/>
                <w:lang w:eastAsia="en-GB"/>
              </w:rPr>
              <w:t>Have you ever skipped school, when your parents didn’t know, even if only for half a day or a little while?</w:t>
            </w:r>
          </w:p>
        </w:tc>
        <w:tc>
          <w:tcPr>
            <w:tcW w:w="993" w:type="dxa"/>
            <w:tcBorders>
              <w:top w:val="nil"/>
              <w:left w:val="nil"/>
              <w:bottom w:val="single" w:sz="12" w:space="0" w:color="auto"/>
              <w:right w:val="nil"/>
            </w:tcBorders>
            <w:shd w:val="clear" w:color="auto" w:fill="auto"/>
            <w:vAlign w:val="center"/>
            <w:hideMark/>
          </w:tcPr>
          <w:p w:rsidR="00D347FA" w:rsidRPr="009E6BBD" w:rsidRDefault="00D347FA" w:rsidP="009E6BBD">
            <w:pPr>
              <w:keepNext/>
              <w:spacing w:after="0" w:line="240" w:lineRule="auto"/>
              <w:jc w:val="center"/>
              <w:rPr>
                <w:rFonts w:eastAsia="Times New Roman" w:cstheme="minorHAnsi"/>
                <w:color w:val="000000"/>
                <w:sz w:val="20"/>
                <w:szCs w:val="20"/>
                <w:lang w:eastAsia="en-GB"/>
              </w:rPr>
            </w:pPr>
            <w:r w:rsidRPr="009E6BBD">
              <w:rPr>
                <w:rFonts w:eastAsia="Times New Roman" w:cstheme="minorHAnsi"/>
                <w:color w:val="000000"/>
                <w:sz w:val="20"/>
                <w:szCs w:val="20"/>
                <w:lang w:eastAsia="en-GB"/>
              </w:rPr>
              <w:t>Yes</w:t>
            </w:r>
          </w:p>
        </w:tc>
        <w:tc>
          <w:tcPr>
            <w:tcW w:w="850" w:type="dxa"/>
            <w:tcBorders>
              <w:top w:val="nil"/>
              <w:left w:val="nil"/>
              <w:bottom w:val="single" w:sz="12" w:space="0" w:color="auto"/>
              <w:right w:val="nil"/>
            </w:tcBorders>
            <w:shd w:val="clear" w:color="auto" w:fill="auto"/>
            <w:vAlign w:val="center"/>
            <w:hideMark/>
          </w:tcPr>
          <w:p w:rsidR="00D347FA" w:rsidRPr="009E6BBD" w:rsidRDefault="00D347FA" w:rsidP="009E6BBD">
            <w:pPr>
              <w:keepNext/>
              <w:spacing w:after="0" w:line="240" w:lineRule="auto"/>
              <w:jc w:val="center"/>
              <w:rPr>
                <w:rFonts w:eastAsia="Times New Roman" w:cstheme="minorHAnsi"/>
                <w:color w:val="000000"/>
                <w:sz w:val="20"/>
                <w:szCs w:val="20"/>
                <w:lang w:eastAsia="en-GB"/>
              </w:rPr>
            </w:pPr>
            <w:r w:rsidRPr="009E6BBD">
              <w:rPr>
                <w:rFonts w:eastAsia="Times New Roman" w:cstheme="minorHAnsi"/>
                <w:color w:val="000000"/>
                <w:sz w:val="20"/>
                <w:szCs w:val="20"/>
                <w:lang w:eastAsia="en-GB"/>
              </w:rPr>
              <w:t>No</w:t>
            </w:r>
          </w:p>
        </w:tc>
        <w:tc>
          <w:tcPr>
            <w:tcW w:w="0" w:type="auto"/>
            <w:tcBorders>
              <w:top w:val="nil"/>
              <w:left w:val="nil"/>
              <w:bottom w:val="single" w:sz="12" w:space="0" w:color="auto"/>
              <w:right w:val="nil"/>
            </w:tcBorders>
            <w:shd w:val="clear" w:color="auto" w:fill="auto"/>
            <w:vAlign w:val="center"/>
            <w:hideMark/>
          </w:tcPr>
          <w:p w:rsidR="00D347FA" w:rsidRPr="009E6BBD" w:rsidRDefault="00D347FA" w:rsidP="009E6BBD">
            <w:pPr>
              <w:keepNext/>
              <w:spacing w:after="0" w:line="240" w:lineRule="auto"/>
              <w:jc w:val="center"/>
              <w:rPr>
                <w:rFonts w:eastAsia="Times New Roman" w:cstheme="minorHAnsi"/>
                <w:i/>
                <w:iCs/>
                <w:color w:val="000000"/>
                <w:sz w:val="16"/>
                <w:szCs w:val="16"/>
                <w:lang w:eastAsia="en-GB"/>
              </w:rPr>
            </w:pPr>
            <w:r w:rsidRPr="009E6BBD">
              <w:rPr>
                <w:rFonts w:eastAsia="Times New Roman" w:cstheme="minorHAnsi"/>
                <w:i/>
                <w:iCs/>
                <w:color w:val="000000"/>
                <w:sz w:val="16"/>
                <w:szCs w:val="16"/>
                <w:lang w:eastAsia="en-GB"/>
              </w:rPr>
              <w:t>Weighted base</w:t>
            </w:r>
            <w:r w:rsidR="00574027" w:rsidRPr="009E6BBD">
              <w:rPr>
                <w:rFonts w:eastAsia="Times New Roman" w:cstheme="minorHAnsi"/>
                <w:i/>
                <w:iCs/>
                <w:color w:val="000000"/>
                <w:sz w:val="16"/>
                <w:szCs w:val="16"/>
                <w:lang w:eastAsia="en-GB"/>
              </w:rPr>
              <w:t>s</w:t>
            </w:r>
          </w:p>
        </w:tc>
        <w:tc>
          <w:tcPr>
            <w:tcW w:w="0" w:type="auto"/>
            <w:tcBorders>
              <w:top w:val="nil"/>
              <w:left w:val="nil"/>
              <w:bottom w:val="single" w:sz="12" w:space="0" w:color="auto"/>
              <w:right w:val="nil"/>
            </w:tcBorders>
            <w:shd w:val="clear" w:color="auto" w:fill="auto"/>
            <w:vAlign w:val="center"/>
            <w:hideMark/>
          </w:tcPr>
          <w:p w:rsidR="00D347FA" w:rsidRPr="009E6BBD" w:rsidRDefault="00D347FA" w:rsidP="009E6BBD">
            <w:pPr>
              <w:keepNext/>
              <w:spacing w:after="0" w:line="240" w:lineRule="auto"/>
              <w:jc w:val="center"/>
              <w:rPr>
                <w:rFonts w:eastAsia="Times New Roman" w:cstheme="minorHAnsi"/>
                <w:i/>
                <w:iCs/>
                <w:color w:val="000000"/>
                <w:sz w:val="16"/>
                <w:szCs w:val="16"/>
                <w:lang w:eastAsia="en-GB"/>
              </w:rPr>
            </w:pPr>
            <w:r w:rsidRPr="009E6BBD">
              <w:rPr>
                <w:rFonts w:eastAsia="Times New Roman" w:cstheme="minorHAnsi"/>
                <w:i/>
                <w:iCs/>
                <w:color w:val="000000"/>
                <w:sz w:val="16"/>
                <w:szCs w:val="16"/>
                <w:lang w:eastAsia="en-GB"/>
              </w:rPr>
              <w:t>Unweighted base</w:t>
            </w:r>
            <w:r w:rsidR="00574027" w:rsidRPr="009E6BBD">
              <w:rPr>
                <w:rFonts w:eastAsia="Times New Roman" w:cstheme="minorHAnsi"/>
                <w:i/>
                <w:iCs/>
                <w:color w:val="000000"/>
                <w:sz w:val="16"/>
                <w:szCs w:val="16"/>
                <w:lang w:eastAsia="en-GB"/>
              </w:rPr>
              <w:t>s</w:t>
            </w:r>
          </w:p>
        </w:tc>
      </w:tr>
      <w:tr w:rsidR="00D347FA" w:rsidRPr="009E6BBD" w:rsidTr="009E6BBD">
        <w:trPr>
          <w:trHeight w:val="283"/>
        </w:trPr>
        <w:tc>
          <w:tcPr>
            <w:tcW w:w="8162" w:type="dxa"/>
            <w:gridSpan w:val="5"/>
            <w:tcBorders>
              <w:top w:val="single" w:sz="12" w:space="0" w:color="auto"/>
              <w:left w:val="nil"/>
              <w:bottom w:val="single" w:sz="8" w:space="0" w:color="auto"/>
              <w:right w:val="nil"/>
            </w:tcBorders>
            <w:shd w:val="clear" w:color="auto" w:fill="auto"/>
            <w:hideMark/>
          </w:tcPr>
          <w:p w:rsidR="00D347FA" w:rsidRPr="009E6BBD" w:rsidRDefault="00D347FA" w:rsidP="009E6BBD">
            <w:pPr>
              <w:keepNext/>
              <w:spacing w:after="0" w:line="240" w:lineRule="auto"/>
              <w:rPr>
                <w:rFonts w:eastAsia="Times New Roman" w:cstheme="minorHAnsi"/>
                <w:i/>
                <w:iCs/>
                <w:color w:val="000000"/>
                <w:sz w:val="20"/>
                <w:szCs w:val="20"/>
                <w:lang w:eastAsia="en-GB"/>
              </w:rPr>
            </w:pPr>
            <w:r w:rsidRPr="009E6BBD">
              <w:rPr>
                <w:rFonts w:eastAsia="Times New Roman" w:cstheme="minorHAnsi"/>
                <w:i/>
                <w:iCs/>
                <w:color w:val="000000"/>
                <w:sz w:val="20"/>
                <w:szCs w:val="20"/>
                <w:lang w:eastAsia="en-GB"/>
              </w:rPr>
              <w:t>Row percentages</w:t>
            </w:r>
          </w:p>
        </w:tc>
      </w:tr>
      <w:tr w:rsidR="00D347FA" w:rsidRPr="009E6BBD" w:rsidTr="009E6BBD">
        <w:trPr>
          <w:trHeight w:val="300"/>
        </w:trPr>
        <w:tc>
          <w:tcPr>
            <w:tcW w:w="3984" w:type="dxa"/>
            <w:tcBorders>
              <w:top w:val="nil"/>
              <w:left w:val="nil"/>
              <w:bottom w:val="nil"/>
              <w:right w:val="nil"/>
            </w:tcBorders>
            <w:shd w:val="clear" w:color="auto" w:fill="auto"/>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All</w:t>
            </w:r>
          </w:p>
        </w:tc>
        <w:tc>
          <w:tcPr>
            <w:tcW w:w="993" w:type="dxa"/>
            <w:tcBorders>
              <w:top w:val="nil"/>
              <w:left w:val="nil"/>
              <w:bottom w:val="nil"/>
              <w:right w:val="nil"/>
            </w:tcBorders>
            <w:shd w:val="clear" w:color="auto" w:fill="auto"/>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w:t>
            </w:r>
          </w:p>
        </w:tc>
        <w:tc>
          <w:tcPr>
            <w:tcW w:w="850" w:type="dxa"/>
            <w:tcBorders>
              <w:top w:val="nil"/>
              <w:left w:val="nil"/>
              <w:bottom w:val="nil"/>
              <w:right w:val="nil"/>
            </w:tcBorders>
            <w:shd w:val="clear" w:color="auto" w:fill="auto"/>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92</w:t>
            </w:r>
          </w:p>
        </w:tc>
        <w:tc>
          <w:tcPr>
            <w:tcW w:w="0" w:type="auto"/>
            <w:tcBorders>
              <w:top w:val="nil"/>
              <w:left w:val="nil"/>
              <w:bottom w:val="nil"/>
              <w:right w:val="nil"/>
            </w:tcBorders>
            <w:shd w:val="clear" w:color="auto" w:fill="auto"/>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4101</w:t>
            </w:r>
          </w:p>
        </w:tc>
        <w:tc>
          <w:tcPr>
            <w:tcW w:w="0" w:type="auto"/>
            <w:tcBorders>
              <w:top w:val="nil"/>
              <w:left w:val="nil"/>
              <w:bottom w:val="nil"/>
              <w:right w:val="nil"/>
            </w:tcBorders>
            <w:shd w:val="clear" w:color="auto" w:fill="auto"/>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4102</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P5</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10</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90</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1420</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1407</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P6</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92</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1317</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1284</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P7</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5</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95</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1332</w:t>
            </w:r>
          </w:p>
        </w:tc>
        <w:tc>
          <w:tcPr>
            <w:tcW w:w="0" w:type="auto"/>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1378</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Boy</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11</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89</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2076</w:t>
            </w:r>
          </w:p>
        </w:tc>
        <w:tc>
          <w:tcPr>
            <w:tcW w:w="0" w:type="auto"/>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2029</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Girl</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4</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96</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2013</w:t>
            </w:r>
          </w:p>
        </w:tc>
        <w:tc>
          <w:tcPr>
            <w:tcW w:w="0" w:type="auto"/>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2061</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SIMD quintile 1 (most deprived)</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12</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88</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613</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592</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SIMD quintile 2</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92</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1181</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1172</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SIMD quintile 3</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92</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785</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786</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SIMD quintile 4</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7</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93</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747</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759</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SIMD quintile 5 (least deprived)</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5</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95</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756</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773</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Eligible for free school meals</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14</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86</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678</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589</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Not eligible for free school meals</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7</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93</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3423</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3513</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No siblings at home</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91</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1258</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1249</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One sibling at home</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6</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94</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1517</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1538</w:t>
            </w: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Two or more siblings at home</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91</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1271</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1260</w:t>
            </w:r>
          </w:p>
        </w:tc>
      </w:tr>
      <w:tr w:rsidR="00D65267" w:rsidRPr="009E6BBD" w:rsidTr="009E6BBD">
        <w:trPr>
          <w:trHeight w:val="300"/>
        </w:trPr>
        <w:tc>
          <w:tcPr>
            <w:tcW w:w="3984" w:type="dxa"/>
            <w:tcBorders>
              <w:top w:val="nil"/>
              <w:left w:val="nil"/>
              <w:bottom w:val="nil"/>
              <w:right w:val="nil"/>
            </w:tcBorders>
            <w:shd w:val="clear" w:color="auto" w:fill="auto"/>
            <w:noWrap/>
          </w:tcPr>
          <w:p w:rsidR="00D65267" w:rsidRPr="009E6BBD" w:rsidRDefault="00D65267" w:rsidP="009E6BBD">
            <w:pPr>
              <w:keepNext/>
              <w:spacing w:after="0" w:line="240" w:lineRule="auto"/>
              <w:rPr>
                <w:rFonts w:cstheme="minorHAnsi"/>
                <w:color w:val="000000"/>
                <w:sz w:val="20"/>
                <w:szCs w:val="20"/>
              </w:rPr>
            </w:pPr>
          </w:p>
        </w:tc>
        <w:tc>
          <w:tcPr>
            <w:tcW w:w="993"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Two parent household</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6</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94</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2764</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2799</w:t>
            </w:r>
          </w:p>
        </w:tc>
      </w:tr>
      <w:tr w:rsidR="00D347FA" w:rsidRPr="009E6BBD" w:rsidTr="009E6BBD">
        <w:trPr>
          <w:trHeight w:val="300"/>
        </w:trPr>
        <w:tc>
          <w:tcPr>
            <w:tcW w:w="3984" w:type="dxa"/>
            <w:tcBorders>
              <w:top w:val="nil"/>
              <w:left w:val="nil"/>
              <w:right w:val="nil"/>
            </w:tcBorders>
            <w:shd w:val="clear" w:color="auto" w:fill="auto"/>
            <w:noWrap/>
            <w:hideMark/>
          </w:tcPr>
          <w:p w:rsidR="00D347FA" w:rsidRPr="009E6BBD" w:rsidRDefault="00D347FA" w:rsidP="009E6BBD">
            <w:pPr>
              <w:keepNext/>
              <w:spacing w:after="0" w:line="240" w:lineRule="auto"/>
              <w:rPr>
                <w:rFonts w:eastAsia="Times New Roman" w:cstheme="minorHAnsi"/>
                <w:color w:val="000000"/>
                <w:sz w:val="20"/>
                <w:szCs w:val="20"/>
                <w:lang w:eastAsia="en-GB"/>
              </w:rPr>
            </w:pPr>
            <w:r w:rsidRPr="009E6BBD">
              <w:rPr>
                <w:rFonts w:cstheme="minorHAnsi"/>
                <w:color w:val="000000"/>
                <w:sz w:val="20"/>
                <w:szCs w:val="20"/>
              </w:rPr>
              <w:t>One parent household</w:t>
            </w:r>
          </w:p>
        </w:tc>
        <w:tc>
          <w:tcPr>
            <w:tcW w:w="993"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10</w:t>
            </w:r>
          </w:p>
        </w:tc>
        <w:tc>
          <w:tcPr>
            <w:tcW w:w="850"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90</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712</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687</w:t>
            </w:r>
          </w:p>
        </w:tc>
      </w:tr>
      <w:tr w:rsidR="00D347FA" w:rsidRPr="009E6BBD" w:rsidTr="009E6BBD">
        <w:trPr>
          <w:trHeight w:val="300"/>
        </w:trPr>
        <w:tc>
          <w:tcPr>
            <w:tcW w:w="3984" w:type="dxa"/>
            <w:tcBorders>
              <w:top w:val="nil"/>
              <w:left w:val="nil"/>
              <w:right w:val="nil"/>
            </w:tcBorders>
            <w:shd w:val="clear" w:color="auto" w:fill="auto"/>
            <w:noWrap/>
            <w:hideMark/>
          </w:tcPr>
          <w:p w:rsidR="00D347FA" w:rsidRPr="009E6BBD" w:rsidRDefault="00D347FA" w:rsidP="009E6BBD">
            <w:pPr>
              <w:spacing w:after="0" w:line="240" w:lineRule="auto"/>
              <w:rPr>
                <w:rFonts w:eastAsia="Times New Roman" w:cstheme="minorHAnsi"/>
                <w:color w:val="000000"/>
                <w:sz w:val="20"/>
                <w:szCs w:val="20"/>
                <w:lang w:eastAsia="en-GB"/>
              </w:rPr>
            </w:pPr>
            <w:r w:rsidRPr="009E6BBD">
              <w:rPr>
                <w:rFonts w:cstheme="minorHAnsi"/>
                <w:color w:val="000000"/>
                <w:sz w:val="20"/>
                <w:szCs w:val="20"/>
              </w:rPr>
              <w:t>Step-family</w:t>
            </w:r>
          </w:p>
        </w:tc>
        <w:tc>
          <w:tcPr>
            <w:tcW w:w="993"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12</w:t>
            </w:r>
          </w:p>
        </w:tc>
        <w:tc>
          <w:tcPr>
            <w:tcW w:w="850"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88</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470</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465</w:t>
            </w:r>
          </w:p>
        </w:tc>
      </w:tr>
      <w:tr w:rsidR="00D347FA" w:rsidRPr="009E6BBD" w:rsidTr="009E6BBD">
        <w:trPr>
          <w:trHeight w:val="300"/>
        </w:trPr>
        <w:tc>
          <w:tcPr>
            <w:tcW w:w="3984" w:type="dxa"/>
            <w:tcBorders>
              <w:top w:val="nil"/>
              <w:left w:val="nil"/>
              <w:right w:val="nil"/>
            </w:tcBorders>
            <w:shd w:val="clear" w:color="auto" w:fill="auto"/>
            <w:noWrap/>
          </w:tcPr>
          <w:p w:rsidR="00D347FA" w:rsidRPr="009E6BBD" w:rsidRDefault="00D347FA" w:rsidP="009E6BBD">
            <w:pPr>
              <w:spacing w:after="0" w:line="240" w:lineRule="auto"/>
              <w:rPr>
                <w:rFonts w:cstheme="minorHAnsi"/>
                <w:color w:val="000000"/>
                <w:sz w:val="20"/>
                <w:szCs w:val="20"/>
              </w:rPr>
            </w:pPr>
            <w:r w:rsidRPr="009E6BBD">
              <w:rPr>
                <w:rFonts w:cstheme="minorHAnsi"/>
                <w:color w:val="000000"/>
                <w:sz w:val="20"/>
                <w:szCs w:val="20"/>
              </w:rPr>
              <w:t>Other household type</w:t>
            </w:r>
          </w:p>
        </w:tc>
        <w:tc>
          <w:tcPr>
            <w:tcW w:w="993"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14</w:t>
            </w:r>
          </w:p>
        </w:tc>
        <w:tc>
          <w:tcPr>
            <w:tcW w:w="850"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86</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76</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73</w:t>
            </w:r>
          </w:p>
        </w:tc>
      </w:tr>
      <w:tr w:rsidR="00D65267" w:rsidRPr="009E6BBD" w:rsidTr="009E6BBD">
        <w:trPr>
          <w:trHeight w:val="300"/>
        </w:trPr>
        <w:tc>
          <w:tcPr>
            <w:tcW w:w="3984" w:type="dxa"/>
            <w:tcBorders>
              <w:top w:val="nil"/>
              <w:left w:val="nil"/>
              <w:right w:val="nil"/>
            </w:tcBorders>
            <w:shd w:val="clear" w:color="auto" w:fill="auto"/>
            <w:noWrap/>
          </w:tcPr>
          <w:p w:rsidR="00D65267" w:rsidRPr="009E6BBD" w:rsidRDefault="00D65267" w:rsidP="009E6BBD">
            <w:pPr>
              <w:spacing w:after="0" w:line="240" w:lineRule="auto"/>
              <w:rPr>
                <w:rFonts w:cstheme="minorHAnsi"/>
                <w:color w:val="000000"/>
                <w:sz w:val="20"/>
                <w:szCs w:val="20"/>
              </w:rPr>
            </w:pPr>
          </w:p>
        </w:tc>
        <w:tc>
          <w:tcPr>
            <w:tcW w:w="993" w:type="dxa"/>
            <w:tcBorders>
              <w:top w:val="nil"/>
              <w:left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850" w:type="dxa"/>
            <w:tcBorders>
              <w:top w:val="nil"/>
              <w:left w:val="nil"/>
              <w:right w:val="nil"/>
            </w:tcBorders>
            <w:shd w:val="clear" w:color="auto" w:fill="auto"/>
            <w:noWrap/>
            <w:vAlign w:val="center"/>
          </w:tcPr>
          <w:p w:rsidR="00D65267" w:rsidRPr="009E6BBD" w:rsidRDefault="00D65267" w:rsidP="009E6BBD">
            <w:pPr>
              <w:spacing w:after="0" w:line="240" w:lineRule="auto"/>
              <w:jc w:val="right"/>
              <w:rPr>
                <w:rFonts w:cstheme="minorHAnsi"/>
                <w:color w:val="000000"/>
                <w:sz w:val="20"/>
                <w:szCs w:val="20"/>
              </w:rPr>
            </w:pPr>
          </w:p>
        </w:tc>
        <w:tc>
          <w:tcPr>
            <w:tcW w:w="0" w:type="auto"/>
            <w:tcBorders>
              <w:top w:val="nil"/>
              <w:left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c>
          <w:tcPr>
            <w:tcW w:w="0" w:type="auto"/>
            <w:tcBorders>
              <w:top w:val="nil"/>
              <w:left w:val="nil"/>
              <w:right w:val="nil"/>
            </w:tcBorders>
            <w:shd w:val="clear" w:color="auto" w:fill="auto"/>
            <w:noWrap/>
            <w:vAlign w:val="center"/>
          </w:tcPr>
          <w:p w:rsidR="00D65267" w:rsidRPr="009E6BBD" w:rsidRDefault="00D65267" w:rsidP="009E6BBD">
            <w:pPr>
              <w:spacing w:after="0" w:line="240" w:lineRule="auto"/>
              <w:jc w:val="right"/>
              <w:rPr>
                <w:rFonts w:cstheme="minorHAnsi"/>
                <w:i/>
                <w:iCs/>
                <w:color w:val="000000"/>
                <w:sz w:val="20"/>
                <w:szCs w:val="20"/>
              </w:rPr>
            </w:pPr>
          </w:p>
        </w:tc>
      </w:tr>
      <w:tr w:rsidR="00D347FA" w:rsidRPr="009E6BBD" w:rsidTr="009E6BBD">
        <w:trPr>
          <w:trHeight w:val="300"/>
        </w:trPr>
        <w:tc>
          <w:tcPr>
            <w:tcW w:w="3984" w:type="dxa"/>
            <w:tcBorders>
              <w:top w:val="nil"/>
              <w:left w:val="nil"/>
              <w:right w:val="nil"/>
            </w:tcBorders>
            <w:shd w:val="clear" w:color="auto" w:fill="auto"/>
            <w:noWrap/>
          </w:tcPr>
          <w:p w:rsidR="00D347FA" w:rsidRPr="009E6BBD" w:rsidRDefault="00D347FA" w:rsidP="009E6BBD">
            <w:pPr>
              <w:spacing w:after="0" w:line="240" w:lineRule="auto"/>
              <w:rPr>
                <w:rFonts w:cstheme="minorHAnsi"/>
                <w:color w:val="000000"/>
                <w:sz w:val="20"/>
                <w:szCs w:val="20"/>
              </w:rPr>
            </w:pPr>
            <w:r w:rsidRPr="009E6BBD">
              <w:rPr>
                <w:rFonts w:cstheme="minorHAnsi"/>
                <w:color w:val="000000"/>
                <w:sz w:val="20"/>
                <w:szCs w:val="20"/>
              </w:rPr>
              <w:t>Additional support need</w:t>
            </w:r>
          </w:p>
        </w:tc>
        <w:tc>
          <w:tcPr>
            <w:tcW w:w="993"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14</w:t>
            </w:r>
          </w:p>
        </w:tc>
        <w:tc>
          <w:tcPr>
            <w:tcW w:w="850" w:type="dxa"/>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86</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789</w:t>
            </w:r>
          </w:p>
        </w:tc>
        <w:tc>
          <w:tcPr>
            <w:tcW w:w="0" w:type="auto"/>
            <w:tcBorders>
              <w:top w:val="nil"/>
              <w:left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765</w:t>
            </w:r>
          </w:p>
        </w:tc>
      </w:tr>
      <w:tr w:rsidR="00D347FA" w:rsidRPr="009E6BBD" w:rsidTr="009E6BBD">
        <w:trPr>
          <w:trHeight w:val="300"/>
        </w:trPr>
        <w:tc>
          <w:tcPr>
            <w:tcW w:w="3984" w:type="dxa"/>
            <w:tcBorders>
              <w:top w:val="nil"/>
              <w:left w:val="nil"/>
              <w:bottom w:val="nil"/>
              <w:right w:val="nil"/>
            </w:tcBorders>
            <w:shd w:val="clear" w:color="auto" w:fill="auto"/>
            <w:noWrap/>
          </w:tcPr>
          <w:p w:rsidR="00D347FA" w:rsidRPr="009E6BBD" w:rsidRDefault="00D347FA" w:rsidP="009E6BBD">
            <w:pPr>
              <w:spacing w:after="0" w:line="240" w:lineRule="auto"/>
              <w:rPr>
                <w:rFonts w:cstheme="minorHAnsi"/>
                <w:color w:val="000000"/>
                <w:sz w:val="20"/>
                <w:szCs w:val="20"/>
              </w:rPr>
            </w:pPr>
            <w:r w:rsidRPr="009E6BBD">
              <w:rPr>
                <w:rFonts w:cstheme="minorHAnsi"/>
                <w:color w:val="000000"/>
                <w:sz w:val="20"/>
                <w:szCs w:val="20"/>
              </w:rPr>
              <w:t>No additional support need</w:t>
            </w:r>
          </w:p>
        </w:tc>
        <w:tc>
          <w:tcPr>
            <w:tcW w:w="993"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6</w:t>
            </w:r>
          </w:p>
        </w:tc>
        <w:tc>
          <w:tcPr>
            <w:tcW w:w="850" w:type="dxa"/>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color w:val="000000"/>
                <w:sz w:val="20"/>
                <w:szCs w:val="20"/>
              </w:rPr>
            </w:pPr>
            <w:r w:rsidRPr="009E6BBD">
              <w:rPr>
                <w:rFonts w:cstheme="minorHAnsi"/>
                <w:color w:val="000000"/>
                <w:sz w:val="20"/>
                <w:szCs w:val="20"/>
              </w:rPr>
              <w:t>94</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3313</w:t>
            </w:r>
          </w:p>
        </w:tc>
        <w:tc>
          <w:tcPr>
            <w:tcW w:w="0" w:type="auto"/>
            <w:tcBorders>
              <w:top w:val="nil"/>
              <w:left w:val="nil"/>
              <w:bottom w:val="nil"/>
              <w:right w:val="nil"/>
            </w:tcBorders>
            <w:shd w:val="clear" w:color="auto" w:fill="auto"/>
            <w:noWrap/>
            <w:vAlign w:val="center"/>
          </w:tcPr>
          <w:p w:rsidR="00D347FA" w:rsidRPr="009E6BBD" w:rsidRDefault="00D347FA" w:rsidP="009E6BBD">
            <w:pPr>
              <w:spacing w:after="0" w:line="240" w:lineRule="auto"/>
              <w:jc w:val="right"/>
              <w:rPr>
                <w:rFonts w:cstheme="minorHAnsi"/>
                <w:i/>
                <w:iCs/>
                <w:color w:val="000000"/>
                <w:sz w:val="20"/>
                <w:szCs w:val="20"/>
              </w:rPr>
            </w:pPr>
            <w:r w:rsidRPr="009E6BBD">
              <w:rPr>
                <w:rFonts w:cstheme="minorHAnsi"/>
                <w:i/>
                <w:iCs/>
                <w:color w:val="000000"/>
                <w:sz w:val="20"/>
                <w:szCs w:val="20"/>
              </w:rPr>
              <w:t>3337</w:t>
            </w:r>
          </w:p>
        </w:tc>
      </w:tr>
      <w:tr w:rsidR="007C46D3" w:rsidRPr="009E6BBD" w:rsidTr="009E6BBD">
        <w:trPr>
          <w:trHeight w:val="300"/>
        </w:trPr>
        <w:tc>
          <w:tcPr>
            <w:tcW w:w="3984" w:type="dxa"/>
            <w:tcBorders>
              <w:top w:val="nil"/>
              <w:left w:val="nil"/>
              <w:bottom w:val="nil"/>
              <w:right w:val="nil"/>
            </w:tcBorders>
            <w:shd w:val="clear" w:color="auto" w:fill="auto"/>
            <w:noWrap/>
          </w:tcPr>
          <w:p w:rsidR="007C46D3" w:rsidRPr="009E6BBD" w:rsidRDefault="007C46D3" w:rsidP="009E6BBD">
            <w:pPr>
              <w:spacing w:after="0" w:line="240" w:lineRule="auto"/>
              <w:rPr>
                <w:rFonts w:eastAsia="Times New Roman" w:cstheme="minorHAnsi"/>
                <w:color w:val="000000"/>
                <w:sz w:val="20"/>
                <w:szCs w:val="20"/>
                <w:lang w:eastAsia="en-GB"/>
              </w:rPr>
            </w:pPr>
          </w:p>
        </w:tc>
        <w:tc>
          <w:tcPr>
            <w:tcW w:w="993" w:type="dxa"/>
            <w:tcBorders>
              <w:top w:val="nil"/>
              <w:left w:val="nil"/>
              <w:bottom w:val="nil"/>
              <w:right w:val="nil"/>
            </w:tcBorders>
            <w:shd w:val="clear" w:color="auto" w:fill="auto"/>
            <w:noWrap/>
            <w:vAlign w:val="center"/>
          </w:tcPr>
          <w:p w:rsidR="007C46D3" w:rsidRPr="009E6BBD" w:rsidRDefault="007C46D3" w:rsidP="009E6BBD">
            <w:pPr>
              <w:spacing w:after="0" w:line="240" w:lineRule="auto"/>
              <w:jc w:val="right"/>
              <w:rPr>
                <w:rFonts w:eastAsia="Times New Roman" w:cstheme="minorHAnsi"/>
                <w:color w:val="000000"/>
                <w:sz w:val="20"/>
                <w:szCs w:val="20"/>
                <w:lang w:eastAsia="en-GB"/>
              </w:rPr>
            </w:pPr>
          </w:p>
        </w:tc>
        <w:tc>
          <w:tcPr>
            <w:tcW w:w="850" w:type="dxa"/>
            <w:tcBorders>
              <w:top w:val="nil"/>
              <w:left w:val="nil"/>
              <w:bottom w:val="nil"/>
              <w:right w:val="nil"/>
            </w:tcBorders>
            <w:shd w:val="clear" w:color="auto" w:fill="auto"/>
            <w:noWrap/>
            <w:vAlign w:val="center"/>
          </w:tcPr>
          <w:p w:rsidR="007C46D3" w:rsidRPr="009E6BBD" w:rsidRDefault="007C46D3" w:rsidP="009E6BBD">
            <w:pPr>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7C46D3" w:rsidRPr="009E6BBD" w:rsidRDefault="007C46D3" w:rsidP="009E6BBD">
            <w:pPr>
              <w:spacing w:after="0" w:line="240" w:lineRule="auto"/>
              <w:jc w:val="right"/>
              <w:rPr>
                <w:rFonts w:eastAsia="Times New Roman" w:cstheme="minorHAnsi"/>
                <w:i/>
                <w:iCs/>
                <w:color w:val="000000"/>
                <w:sz w:val="20"/>
                <w:szCs w:val="20"/>
                <w:lang w:eastAsia="en-GB"/>
              </w:rPr>
            </w:pPr>
          </w:p>
        </w:tc>
        <w:tc>
          <w:tcPr>
            <w:tcW w:w="0" w:type="auto"/>
            <w:tcBorders>
              <w:top w:val="nil"/>
              <w:left w:val="nil"/>
              <w:bottom w:val="nil"/>
              <w:right w:val="nil"/>
            </w:tcBorders>
            <w:shd w:val="clear" w:color="auto" w:fill="auto"/>
            <w:noWrap/>
            <w:vAlign w:val="center"/>
          </w:tcPr>
          <w:p w:rsidR="007C46D3" w:rsidRPr="009E6BBD" w:rsidRDefault="007C46D3" w:rsidP="009E6BBD">
            <w:pPr>
              <w:spacing w:after="0" w:line="240" w:lineRule="auto"/>
              <w:jc w:val="right"/>
              <w:rPr>
                <w:rFonts w:eastAsia="Times New Roman" w:cstheme="minorHAnsi"/>
                <w:i/>
                <w:iCs/>
                <w:color w:val="000000"/>
                <w:sz w:val="20"/>
                <w:szCs w:val="20"/>
                <w:lang w:eastAsia="en-GB"/>
              </w:rPr>
            </w:pPr>
          </w:p>
        </w:tc>
      </w:tr>
      <w:tr w:rsidR="00D347FA" w:rsidRPr="009E6BBD" w:rsidTr="009E6BBD">
        <w:trPr>
          <w:trHeight w:val="300"/>
        </w:trPr>
        <w:tc>
          <w:tcPr>
            <w:tcW w:w="3984" w:type="dxa"/>
            <w:tcBorders>
              <w:top w:val="nil"/>
              <w:left w:val="nil"/>
              <w:bottom w:val="nil"/>
              <w:right w:val="nil"/>
            </w:tcBorders>
            <w:shd w:val="clear" w:color="auto" w:fill="auto"/>
            <w:noWrap/>
            <w:hideMark/>
          </w:tcPr>
          <w:p w:rsidR="00D347FA" w:rsidRPr="009E6BBD" w:rsidRDefault="00D347FA" w:rsidP="009E6BBD">
            <w:pPr>
              <w:spacing w:after="0" w:line="240" w:lineRule="auto"/>
              <w:rPr>
                <w:rFonts w:eastAsia="Times New Roman" w:cstheme="minorHAnsi"/>
                <w:color w:val="000000"/>
                <w:sz w:val="20"/>
                <w:szCs w:val="20"/>
                <w:lang w:eastAsia="en-GB"/>
              </w:rPr>
            </w:pPr>
            <w:r w:rsidRPr="009E6BBD">
              <w:rPr>
                <w:rFonts w:eastAsia="Times New Roman" w:cstheme="minorHAnsi"/>
                <w:color w:val="000000"/>
                <w:sz w:val="20"/>
                <w:szCs w:val="20"/>
                <w:lang w:eastAsia="en-GB"/>
              </w:rPr>
              <w:t>In receipt of children's services</w:t>
            </w:r>
          </w:p>
        </w:tc>
        <w:tc>
          <w:tcPr>
            <w:tcW w:w="993" w:type="dxa"/>
            <w:tcBorders>
              <w:top w:val="nil"/>
              <w:left w:val="nil"/>
              <w:bottom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color w:val="000000"/>
                <w:sz w:val="20"/>
                <w:szCs w:val="20"/>
                <w:lang w:eastAsia="en-GB"/>
              </w:rPr>
            </w:pPr>
            <w:r w:rsidRPr="009E6BBD">
              <w:rPr>
                <w:rFonts w:eastAsia="Times New Roman" w:cstheme="minorHAnsi"/>
                <w:color w:val="000000"/>
                <w:sz w:val="20"/>
                <w:szCs w:val="20"/>
                <w:lang w:eastAsia="en-GB"/>
              </w:rPr>
              <w:t>15</w:t>
            </w:r>
          </w:p>
        </w:tc>
        <w:tc>
          <w:tcPr>
            <w:tcW w:w="850" w:type="dxa"/>
            <w:tcBorders>
              <w:top w:val="nil"/>
              <w:left w:val="nil"/>
              <w:bottom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color w:val="000000"/>
                <w:sz w:val="20"/>
                <w:szCs w:val="20"/>
                <w:lang w:eastAsia="en-GB"/>
              </w:rPr>
            </w:pPr>
            <w:r w:rsidRPr="009E6BBD">
              <w:rPr>
                <w:rFonts w:eastAsia="Times New Roman" w:cstheme="minorHAnsi"/>
                <w:color w:val="000000"/>
                <w:sz w:val="20"/>
                <w:szCs w:val="20"/>
                <w:lang w:eastAsia="en-GB"/>
              </w:rPr>
              <w:t>85</w:t>
            </w:r>
          </w:p>
        </w:tc>
        <w:tc>
          <w:tcPr>
            <w:tcW w:w="0" w:type="auto"/>
            <w:tcBorders>
              <w:top w:val="nil"/>
              <w:left w:val="nil"/>
              <w:bottom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i/>
                <w:iCs/>
                <w:color w:val="000000"/>
                <w:sz w:val="20"/>
                <w:szCs w:val="20"/>
                <w:lang w:eastAsia="en-GB"/>
              </w:rPr>
            </w:pPr>
            <w:r w:rsidRPr="009E6BBD">
              <w:rPr>
                <w:rFonts w:eastAsia="Times New Roman" w:cstheme="minorHAnsi"/>
                <w:i/>
                <w:iCs/>
                <w:color w:val="000000"/>
                <w:sz w:val="20"/>
                <w:szCs w:val="20"/>
                <w:lang w:eastAsia="en-GB"/>
              </w:rPr>
              <w:t>220</w:t>
            </w:r>
          </w:p>
        </w:tc>
        <w:tc>
          <w:tcPr>
            <w:tcW w:w="0" w:type="auto"/>
            <w:tcBorders>
              <w:top w:val="nil"/>
              <w:left w:val="nil"/>
              <w:bottom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i/>
                <w:iCs/>
                <w:color w:val="000000"/>
                <w:sz w:val="20"/>
                <w:szCs w:val="20"/>
                <w:lang w:eastAsia="en-GB"/>
              </w:rPr>
            </w:pPr>
            <w:r w:rsidRPr="009E6BBD">
              <w:rPr>
                <w:rFonts w:eastAsia="Times New Roman" w:cstheme="minorHAnsi"/>
                <w:i/>
                <w:iCs/>
                <w:color w:val="000000"/>
                <w:sz w:val="20"/>
                <w:szCs w:val="20"/>
                <w:lang w:eastAsia="en-GB"/>
              </w:rPr>
              <w:t>203</w:t>
            </w:r>
          </w:p>
        </w:tc>
      </w:tr>
      <w:tr w:rsidR="00D347FA" w:rsidRPr="009E6BBD" w:rsidTr="009E6BBD">
        <w:trPr>
          <w:trHeight w:val="300"/>
        </w:trPr>
        <w:tc>
          <w:tcPr>
            <w:tcW w:w="3984" w:type="dxa"/>
            <w:tcBorders>
              <w:top w:val="nil"/>
              <w:left w:val="nil"/>
              <w:right w:val="nil"/>
            </w:tcBorders>
            <w:shd w:val="clear" w:color="auto" w:fill="auto"/>
            <w:noWrap/>
            <w:hideMark/>
          </w:tcPr>
          <w:p w:rsidR="00D347FA" w:rsidRPr="009E6BBD" w:rsidRDefault="00D347FA" w:rsidP="009E6BBD">
            <w:pPr>
              <w:spacing w:after="0" w:line="240" w:lineRule="auto"/>
              <w:rPr>
                <w:rFonts w:eastAsia="Times New Roman" w:cstheme="minorHAnsi"/>
                <w:color w:val="000000"/>
                <w:sz w:val="20"/>
                <w:szCs w:val="20"/>
                <w:lang w:eastAsia="en-GB"/>
              </w:rPr>
            </w:pPr>
            <w:r w:rsidRPr="009E6BBD">
              <w:rPr>
                <w:rFonts w:eastAsia="Times New Roman" w:cstheme="minorHAnsi"/>
                <w:color w:val="000000"/>
                <w:sz w:val="20"/>
                <w:szCs w:val="20"/>
                <w:lang w:eastAsia="en-GB"/>
              </w:rPr>
              <w:t>Not in receipt of children's services</w:t>
            </w:r>
          </w:p>
        </w:tc>
        <w:tc>
          <w:tcPr>
            <w:tcW w:w="993" w:type="dxa"/>
            <w:tcBorders>
              <w:top w:val="nil"/>
              <w:left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color w:val="000000"/>
                <w:sz w:val="20"/>
                <w:szCs w:val="20"/>
                <w:lang w:eastAsia="en-GB"/>
              </w:rPr>
            </w:pPr>
            <w:r w:rsidRPr="009E6BBD">
              <w:rPr>
                <w:rFonts w:eastAsia="Times New Roman" w:cstheme="minorHAnsi"/>
                <w:color w:val="000000"/>
                <w:sz w:val="20"/>
                <w:szCs w:val="20"/>
                <w:lang w:eastAsia="en-GB"/>
              </w:rPr>
              <w:t>7</w:t>
            </w:r>
          </w:p>
        </w:tc>
        <w:tc>
          <w:tcPr>
            <w:tcW w:w="850" w:type="dxa"/>
            <w:tcBorders>
              <w:top w:val="nil"/>
              <w:left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color w:val="000000"/>
                <w:sz w:val="20"/>
                <w:szCs w:val="20"/>
                <w:lang w:eastAsia="en-GB"/>
              </w:rPr>
            </w:pPr>
            <w:r w:rsidRPr="009E6BBD">
              <w:rPr>
                <w:rFonts w:eastAsia="Times New Roman" w:cstheme="minorHAnsi"/>
                <w:color w:val="000000"/>
                <w:sz w:val="20"/>
                <w:szCs w:val="20"/>
                <w:lang w:eastAsia="en-GB"/>
              </w:rPr>
              <w:t>93</w:t>
            </w:r>
          </w:p>
        </w:tc>
        <w:tc>
          <w:tcPr>
            <w:tcW w:w="0" w:type="auto"/>
            <w:tcBorders>
              <w:top w:val="nil"/>
              <w:left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i/>
                <w:iCs/>
                <w:color w:val="000000"/>
                <w:sz w:val="20"/>
                <w:szCs w:val="20"/>
                <w:lang w:eastAsia="en-GB"/>
              </w:rPr>
            </w:pPr>
            <w:r w:rsidRPr="009E6BBD">
              <w:rPr>
                <w:rFonts w:eastAsia="Times New Roman" w:cstheme="minorHAnsi"/>
                <w:i/>
                <w:iCs/>
                <w:color w:val="000000"/>
                <w:sz w:val="20"/>
                <w:szCs w:val="20"/>
                <w:lang w:eastAsia="en-GB"/>
              </w:rPr>
              <w:t>3882</w:t>
            </w:r>
          </w:p>
        </w:tc>
        <w:tc>
          <w:tcPr>
            <w:tcW w:w="0" w:type="auto"/>
            <w:tcBorders>
              <w:top w:val="nil"/>
              <w:left w:val="nil"/>
              <w:right w:val="nil"/>
            </w:tcBorders>
            <w:shd w:val="clear" w:color="auto" w:fill="auto"/>
            <w:noWrap/>
            <w:vAlign w:val="center"/>
            <w:hideMark/>
          </w:tcPr>
          <w:p w:rsidR="00D347FA" w:rsidRPr="009E6BBD" w:rsidRDefault="00D347FA" w:rsidP="009E6BBD">
            <w:pPr>
              <w:spacing w:after="0" w:line="240" w:lineRule="auto"/>
              <w:jc w:val="right"/>
              <w:rPr>
                <w:rFonts w:eastAsia="Times New Roman" w:cstheme="minorHAnsi"/>
                <w:i/>
                <w:iCs/>
                <w:color w:val="000000"/>
                <w:sz w:val="20"/>
                <w:szCs w:val="20"/>
                <w:lang w:eastAsia="en-GB"/>
              </w:rPr>
            </w:pPr>
            <w:r w:rsidRPr="009E6BBD">
              <w:rPr>
                <w:rFonts w:eastAsia="Times New Roman" w:cstheme="minorHAnsi"/>
                <w:i/>
                <w:iCs/>
                <w:color w:val="000000"/>
                <w:sz w:val="20"/>
                <w:szCs w:val="20"/>
                <w:lang w:eastAsia="en-GB"/>
              </w:rPr>
              <w:t>3899</w:t>
            </w:r>
          </w:p>
        </w:tc>
      </w:tr>
      <w:tr w:rsidR="00D347FA" w:rsidRPr="009E6BBD" w:rsidTr="009E6BBD">
        <w:trPr>
          <w:trHeight w:val="227"/>
        </w:trPr>
        <w:tc>
          <w:tcPr>
            <w:tcW w:w="3984" w:type="dxa"/>
            <w:tcBorders>
              <w:top w:val="nil"/>
              <w:left w:val="nil"/>
              <w:bottom w:val="single" w:sz="12" w:space="0" w:color="auto"/>
              <w:right w:val="nil"/>
            </w:tcBorders>
            <w:shd w:val="clear" w:color="auto" w:fill="auto"/>
            <w:noWrap/>
          </w:tcPr>
          <w:p w:rsidR="00D347FA" w:rsidRPr="009E6BBD" w:rsidRDefault="00D347FA" w:rsidP="009E6BBD">
            <w:pPr>
              <w:spacing w:after="0" w:line="240" w:lineRule="auto"/>
              <w:rPr>
                <w:rFonts w:cstheme="minorHAnsi"/>
                <w:color w:val="000000"/>
                <w:sz w:val="20"/>
                <w:szCs w:val="20"/>
              </w:rPr>
            </w:pPr>
          </w:p>
        </w:tc>
        <w:tc>
          <w:tcPr>
            <w:tcW w:w="993" w:type="dxa"/>
            <w:tcBorders>
              <w:top w:val="nil"/>
              <w:left w:val="nil"/>
              <w:bottom w:val="single" w:sz="12" w:space="0" w:color="auto"/>
              <w:right w:val="nil"/>
            </w:tcBorders>
            <w:shd w:val="clear" w:color="auto" w:fill="auto"/>
            <w:noWrap/>
          </w:tcPr>
          <w:p w:rsidR="00D347FA" w:rsidRPr="009E6BBD" w:rsidRDefault="00D347FA" w:rsidP="009E6BBD">
            <w:pPr>
              <w:spacing w:after="0" w:line="240" w:lineRule="auto"/>
              <w:rPr>
                <w:rFonts w:cstheme="minorHAnsi"/>
                <w:color w:val="000000"/>
                <w:sz w:val="20"/>
                <w:szCs w:val="20"/>
              </w:rPr>
            </w:pPr>
          </w:p>
        </w:tc>
        <w:tc>
          <w:tcPr>
            <w:tcW w:w="850" w:type="dxa"/>
            <w:tcBorders>
              <w:top w:val="nil"/>
              <w:left w:val="nil"/>
              <w:bottom w:val="single" w:sz="12" w:space="0" w:color="auto"/>
              <w:right w:val="nil"/>
            </w:tcBorders>
            <w:shd w:val="clear" w:color="auto" w:fill="auto"/>
            <w:noWrap/>
          </w:tcPr>
          <w:p w:rsidR="00D347FA" w:rsidRPr="009E6BBD" w:rsidRDefault="00D347FA" w:rsidP="009E6BBD">
            <w:pPr>
              <w:spacing w:after="0" w:line="240" w:lineRule="auto"/>
              <w:rPr>
                <w:rFonts w:cstheme="minorHAnsi"/>
                <w:color w:val="000000"/>
                <w:sz w:val="20"/>
                <w:szCs w:val="20"/>
              </w:rPr>
            </w:pPr>
          </w:p>
        </w:tc>
        <w:tc>
          <w:tcPr>
            <w:tcW w:w="0" w:type="auto"/>
            <w:tcBorders>
              <w:top w:val="nil"/>
              <w:left w:val="nil"/>
              <w:bottom w:val="single" w:sz="12" w:space="0" w:color="auto"/>
              <w:right w:val="nil"/>
            </w:tcBorders>
            <w:shd w:val="clear" w:color="auto" w:fill="auto"/>
            <w:noWrap/>
          </w:tcPr>
          <w:p w:rsidR="00D347FA" w:rsidRPr="009E6BBD" w:rsidRDefault="00D347FA" w:rsidP="009E6BBD">
            <w:pPr>
              <w:spacing w:after="0" w:line="240" w:lineRule="auto"/>
              <w:rPr>
                <w:rFonts w:cstheme="minorHAnsi"/>
                <w:i/>
                <w:iCs/>
                <w:color w:val="000000"/>
                <w:sz w:val="20"/>
                <w:szCs w:val="20"/>
              </w:rPr>
            </w:pPr>
          </w:p>
        </w:tc>
        <w:tc>
          <w:tcPr>
            <w:tcW w:w="0" w:type="auto"/>
            <w:tcBorders>
              <w:top w:val="nil"/>
              <w:left w:val="nil"/>
              <w:bottom w:val="single" w:sz="12" w:space="0" w:color="auto"/>
              <w:right w:val="nil"/>
            </w:tcBorders>
            <w:shd w:val="clear" w:color="auto" w:fill="auto"/>
            <w:noWrap/>
          </w:tcPr>
          <w:p w:rsidR="00D347FA" w:rsidRPr="009E6BBD" w:rsidRDefault="00D347FA" w:rsidP="009E6BBD">
            <w:pPr>
              <w:spacing w:after="0" w:line="240" w:lineRule="auto"/>
              <w:rPr>
                <w:rFonts w:cstheme="minorHAnsi"/>
                <w:i/>
                <w:iCs/>
                <w:color w:val="000000"/>
                <w:sz w:val="20"/>
                <w:szCs w:val="20"/>
              </w:rPr>
            </w:pPr>
          </w:p>
        </w:tc>
      </w:tr>
    </w:tbl>
    <w:p w:rsidR="00D347FA" w:rsidRPr="00A018E9" w:rsidRDefault="00D347FA" w:rsidP="00D347FA">
      <w:pPr>
        <w:pStyle w:val="BodyCopy"/>
        <w:spacing w:after="200" w:line="276" w:lineRule="auto"/>
        <w:rPr>
          <w:i/>
          <w:sz w:val="18"/>
          <w:szCs w:val="18"/>
        </w:rPr>
      </w:pPr>
      <w:bookmarkStart w:id="124" w:name="_Toc478636829"/>
      <w:bookmarkStart w:id="125" w:name="_Toc479456964"/>
      <w:r w:rsidRPr="00A018E9">
        <w:rPr>
          <w:i/>
          <w:sz w:val="18"/>
          <w:szCs w:val="18"/>
        </w:rPr>
        <w:t xml:space="preserve">Source: RCS </w:t>
      </w:r>
      <w:r>
        <w:rPr>
          <w:i/>
          <w:sz w:val="18"/>
          <w:szCs w:val="18"/>
        </w:rPr>
        <w:t>primary school survey, Falkirk, 2016/17</w:t>
      </w:r>
    </w:p>
    <w:p w:rsidR="00D347FA" w:rsidRDefault="00D347FA" w:rsidP="00D347FA">
      <w:pPr>
        <w:pStyle w:val="Heading3"/>
        <w:numPr>
          <w:ilvl w:val="0"/>
          <w:numId w:val="0"/>
        </w:numPr>
        <w:spacing w:line="276" w:lineRule="auto"/>
        <w:ind w:left="851" w:hanging="851"/>
      </w:pPr>
      <w:bookmarkStart w:id="126" w:name="_Toc494182081"/>
      <w:r w:rsidRPr="000233C9">
        <w:rPr>
          <w:color w:val="auto"/>
        </w:rPr>
        <w:t>Educ</w:t>
      </w:r>
      <w:r>
        <w:t>ational environment</w:t>
      </w:r>
      <w:bookmarkEnd w:id="124"/>
      <w:r>
        <w:t xml:space="preserve"> (Achieving, Included)</w:t>
      </w:r>
      <w:bookmarkEnd w:id="125"/>
      <w:bookmarkEnd w:id="126"/>
    </w:p>
    <w:p w:rsidR="00D347FA" w:rsidRDefault="00D347FA" w:rsidP="00D347FA">
      <w:pPr>
        <w:pStyle w:val="BodyCopy"/>
        <w:spacing w:line="276" w:lineRule="auto"/>
      </w:pPr>
      <w:r>
        <w:t>Although it is not clear which aspects of school life are most important for wellbeing, previous research in the US has found that enjoying school work, receiving teacher support during lessons and absence of peer victimisation were all associated with primary school age children’s liking for school</w:t>
      </w:r>
      <w:r w:rsidR="00574027">
        <w:t>.</w:t>
      </w:r>
      <w:r>
        <w:rPr>
          <w:rStyle w:val="EndnoteReference"/>
        </w:rPr>
        <w:endnoteReference w:id="29"/>
      </w:r>
    </w:p>
    <w:p w:rsidR="00D347FA" w:rsidRDefault="00D347FA" w:rsidP="00D347FA">
      <w:pPr>
        <w:pStyle w:val="BodyCopy"/>
        <w:spacing w:before="240" w:line="276" w:lineRule="auto"/>
      </w:pPr>
      <w:r>
        <w:lastRenderedPageBreak/>
        <w:t>For most pupils, relationships with teachers seemed to be very positive. A majority said that they always received help from the teacher when they needed it (52%)</w:t>
      </w:r>
      <w:r w:rsidR="00B36FDF">
        <w:t>.</w:t>
      </w:r>
      <w:r>
        <w:t xml:space="preserve"> </w:t>
      </w:r>
      <w:r w:rsidR="00B36FDF">
        <w:t>A</w:t>
      </w:r>
      <w:r>
        <w:t xml:space="preserve">nd </w:t>
      </w:r>
      <w:r w:rsidR="00B36FDF">
        <w:t xml:space="preserve">57% said </w:t>
      </w:r>
      <w:r>
        <w:t xml:space="preserve">that they </w:t>
      </w:r>
      <w:r w:rsidR="007C46D3">
        <w:t xml:space="preserve">always </w:t>
      </w:r>
      <w:r>
        <w:t>got along well with their teacher. Over a third of children also said that they never got into trouble at school (39%).</w:t>
      </w:r>
    </w:p>
    <w:p w:rsidR="00D347FA" w:rsidRDefault="00D347FA" w:rsidP="00D347FA">
      <w:pPr>
        <w:pStyle w:val="BodyCopy"/>
        <w:spacing w:before="240" w:line="276" w:lineRule="auto"/>
      </w:pPr>
      <w:r w:rsidRPr="00317826">
        <w:t xml:space="preserve">However, there was a sizable group – of 19% – reporting that they got help from their teacher only sometimes or never. </w:t>
      </w:r>
      <w:r w:rsidR="00317826" w:rsidRPr="00317826">
        <w:t>Around</w:t>
      </w:r>
      <w:r w:rsidRPr="00317826">
        <w:t xml:space="preserve"> one in ten pupils (</w:t>
      </w:r>
      <w:r w:rsidR="00317826" w:rsidRPr="00317826">
        <w:t>11</w:t>
      </w:r>
      <w:r w:rsidRPr="00317826">
        <w:t>%) said that they always or often got in trouble while 14% only sometimes or never got along with their teacher.</w:t>
      </w:r>
      <w:r>
        <w:t xml:space="preserve"> </w:t>
      </w:r>
    </w:p>
    <w:p w:rsidR="00D347FA" w:rsidRDefault="00D347FA" w:rsidP="00623FD4">
      <w:pPr>
        <w:pStyle w:val="BodyCopy"/>
      </w:pPr>
    </w:p>
    <w:tbl>
      <w:tblPr>
        <w:tblW w:w="8804" w:type="dxa"/>
        <w:tblInd w:w="93" w:type="dxa"/>
        <w:tblLook w:val="04A0" w:firstRow="1" w:lastRow="0" w:firstColumn="1" w:lastColumn="0" w:noHBand="0" w:noVBand="1"/>
      </w:tblPr>
      <w:tblGrid>
        <w:gridCol w:w="2703"/>
        <w:gridCol w:w="879"/>
        <w:gridCol w:w="870"/>
        <w:gridCol w:w="1217"/>
        <w:gridCol w:w="880"/>
        <w:gridCol w:w="958"/>
        <w:gridCol w:w="1319"/>
      </w:tblGrid>
      <w:tr w:rsidR="00D347FA" w:rsidRPr="001C0B13" w:rsidTr="008B6453">
        <w:trPr>
          <w:trHeight w:val="340"/>
        </w:trPr>
        <w:tc>
          <w:tcPr>
            <w:tcW w:w="8804" w:type="dxa"/>
            <w:gridSpan w:val="7"/>
            <w:tcBorders>
              <w:top w:val="single" w:sz="12" w:space="0" w:color="auto"/>
              <w:left w:val="nil"/>
              <w:bottom w:val="nil"/>
              <w:right w:val="nil"/>
            </w:tcBorders>
            <w:shd w:val="clear" w:color="auto" w:fill="auto"/>
            <w:hideMark/>
          </w:tcPr>
          <w:p w:rsidR="00D347FA" w:rsidRPr="001C0B13" w:rsidRDefault="00D347FA" w:rsidP="008B6453">
            <w:pPr>
              <w:keepNext/>
              <w:spacing w:after="0" w:line="240" w:lineRule="auto"/>
              <w:rPr>
                <w:rFonts w:ascii="Arial" w:eastAsia="Times New Roman" w:hAnsi="Arial" w:cs="Arial"/>
                <w:b/>
                <w:bCs/>
                <w:color w:val="000000"/>
                <w:sz w:val="20"/>
                <w:szCs w:val="20"/>
                <w:lang w:eastAsia="en-GB"/>
              </w:rPr>
            </w:pPr>
            <w:r w:rsidRPr="001C0B13">
              <w:rPr>
                <w:rFonts w:ascii="Arial" w:eastAsia="Times New Roman" w:hAnsi="Arial" w:cs="Arial"/>
                <w:b/>
                <w:bCs/>
                <w:color w:val="000000"/>
                <w:sz w:val="20"/>
                <w:szCs w:val="20"/>
                <w:lang w:eastAsia="en-GB"/>
              </w:rPr>
              <w:t xml:space="preserve">Table </w:t>
            </w:r>
            <w:r>
              <w:rPr>
                <w:rFonts w:ascii="Arial" w:eastAsia="Times New Roman" w:hAnsi="Arial" w:cs="Arial"/>
                <w:b/>
                <w:bCs/>
                <w:color w:val="000000"/>
                <w:sz w:val="20"/>
                <w:szCs w:val="20"/>
                <w:lang w:eastAsia="en-GB"/>
              </w:rPr>
              <w:t>3.3.2d</w:t>
            </w:r>
            <w:r w:rsidRPr="001C0B13">
              <w:rPr>
                <w:rFonts w:ascii="Arial" w:eastAsia="Times New Roman" w:hAnsi="Arial" w:cs="Arial"/>
                <w:b/>
                <w:bCs/>
                <w:color w:val="000000"/>
                <w:sz w:val="20"/>
                <w:szCs w:val="20"/>
                <w:lang w:eastAsia="en-GB"/>
              </w:rPr>
              <w:t xml:space="preserve"> Teacher relationships</w:t>
            </w:r>
          </w:p>
        </w:tc>
      </w:tr>
      <w:tr w:rsidR="00D347FA" w:rsidRPr="001C0B13" w:rsidTr="008B6453">
        <w:trPr>
          <w:trHeight w:val="510"/>
        </w:trPr>
        <w:tc>
          <w:tcPr>
            <w:tcW w:w="2703" w:type="dxa"/>
            <w:tcBorders>
              <w:top w:val="nil"/>
              <w:left w:val="nil"/>
              <w:bottom w:val="single" w:sz="12" w:space="0" w:color="auto"/>
              <w:right w:val="nil"/>
            </w:tcBorders>
            <w:shd w:val="clear" w:color="auto" w:fill="auto"/>
            <w:vAlign w:val="center"/>
            <w:hideMark/>
          </w:tcPr>
          <w:p w:rsidR="00D347FA" w:rsidRPr="001C0B13" w:rsidRDefault="00D347FA" w:rsidP="008B6453">
            <w:pPr>
              <w:keepNext/>
              <w:spacing w:after="0" w:line="240" w:lineRule="auto"/>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Educational environment items</w:t>
            </w:r>
          </w:p>
        </w:tc>
        <w:tc>
          <w:tcPr>
            <w:tcW w:w="879" w:type="dxa"/>
            <w:tcBorders>
              <w:top w:val="nil"/>
              <w:left w:val="nil"/>
              <w:bottom w:val="single" w:sz="12" w:space="0" w:color="auto"/>
              <w:right w:val="nil"/>
            </w:tcBorders>
            <w:shd w:val="clear" w:color="auto" w:fill="auto"/>
            <w:vAlign w:val="center"/>
            <w:hideMark/>
          </w:tcPr>
          <w:p w:rsidR="00D347FA" w:rsidRPr="001C0B13" w:rsidRDefault="00D347FA" w:rsidP="008B6453">
            <w:pPr>
              <w:keepNext/>
              <w:spacing w:after="0" w:line="240" w:lineRule="auto"/>
              <w:jc w:val="center"/>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Always</w:t>
            </w:r>
          </w:p>
        </w:tc>
        <w:tc>
          <w:tcPr>
            <w:tcW w:w="870" w:type="dxa"/>
            <w:tcBorders>
              <w:top w:val="nil"/>
              <w:left w:val="nil"/>
              <w:bottom w:val="single" w:sz="12" w:space="0" w:color="auto"/>
              <w:right w:val="nil"/>
            </w:tcBorders>
            <w:shd w:val="clear" w:color="auto" w:fill="auto"/>
            <w:vAlign w:val="center"/>
            <w:hideMark/>
          </w:tcPr>
          <w:p w:rsidR="00D347FA" w:rsidRPr="001C0B13" w:rsidRDefault="00D347FA" w:rsidP="008B6453">
            <w:pPr>
              <w:keepNext/>
              <w:spacing w:after="0" w:line="240" w:lineRule="auto"/>
              <w:jc w:val="center"/>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Often</w:t>
            </w:r>
          </w:p>
        </w:tc>
        <w:tc>
          <w:tcPr>
            <w:tcW w:w="1195" w:type="dxa"/>
            <w:tcBorders>
              <w:top w:val="nil"/>
              <w:left w:val="nil"/>
              <w:bottom w:val="single" w:sz="12" w:space="0" w:color="auto"/>
              <w:right w:val="nil"/>
            </w:tcBorders>
            <w:shd w:val="clear" w:color="auto" w:fill="auto"/>
            <w:vAlign w:val="center"/>
            <w:hideMark/>
          </w:tcPr>
          <w:p w:rsidR="00D347FA" w:rsidRPr="001C0B13" w:rsidRDefault="00D347FA" w:rsidP="008B6453">
            <w:pPr>
              <w:keepNext/>
              <w:spacing w:after="0" w:line="240" w:lineRule="auto"/>
              <w:jc w:val="center"/>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Sometimes</w:t>
            </w:r>
          </w:p>
        </w:tc>
        <w:tc>
          <w:tcPr>
            <w:tcW w:w="880" w:type="dxa"/>
            <w:tcBorders>
              <w:top w:val="nil"/>
              <w:left w:val="nil"/>
              <w:bottom w:val="single" w:sz="12" w:space="0" w:color="auto"/>
              <w:right w:val="nil"/>
            </w:tcBorders>
            <w:shd w:val="clear" w:color="auto" w:fill="auto"/>
            <w:vAlign w:val="center"/>
            <w:hideMark/>
          </w:tcPr>
          <w:p w:rsidR="00D347FA" w:rsidRPr="001C0B13" w:rsidRDefault="00D347FA" w:rsidP="008B6453">
            <w:pPr>
              <w:keepNext/>
              <w:spacing w:after="0" w:line="240" w:lineRule="auto"/>
              <w:jc w:val="center"/>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Never</w:t>
            </w:r>
          </w:p>
        </w:tc>
        <w:tc>
          <w:tcPr>
            <w:tcW w:w="958" w:type="dxa"/>
            <w:tcBorders>
              <w:top w:val="nil"/>
              <w:left w:val="nil"/>
              <w:bottom w:val="single" w:sz="12" w:space="0" w:color="auto"/>
              <w:right w:val="nil"/>
            </w:tcBorders>
            <w:shd w:val="clear" w:color="auto" w:fill="auto"/>
            <w:vAlign w:val="center"/>
            <w:hideMark/>
          </w:tcPr>
          <w:p w:rsidR="00D347FA" w:rsidRPr="00D65267" w:rsidRDefault="00D347FA" w:rsidP="008B6453">
            <w:pPr>
              <w:keepNext/>
              <w:spacing w:after="0" w:line="240" w:lineRule="auto"/>
              <w:jc w:val="center"/>
              <w:rPr>
                <w:rFonts w:ascii="Arial" w:eastAsia="Times New Roman" w:hAnsi="Arial" w:cs="Arial"/>
                <w:i/>
                <w:iCs/>
                <w:color w:val="000000"/>
                <w:sz w:val="16"/>
                <w:szCs w:val="16"/>
                <w:lang w:eastAsia="en-GB"/>
              </w:rPr>
            </w:pPr>
            <w:r w:rsidRPr="00D65267">
              <w:rPr>
                <w:rFonts w:ascii="Arial" w:eastAsia="Times New Roman" w:hAnsi="Arial" w:cs="Arial"/>
                <w:i/>
                <w:iCs/>
                <w:color w:val="000000"/>
                <w:sz w:val="16"/>
                <w:szCs w:val="16"/>
                <w:lang w:eastAsia="en-GB"/>
              </w:rPr>
              <w:t>Weighted base</w:t>
            </w:r>
            <w:r w:rsidR="00574027" w:rsidRPr="00D65267">
              <w:rPr>
                <w:rFonts w:ascii="Arial" w:eastAsia="Times New Roman" w:hAnsi="Arial" w:cs="Arial"/>
                <w:i/>
                <w:iCs/>
                <w:color w:val="000000"/>
                <w:sz w:val="16"/>
                <w:szCs w:val="16"/>
                <w:lang w:eastAsia="en-GB"/>
              </w:rPr>
              <w:t>s</w:t>
            </w:r>
          </w:p>
        </w:tc>
        <w:tc>
          <w:tcPr>
            <w:tcW w:w="1319" w:type="dxa"/>
            <w:tcBorders>
              <w:top w:val="nil"/>
              <w:left w:val="nil"/>
              <w:bottom w:val="single" w:sz="12" w:space="0" w:color="auto"/>
              <w:right w:val="nil"/>
            </w:tcBorders>
            <w:shd w:val="clear" w:color="auto" w:fill="auto"/>
            <w:vAlign w:val="center"/>
            <w:hideMark/>
          </w:tcPr>
          <w:p w:rsidR="00D347FA" w:rsidRPr="00D65267" w:rsidRDefault="00D347FA" w:rsidP="008B6453">
            <w:pPr>
              <w:keepNext/>
              <w:spacing w:after="0" w:line="240" w:lineRule="auto"/>
              <w:jc w:val="center"/>
              <w:rPr>
                <w:rFonts w:ascii="Arial" w:eastAsia="Times New Roman" w:hAnsi="Arial" w:cs="Arial"/>
                <w:i/>
                <w:iCs/>
                <w:color w:val="000000"/>
                <w:sz w:val="16"/>
                <w:szCs w:val="16"/>
                <w:lang w:eastAsia="en-GB"/>
              </w:rPr>
            </w:pPr>
            <w:r w:rsidRPr="00D65267">
              <w:rPr>
                <w:rFonts w:ascii="Arial" w:eastAsia="Times New Roman" w:hAnsi="Arial" w:cs="Arial"/>
                <w:i/>
                <w:iCs/>
                <w:color w:val="000000"/>
                <w:sz w:val="16"/>
                <w:szCs w:val="16"/>
                <w:lang w:eastAsia="en-GB"/>
              </w:rPr>
              <w:t>Unweighted base</w:t>
            </w:r>
            <w:r w:rsidR="00574027" w:rsidRPr="00D65267">
              <w:rPr>
                <w:rFonts w:ascii="Arial" w:eastAsia="Times New Roman" w:hAnsi="Arial" w:cs="Arial"/>
                <w:i/>
                <w:iCs/>
                <w:color w:val="000000"/>
                <w:sz w:val="16"/>
                <w:szCs w:val="16"/>
                <w:lang w:eastAsia="en-GB"/>
              </w:rPr>
              <w:t>s</w:t>
            </w:r>
          </w:p>
        </w:tc>
      </w:tr>
      <w:tr w:rsidR="00D347FA" w:rsidRPr="001C0B13" w:rsidTr="008B6453">
        <w:trPr>
          <w:trHeight w:val="283"/>
        </w:trPr>
        <w:tc>
          <w:tcPr>
            <w:tcW w:w="8804" w:type="dxa"/>
            <w:gridSpan w:val="7"/>
            <w:tcBorders>
              <w:top w:val="single" w:sz="12" w:space="0" w:color="auto"/>
              <w:left w:val="nil"/>
              <w:bottom w:val="single" w:sz="8" w:space="0" w:color="auto"/>
              <w:right w:val="nil"/>
            </w:tcBorders>
            <w:shd w:val="clear" w:color="auto" w:fill="auto"/>
            <w:vAlign w:val="center"/>
            <w:hideMark/>
          </w:tcPr>
          <w:p w:rsidR="00D347FA" w:rsidRPr="001C0B13" w:rsidRDefault="00D347FA" w:rsidP="008B6453">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1C0B13" w:rsidTr="00D65267">
        <w:trPr>
          <w:trHeight w:val="504"/>
        </w:trPr>
        <w:tc>
          <w:tcPr>
            <w:tcW w:w="2703" w:type="dxa"/>
            <w:tcBorders>
              <w:top w:val="nil"/>
              <w:left w:val="nil"/>
              <w:bottom w:val="nil"/>
              <w:right w:val="nil"/>
            </w:tcBorders>
            <w:shd w:val="clear" w:color="auto" w:fill="auto"/>
            <w:vAlign w:val="center"/>
            <w:hideMark/>
          </w:tcPr>
          <w:p w:rsidR="00D347FA" w:rsidRPr="001C0B13" w:rsidRDefault="00D347FA" w:rsidP="008B6453">
            <w:pPr>
              <w:keepNext/>
              <w:spacing w:after="0" w:line="240" w:lineRule="auto"/>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How often does your teacher help you when you need help?</w:t>
            </w:r>
          </w:p>
        </w:tc>
        <w:tc>
          <w:tcPr>
            <w:tcW w:w="879"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52</w:t>
            </w:r>
          </w:p>
        </w:tc>
        <w:tc>
          <w:tcPr>
            <w:tcW w:w="870"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1195"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880"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958"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4117</w:t>
            </w:r>
          </w:p>
        </w:tc>
        <w:tc>
          <w:tcPr>
            <w:tcW w:w="1319"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4118</w:t>
            </w:r>
          </w:p>
        </w:tc>
      </w:tr>
      <w:tr w:rsidR="00D347FA" w:rsidRPr="001C0B13" w:rsidTr="00D65267">
        <w:trPr>
          <w:trHeight w:val="519"/>
        </w:trPr>
        <w:tc>
          <w:tcPr>
            <w:tcW w:w="2703" w:type="dxa"/>
            <w:tcBorders>
              <w:top w:val="nil"/>
              <w:left w:val="nil"/>
              <w:bottom w:val="nil"/>
              <w:right w:val="nil"/>
            </w:tcBorders>
            <w:shd w:val="clear" w:color="auto" w:fill="auto"/>
            <w:vAlign w:val="bottom"/>
            <w:hideMark/>
          </w:tcPr>
          <w:p w:rsidR="00D347FA" w:rsidRPr="001C0B13" w:rsidRDefault="00D347FA" w:rsidP="008B6453">
            <w:pPr>
              <w:keepNext/>
              <w:spacing w:after="0" w:line="240" w:lineRule="auto"/>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How often do you get along well with your teacher?</w:t>
            </w:r>
          </w:p>
        </w:tc>
        <w:tc>
          <w:tcPr>
            <w:tcW w:w="879"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57</w:t>
            </w:r>
          </w:p>
        </w:tc>
        <w:tc>
          <w:tcPr>
            <w:tcW w:w="870"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29</w:t>
            </w:r>
          </w:p>
        </w:tc>
        <w:tc>
          <w:tcPr>
            <w:tcW w:w="1195"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880"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958"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4067</w:t>
            </w:r>
          </w:p>
        </w:tc>
        <w:tc>
          <w:tcPr>
            <w:tcW w:w="1319" w:type="dxa"/>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4068</w:t>
            </w:r>
          </w:p>
        </w:tc>
      </w:tr>
      <w:tr w:rsidR="00D347FA" w:rsidRPr="001C0B13" w:rsidTr="008B6453">
        <w:trPr>
          <w:trHeight w:val="519"/>
        </w:trPr>
        <w:tc>
          <w:tcPr>
            <w:tcW w:w="2703" w:type="dxa"/>
            <w:tcBorders>
              <w:top w:val="nil"/>
              <w:left w:val="nil"/>
              <w:right w:val="nil"/>
            </w:tcBorders>
            <w:shd w:val="clear" w:color="auto" w:fill="auto"/>
            <w:vAlign w:val="bottom"/>
            <w:hideMark/>
          </w:tcPr>
          <w:p w:rsidR="00D347FA" w:rsidRPr="001C0B13" w:rsidRDefault="00D347FA" w:rsidP="008B6453">
            <w:pPr>
              <w:keepNext/>
              <w:spacing w:after="0" w:line="240" w:lineRule="auto"/>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How often do you get into trouble with the teachers at school?</w:t>
            </w:r>
          </w:p>
        </w:tc>
        <w:tc>
          <w:tcPr>
            <w:tcW w:w="879"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870"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8</w:t>
            </w:r>
          </w:p>
        </w:tc>
        <w:tc>
          <w:tcPr>
            <w:tcW w:w="1195"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50</w:t>
            </w:r>
          </w:p>
        </w:tc>
        <w:tc>
          <w:tcPr>
            <w:tcW w:w="880"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39</w:t>
            </w:r>
          </w:p>
        </w:tc>
        <w:tc>
          <w:tcPr>
            <w:tcW w:w="958"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4073</w:t>
            </w:r>
          </w:p>
        </w:tc>
        <w:tc>
          <w:tcPr>
            <w:tcW w:w="1319"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4074</w:t>
            </w:r>
          </w:p>
        </w:tc>
      </w:tr>
      <w:tr w:rsidR="00D347FA" w:rsidRPr="001C0B13" w:rsidTr="008B6453">
        <w:trPr>
          <w:trHeight w:val="227"/>
        </w:trPr>
        <w:tc>
          <w:tcPr>
            <w:tcW w:w="2703"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 </w:t>
            </w:r>
          </w:p>
        </w:tc>
        <w:tc>
          <w:tcPr>
            <w:tcW w:w="879"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 </w:t>
            </w:r>
          </w:p>
        </w:tc>
        <w:tc>
          <w:tcPr>
            <w:tcW w:w="870"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 </w:t>
            </w:r>
          </w:p>
        </w:tc>
        <w:tc>
          <w:tcPr>
            <w:tcW w:w="1195"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 </w:t>
            </w:r>
          </w:p>
        </w:tc>
        <w:tc>
          <w:tcPr>
            <w:tcW w:w="880"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color w:val="000000"/>
                <w:sz w:val="20"/>
                <w:szCs w:val="20"/>
                <w:lang w:eastAsia="en-GB"/>
              </w:rPr>
            </w:pPr>
            <w:r w:rsidRPr="001C0B13">
              <w:rPr>
                <w:rFonts w:ascii="Arial" w:eastAsia="Times New Roman" w:hAnsi="Arial" w:cs="Arial"/>
                <w:color w:val="000000"/>
                <w:sz w:val="20"/>
                <w:szCs w:val="20"/>
                <w:lang w:eastAsia="en-GB"/>
              </w:rPr>
              <w:t> </w:t>
            </w:r>
          </w:p>
        </w:tc>
        <w:tc>
          <w:tcPr>
            <w:tcW w:w="958"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i/>
                <w:iCs/>
                <w:color w:val="000000"/>
                <w:sz w:val="20"/>
                <w:szCs w:val="20"/>
                <w:lang w:eastAsia="en-GB"/>
              </w:rPr>
            </w:pPr>
            <w:r w:rsidRPr="001C0B13">
              <w:rPr>
                <w:rFonts w:ascii="Arial" w:eastAsia="Times New Roman" w:hAnsi="Arial" w:cs="Arial"/>
                <w:i/>
                <w:iCs/>
                <w:color w:val="000000"/>
                <w:sz w:val="20"/>
                <w:szCs w:val="20"/>
                <w:lang w:eastAsia="en-GB"/>
              </w:rPr>
              <w:t> </w:t>
            </w:r>
          </w:p>
        </w:tc>
        <w:tc>
          <w:tcPr>
            <w:tcW w:w="1319" w:type="dxa"/>
            <w:tcBorders>
              <w:top w:val="nil"/>
              <w:left w:val="nil"/>
              <w:bottom w:val="single" w:sz="12" w:space="0" w:color="auto"/>
              <w:right w:val="nil"/>
            </w:tcBorders>
            <w:shd w:val="clear" w:color="auto" w:fill="auto"/>
            <w:noWrap/>
            <w:vAlign w:val="bottom"/>
            <w:hideMark/>
          </w:tcPr>
          <w:p w:rsidR="00D347FA" w:rsidRPr="001C0B13" w:rsidRDefault="00D347FA" w:rsidP="008B6453">
            <w:pPr>
              <w:spacing w:after="0" w:line="240" w:lineRule="auto"/>
              <w:jc w:val="right"/>
              <w:rPr>
                <w:rFonts w:ascii="Arial" w:eastAsia="Times New Roman" w:hAnsi="Arial" w:cs="Arial"/>
                <w:i/>
                <w:iCs/>
                <w:color w:val="000000"/>
                <w:sz w:val="20"/>
                <w:szCs w:val="20"/>
                <w:lang w:eastAsia="en-GB"/>
              </w:rPr>
            </w:pPr>
            <w:r w:rsidRPr="001C0B13">
              <w:rPr>
                <w:rFonts w:ascii="Arial" w:eastAsia="Times New Roman" w:hAnsi="Arial" w:cs="Arial"/>
                <w:i/>
                <w:iCs/>
                <w:color w:val="000000"/>
                <w:sz w:val="20"/>
                <w:szCs w:val="20"/>
                <w:lang w:eastAsia="en-GB"/>
              </w:rPr>
              <w:t> </w:t>
            </w: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2016/17</w:t>
      </w:r>
    </w:p>
    <w:p w:rsidR="00D347FA" w:rsidRDefault="00D347FA" w:rsidP="00D347FA">
      <w:pPr>
        <w:pStyle w:val="BodyCopy"/>
        <w:spacing w:before="240" w:line="276" w:lineRule="auto"/>
      </w:pPr>
      <w:r>
        <w:t xml:space="preserve">The three questions in the table above were </w:t>
      </w:r>
      <w:r w:rsidR="00B36FDF">
        <w:t>used</w:t>
      </w:r>
      <w:r>
        <w:t xml:space="preserve"> to create a scale which gave a sense of the child’s view of their educational environment. The scoring for the first two questions was reversed so that higher scores indicated more positive teacher relationships. </w:t>
      </w:r>
      <w:r w:rsidR="00B36FDF">
        <w:t>There was a mix of responses with</w:t>
      </w:r>
      <w:r>
        <w:t xml:space="preserve"> 19% of children categorised as having a </w:t>
      </w:r>
      <w:r w:rsidR="00B36FDF">
        <w:t xml:space="preserve">more positive view of their educational environment, </w:t>
      </w:r>
      <w:r>
        <w:t xml:space="preserve">47% an ‘average’ </w:t>
      </w:r>
      <w:r w:rsidR="00B36FDF">
        <w:t xml:space="preserve">view </w:t>
      </w:r>
      <w:r>
        <w:t xml:space="preserve">and 34% a </w:t>
      </w:r>
      <w:r w:rsidR="00B36FDF">
        <w:t>less positive view</w:t>
      </w:r>
      <w:r>
        <w:t xml:space="preserve">. </w:t>
      </w:r>
      <w:r w:rsidR="009E5557">
        <w:t>See appendix for further details</w:t>
      </w:r>
      <w:r w:rsidR="00B36FDF">
        <w:t xml:space="preserve"> of the scale used</w:t>
      </w:r>
      <w:r w:rsidR="009E5557">
        <w:t>.</w:t>
      </w:r>
    </w:p>
    <w:p w:rsidR="00D347FA" w:rsidRPr="002417BE" w:rsidRDefault="00D347FA" w:rsidP="00D347FA">
      <w:pPr>
        <w:pStyle w:val="BodyCopy"/>
        <w:spacing w:before="240" w:line="276" w:lineRule="auto"/>
      </w:pPr>
      <w:r>
        <w:t xml:space="preserve">A </w:t>
      </w:r>
      <w:r w:rsidR="009E5557">
        <w:t xml:space="preserve">much </w:t>
      </w:r>
      <w:r>
        <w:t>greater proportion of girls than boys had a higher score on the educational environment scale (28% compared with 10%). The same was true for those not eligible for free school meals (20% compared with 16% of those</w:t>
      </w:r>
      <w:r w:rsidR="00574027">
        <w:t xml:space="preserve"> who were</w:t>
      </w:r>
      <w:r>
        <w:t xml:space="preserve"> eligible), and those in two</w:t>
      </w:r>
      <w:r w:rsidR="00574027">
        <w:t xml:space="preserve"> </w:t>
      </w:r>
      <w:r>
        <w:t>parent households (21%</w:t>
      </w:r>
      <w:r w:rsidR="00574027">
        <w:t>)</w:t>
      </w:r>
      <w:r>
        <w:t xml:space="preserve"> compared with </w:t>
      </w:r>
      <w:r w:rsidR="00574027">
        <w:t>those in</w:t>
      </w:r>
      <w:r>
        <w:t xml:space="preserve"> one</w:t>
      </w:r>
      <w:r w:rsidR="00574027">
        <w:t xml:space="preserve"> </w:t>
      </w:r>
      <w:r>
        <w:t xml:space="preserve">parent households </w:t>
      </w:r>
      <w:r w:rsidR="00574027">
        <w:t xml:space="preserve">(16%) </w:t>
      </w:r>
      <w:r>
        <w:t>and those in step-families</w:t>
      </w:r>
      <w:r w:rsidR="00574027">
        <w:t xml:space="preserve"> (15%</w:t>
      </w:r>
      <w:r>
        <w:t>).</w:t>
      </w:r>
      <w:r w:rsidRPr="002417BE">
        <w:t xml:space="preserve"> </w:t>
      </w:r>
      <w:r>
        <w:t>Children with one or more sibling</w:t>
      </w:r>
      <w:r w:rsidR="00574027">
        <w:t>s</w:t>
      </w:r>
      <w:r>
        <w:t xml:space="preserve"> were also more likely to score higher than those with no siblings at home (20% compared with 17% respectively). </w:t>
      </w:r>
      <w:r w:rsidRPr="002417BE">
        <w:t>Children without an additional support need</w:t>
      </w:r>
      <w:r>
        <w:t xml:space="preserve"> also had higher scores (20% compared with 16</w:t>
      </w:r>
      <w:r w:rsidRPr="002417BE">
        <w:t>%</w:t>
      </w:r>
      <w:r>
        <w:t xml:space="preserve"> of those with a support need).</w:t>
      </w:r>
    </w:p>
    <w:p w:rsidR="00D347FA" w:rsidRPr="000233C9" w:rsidRDefault="00D347FA" w:rsidP="00D347FA">
      <w:pPr>
        <w:rPr>
          <w:lang w:eastAsia="en-GB"/>
        </w:rPr>
      </w:pPr>
    </w:p>
    <w:p w:rsidR="00D347FA" w:rsidRPr="000233C9" w:rsidRDefault="00D347FA" w:rsidP="00D347FA">
      <w:pPr>
        <w:rPr>
          <w:lang w:eastAsia="en-GB"/>
        </w:rPr>
      </w:pPr>
    </w:p>
    <w:p w:rsidR="00D347FA" w:rsidRDefault="0052277E" w:rsidP="00D347FA">
      <w:pPr>
        <w:rPr>
          <w:lang w:eastAsia="en-GB"/>
        </w:rPr>
      </w:pPr>
      <w:r>
        <w:rPr>
          <w:noProof/>
          <w:lang w:eastAsia="en-GB"/>
        </w:rPr>
        <w:lastRenderedPageBreak/>
        <w:drawing>
          <wp:inline distT="0" distB="0" distL="0" distR="0" wp14:anchorId="2946D6D3" wp14:editId="1DAC2616">
            <wp:extent cx="4953000" cy="3794760"/>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Heading3"/>
        <w:numPr>
          <w:ilvl w:val="0"/>
          <w:numId w:val="0"/>
        </w:numPr>
        <w:spacing w:line="276" w:lineRule="auto"/>
        <w:ind w:left="851" w:hanging="851"/>
      </w:pPr>
      <w:bookmarkStart w:id="127" w:name="_Toc478636830"/>
      <w:bookmarkStart w:id="128" w:name="_Toc479456965"/>
      <w:bookmarkStart w:id="129" w:name="_Toc494182082"/>
      <w:r w:rsidRPr="008827DD">
        <w:rPr>
          <w:color w:val="auto"/>
        </w:rPr>
        <w:t>Worrie</w:t>
      </w:r>
      <w:r w:rsidRPr="008827DD">
        <w:t>s about school work</w:t>
      </w:r>
      <w:bookmarkEnd w:id="127"/>
      <w:r w:rsidRPr="008827DD">
        <w:t xml:space="preserve"> (Achieving, Healthy)</w:t>
      </w:r>
      <w:bookmarkEnd w:id="128"/>
      <w:bookmarkEnd w:id="129"/>
    </w:p>
    <w:p w:rsidR="00D347FA" w:rsidRDefault="00D347FA" w:rsidP="00D347FA">
      <w:pPr>
        <w:pStyle w:val="BodyCopy"/>
        <w:spacing w:before="240" w:line="276" w:lineRule="auto"/>
      </w:pPr>
      <w:r>
        <w:t xml:space="preserve">When pupils were asked how much they worry about not doing well at school, 17% said they worried a lot, 23% quite a lot, 44% not very much and 16% not at all. </w:t>
      </w:r>
      <w:r w:rsidR="004757E3">
        <w:t xml:space="preserve">By comparison, findings from the secondary school survey show that two-thirds of children in S1 to S4 reported being worried a lot or quite a lot about not doing well at school. </w:t>
      </w:r>
      <w:r>
        <w:t xml:space="preserve"> </w:t>
      </w:r>
    </w:p>
    <w:p w:rsidR="00D347FA" w:rsidRDefault="00D347FA" w:rsidP="00D347FA">
      <w:pPr>
        <w:pStyle w:val="BodyCopy"/>
        <w:spacing w:before="240" w:line="276" w:lineRule="auto"/>
      </w:pPr>
      <w:r>
        <w:t>Children</w:t>
      </w:r>
      <w:r w:rsidRPr="006B5333">
        <w:t xml:space="preserve"> in the most deprived quintile </w:t>
      </w:r>
      <w:r>
        <w:t xml:space="preserve">(47%) </w:t>
      </w:r>
      <w:r w:rsidRPr="006B5333">
        <w:t xml:space="preserve">were more likely to worry about school </w:t>
      </w:r>
      <w:r>
        <w:t xml:space="preserve">a lot or quite a lot </w:t>
      </w:r>
      <w:r w:rsidRPr="006B5333">
        <w:t xml:space="preserve">than those in the least deprived </w:t>
      </w:r>
      <w:r>
        <w:t>quintile (36%). Those eligible for free school meals we</w:t>
      </w:r>
      <w:r w:rsidR="00317826">
        <w:t>re also more likely to worry (47</w:t>
      </w:r>
      <w:r>
        <w:t>% compared with 39% of those not eligible). Again, children in single</w:t>
      </w:r>
      <w:r w:rsidR="008827DD">
        <w:t xml:space="preserve"> </w:t>
      </w:r>
      <w:r>
        <w:t xml:space="preserve">parent households (48%) and </w:t>
      </w:r>
      <w:r w:rsidR="008827DD">
        <w:t xml:space="preserve">in </w:t>
      </w:r>
      <w:r>
        <w:t>step-families (41%) were more likely to worry than those in two</w:t>
      </w:r>
      <w:r w:rsidR="008827DD">
        <w:t xml:space="preserve"> </w:t>
      </w:r>
      <w:r>
        <w:t>paren</w:t>
      </w:r>
      <w:r w:rsidR="00317826">
        <w:t>t households (38</w:t>
      </w:r>
      <w:r>
        <w:t xml:space="preserve">%). </w:t>
      </w:r>
    </w:p>
    <w:p w:rsidR="00D347FA" w:rsidRDefault="00D347FA" w:rsidP="00D347FA">
      <w:pPr>
        <w:pStyle w:val="BodyCopy"/>
        <w:spacing w:line="276" w:lineRule="auto"/>
      </w:pPr>
    </w:p>
    <w:p w:rsidR="00D347FA" w:rsidRDefault="00D347FA" w:rsidP="00D347FA">
      <w:pPr>
        <w:pStyle w:val="BodyCopy"/>
        <w:spacing w:line="276" w:lineRule="auto"/>
      </w:pPr>
    </w:p>
    <w:tbl>
      <w:tblPr>
        <w:tblW w:w="8741" w:type="dxa"/>
        <w:tblInd w:w="93" w:type="dxa"/>
        <w:tblLook w:val="04A0" w:firstRow="1" w:lastRow="0" w:firstColumn="1" w:lastColumn="0" w:noHBand="0" w:noVBand="1"/>
      </w:tblPr>
      <w:tblGrid>
        <w:gridCol w:w="3663"/>
        <w:gridCol w:w="487"/>
        <w:gridCol w:w="811"/>
        <w:gridCol w:w="919"/>
        <w:gridCol w:w="656"/>
        <w:gridCol w:w="1018"/>
        <w:gridCol w:w="1187"/>
      </w:tblGrid>
      <w:tr w:rsidR="00D347FA" w:rsidRPr="00F22436" w:rsidTr="008B6453">
        <w:trPr>
          <w:trHeight w:val="340"/>
        </w:trPr>
        <w:tc>
          <w:tcPr>
            <w:tcW w:w="0" w:type="auto"/>
            <w:gridSpan w:val="7"/>
            <w:tcBorders>
              <w:top w:val="single" w:sz="12" w:space="0" w:color="auto"/>
              <w:left w:val="nil"/>
              <w:bottom w:val="nil"/>
              <w:right w:val="nil"/>
            </w:tcBorders>
            <w:shd w:val="clear" w:color="auto" w:fill="auto"/>
            <w:hideMark/>
          </w:tcPr>
          <w:p w:rsidR="00D347FA" w:rsidRPr="00F22436" w:rsidRDefault="00D347FA" w:rsidP="008B6453">
            <w:pPr>
              <w:keepNext/>
              <w:spacing w:after="0" w:line="240" w:lineRule="auto"/>
              <w:rPr>
                <w:rFonts w:ascii="Arial" w:eastAsia="Times New Roman" w:hAnsi="Arial" w:cs="Arial"/>
                <w:b/>
                <w:bCs/>
                <w:color w:val="000000"/>
                <w:sz w:val="20"/>
                <w:szCs w:val="20"/>
                <w:lang w:eastAsia="en-GB"/>
              </w:rPr>
            </w:pPr>
            <w:r w:rsidRPr="00F22436">
              <w:rPr>
                <w:rFonts w:ascii="Arial" w:eastAsia="Times New Roman" w:hAnsi="Arial" w:cs="Arial"/>
                <w:b/>
                <w:bCs/>
                <w:color w:val="000000"/>
                <w:sz w:val="20"/>
                <w:szCs w:val="20"/>
                <w:lang w:eastAsia="en-GB"/>
              </w:rPr>
              <w:lastRenderedPageBreak/>
              <w:t xml:space="preserve">Table </w:t>
            </w:r>
            <w:r>
              <w:rPr>
                <w:rFonts w:ascii="Arial" w:eastAsia="Times New Roman" w:hAnsi="Arial" w:cs="Arial"/>
                <w:b/>
                <w:bCs/>
                <w:color w:val="000000"/>
                <w:sz w:val="20"/>
                <w:szCs w:val="20"/>
                <w:lang w:eastAsia="en-GB"/>
              </w:rPr>
              <w:t>3.3.2f</w:t>
            </w:r>
            <w:r w:rsidRPr="00F22436">
              <w:rPr>
                <w:rFonts w:ascii="Arial" w:eastAsia="Times New Roman" w:hAnsi="Arial" w:cs="Arial"/>
                <w:b/>
                <w:bCs/>
                <w:color w:val="000000"/>
                <w:sz w:val="20"/>
                <w:szCs w:val="20"/>
                <w:lang w:eastAsia="en-GB"/>
              </w:rPr>
              <w:t xml:space="preserve"> Worry about not doing well at school</w:t>
            </w:r>
          </w:p>
        </w:tc>
      </w:tr>
      <w:tr w:rsidR="00D347FA" w:rsidRPr="00F22436" w:rsidTr="00A4261E">
        <w:trPr>
          <w:trHeight w:val="419"/>
        </w:trPr>
        <w:tc>
          <w:tcPr>
            <w:tcW w:w="0" w:type="auto"/>
            <w:tcBorders>
              <w:top w:val="nil"/>
              <w:left w:val="nil"/>
              <w:bottom w:val="single" w:sz="12" w:space="0" w:color="auto"/>
              <w:right w:val="nil"/>
            </w:tcBorders>
            <w:shd w:val="clear" w:color="auto" w:fill="auto"/>
            <w:vAlign w:val="center"/>
            <w:hideMark/>
          </w:tcPr>
          <w:p w:rsidR="00D347FA" w:rsidRPr="00F22436" w:rsidRDefault="00D347FA" w:rsidP="008B6453">
            <w:pPr>
              <w:keepNext/>
              <w:spacing w:after="0" w:line="240" w:lineRule="auto"/>
              <w:rPr>
                <w:rFonts w:ascii="Arial" w:eastAsia="Times New Roman" w:hAnsi="Arial" w:cs="Arial"/>
                <w:color w:val="000000"/>
                <w:sz w:val="20"/>
                <w:szCs w:val="20"/>
                <w:lang w:eastAsia="en-GB"/>
              </w:rPr>
            </w:pPr>
            <w:r w:rsidRPr="00F22436">
              <w:rPr>
                <w:rFonts w:ascii="Arial" w:eastAsia="Times New Roman" w:hAnsi="Arial" w:cs="Arial"/>
                <w:color w:val="000000"/>
                <w:sz w:val="20"/>
                <w:szCs w:val="20"/>
                <w:lang w:eastAsia="en-GB"/>
              </w:rPr>
              <w:t>How much do you worry about not doing well at school?</w:t>
            </w:r>
          </w:p>
        </w:tc>
        <w:tc>
          <w:tcPr>
            <w:tcW w:w="0" w:type="auto"/>
            <w:tcBorders>
              <w:top w:val="nil"/>
              <w:left w:val="nil"/>
              <w:bottom w:val="single" w:sz="12" w:space="0" w:color="auto"/>
              <w:right w:val="nil"/>
            </w:tcBorders>
            <w:shd w:val="clear" w:color="auto" w:fill="auto"/>
            <w:vAlign w:val="center"/>
            <w:hideMark/>
          </w:tcPr>
          <w:p w:rsidR="00D347FA" w:rsidRPr="00F22436" w:rsidRDefault="00D347FA" w:rsidP="008B6453">
            <w:pPr>
              <w:keepNext/>
              <w:spacing w:after="0" w:line="240" w:lineRule="auto"/>
              <w:jc w:val="center"/>
              <w:rPr>
                <w:rFonts w:ascii="Arial" w:eastAsia="Times New Roman" w:hAnsi="Arial" w:cs="Arial"/>
                <w:color w:val="000000"/>
                <w:sz w:val="20"/>
                <w:szCs w:val="20"/>
                <w:lang w:eastAsia="en-GB"/>
              </w:rPr>
            </w:pPr>
            <w:r w:rsidRPr="00F22436">
              <w:rPr>
                <w:rFonts w:ascii="Arial" w:eastAsia="Times New Roman" w:hAnsi="Arial" w:cs="Arial"/>
                <w:color w:val="000000"/>
                <w:sz w:val="20"/>
                <w:szCs w:val="20"/>
                <w:lang w:eastAsia="en-GB"/>
              </w:rPr>
              <w:t>A lot</w:t>
            </w:r>
          </w:p>
        </w:tc>
        <w:tc>
          <w:tcPr>
            <w:tcW w:w="0" w:type="auto"/>
            <w:tcBorders>
              <w:top w:val="nil"/>
              <w:left w:val="nil"/>
              <w:bottom w:val="single" w:sz="12" w:space="0" w:color="auto"/>
              <w:right w:val="nil"/>
            </w:tcBorders>
            <w:shd w:val="clear" w:color="auto" w:fill="auto"/>
            <w:vAlign w:val="center"/>
            <w:hideMark/>
          </w:tcPr>
          <w:p w:rsidR="00D347FA" w:rsidRPr="00F22436" w:rsidRDefault="00D347FA" w:rsidP="008B6453">
            <w:pPr>
              <w:keepNext/>
              <w:spacing w:after="0" w:line="240" w:lineRule="auto"/>
              <w:jc w:val="center"/>
              <w:rPr>
                <w:rFonts w:ascii="Arial" w:eastAsia="Times New Roman" w:hAnsi="Arial" w:cs="Arial"/>
                <w:color w:val="000000"/>
                <w:sz w:val="20"/>
                <w:szCs w:val="20"/>
                <w:lang w:eastAsia="en-GB"/>
              </w:rPr>
            </w:pPr>
            <w:r w:rsidRPr="00F22436">
              <w:rPr>
                <w:rFonts w:ascii="Arial" w:eastAsia="Times New Roman" w:hAnsi="Arial" w:cs="Arial"/>
                <w:color w:val="000000"/>
                <w:sz w:val="20"/>
                <w:szCs w:val="20"/>
                <w:lang w:eastAsia="en-GB"/>
              </w:rPr>
              <w:t>Quite a lot</w:t>
            </w:r>
          </w:p>
        </w:tc>
        <w:tc>
          <w:tcPr>
            <w:tcW w:w="0" w:type="auto"/>
            <w:tcBorders>
              <w:top w:val="nil"/>
              <w:left w:val="nil"/>
              <w:bottom w:val="single" w:sz="12" w:space="0" w:color="auto"/>
              <w:right w:val="nil"/>
            </w:tcBorders>
            <w:shd w:val="clear" w:color="auto" w:fill="auto"/>
            <w:vAlign w:val="center"/>
            <w:hideMark/>
          </w:tcPr>
          <w:p w:rsidR="00D347FA" w:rsidRPr="00F22436" w:rsidRDefault="00D347FA" w:rsidP="008B6453">
            <w:pPr>
              <w:keepNext/>
              <w:spacing w:after="0" w:line="240" w:lineRule="auto"/>
              <w:jc w:val="center"/>
              <w:rPr>
                <w:rFonts w:ascii="Arial" w:eastAsia="Times New Roman" w:hAnsi="Arial" w:cs="Arial"/>
                <w:color w:val="000000"/>
                <w:sz w:val="20"/>
                <w:szCs w:val="20"/>
                <w:lang w:eastAsia="en-GB"/>
              </w:rPr>
            </w:pPr>
            <w:r w:rsidRPr="00F22436">
              <w:rPr>
                <w:rFonts w:ascii="Arial" w:eastAsia="Times New Roman" w:hAnsi="Arial" w:cs="Arial"/>
                <w:color w:val="000000"/>
                <w:sz w:val="20"/>
                <w:szCs w:val="20"/>
                <w:lang w:eastAsia="en-GB"/>
              </w:rPr>
              <w:t>Not very much</w:t>
            </w:r>
          </w:p>
        </w:tc>
        <w:tc>
          <w:tcPr>
            <w:tcW w:w="0" w:type="auto"/>
            <w:tcBorders>
              <w:top w:val="nil"/>
              <w:left w:val="nil"/>
              <w:bottom w:val="single" w:sz="12" w:space="0" w:color="auto"/>
              <w:right w:val="nil"/>
            </w:tcBorders>
            <w:shd w:val="clear" w:color="auto" w:fill="auto"/>
            <w:vAlign w:val="center"/>
            <w:hideMark/>
          </w:tcPr>
          <w:p w:rsidR="00D347FA" w:rsidRPr="00F22436" w:rsidRDefault="00D347FA" w:rsidP="008B6453">
            <w:pPr>
              <w:keepNext/>
              <w:spacing w:after="0" w:line="240" w:lineRule="auto"/>
              <w:jc w:val="center"/>
              <w:rPr>
                <w:rFonts w:ascii="Arial" w:eastAsia="Times New Roman" w:hAnsi="Arial" w:cs="Arial"/>
                <w:color w:val="000000"/>
                <w:sz w:val="20"/>
                <w:szCs w:val="20"/>
                <w:lang w:eastAsia="en-GB"/>
              </w:rPr>
            </w:pPr>
            <w:r w:rsidRPr="00F22436">
              <w:rPr>
                <w:rFonts w:ascii="Arial" w:eastAsia="Times New Roman" w:hAnsi="Arial" w:cs="Arial"/>
                <w:color w:val="000000"/>
                <w:sz w:val="20"/>
                <w:szCs w:val="20"/>
                <w:lang w:eastAsia="en-GB"/>
              </w:rPr>
              <w:t>Not at all</w:t>
            </w:r>
          </w:p>
        </w:tc>
        <w:tc>
          <w:tcPr>
            <w:tcW w:w="0" w:type="auto"/>
            <w:tcBorders>
              <w:top w:val="nil"/>
              <w:left w:val="nil"/>
              <w:bottom w:val="single" w:sz="12" w:space="0" w:color="auto"/>
              <w:right w:val="nil"/>
            </w:tcBorders>
            <w:shd w:val="clear" w:color="auto" w:fill="auto"/>
            <w:vAlign w:val="center"/>
            <w:hideMark/>
          </w:tcPr>
          <w:p w:rsidR="00D347FA" w:rsidRPr="00C85B52" w:rsidRDefault="00D347FA" w:rsidP="008B6453">
            <w:pPr>
              <w:keepNext/>
              <w:spacing w:after="0" w:line="240" w:lineRule="auto"/>
              <w:jc w:val="center"/>
              <w:rPr>
                <w:rFonts w:ascii="Arial" w:eastAsia="Times New Roman" w:hAnsi="Arial" w:cs="Arial"/>
                <w:i/>
                <w:iCs/>
                <w:color w:val="000000"/>
                <w:sz w:val="16"/>
                <w:szCs w:val="16"/>
                <w:lang w:eastAsia="en-GB"/>
              </w:rPr>
            </w:pPr>
            <w:r w:rsidRPr="00C85B52">
              <w:rPr>
                <w:rFonts w:ascii="Arial" w:eastAsia="Times New Roman" w:hAnsi="Arial" w:cs="Arial"/>
                <w:i/>
                <w:iCs/>
                <w:color w:val="000000"/>
                <w:sz w:val="16"/>
                <w:szCs w:val="16"/>
                <w:lang w:eastAsia="en-GB"/>
              </w:rPr>
              <w:t>Weighted base</w:t>
            </w:r>
            <w:r w:rsidR="008827DD" w:rsidRPr="00C85B52">
              <w:rPr>
                <w:rFonts w:ascii="Arial" w:eastAsia="Times New Roman" w:hAnsi="Arial" w:cs="Arial"/>
                <w:i/>
                <w:iCs/>
                <w:color w:val="000000"/>
                <w:sz w:val="16"/>
                <w:szCs w:val="16"/>
                <w:lang w:eastAsia="en-GB"/>
              </w:rPr>
              <w:t>s</w:t>
            </w:r>
          </w:p>
        </w:tc>
        <w:tc>
          <w:tcPr>
            <w:tcW w:w="0" w:type="auto"/>
            <w:tcBorders>
              <w:top w:val="nil"/>
              <w:left w:val="nil"/>
              <w:bottom w:val="single" w:sz="12" w:space="0" w:color="auto"/>
              <w:right w:val="nil"/>
            </w:tcBorders>
            <w:shd w:val="clear" w:color="auto" w:fill="auto"/>
            <w:vAlign w:val="center"/>
            <w:hideMark/>
          </w:tcPr>
          <w:p w:rsidR="00D347FA" w:rsidRPr="00C85B52" w:rsidRDefault="00D347FA" w:rsidP="008B6453">
            <w:pPr>
              <w:keepNext/>
              <w:spacing w:after="0" w:line="240" w:lineRule="auto"/>
              <w:jc w:val="center"/>
              <w:rPr>
                <w:rFonts w:ascii="Arial" w:eastAsia="Times New Roman" w:hAnsi="Arial" w:cs="Arial"/>
                <w:i/>
                <w:iCs/>
                <w:color w:val="000000"/>
                <w:sz w:val="16"/>
                <w:szCs w:val="16"/>
                <w:lang w:eastAsia="en-GB"/>
              </w:rPr>
            </w:pPr>
            <w:r w:rsidRPr="00C85B52">
              <w:rPr>
                <w:rFonts w:ascii="Arial" w:eastAsia="Times New Roman" w:hAnsi="Arial" w:cs="Arial"/>
                <w:i/>
                <w:iCs/>
                <w:color w:val="000000"/>
                <w:sz w:val="16"/>
                <w:szCs w:val="16"/>
                <w:lang w:eastAsia="en-GB"/>
              </w:rPr>
              <w:t>Unweighted base</w:t>
            </w:r>
            <w:r w:rsidR="008827DD" w:rsidRPr="00C85B52">
              <w:rPr>
                <w:rFonts w:ascii="Arial" w:eastAsia="Times New Roman" w:hAnsi="Arial" w:cs="Arial"/>
                <w:i/>
                <w:iCs/>
                <w:color w:val="000000"/>
                <w:sz w:val="16"/>
                <w:szCs w:val="16"/>
                <w:lang w:eastAsia="en-GB"/>
              </w:rPr>
              <w:t>s</w:t>
            </w:r>
          </w:p>
        </w:tc>
      </w:tr>
      <w:tr w:rsidR="00D347FA" w:rsidRPr="00F22436" w:rsidTr="008B6453">
        <w:trPr>
          <w:trHeight w:val="283"/>
        </w:trPr>
        <w:tc>
          <w:tcPr>
            <w:tcW w:w="0" w:type="auto"/>
            <w:gridSpan w:val="7"/>
            <w:tcBorders>
              <w:top w:val="single" w:sz="12" w:space="0" w:color="auto"/>
              <w:left w:val="nil"/>
              <w:bottom w:val="single" w:sz="8" w:space="0" w:color="auto"/>
              <w:right w:val="nil"/>
            </w:tcBorders>
            <w:shd w:val="clear" w:color="auto" w:fill="auto"/>
            <w:vAlign w:val="center"/>
            <w:hideMark/>
          </w:tcPr>
          <w:p w:rsidR="00D347FA" w:rsidRPr="00F22436" w:rsidRDefault="00D347FA" w:rsidP="008B6453">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C85B52" w:rsidTr="008B6453">
        <w:trPr>
          <w:trHeight w:val="300"/>
        </w:trPr>
        <w:tc>
          <w:tcPr>
            <w:tcW w:w="0" w:type="auto"/>
            <w:tcBorders>
              <w:top w:val="nil"/>
              <w:left w:val="nil"/>
              <w:bottom w:val="nil"/>
              <w:right w:val="nil"/>
            </w:tcBorders>
            <w:shd w:val="clear" w:color="auto" w:fill="auto"/>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All</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23</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44</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3986</w:t>
            </w:r>
          </w:p>
        </w:tc>
        <w:tc>
          <w:tcPr>
            <w:tcW w:w="0" w:type="auto"/>
            <w:tcBorders>
              <w:top w:val="nil"/>
              <w:left w:val="nil"/>
              <w:bottom w:val="nil"/>
              <w:right w:val="nil"/>
            </w:tcBorders>
            <w:shd w:val="clear" w:color="auto" w:fill="auto"/>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3987</w:t>
            </w: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i/>
                <w:iCs/>
                <w:color w:val="000000"/>
                <w:sz w:val="20"/>
                <w:szCs w:val="20"/>
                <w:lang w:eastAsia="en-GB"/>
              </w:rPr>
            </w:pPr>
          </w:p>
        </w:tc>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jc w:val="right"/>
              <w:rPr>
                <w:rFonts w:eastAsia="Times New Roman" w:cstheme="minorHAnsi"/>
                <w:i/>
                <w:iCs/>
                <w:color w:val="000000"/>
                <w:sz w:val="20"/>
                <w:szCs w:val="20"/>
                <w:lang w:eastAsia="en-GB"/>
              </w:rPr>
            </w:pP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cstheme="minorHAnsi"/>
                <w:color w:val="000000"/>
                <w:sz w:val="20"/>
                <w:szCs w:val="20"/>
              </w:rPr>
              <w:t>SIMD quintile 1 (most deprived)</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21</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25</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37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586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566</w:t>
            </w: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cstheme="minorHAnsi"/>
                <w:color w:val="000000"/>
                <w:sz w:val="20"/>
                <w:szCs w:val="20"/>
              </w:rPr>
              <w:t>SIMD quintile 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1148</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1139</w:t>
            </w: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cstheme="minorHAnsi"/>
                <w:color w:val="000000"/>
                <w:sz w:val="20"/>
                <w:szCs w:val="20"/>
              </w:rPr>
              <w:t>SIMD quintile 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765</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767</w:t>
            </w: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cstheme="minorHAnsi"/>
                <w:color w:val="000000"/>
                <w:sz w:val="20"/>
                <w:szCs w:val="20"/>
              </w:rPr>
              <w:t>SIMD quintile 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48</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730</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742</w:t>
            </w:r>
          </w:p>
        </w:tc>
      </w:tr>
      <w:tr w:rsidR="00D347FA" w:rsidRPr="00C85B52" w:rsidTr="008B6453">
        <w:trPr>
          <w:trHeight w:val="300"/>
        </w:trPr>
        <w:tc>
          <w:tcPr>
            <w:tcW w:w="0" w:type="auto"/>
            <w:tcBorders>
              <w:top w:val="nil"/>
              <w:left w:val="nil"/>
              <w:bottom w:val="nil"/>
              <w:right w:val="nil"/>
            </w:tcBorders>
            <w:shd w:val="clear" w:color="auto" w:fill="auto"/>
            <w:noWrap/>
            <w:vAlign w:val="center"/>
            <w:hideMark/>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cstheme="minorHAnsi"/>
                <w:color w:val="000000"/>
                <w:sz w:val="20"/>
                <w:szCs w:val="20"/>
              </w:rPr>
              <w:t>SIMD quintile 5 (least deprived)</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18</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737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754</w:t>
            </w:r>
          </w:p>
        </w:tc>
      </w:tr>
      <w:tr w:rsidR="00317826" w:rsidRPr="00C85B52" w:rsidTr="008B6453">
        <w:trPr>
          <w:trHeight w:val="300"/>
        </w:trPr>
        <w:tc>
          <w:tcPr>
            <w:tcW w:w="0" w:type="auto"/>
            <w:tcBorders>
              <w:top w:val="nil"/>
              <w:left w:val="nil"/>
              <w:bottom w:val="nil"/>
              <w:right w:val="nil"/>
            </w:tcBorders>
            <w:shd w:val="clear" w:color="auto" w:fill="auto"/>
            <w:noWrap/>
            <w:vAlign w:val="center"/>
          </w:tcPr>
          <w:p w:rsidR="00317826" w:rsidRPr="00C85B52" w:rsidRDefault="00317826" w:rsidP="008B6453">
            <w:pPr>
              <w:keepNext/>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r>
      <w:tr w:rsidR="00D347FA" w:rsidRPr="00C85B52" w:rsidTr="008B6453">
        <w:trPr>
          <w:trHeight w:val="300"/>
        </w:trPr>
        <w:tc>
          <w:tcPr>
            <w:tcW w:w="0" w:type="auto"/>
            <w:tcBorders>
              <w:top w:val="nil"/>
              <w:left w:val="nil"/>
              <w:bottom w:val="nil"/>
              <w:right w:val="nil"/>
            </w:tcBorders>
            <w:shd w:val="clear" w:color="auto" w:fill="auto"/>
            <w:noWrap/>
            <w:vAlign w:val="center"/>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Eligible for free school meals</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36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660</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574</w:t>
            </w:r>
          </w:p>
        </w:tc>
      </w:tr>
      <w:tr w:rsidR="00D347FA" w:rsidRPr="00C85B52" w:rsidTr="008B6453">
        <w:trPr>
          <w:trHeight w:val="300"/>
        </w:trPr>
        <w:tc>
          <w:tcPr>
            <w:tcW w:w="0" w:type="auto"/>
            <w:tcBorders>
              <w:top w:val="nil"/>
              <w:left w:val="nil"/>
              <w:bottom w:val="nil"/>
              <w:right w:val="nil"/>
            </w:tcBorders>
            <w:shd w:val="clear" w:color="auto" w:fill="auto"/>
            <w:noWrap/>
            <w:vAlign w:val="center"/>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Not eligible for free school meals</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45</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3325</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3413</w:t>
            </w:r>
          </w:p>
        </w:tc>
      </w:tr>
      <w:tr w:rsidR="00317826" w:rsidRPr="00C85B52" w:rsidTr="008B6453">
        <w:trPr>
          <w:trHeight w:val="300"/>
        </w:trPr>
        <w:tc>
          <w:tcPr>
            <w:tcW w:w="0" w:type="auto"/>
            <w:tcBorders>
              <w:top w:val="nil"/>
              <w:left w:val="nil"/>
              <w:bottom w:val="nil"/>
              <w:right w:val="nil"/>
            </w:tcBorders>
            <w:shd w:val="clear" w:color="auto" w:fill="auto"/>
            <w:noWrap/>
            <w:vAlign w:val="center"/>
          </w:tcPr>
          <w:p w:rsidR="00317826" w:rsidRPr="00C85B52" w:rsidRDefault="00317826" w:rsidP="008B6453">
            <w:pPr>
              <w:keepNext/>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r>
      <w:tr w:rsidR="00D347FA" w:rsidRPr="00C85B52" w:rsidTr="008B6453">
        <w:trPr>
          <w:trHeight w:val="300"/>
        </w:trPr>
        <w:tc>
          <w:tcPr>
            <w:tcW w:w="0" w:type="auto"/>
            <w:tcBorders>
              <w:top w:val="nil"/>
              <w:left w:val="nil"/>
              <w:bottom w:val="nil"/>
              <w:right w:val="nil"/>
            </w:tcBorders>
            <w:shd w:val="clear" w:color="auto" w:fill="auto"/>
            <w:noWrap/>
            <w:vAlign w:val="center"/>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No siblings</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19</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1232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1223</w:t>
            </w:r>
          </w:p>
        </w:tc>
      </w:tr>
      <w:tr w:rsidR="00D347FA" w:rsidRPr="00C85B52" w:rsidTr="008B6453">
        <w:trPr>
          <w:trHeight w:val="300"/>
        </w:trPr>
        <w:tc>
          <w:tcPr>
            <w:tcW w:w="0" w:type="auto"/>
            <w:tcBorders>
              <w:top w:val="nil"/>
              <w:left w:val="nil"/>
              <w:bottom w:val="nil"/>
              <w:right w:val="nil"/>
            </w:tcBorders>
            <w:shd w:val="clear" w:color="auto" w:fill="auto"/>
            <w:noWrap/>
            <w:vAlign w:val="center"/>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One sibling</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15</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23</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1497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1518</w:t>
            </w:r>
          </w:p>
        </w:tc>
      </w:tr>
      <w:tr w:rsidR="00D347FA" w:rsidRPr="00C85B52" w:rsidTr="008B6453">
        <w:trPr>
          <w:trHeight w:val="300"/>
        </w:trPr>
        <w:tc>
          <w:tcPr>
            <w:tcW w:w="0" w:type="auto"/>
            <w:tcBorders>
              <w:top w:val="nil"/>
              <w:left w:val="nil"/>
              <w:bottom w:val="nil"/>
              <w:right w:val="nil"/>
            </w:tcBorders>
            <w:shd w:val="clear" w:color="auto" w:fill="auto"/>
            <w:noWrap/>
            <w:vAlign w:val="center"/>
          </w:tcPr>
          <w:p w:rsidR="00D347FA" w:rsidRPr="00C85B52" w:rsidRDefault="00D347FA"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Two or more siblings</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24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42</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color w:val="000000"/>
                <w:sz w:val="20"/>
                <w:szCs w:val="20"/>
              </w:rPr>
            </w:pPr>
            <w:r w:rsidRPr="00C85B52">
              <w:rPr>
                <w:rFonts w:cstheme="minorHAnsi"/>
                <w:color w:val="000000"/>
                <w:sz w:val="20"/>
                <w:szCs w:val="20"/>
              </w:rPr>
              <w:t>16</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1244</w:t>
            </w:r>
          </w:p>
        </w:tc>
        <w:tc>
          <w:tcPr>
            <w:tcW w:w="0" w:type="auto"/>
            <w:tcBorders>
              <w:top w:val="nil"/>
              <w:left w:val="nil"/>
              <w:bottom w:val="nil"/>
              <w:right w:val="nil"/>
            </w:tcBorders>
            <w:shd w:val="clear" w:color="auto" w:fill="auto"/>
            <w:noWrap/>
            <w:vAlign w:val="center"/>
          </w:tcPr>
          <w:p w:rsidR="00D347FA" w:rsidRPr="00C85B52" w:rsidRDefault="00D347FA" w:rsidP="008B6453">
            <w:pPr>
              <w:spacing w:after="0" w:line="240" w:lineRule="auto"/>
              <w:jc w:val="right"/>
              <w:rPr>
                <w:rFonts w:cstheme="minorHAnsi"/>
                <w:i/>
                <w:iCs/>
                <w:color w:val="000000"/>
                <w:sz w:val="20"/>
                <w:szCs w:val="20"/>
              </w:rPr>
            </w:pPr>
            <w:r w:rsidRPr="00C85B52">
              <w:rPr>
                <w:rFonts w:cstheme="minorHAnsi"/>
                <w:i/>
                <w:iCs/>
                <w:color w:val="000000"/>
                <w:sz w:val="20"/>
                <w:szCs w:val="20"/>
              </w:rPr>
              <w:t>1234</w:t>
            </w:r>
          </w:p>
        </w:tc>
      </w:tr>
      <w:tr w:rsidR="00317826" w:rsidRPr="00C85B52" w:rsidTr="008B6453">
        <w:trPr>
          <w:trHeight w:val="300"/>
        </w:trPr>
        <w:tc>
          <w:tcPr>
            <w:tcW w:w="0" w:type="auto"/>
            <w:tcBorders>
              <w:top w:val="nil"/>
              <w:left w:val="nil"/>
              <w:bottom w:val="nil"/>
              <w:right w:val="nil"/>
            </w:tcBorders>
            <w:shd w:val="clear" w:color="auto" w:fill="auto"/>
            <w:noWrap/>
            <w:vAlign w:val="center"/>
          </w:tcPr>
          <w:p w:rsidR="00317826" w:rsidRPr="00C85B52" w:rsidRDefault="00317826" w:rsidP="008B6453">
            <w:pPr>
              <w:keepNext/>
              <w:spacing w:after="0" w:line="240" w:lineRule="auto"/>
              <w:rPr>
                <w:rFonts w:eastAsia="Times New Roman" w:cstheme="minorHAnsi"/>
                <w:color w:val="000000"/>
                <w:sz w:val="20"/>
                <w:szCs w:val="20"/>
                <w:lang w:eastAsia="en-GB"/>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p>
        </w:tc>
      </w:tr>
      <w:tr w:rsidR="00317826" w:rsidRPr="00C85B52" w:rsidTr="008B6453">
        <w:trPr>
          <w:trHeight w:val="300"/>
        </w:trPr>
        <w:tc>
          <w:tcPr>
            <w:tcW w:w="0" w:type="auto"/>
            <w:tcBorders>
              <w:top w:val="nil"/>
              <w:left w:val="nil"/>
              <w:bottom w:val="nil"/>
              <w:right w:val="nil"/>
            </w:tcBorders>
            <w:shd w:val="clear" w:color="auto" w:fill="auto"/>
            <w:noWrap/>
            <w:vAlign w:val="center"/>
            <w:hideMark/>
          </w:tcPr>
          <w:p w:rsidR="00317826" w:rsidRPr="00C85B52" w:rsidRDefault="00317826"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Two parent household</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14</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23</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46</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17</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sidRPr="00C85B52">
              <w:rPr>
                <w:rFonts w:cstheme="minorHAnsi"/>
                <w:i/>
                <w:iCs/>
                <w:color w:val="000000"/>
                <w:sz w:val="20"/>
                <w:szCs w:val="20"/>
              </w:rPr>
              <w:t>2701</w:t>
            </w:r>
          </w:p>
        </w:tc>
        <w:tc>
          <w:tcPr>
            <w:tcW w:w="0" w:type="auto"/>
            <w:tcBorders>
              <w:top w:val="nil"/>
              <w:left w:val="nil"/>
              <w:bottom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sidRPr="00C85B52">
              <w:rPr>
                <w:rFonts w:cstheme="minorHAnsi"/>
                <w:i/>
                <w:iCs/>
                <w:color w:val="000000"/>
                <w:sz w:val="20"/>
                <w:szCs w:val="20"/>
              </w:rPr>
              <w:t>2735</w:t>
            </w:r>
          </w:p>
        </w:tc>
      </w:tr>
      <w:tr w:rsidR="00317826" w:rsidRPr="00C85B52" w:rsidTr="008B6453">
        <w:trPr>
          <w:trHeight w:val="300"/>
        </w:trPr>
        <w:tc>
          <w:tcPr>
            <w:tcW w:w="0" w:type="auto"/>
            <w:tcBorders>
              <w:top w:val="nil"/>
              <w:left w:val="nil"/>
              <w:right w:val="nil"/>
            </w:tcBorders>
            <w:shd w:val="clear" w:color="auto" w:fill="auto"/>
            <w:noWrap/>
            <w:vAlign w:val="center"/>
            <w:hideMark/>
          </w:tcPr>
          <w:p w:rsidR="00317826" w:rsidRPr="00C85B52" w:rsidRDefault="00317826"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One parent household</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22</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26</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38</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sidRPr="00C85B52">
              <w:rPr>
                <w:rFonts w:cstheme="minorHAnsi"/>
                <w:color w:val="000000"/>
                <w:sz w:val="20"/>
                <w:szCs w:val="20"/>
              </w:rPr>
              <w:t>14</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sidRPr="00C85B52">
              <w:rPr>
                <w:rFonts w:cstheme="minorHAnsi"/>
                <w:i/>
                <w:iCs/>
                <w:color w:val="000000"/>
                <w:sz w:val="20"/>
                <w:szCs w:val="20"/>
              </w:rPr>
              <w:t>703</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sidRPr="00C85B52">
              <w:rPr>
                <w:rFonts w:cstheme="minorHAnsi"/>
                <w:i/>
                <w:iCs/>
                <w:color w:val="000000"/>
                <w:sz w:val="20"/>
                <w:szCs w:val="20"/>
              </w:rPr>
              <w:t>678</w:t>
            </w:r>
          </w:p>
        </w:tc>
      </w:tr>
      <w:tr w:rsidR="00317826" w:rsidRPr="00C85B52" w:rsidTr="008B6453">
        <w:trPr>
          <w:trHeight w:val="300"/>
        </w:trPr>
        <w:tc>
          <w:tcPr>
            <w:tcW w:w="0" w:type="auto"/>
            <w:tcBorders>
              <w:top w:val="nil"/>
              <w:left w:val="nil"/>
              <w:right w:val="nil"/>
            </w:tcBorders>
            <w:shd w:val="clear" w:color="auto" w:fill="auto"/>
            <w:noWrap/>
            <w:vAlign w:val="center"/>
            <w:hideMark/>
          </w:tcPr>
          <w:p w:rsidR="00317826" w:rsidRPr="00C85B52" w:rsidRDefault="00317826" w:rsidP="008B6453">
            <w:pPr>
              <w:keepNext/>
              <w:spacing w:after="0" w:line="240" w:lineRule="auto"/>
              <w:rPr>
                <w:rFonts w:eastAsia="Times New Roman" w:cstheme="minorHAnsi"/>
                <w:color w:val="000000"/>
                <w:sz w:val="20"/>
                <w:szCs w:val="20"/>
                <w:lang w:eastAsia="en-GB"/>
              </w:rPr>
            </w:pPr>
            <w:r w:rsidRPr="00C85B52">
              <w:rPr>
                <w:rFonts w:eastAsia="Times New Roman" w:cstheme="minorHAnsi"/>
                <w:color w:val="000000"/>
                <w:sz w:val="20"/>
                <w:szCs w:val="20"/>
                <w:lang w:eastAsia="en-GB"/>
              </w:rPr>
              <w:t>Step-family</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Pr>
                <w:rFonts w:cstheme="minorHAnsi"/>
                <w:color w:val="000000"/>
                <w:sz w:val="20"/>
                <w:szCs w:val="20"/>
              </w:rPr>
              <w:t>20</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Pr>
                <w:rFonts w:cstheme="minorHAnsi"/>
                <w:color w:val="000000"/>
                <w:sz w:val="20"/>
                <w:szCs w:val="20"/>
              </w:rPr>
              <w:t>21</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Pr>
                <w:rFonts w:cstheme="minorHAnsi"/>
                <w:color w:val="000000"/>
                <w:sz w:val="20"/>
                <w:szCs w:val="20"/>
              </w:rPr>
              <w:t>41</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color w:val="000000"/>
                <w:sz w:val="20"/>
                <w:szCs w:val="20"/>
              </w:rPr>
            </w:pPr>
            <w:r>
              <w:rPr>
                <w:rFonts w:cstheme="minorHAnsi"/>
                <w:color w:val="000000"/>
                <w:sz w:val="20"/>
                <w:szCs w:val="20"/>
              </w:rPr>
              <w:t>18</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Pr>
                <w:rFonts w:cstheme="minorHAnsi"/>
                <w:i/>
                <w:iCs/>
                <w:color w:val="000000"/>
                <w:sz w:val="20"/>
                <w:szCs w:val="20"/>
              </w:rPr>
              <w:t>469</w:t>
            </w:r>
          </w:p>
        </w:tc>
        <w:tc>
          <w:tcPr>
            <w:tcW w:w="0" w:type="auto"/>
            <w:tcBorders>
              <w:top w:val="nil"/>
              <w:left w:val="nil"/>
              <w:right w:val="nil"/>
            </w:tcBorders>
            <w:shd w:val="clear" w:color="auto" w:fill="auto"/>
            <w:noWrap/>
            <w:vAlign w:val="center"/>
          </w:tcPr>
          <w:p w:rsidR="00317826" w:rsidRPr="00C85B52" w:rsidRDefault="00317826" w:rsidP="008B6453">
            <w:pPr>
              <w:spacing w:after="0" w:line="240" w:lineRule="auto"/>
              <w:jc w:val="right"/>
              <w:rPr>
                <w:rFonts w:cstheme="minorHAnsi"/>
                <w:i/>
                <w:iCs/>
                <w:color w:val="000000"/>
                <w:sz w:val="20"/>
                <w:szCs w:val="20"/>
              </w:rPr>
            </w:pPr>
            <w:r>
              <w:rPr>
                <w:rFonts w:cstheme="minorHAnsi"/>
                <w:i/>
                <w:iCs/>
                <w:color w:val="000000"/>
                <w:sz w:val="20"/>
                <w:szCs w:val="20"/>
              </w:rPr>
              <w:t>465</w:t>
            </w:r>
          </w:p>
        </w:tc>
      </w:tr>
      <w:tr w:rsidR="00317826" w:rsidRPr="00F22436" w:rsidTr="008B6453">
        <w:trPr>
          <w:trHeight w:val="227"/>
        </w:trPr>
        <w:tc>
          <w:tcPr>
            <w:tcW w:w="0" w:type="auto"/>
            <w:tcBorders>
              <w:top w:val="nil"/>
              <w:left w:val="nil"/>
              <w:bottom w:val="single" w:sz="12" w:space="0" w:color="auto"/>
              <w:right w:val="nil"/>
            </w:tcBorders>
            <w:shd w:val="clear" w:color="auto" w:fill="auto"/>
            <w:noWrap/>
            <w:vAlign w:val="bottom"/>
          </w:tcPr>
          <w:p w:rsidR="00317826" w:rsidRPr="00F22436" w:rsidRDefault="00317826"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Pr="00F22436" w:rsidRDefault="00317826"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Pr="00F22436" w:rsidRDefault="00317826"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Pr="00F22436" w:rsidRDefault="00317826"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Pr="00F22436" w:rsidRDefault="00317826"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Default="00317826" w:rsidP="008B6453">
            <w:pPr>
              <w:keepNext/>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317826" w:rsidRDefault="00317826" w:rsidP="008B6453">
            <w:pPr>
              <w:keepNext/>
              <w:spacing w:after="0" w:line="240" w:lineRule="auto"/>
              <w:jc w:val="right"/>
              <w:rPr>
                <w:rFonts w:ascii="Arial" w:eastAsia="Times New Roman" w:hAnsi="Arial" w:cs="Arial"/>
                <w:i/>
                <w:iCs/>
                <w:color w:val="000000"/>
                <w:sz w:val="20"/>
                <w:szCs w:val="20"/>
                <w:lang w:eastAsia="en-GB"/>
              </w:rPr>
            </w:pP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Heading3"/>
        <w:spacing w:line="276" w:lineRule="auto"/>
      </w:pPr>
      <w:bookmarkStart w:id="130" w:name="_Toc478636831"/>
      <w:bookmarkStart w:id="131" w:name="_Toc479456966"/>
      <w:bookmarkStart w:id="132" w:name="_Toc494182083"/>
      <w:r>
        <w:t>Peer relationships and friendships</w:t>
      </w:r>
      <w:bookmarkEnd w:id="130"/>
      <w:bookmarkEnd w:id="131"/>
      <w:bookmarkEnd w:id="132"/>
    </w:p>
    <w:p w:rsidR="00D347FA" w:rsidRDefault="00D347FA" w:rsidP="00D347FA">
      <w:pPr>
        <w:pStyle w:val="Heading3"/>
        <w:numPr>
          <w:ilvl w:val="0"/>
          <w:numId w:val="0"/>
        </w:numPr>
        <w:spacing w:line="276" w:lineRule="auto"/>
        <w:ind w:left="851" w:hanging="851"/>
      </w:pPr>
      <w:bookmarkStart w:id="133" w:name="_Toc478636832"/>
      <w:bookmarkStart w:id="134" w:name="_Toc479456967"/>
      <w:bookmarkStart w:id="135" w:name="_Toc494182084"/>
      <w:r w:rsidRPr="000233C9">
        <w:rPr>
          <w:color w:val="auto"/>
        </w:rPr>
        <w:t>Friend</w:t>
      </w:r>
      <w:r>
        <w:t>ships</w:t>
      </w:r>
      <w:bookmarkEnd w:id="133"/>
      <w:r>
        <w:t xml:space="preserve"> (Included, Respected)</w:t>
      </w:r>
      <w:bookmarkEnd w:id="134"/>
      <w:bookmarkEnd w:id="135"/>
    </w:p>
    <w:p w:rsidR="00D347FA" w:rsidRDefault="00D347FA" w:rsidP="00D347FA">
      <w:pPr>
        <w:pStyle w:val="BodyCopy"/>
        <w:spacing w:line="276" w:lineRule="auto"/>
      </w:pPr>
      <w:r>
        <w:t>Children in P5 to P7 were asked how often their friends are nice to them and how often they are mean to them. Overall, half of children (50%) said their f</w:t>
      </w:r>
      <w:r w:rsidR="00B36FDF">
        <w:t>riends were always nice to them</w:t>
      </w:r>
      <w:r>
        <w:t xml:space="preserve"> and a further 31% that they were often nice. Only 2% said friends were always mean, and a further 7% said</w:t>
      </w:r>
      <w:r w:rsidR="008827DD">
        <w:t xml:space="preserve"> they were</w:t>
      </w:r>
      <w:r>
        <w:t xml:space="preserve"> often</w:t>
      </w:r>
      <w:r w:rsidR="008827DD">
        <w:t xml:space="preserve"> mean</w:t>
      </w:r>
      <w:r>
        <w:t xml:space="preserve">. </w:t>
      </w:r>
    </w:p>
    <w:p w:rsidR="00D347FA" w:rsidRDefault="00D347FA" w:rsidP="00D347FA">
      <w:pPr>
        <w:pStyle w:val="BodyCopy"/>
        <w:spacing w:line="276" w:lineRule="auto"/>
      </w:pPr>
    </w:p>
    <w:tbl>
      <w:tblPr>
        <w:tblW w:w="8804" w:type="dxa"/>
        <w:tblInd w:w="93" w:type="dxa"/>
        <w:tblLayout w:type="fixed"/>
        <w:tblLook w:val="04A0" w:firstRow="1" w:lastRow="0" w:firstColumn="1" w:lastColumn="0" w:noHBand="0" w:noVBand="1"/>
      </w:tblPr>
      <w:tblGrid>
        <w:gridCol w:w="2142"/>
        <w:gridCol w:w="979"/>
        <w:gridCol w:w="800"/>
        <w:gridCol w:w="773"/>
        <w:gridCol w:w="850"/>
        <w:gridCol w:w="992"/>
        <w:gridCol w:w="993"/>
        <w:gridCol w:w="60"/>
        <w:gridCol w:w="1215"/>
      </w:tblGrid>
      <w:tr w:rsidR="00D347FA" w:rsidRPr="00681D01" w:rsidTr="008B6453">
        <w:trPr>
          <w:trHeight w:val="340"/>
        </w:trPr>
        <w:tc>
          <w:tcPr>
            <w:tcW w:w="8804" w:type="dxa"/>
            <w:gridSpan w:val="9"/>
            <w:tcBorders>
              <w:top w:val="single" w:sz="12" w:space="0" w:color="auto"/>
              <w:left w:val="nil"/>
              <w:bottom w:val="nil"/>
              <w:right w:val="nil"/>
            </w:tcBorders>
            <w:shd w:val="clear" w:color="auto" w:fill="auto"/>
            <w:hideMark/>
          </w:tcPr>
          <w:p w:rsidR="00D347FA" w:rsidRPr="00681D01" w:rsidRDefault="00D347FA" w:rsidP="008B6453">
            <w:pPr>
              <w:keepNext/>
              <w:spacing w:after="0" w:line="240" w:lineRule="auto"/>
              <w:rPr>
                <w:rFonts w:ascii="Arial" w:eastAsia="Times New Roman" w:hAnsi="Arial" w:cs="Arial"/>
                <w:b/>
                <w:bCs/>
                <w:color w:val="000000"/>
                <w:sz w:val="20"/>
                <w:szCs w:val="20"/>
                <w:lang w:eastAsia="en-GB"/>
              </w:rPr>
            </w:pPr>
            <w:r w:rsidRPr="00681D01">
              <w:rPr>
                <w:rFonts w:ascii="Arial" w:eastAsia="Times New Roman" w:hAnsi="Arial" w:cs="Arial"/>
                <w:b/>
                <w:bCs/>
                <w:color w:val="000000"/>
                <w:sz w:val="20"/>
                <w:szCs w:val="20"/>
                <w:lang w:eastAsia="en-GB"/>
              </w:rPr>
              <w:t xml:space="preserve">Table </w:t>
            </w:r>
            <w:r>
              <w:rPr>
                <w:rFonts w:ascii="Arial" w:eastAsia="Times New Roman" w:hAnsi="Arial" w:cs="Arial"/>
                <w:b/>
                <w:bCs/>
                <w:color w:val="000000"/>
                <w:sz w:val="20"/>
                <w:szCs w:val="20"/>
                <w:lang w:eastAsia="en-GB"/>
              </w:rPr>
              <w:t>3.3.3a</w:t>
            </w:r>
            <w:r w:rsidRPr="00681D01">
              <w:rPr>
                <w:rFonts w:ascii="Arial" w:eastAsia="Times New Roman" w:hAnsi="Arial" w:cs="Arial"/>
                <w:b/>
                <w:bCs/>
                <w:color w:val="000000"/>
                <w:sz w:val="20"/>
                <w:szCs w:val="20"/>
                <w:lang w:eastAsia="en-GB"/>
              </w:rPr>
              <w:t xml:space="preserve"> Friends nice or mean</w:t>
            </w:r>
          </w:p>
        </w:tc>
      </w:tr>
      <w:tr w:rsidR="00D347FA" w:rsidRPr="00681D01" w:rsidTr="00661C4E">
        <w:trPr>
          <w:trHeight w:val="525"/>
        </w:trPr>
        <w:tc>
          <w:tcPr>
            <w:tcW w:w="2142"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p>
        </w:tc>
        <w:tc>
          <w:tcPr>
            <w:tcW w:w="979"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Always</w:t>
            </w:r>
          </w:p>
        </w:tc>
        <w:tc>
          <w:tcPr>
            <w:tcW w:w="800"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Often</w:t>
            </w:r>
          </w:p>
        </w:tc>
        <w:tc>
          <w:tcPr>
            <w:tcW w:w="773"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Some</w:t>
            </w:r>
            <w:r>
              <w:rPr>
                <w:rFonts w:ascii="Arial" w:eastAsia="Times New Roman" w:hAnsi="Arial" w:cs="Arial"/>
                <w:color w:val="000000"/>
                <w:sz w:val="20"/>
                <w:szCs w:val="20"/>
                <w:lang w:eastAsia="en-GB"/>
              </w:rPr>
              <w:t>-</w:t>
            </w:r>
            <w:r w:rsidRPr="00681D01">
              <w:rPr>
                <w:rFonts w:ascii="Arial" w:eastAsia="Times New Roman" w:hAnsi="Arial" w:cs="Arial"/>
                <w:color w:val="000000"/>
                <w:sz w:val="20"/>
                <w:szCs w:val="20"/>
                <w:lang w:eastAsia="en-GB"/>
              </w:rPr>
              <w:t>times</w:t>
            </w:r>
          </w:p>
        </w:tc>
        <w:tc>
          <w:tcPr>
            <w:tcW w:w="850"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Never</w:t>
            </w:r>
          </w:p>
        </w:tc>
        <w:tc>
          <w:tcPr>
            <w:tcW w:w="992" w:type="dxa"/>
            <w:tcBorders>
              <w:top w:val="nil"/>
              <w:left w:val="nil"/>
              <w:bottom w:val="single" w:sz="12" w:space="0" w:color="auto"/>
              <w:right w:val="nil"/>
            </w:tcBorders>
            <w:shd w:val="clear" w:color="auto" w:fill="auto"/>
            <w:vAlign w:val="center"/>
            <w:hideMark/>
          </w:tcPr>
          <w:p w:rsidR="00D347FA" w:rsidRPr="00681D01" w:rsidRDefault="00D347FA" w:rsidP="008B6453">
            <w:pPr>
              <w:keepNext/>
              <w:spacing w:after="0" w:line="240" w:lineRule="auto"/>
              <w:jc w:val="center"/>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I don't have any friends</w:t>
            </w:r>
          </w:p>
        </w:tc>
        <w:tc>
          <w:tcPr>
            <w:tcW w:w="993" w:type="dxa"/>
            <w:tcBorders>
              <w:top w:val="nil"/>
              <w:left w:val="nil"/>
              <w:bottom w:val="single" w:sz="12" w:space="0" w:color="auto"/>
              <w:right w:val="nil"/>
            </w:tcBorders>
            <w:shd w:val="clear" w:color="auto" w:fill="auto"/>
            <w:vAlign w:val="center"/>
            <w:hideMark/>
          </w:tcPr>
          <w:p w:rsidR="00D347FA" w:rsidRPr="00661C4E" w:rsidRDefault="00D347FA" w:rsidP="008B6453">
            <w:pPr>
              <w:keepNext/>
              <w:spacing w:after="0" w:line="240" w:lineRule="auto"/>
              <w:jc w:val="center"/>
              <w:rPr>
                <w:rFonts w:ascii="Arial" w:eastAsia="Times New Roman" w:hAnsi="Arial" w:cs="Arial"/>
                <w:i/>
                <w:iCs/>
                <w:color w:val="000000"/>
                <w:sz w:val="16"/>
                <w:szCs w:val="16"/>
                <w:lang w:eastAsia="en-GB"/>
              </w:rPr>
            </w:pPr>
            <w:r w:rsidRPr="00661C4E">
              <w:rPr>
                <w:rFonts w:ascii="Arial" w:eastAsia="Times New Roman" w:hAnsi="Arial" w:cs="Arial"/>
                <w:i/>
                <w:iCs/>
                <w:color w:val="000000"/>
                <w:sz w:val="16"/>
                <w:szCs w:val="16"/>
                <w:lang w:eastAsia="en-GB"/>
              </w:rPr>
              <w:t>Weighted base</w:t>
            </w:r>
            <w:r w:rsidR="008827DD" w:rsidRPr="00661C4E">
              <w:rPr>
                <w:rFonts w:ascii="Arial" w:eastAsia="Times New Roman" w:hAnsi="Arial" w:cs="Arial"/>
                <w:i/>
                <w:iCs/>
                <w:color w:val="000000"/>
                <w:sz w:val="16"/>
                <w:szCs w:val="16"/>
                <w:lang w:eastAsia="en-GB"/>
              </w:rPr>
              <w:t>s</w:t>
            </w:r>
          </w:p>
        </w:tc>
        <w:tc>
          <w:tcPr>
            <w:tcW w:w="1275" w:type="dxa"/>
            <w:gridSpan w:val="2"/>
            <w:tcBorders>
              <w:top w:val="nil"/>
              <w:left w:val="nil"/>
              <w:bottom w:val="single" w:sz="12" w:space="0" w:color="auto"/>
              <w:right w:val="nil"/>
            </w:tcBorders>
            <w:shd w:val="clear" w:color="auto" w:fill="auto"/>
            <w:vAlign w:val="center"/>
            <w:hideMark/>
          </w:tcPr>
          <w:p w:rsidR="00D347FA" w:rsidRPr="00661C4E" w:rsidRDefault="00D347FA" w:rsidP="008B6453">
            <w:pPr>
              <w:keepNext/>
              <w:spacing w:after="0" w:line="240" w:lineRule="auto"/>
              <w:jc w:val="center"/>
              <w:rPr>
                <w:rFonts w:ascii="Arial" w:eastAsia="Times New Roman" w:hAnsi="Arial" w:cs="Arial"/>
                <w:i/>
                <w:iCs/>
                <w:color w:val="000000"/>
                <w:sz w:val="16"/>
                <w:szCs w:val="16"/>
                <w:lang w:eastAsia="en-GB"/>
              </w:rPr>
            </w:pPr>
            <w:r w:rsidRPr="00661C4E">
              <w:rPr>
                <w:rFonts w:ascii="Arial" w:eastAsia="Times New Roman" w:hAnsi="Arial" w:cs="Arial"/>
                <w:i/>
                <w:iCs/>
                <w:color w:val="000000"/>
                <w:sz w:val="16"/>
                <w:szCs w:val="16"/>
                <w:lang w:eastAsia="en-GB"/>
              </w:rPr>
              <w:t>Unweighted base</w:t>
            </w:r>
            <w:r w:rsidR="008827DD" w:rsidRPr="00661C4E">
              <w:rPr>
                <w:rFonts w:ascii="Arial" w:eastAsia="Times New Roman" w:hAnsi="Arial" w:cs="Arial"/>
                <w:i/>
                <w:iCs/>
                <w:color w:val="000000"/>
                <w:sz w:val="16"/>
                <w:szCs w:val="16"/>
                <w:lang w:eastAsia="en-GB"/>
              </w:rPr>
              <w:t>s</w:t>
            </w:r>
          </w:p>
        </w:tc>
      </w:tr>
      <w:tr w:rsidR="00D347FA" w:rsidRPr="00681D01" w:rsidTr="008B6453">
        <w:trPr>
          <w:trHeight w:val="283"/>
        </w:trPr>
        <w:tc>
          <w:tcPr>
            <w:tcW w:w="8804" w:type="dxa"/>
            <w:gridSpan w:val="9"/>
            <w:tcBorders>
              <w:top w:val="single" w:sz="12" w:space="0" w:color="auto"/>
              <w:left w:val="nil"/>
              <w:bottom w:val="single" w:sz="8" w:space="0" w:color="auto"/>
              <w:right w:val="nil"/>
            </w:tcBorders>
            <w:shd w:val="clear" w:color="auto" w:fill="auto"/>
            <w:vAlign w:val="center"/>
            <w:hideMark/>
          </w:tcPr>
          <w:p w:rsidR="00D347FA" w:rsidRPr="00681D01" w:rsidRDefault="00D347FA" w:rsidP="008B6453">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681D01" w:rsidTr="008827DD">
        <w:trPr>
          <w:trHeight w:val="510"/>
        </w:trPr>
        <w:tc>
          <w:tcPr>
            <w:tcW w:w="2142" w:type="dxa"/>
            <w:tcBorders>
              <w:top w:val="nil"/>
              <w:left w:val="nil"/>
              <w:bottom w:val="nil"/>
              <w:right w:val="nil"/>
            </w:tcBorders>
            <w:shd w:val="clear" w:color="auto" w:fill="auto"/>
            <w:vAlign w:val="center"/>
            <w:hideMark/>
          </w:tcPr>
          <w:p w:rsidR="00D347FA" w:rsidRPr="00681D01" w:rsidRDefault="00D347FA" w:rsidP="008B6453">
            <w:pPr>
              <w:keepNext/>
              <w:spacing w:after="0" w:line="240" w:lineRule="auto"/>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How often are your friends nice to you?</w:t>
            </w:r>
          </w:p>
        </w:tc>
        <w:tc>
          <w:tcPr>
            <w:tcW w:w="979"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50</w:t>
            </w:r>
          </w:p>
        </w:tc>
        <w:tc>
          <w:tcPr>
            <w:tcW w:w="800"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31</w:t>
            </w:r>
          </w:p>
        </w:tc>
        <w:tc>
          <w:tcPr>
            <w:tcW w:w="773"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850"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992"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1053" w:type="dxa"/>
            <w:gridSpan w:val="2"/>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4112</w:t>
            </w:r>
          </w:p>
        </w:tc>
        <w:tc>
          <w:tcPr>
            <w:tcW w:w="1215" w:type="dxa"/>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4113</w:t>
            </w:r>
          </w:p>
        </w:tc>
      </w:tr>
      <w:tr w:rsidR="00D347FA" w:rsidRPr="00681D01" w:rsidTr="008B6453">
        <w:trPr>
          <w:trHeight w:val="510"/>
        </w:trPr>
        <w:tc>
          <w:tcPr>
            <w:tcW w:w="2142" w:type="dxa"/>
            <w:tcBorders>
              <w:top w:val="nil"/>
              <w:left w:val="nil"/>
              <w:right w:val="nil"/>
            </w:tcBorders>
            <w:shd w:val="clear" w:color="auto" w:fill="auto"/>
            <w:vAlign w:val="center"/>
            <w:hideMark/>
          </w:tcPr>
          <w:p w:rsidR="00D347FA" w:rsidRPr="00681D01" w:rsidRDefault="00D347FA" w:rsidP="008B6453">
            <w:pPr>
              <w:keepNext/>
              <w:spacing w:after="0" w:line="240" w:lineRule="auto"/>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How often are your friends mean to you?</w:t>
            </w:r>
          </w:p>
        </w:tc>
        <w:tc>
          <w:tcPr>
            <w:tcW w:w="979"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800"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773"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45</w:t>
            </w:r>
          </w:p>
        </w:tc>
        <w:tc>
          <w:tcPr>
            <w:tcW w:w="850"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992" w:type="dxa"/>
            <w:tcBorders>
              <w:top w:val="nil"/>
              <w:left w:val="nil"/>
              <w:right w:val="nil"/>
            </w:tcBorders>
            <w:shd w:val="clear" w:color="auto" w:fill="auto"/>
            <w:noWrap/>
            <w:vAlign w:val="center"/>
          </w:tcPr>
          <w:p w:rsidR="00D347FA" w:rsidRPr="00C85950" w:rsidRDefault="00D347FA" w:rsidP="008B6453">
            <w:pPr>
              <w:keepNext/>
              <w:spacing w:after="0"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N/A</w:t>
            </w:r>
          </w:p>
        </w:tc>
        <w:tc>
          <w:tcPr>
            <w:tcW w:w="1053" w:type="dxa"/>
            <w:gridSpan w:val="2"/>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4020</w:t>
            </w:r>
          </w:p>
        </w:tc>
        <w:tc>
          <w:tcPr>
            <w:tcW w:w="1215" w:type="dxa"/>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4024</w:t>
            </w:r>
          </w:p>
        </w:tc>
      </w:tr>
      <w:tr w:rsidR="00D347FA" w:rsidRPr="00681D01" w:rsidTr="008B6453">
        <w:trPr>
          <w:trHeight w:val="227"/>
        </w:trPr>
        <w:tc>
          <w:tcPr>
            <w:tcW w:w="2142"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979"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800"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773"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850"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992"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color w:val="000000"/>
                <w:sz w:val="20"/>
                <w:szCs w:val="20"/>
                <w:lang w:eastAsia="en-GB"/>
              </w:rPr>
            </w:pPr>
            <w:r w:rsidRPr="00681D01">
              <w:rPr>
                <w:rFonts w:ascii="Arial" w:eastAsia="Times New Roman" w:hAnsi="Arial" w:cs="Arial"/>
                <w:color w:val="000000"/>
                <w:sz w:val="20"/>
                <w:szCs w:val="20"/>
                <w:lang w:eastAsia="en-GB"/>
              </w:rPr>
              <w:t> </w:t>
            </w:r>
          </w:p>
        </w:tc>
        <w:tc>
          <w:tcPr>
            <w:tcW w:w="1053" w:type="dxa"/>
            <w:gridSpan w:val="2"/>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i/>
                <w:iCs/>
                <w:color w:val="000000"/>
                <w:sz w:val="20"/>
                <w:szCs w:val="20"/>
                <w:lang w:eastAsia="en-GB"/>
              </w:rPr>
            </w:pPr>
            <w:r w:rsidRPr="00681D01">
              <w:rPr>
                <w:rFonts w:ascii="Arial" w:eastAsia="Times New Roman" w:hAnsi="Arial" w:cs="Arial"/>
                <w:i/>
                <w:iCs/>
                <w:color w:val="000000"/>
                <w:sz w:val="20"/>
                <w:szCs w:val="20"/>
                <w:lang w:eastAsia="en-GB"/>
              </w:rPr>
              <w:t> </w:t>
            </w:r>
          </w:p>
        </w:tc>
        <w:tc>
          <w:tcPr>
            <w:tcW w:w="1215" w:type="dxa"/>
            <w:tcBorders>
              <w:top w:val="nil"/>
              <w:left w:val="nil"/>
              <w:bottom w:val="single" w:sz="12" w:space="0" w:color="auto"/>
              <w:right w:val="nil"/>
            </w:tcBorders>
            <w:shd w:val="clear" w:color="auto" w:fill="auto"/>
            <w:noWrap/>
            <w:vAlign w:val="bottom"/>
            <w:hideMark/>
          </w:tcPr>
          <w:p w:rsidR="00D347FA" w:rsidRPr="00681D01" w:rsidRDefault="00D347FA" w:rsidP="008B6453">
            <w:pPr>
              <w:spacing w:after="0" w:line="240" w:lineRule="auto"/>
              <w:jc w:val="right"/>
              <w:rPr>
                <w:rFonts w:ascii="Arial" w:eastAsia="Times New Roman" w:hAnsi="Arial" w:cs="Arial"/>
                <w:i/>
                <w:iCs/>
                <w:color w:val="000000"/>
                <w:sz w:val="20"/>
                <w:szCs w:val="20"/>
                <w:lang w:eastAsia="en-GB"/>
              </w:rPr>
            </w:pPr>
            <w:r w:rsidRPr="00681D01">
              <w:rPr>
                <w:rFonts w:ascii="Arial" w:eastAsia="Times New Roman" w:hAnsi="Arial" w:cs="Arial"/>
                <w:i/>
                <w:iCs/>
                <w:color w:val="000000"/>
                <w:sz w:val="20"/>
                <w:szCs w:val="20"/>
                <w:lang w:eastAsia="en-GB"/>
              </w:rPr>
              <w:t> </w:t>
            </w: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line="276" w:lineRule="auto"/>
      </w:pPr>
      <w:r>
        <w:lastRenderedPageBreak/>
        <w:t xml:space="preserve">There </w:t>
      </w:r>
      <w:r w:rsidR="008827DD">
        <w:t xml:space="preserve">were </w:t>
      </w:r>
      <w:r>
        <w:t>no significant difference</w:t>
      </w:r>
      <w:r w:rsidR="008827DD">
        <w:t>s</w:t>
      </w:r>
      <w:r>
        <w:t xml:space="preserve"> in either the prevalence of friends being nice or friends being mean to primary school children in Falkirk by any sub-group. </w:t>
      </w:r>
    </w:p>
    <w:p w:rsidR="00D347FA" w:rsidRDefault="00D347FA" w:rsidP="00D347FA">
      <w:pPr>
        <w:pStyle w:val="BodyCopy"/>
        <w:spacing w:before="240" w:line="276" w:lineRule="auto"/>
      </w:pPr>
      <w:r>
        <w:t xml:space="preserve">There were, however, </w:t>
      </w:r>
      <w:r w:rsidR="008827DD">
        <w:t xml:space="preserve">a range of </w:t>
      </w:r>
      <w:r>
        <w:t>factors significantly associated with the number of close friends children had. A majority of children in P5 to P7 (61%) said they had three or more close friends, 23% two, 13% one and 3% none</w:t>
      </w:r>
      <w:r w:rsidR="008827DD">
        <w:t xml:space="preserve"> with</w:t>
      </w:r>
      <w:r>
        <w:t xml:space="preserve"> </w:t>
      </w:r>
      <w:r w:rsidR="008827DD">
        <w:t>c</w:t>
      </w:r>
      <w:r w:rsidRPr="00447447">
        <w:t xml:space="preserve">hildren in P7 </w:t>
      </w:r>
      <w:r w:rsidR="008827DD">
        <w:t>being</w:t>
      </w:r>
      <w:r w:rsidRPr="00447447">
        <w:t xml:space="preserve"> less likely to </w:t>
      </w:r>
      <w:r>
        <w:t>have one or no close friends (14</w:t>
      </w:r>
      <w:r w:rsidRPr="00447447">
        <w:t>%) tha</w:t>
      </w:r>
      <w:r>
        <w:t xml:space="preserve">n those in P5 </w:t>
      </w:r>
      <w:r w:rsidR="00317826">
        <w:t xml:space="preserve">(18%) </w:t>
      </w:r>
      <w:r>
        <w:t>and P6 (17%</w:t>
      </w:r>
      <w:r w:rsidRPr="00447447">
        <w:t xml:space="preserve">). </w:t>
      </w:r>
    </w:p>
    <w:p w:rsidR="00D347FA" w:rsidRDefault="00D347FA" w:rsidP="00D347FA">
      <w:pPr>
        <w:pStyle w:val="BodyCopy"/>
        <w:spacing w:before="240" w:line="276" w:lineRule="auto"/>
      </w:pPr>
      <w:r w:rsidRPr="00447447">
        <w:t>Children in the most deprived quintile were more likely to report having one or no friends (</w:t>
      </w:r>
      <w:r w:rsidR="00317826">
        <w:t>19</w:t>
      </w:r>
      <w:r w:rsidRPr="00447447">
        <w:t>%) than those in the least deprived quintile (</w:t>
      </w:r>
      <w:r>
        <w:t>14%)</w:t>
      </w:r>
      <w:r w:rsidRPr="00447447">
        <w:t>.</w:t>
      </w:r>
      <w:r>
        <w:t xml:space="preserve"> </w:t>
      </w:r>
      <w:r w:rsidRPr="00447447">
        <w:t>The proportion who said they had no close friend</w:t>
      </w:r>
      <w:r w:rsidR="004757E3">
        <w:t>s,</w:t>
      </w:r>
      <w:r w:rsidRPr="00447447">
        <w:t xml:space="preserve"> </w:t>
      </w:r>
      <w:r w:rsidR="004757E3" w:rsidRPr="00447447">
        <w:t>or just one</w:t>
      </w:r>
      <w:r w:rsidR="004757E3">
        <w:t>,</w:t>
      </w:r>
      <w:r w:rsidR="004757E3" w:rsidRPr="00447447">
        <w:t xml:space="preserve"> </w:t>
      </w:r>
      <w:r w:rsidRPr="00447447">
        <w:t xml:space="preserve">was higher for those </w:t>
      </w:r>
      <w:r>
        <w:t>eligible for free school</w:t>
      </w:r>
      <w:r w:rsidRPr="00447447">
        <w:t xml:space="preserve"> meals (</w:t>
      </w:r>
      <w:r>
        <w:t>22%) than other children (1</w:t>
      </w:r>
      <w:r w:rsidR="00317826">
        <w:t>5</w:t>
      </w:r>
      <w:r w:rsidRPr="00447447">
        <w:t xml:space="preserve">%), </w:t>
      </w:r>
      <w:r>
        <w:t xml:space="preserve">and </w:t>
      </w:r>
      <w:r w:rsidRPr="00447447">
        <w:t>higher for those wit</w:t>
      </w:r>
      <w:r>
        <w:t>h an additional support need (24%</w:t>
      </w:r>
      <w:r w:rsidR="00C62146">
        <w:t>)</w:t>
      </w:r>
      <w:r>
        <w:t xml:space="preserve"> compared with those without </w:t>
      </w:r>
      <w:r w:rsidR="00C62146">
        <w:t>(</w:t>
      </w:r>
      <w:r>
        <w:t xml:space="preserve">15%) </w:t>
      </w:r>
      <w:r w:rsidR="00C62146">
        <w:t>and those</w:t>
      </w:r>
      <w:r>
        <w:t xml:space="preserve"> in receipt of children’s services (22% of those in receipt compared with 16% of those who were not).</w:t>
      </w:r>
      <w:r w:rsidRPr="00447447">
        <w:t xml:space="preserve"> </w:t>
      </w:r>
    </w:p>
    <w:p w:rsidR="00D347FA" w:rsidRDefault="00D347FA" w:rsidP="00D347FA">
      <w:pPr>
        <w:pStyle w:val="BodyCopy"/>
        <w:spacing w:before="240" w:line="276" w:lineRule="auto"/>
      </w:pPr>
      <w:r w:rsidRPr="00447447">
        <w:t>Children with no siblings were more likely to report having one or no friends (</w:t>
      </w:r>
      <w:r>
        <w:t>18%) than</w:t>
      </w:r>
      <w:r w:rsidRPr="00447447">
        <w:t xml:space="preserve"> those with</w:t>
      </w:r>
      <w:r>
        <w:t xml:space="preserve"> one or two or more siblings (1</w:t>
      </w:r>
      <w:r w:rsidR="00CE7314">
        <w:t>5</w:t>
      </w:r>
      <w:r>
        <w:t>% and 17 % respectively</w:t>
      </w:r>
      <w:r w:rsidRPr="00447447">
        <w:t>). Those in single</w:t>
      </w:r>
      <w:r w:rsidR="00C62146">
        <w:t xml:space="preserve"> </w:t>
      </w:r>
      <w:r w:rsidRPr="00447447">
        <w:t xml:space="preserve">parent households were more likely to have one or </w:t>
      </w:r>
      <w:r w:rsidR="00CE7314">
        <w:t>no friends (22</w:t>
      </w:r>
      <w:r w:rsidRPr="00447447">
        <w:t>%) than those in two</w:t>
      </w:r>
      <w:r w:rsidR="0004381B">
        <w:t xml:space="preserve"> </w:t>
      </w:r>
      <w:r w:rsidRPr="00447447">
        <w:t>pare</w:t>
      </w:r>
      <w:r>
        <w:t xml:space="preserve">nt </w:t>
      </w:r>
      <w:r w:rsidR="00C62146">
        <w:t xml:space="preserve">households </w:t>
      </w:r>
      <w:r>
        <w:t>or step-</w:t>
      </w:r>
      <w:r w:rsidR="00C62146">
        <w:t>families</w:t>
      </w:r>
      <w:r w:rsidR="0004381B">
        <w:t xml:space="preserve"> </w:t>
      </w:r>
      <w:r w:rsidR="00CE7314">
        <w:t>(15% and 16</w:t>
      </w:r>
      <w:r w:rsidRPr="00447447">
        <w:t>% respectively).</w:t>
      </w:r>
    </w:p>
    <w:p w:rsidR="00C5267A" w:rsidRDefault="00C5267A" w:rsidP="00C5267A">
      <w:pPr>
        <w:pStyle w:val="BodyCopy"/>
      </w:pPr>
    </w:p>
    <w:tbl>
      <w:tblPr>
        <w:tblW w:w="8687" w:type="dxa"/>
        <w:tblInd w:w="93" w:type="dxa"/>
        <w:tblLook w:val="04A0" w:firstRow="1" w:lastRow="0" w:firstColumn="1" w:lastColumn="0" w:noHBand="0" w:noVBand="1"/>
      </w:tblPr>
      <w:tblGrid>
        <w:gridCol w:w="3589"/>
        <w:gridCol w:w="695"/>
        <w:gridCol w:w="595"/>
        <w:gridCol w:w="594"/>
        <w:gridCol w:w="969"/>
        <w:gridCol w:w="1038"/>
        <w:gridCol w:w="1207"/>
      </w:tblGrid>
      <w:tr w:rsidR="00C5267A" w:rsidRPr="00C52421" w:rsidTr="00A075F8">
        <w:trPr>
          <w:trHeight w:val="340"/>
        </w:trPr>
        <w:tc>
          <w:tcPr>
            <w:tcW w:w="0" w:type="auto"/>
            <w:gridSpan w:val="7"/>
            <w:tcBorders>
              <w:top w:val="single" w:sz="12" w:space="0" w:color="auto"/>
              <w:left w:val="nil"/>
              <w:bottom w:val="nil"/>
              <w:right w:val="nil"/>
            </w:tcBorders>
            <w:shd w:val="clear" w:color="auto" w:fill="auto"/>
            <w:hideMark/>
          </w:tcPr>
          <w:p w:rsidR="00C5267A" w:rsidRPr="00C52421" w:rsidRDefault="00C5267A" w:rsidP="00A075F8">
            <w:pPr>
              <w:keepNext/>
              <w:spacing w:after="0" w:line="240" w:lineRule="auto"/>
              <w:rPr>
                <w:rFonts w:ascii="Arial" w:eastAsia="Times New Roman" w:hAnsi="Arial" w:cs="Arial"/>
                <w:b/>
                <w:bCs/>
                <w:color w:val="000000"/>
                <w:sz w:val="20"/>
                <w:szCs w:val="20"/>
                <w:lang w:eastAsia="en-GB"/>
              </w:rPr>
            </w:pPr>
            <w:r w:rsidRPr="00C52421">
              <w:rPr>
                <w:rFonts w:ascii="Arial" w:eastAsia="Times New Roman" w:hAnsi="Arial" w:cs="Arial"/>
                <w:b/>
                <w:bCs/>
                <w:color w:val="000000"/>
                <w:sz w:val="20"/>
                <w:szCs w:val="20"/>
                <w:lang w:eastAsia="en-GB"/>
              </w:rPr>
              <w:t xml:space="preserve">Table </w:t>
            </w:r>
            <w:r>
              <w:rPr>
                <w:rFonts w:ascii="Arial" w:eastAsia="Times New Roman" w:hAnsi="Arial" w:cs="Arial"/>
                <w:b/>
                <w:bCs/>
                <w:color w:val="000000"/>
                <w:sz w:val="20"/>
                <w:szCs w:val="20"/>
                <w:lang w:eastAsia="en-GB"/>
              </w:rPr>
              <w:t>3.3.3b</w:t>
            </w:r>
            <w:r w:rsidRPr="00C52421">
              <w:rPr>
                <w:rFonts w:ascii="Arial" w:eastAsia="Times New Roman" w:hAnsi="Arial" w:cs="Arial"/>
                <w:b/>
                <w:bCs/>
                <w:color w:val="000000"/>
                <w:sz w:val="20"/>
                <w:szCs w:val="20"/>
                <w:lang w:eastAsia="en-GB"/>
              </w:rPr>
              <w:t xml:space="preserve"> Number of close friends</w:t>
            </w:r>
          </w:p>
        </w:tc>
      </w:tr>
      <w:tr w:rsidR="00C5267A" w:rsidRPr="00C52421" w:rsidTr="00A075F8">
        <w:trPr>
          <w:trHeight w:val="567"/>
        </w:trPr>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How many close friends would you say you have?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None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One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Two</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Three or more</w:t>
            </w:r>
          </w:p>
        </w:tc>
        <w:tc>
          <w:tcPr>
            <w:tcW w:w="0" w:type="auto"/>
            <w:tcBorders>
              <w:top w:val="nil"/>
              <w:left w:val="nil"/>
              <w:bottom w:val="single" w:sz="12" w:space="0" w:color="auto"/>
              <w:right w:val="nil"/>
            </w:tcBorders>
            <w:shd w:val="clear" w:color="auto" w:fill="auto"/>
            <w:vAlign w:val="center"/>
            <w:hideMark/>
          </w:tcPr>
          <w:p w:rsidR="00C5267A" w:rsidRPr="006473A3" w:rsidRDefault="00C5267A" w:rsidP="00A075F8">
            <w:pPr>
              <w:keepNext/>
              <w:spacing w:after="0" w:line="240" w:lineRule="auto"/>
              <w:jc w:val="center"/>
              <w:rPr>
                <w:rFonts w:ascii="Arial" w:eastAsia="Times New Roman" w:hAnsi="Arial" w:cs="Arial"/>
                <w:i/>
                <w:iCs/>
                <w:color w:val="000000"/>
                <w:sz w:val="16"/>
                <w:szCs w:val="16"/>
                <w:lang w:eastAsia="en-GB"/>
              </w:rPr>
            </w:pPr>
            <w:r w:rsidRPr="006473A3">
              <w:rPr>
                <w:rFonts w:ascii="Arial" w:eastAsia="Times New Roman" w:hAnsi="Arial" w:cs="Arial"/>
                <w:i/>
                <w:iCs/>
                <w:color w:val="000000"/>
                <w:sz w:val="16"/>
                <w:szCs w:val="16"/>
                <w:lang w:eastAsia="en-GB"/>
              </w:rPr>
              <w:t>Weighted bases</w:t>
            </w:r>
          </w:p>
        </w:tc>
        <w:tc>
          <w:tcPr>
            <w:tcW w:w="0" w:type="auto"/>
            <w:tcBorders>
              <w:top w:val="nil"/>
              <w:left w:val="nil"/>
              <w:bottom w:val="single" w:sz="12" w:space="0" w:color="auto"/>
              <w:right w:val="nil"/>
            </w:tcBorders>
            <w:shd w:val="clear" w:color="auto" w:fill="auto"/>
            <w:vAlign w:val="center"/>
            <w:hideMark/>
          </w:tcPr>
          <w:p w:rsidR="00C5267A" w:rsidRPr="006473A3" w:rsidRDefault="00C5267A" w:rsidP="00A075F8">
            <w:pPr>
              <w:keepNext/>
              <w:spacing w:after="0" w:line="240" w:lineRule="auto"/>
              <w:jc w:val="center"/>
              <w:rPr>
                <w:rFonts w:ascii="Arial" w:eastAsia="Times New Roman" w:hAnsi="Arial" w:cs="Arial"/>
                <w:i/>
                <w:iCs/>
                <w:color w:val="000000"/>
                <w:sz w:val="16"/>
                <w:szCs w:val="16"/>
                <w:lang w:eastAsia="en-GB"/>
              </w:rPr>
            </w:pPr>
            <w:r w:rsidRPr="006473A3">
              <w:rPr>
                <w:rFonts w:ascii="Arial" w:eastAsia="Times New Roman" w:hAnsi="Arial" w:cs="Arial"/>
                <w:i/>
                <w:iCs/>
                <w:color w:val="000000"/>
                <w:sz w:val="16"/>
                <w:szCs w:val="16"/>
                <w:lang w:eastAsia="en-GB"/>
              </w:rPr>
              <w:t>Unweighted bases</w:t>
            </w:r>
          </w:p>
        </w:tc>
      </w:tr>
      <w:tr w:rsidR="00C5267A" w:rsidRPr="00C52421" w:rsidTr="00A075F8">
        <w:trPr>
          <w:trHeight w:val="283"/>
        </w:trPr>
        <w:tc>
          <w:tcPr>
            <w:tcW w:w="0" w:type="auto"/>
            <w:gridSpan w:val="7"/>
            <w:tcBorders>
              <w:top w:val="single" w:sz="12" w:space="0" w:color="auto"/>
              <w:left w:val="nil"/>
              <w:bottom w:val="single" w:sz="8" w:space="0" w:color="auto"/>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C5267A" w:rsidRPr="00C52421" w:rsidTr="00A075F8">
        <w:trPr>
          <w:trHeight w:val="300"/>
        </w:trPr>
        <w:tc>
          <w:tcPr>
            <w:tcW w:w="0" w:type="auto"/>
            <w:tcBorders>
              <w:top w:val="nil"/>
              <w:left w:val="nil"/>
              <w:bottom w:val="nil"/>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All</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4010</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4013</w:t>
            </w:r>
          </w:p>
        </w:tc>
      </w:tr>
      <w:tr w:rsidR="00C5267A" w:rsidRPr="00C52421" w:rsidTr="00A075F8">
        <w:trPr>
          <w:trHeight w:val="300"/>
        </w:trPr>
        <w:tc>
          <w:tcPr>
            <w:tcW w:w="0" w:type="auto"/>
            <w:tcBorders>
              <w:top w:val="nil"/>
              <w:left w:val="nil"/>
              <w:bottom w:val="nil"/>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P5</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60</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1394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1382</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P6</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60</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1273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1243</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P7</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1313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1358</w:t>
            </w:r>
          </w:p>
        </w:tc>
      </w:tr>
      <w:tr w:rsidR="00C5267A" w:rsidRPr="006231D8" w:rsidTr="00A075F8">
        <w:trPr>
          <w:trHeight w:val="300"/>
        </w:trPr>
        <w:tc>
          <w:tcPr>
            <w:tcW w:w="0" w:type="auto"/>
            <w:tcBorders>
              <w:top w:val="nil"/>
              <w:left w:val="nil"/>
              <w:bottom w:val="nil"/>
              <w:right w:val="nil"/>
            </w:tcBorders>
            <w:shd w:val="clear" w:color="auto" w:fill="auto"/>
            <w:vAlign w:val="center"/>
          </w:tcPr>
          <w:p w:rsidR="00C5267A" w:rsidRPr="006231D8"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SIMD quintile 1 (most deprived)</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26</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55</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590</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570</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SIMD quintile 2</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25</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57</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1157</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1148</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SIMD quintile 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758</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760</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SIMD quintile 4</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19</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67</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736</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748</w:t>
            </w:r>
          </w:p>
        </w:tc>
      </w:tr>
      <w:tr w:rsidR="00C5267A" w:rsidRPr="006231D8" w:rsidTr="00A075F8">
        <w:trPr>
          <w:trHeight w:val="300"/>
        </w:trPr>
        <w:tc>
          <w:tcPr>
            <w:tcW w:w="0" w:type="auto"/>
            <w:tcBorders>
              <w:top w:val="nil"/>
              <w:left w:val="nil"/>
              <w:bottom w:val="nil"/>
              <w:right w:val="nil"/>
            </w:tcBorders>
            <w:shd w:val="clear" w:color="auto" w:fill="auto"/>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SIMD quintile 5 (least deprived)</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65</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751</w:t>
            </w: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768</w:t>
            </w:r>
          </w:p>
        </w:tc>
      </w:tr>
      <w:tr w:rsidR="00C5267A" w:rsidRPr="006231D8" w:rsidTr="00A075F8">
        <w:trPr>
          <w:trHeight w:val="300"/>
        </w:trPr>
        <w:tc>
          <w:tcPr>
            <w:tcW w:w="0" w:type="auto"/>
            <w:tcBorders>
              <w:top w:val="nil"/>
              <w:left w:val="nil"/>
              <w:bottom w:val="nil"/>
              <w:right w:val="nil"/>
            </w:tcBorders>
            <w:shd w:val="clear" w:color="auto" w:fill="auto"/>
            <w:vAlign w:val="center"/>
          </w:tcPr>
          <w:p w:rsidR="00C5267A" w:rsidRPr="006231D8"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vAlign w:val="center"/>
          </w:tcPr>
          <w:p w:rsidR="00C5267A" w:rsidRDefault="00C5267A" w:rsidP="00A075F8">
            <w:pPr>
              <w:spacing w:after="0" w:line="240" w:lineRule="auto"/>
              <w:jc w:val="right"/>
              <w:rPr>
                <w:rFonts w:ascii="Arial" w:hAnsi="Arial" w:cs="Arial"/>
                <w:i/>
                <w:iCs/>
                <w:color w:val="000000"/>
                <w:sz w:val="20"/>
                <w:szCs w:val="20"/>
              </w:rPr>
            </w:pPr>
          </w:p>
        </w:tc>
      </w:tr>
      <w:tr w:rsidR="00C5267A" w:rsidRPr="00C52421" w:rsidTr="00C5267A">
        <w:trPr>
          <w:trHeight w:val="300"/>
        </w:trPr>
        <w:tc>
          <w:tcPr>
            <w:tcW w:w="0" w:type="auto"/>
            <w:tcBorders>
              <w:top w:val="nil"/>
              <w:left w:val="nil"/>
              <w:right w:val="nil"/>
            </w:tcBorders>
            <w:shd w:val="clear" w:color="auto" w:fill="auto"/>
            <w:noWrap/>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Eligible for free</w:t>
            </w:r>
            <w:r w:rsidRPr="00C52421">
              <w:rPr>
                <w:rFonts w:ascii="Arial" w:eastAsia="Times New Roman" w:hAnsi="Arial" w:cs="Arial"/>
                <w:color w:val="000000"/>
                <w:sz w:val="20"/>
                <w:szCs w:val="20"/>
                <w:lang w:eastAsia="en-GB"/>
              </w:rPr>
              <w:t xml:space="preserve"> school meals</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20</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58</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657</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571</w:t>
            </w:r>
          </w:p>
        </w:tc>
      </w:tr>
      <w:tr w:rsidR="00C5267A" w:rsidRPr="00C52421" w:rsidTr="00C5267A">
        <w:trPr>
          <w:trHeight w:val="300"/>
        </w:trPr>
        <w:tc>
          <w:tcPr>
            <w:tcW w:w="0" w:type="auto"/>
            <w:tcBorders>
              <w:top w:val="nil"/>
              <w:left w:val="nil"/>
              <w:bottom w:val="single" w:sz="12" w:space="0" w:color="auto"/>
              <w:right w:val="nil"/>
            </w:tcBorders>
            <w:shd w:val="clear" w:color="auto" w:fill="auto"/>
            <w:noWrap/>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 xml:space="preserve">Not </w:t>
            </w:r>
            <w:r>
              <w:rPr>
                <w:rFonts w:ascii="Arial" w:eastAsia="Times New Roman" w:hAnsi="Arial" w:cs="Arial"/>
                <w:color w:val="000000"/>
                <w:sz w:val="20"/>
                <w:szCs w:val="20"/>
                <w:lang w:eastAsia="en-GB"/>
              </w:rPr>
              <w:t>eligible for free school</w:t>
            </w:r>
            <w:r w:rsidRPr="00C52421">
              <w:rPr>
                <w:rFonts w:ascii="Arial" w:eastAsia="Times New Roman" w:hAnsi="Arial" w:cs="Arial"/>
                <w:color w:val="000000"/>
                <w:sz w:val="20"/>
                <w:szCs w:val="20"/>
                <w:lang w:eastAsia="en-GB"/>
              </w:rPr>
              <w:t xml:space="preserve"> meals</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3353</w:t>
            </w:r>
          </w:p>
        </w:tc>
        <w:tc>
          <w:tcPr>
            <w:tcW w:w="0" w:type="auto"/>
            <w:tcBorders>
              <w:top w:val="nil"/>
              <w:left w:val="nil"/>
              <w:bottom w:val="single" w:sz="12" w:space="0" w:color="auto"/>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3442</w:t>
            </w:r>
          </w:p>
        </w:tc>
      </w:tr>
      <w:tr w:rsidR="00C5267A" w:rsidRPr="00C52421" w:rsidTr="00A075F8">
        <w:trPr>
          <w:trHeight w:val="300"/>
        </w:trPr>
        <w:tc>
          <w:tcPr>
            <w:tcW w:w="0" w:type="auto"/>
            <w:tcBorders>
              <w:top w:val="single" w:sz="12" w:space="0" w:color="auto"/>
              <w:left w:val="nil"/>
              <w:bottom w:val="nil"/>
              <w:right w:val="nil"/>
            </w:tcBorders>
            <w:shd w:val="clear" w:color="auto" w:fill="auto"/>
            <w:noWrap/>
            <w:vAlign w:val="center"/>
          </w:tcPr>
          <w:p w:rsidR="00C5267A" w:rsidRPr="00C52421"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single" w:sz="12" w:space="0" w:color="auto"/>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gridSpan w:val="2"/>
            <w:tcBorders>
              <w:top w:val="single" w:sz="12" w:space="0" w:color="auto"/>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Continued…</w:t>
            </w:r>
          </w:p>
        </w:tc>
      </w:tr>
    </w:tbl>
    <w:p w:rsidR="00C5267A" w:rsidRDefault="00C5267A"/>
    <w:tbl>
      <w:tblPr>
        <w:tblW w:w="8687" w:type="dxa"/>
        <w:tblInd w:w="93" w:type="dxa"/>
        <w:tblLook w:val="04A0" w:firstRow="1" w:lastRow="0" w:firstColumn="1" w:lastColumn="0" w:noHBand="0" w:noVBand="1"/>
      </w:tblPr>
      <w:tblGrid>
        <w:gridCol w:w="3496"/>
        <w:gridCol w:w="695"/>
        <w:gridCol w:w="595"/>
        <w:gridCol w:w="594"/>
        <w:gridCol w:w="1010"/>
        <w:gridCol w:w="1064"/>
        <w:gridCol w:w="1233"/>
      </w:tblGrid>
      <w:tr w:rsidR="00C5267A" w:rsidRPr="00C52421" w:rsidTr="00A075F8">
        <w:trPr>
          <w:trHeight w:val="340"/>
        </w:trPr>
        <w:tc>
          <w:tcPr>
            <w:tcW w:w="0" w:type="auto"/>
            <w:gridSpan w:val="7"/>
            <w:tcBorders>
              <w:top w:val="single" w:sz="12" w:space="0" w:color="auto"/>
              <w:left w:val="nil"/>
              <w:bottom w:val="nil"/>
              <w:right w:val="nil"/>
            </w:tcBorders>
            <w:shd w:val="clear" w:color="auto" w:fill="auto"/>
            <w:hideMark/>
          </w:tcPr>
          <w:p w:rsidR="00C5267A" w:rsidRPr="00C52421" w:rsidRDefault="00C5267A" w:rsidP="00C5267A">
            <w:pPr>
              <w:keepNext/>
              <w:spacing w:after="0" w:line="240" w:lineRule="auto"/>
              <w:rPr>
                <w:rFonts w:ascii="Arial" w:eastAsia="Times New Roman" w:hAnsi="Arial" w:cs="Arial"/>
                <w:b/>
                <w:bCs/>
                <w:color w:val="000000"/>
                <w:sz w:val="20"/>
                <w:szCs w:val="20"/>
                <w:lang w:eastAsia="en-GB"/>
              </w:rPr>
            </w:pPr>
            <w:r w:rsidRPr="00C52421">
              <w:rPr>
                <w:rFonts w:ascii="Arial" w:eastAsia="Times New Roman" w:hAnsi="Arial" w:cs="Arial"/>
                <w:b/>
                <w:bCs/>
                <w:color w:val="000000"/>
                <w:sz w:val="20"/>
                <w:szCs w:val="20"/>
                <w:lang w:eastAsia="en-GB"/>
              </w:rPr>
              <w:lastRenderedPageBreak/>
              <w:t xml:space="preserve">Table </w:t>
            </w:r>
            <w:r>
              <w:rPr>
                <w:rFonts w:ascii="Arial" w:eastAsia="Times New Roman" w:hAnsi="Arial" w:cs="Arial"/>
                <w:b/>
                <w:bCs/>
                <w:color w:val="000000"/>
                <w:sz w:val="20"/>
                <w:szCs w:val="20"/>
                <w:lang w:eastAsia="en-GB"/>
              </w:rPr>
              <w:t>3.3.3b</w:t>
            </w:r>
            <w:r w:rsidRPr="00C52421">
              <w:rPr>
                <w:rFonts w:ascii="Arial" w:eastAsia="Times New Roman" w:hAnsi="Arial" w:cs="Arial"/>
                <w:b/>
                <w:bCs/>
                <w:color w:val="000000"/>
                <w:sz w:val="20"/>
                <w:szCs w:val="20"/>
                <w:lang w:eastAsia="en-GB"/>
              </w:rPr>
              <w:t xml:space="preserve"> </w:t>
            </w:r>
            <w:r>
              <w:rPr>
                <w:rFonts w:ascii="Arial" w:eastAsia="Times New Roman" w:hAnsi="Arial" w:cs="Arial"/>
                <w:b/>
                <w:bCs/>
                <w:color w:val="000000"/>
                <w:sz w:val="20"/>
                <w:szCs w:val="20"/>
                <w:lang w:eastAsia="en-GB"/>
              </w:rPr>
              <w:t>-</w:t>
            </w:r>
            <w:r w:rsidRPr="00C5267A">
              <w:rPr>
                <w:rFonts w:ascii="Arial" w:eastAsia="Times New Roman" w:hAnsi="Arial" w:cs="Arial"/>
                <w:b/>
                <w:bCs/>
                <w:i/>
                <w:color w:val="000000"/>
                <w:sz w:val="20"/>
                <w:szCs w:val="20"/>
                <w:lang w:eastAsia="en-GB"/>
              </w:rPr>
              <w:t xml:space="preserve"> Continued</w:t>
            </w:r>
          </w:p>
        </w:tc>
      </w:tr>
      <w:tr w:rsidR="00C5267A" w:rsidRPr="00C52421" w:rsidTr="00A075F8">
        <w:trPr>
          <w:trHeight w:val="567"/>
        </w:trPr>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How many close friends would you say you have?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None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One</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Two</w:t>
            </w:r>
          </w:p>
        </w:tc>
        <w:tc>
          <w:tcPr>
            <w:tcW w:w="0" w:type="auto"/>
            <w:tcBorders>
              <w:top w:val="nil"/>
              <w:left w:val="nil"/>
              <w:bottom w:val="single" w:sz="12" w:space="0" w:color="auto"/>
              <w:right w:val="nil"/>
            </w:tcBorders>
            <w:shd w:val="clear" w:color="auto" w:fill="auto"/>
            <w:vAlign w:val="center"/>
            <w:hideMark/>
          </w:tcPr>
          <w:p w:rsidR="00C5267A" w:rsidRPr="00C52421" w:rsidRDefault="00C5267A" w:rsidP="00A075F8">
            <w:pPr>
              <w:keepNext/>
              <w:spacing w:after="0" w:line="240" w:lineRule="auto"/>
              <w:jc w:val="center"/>
              <w:rPr>
                <w:rFonts w:ascii="Arial" w:eastAsia="Times New Roman" w:hAnsi="Arial" w:cs="Arial"/>
                <w:color w:val="000000"/>
                <w:sz w:val="20"/>
                <w:szCs w:val="20"/>
                <w:lang w:eastAsia="en-GB"/>
              </w:rPr>
            </w:pPr>
            <w:r w:rsidRPr="00C52421">
              <w:rPr>
                <w:rFonts w:ascii="Arial" w:eastAsia="Times New Roman" w:hAnsi="Arial" w:cs="Arial"/>
                <w:color w:val="000000"/>
                <w:sz w:val="20"/>
                <w:szCs w:val="20"/>
                <w:lang w:eastAsia="en-GB"/>
              </w:rPr>
              <w:t>Three or more</w:t>
            </w:r>
          </w:p>
        </w:tc>
        <w:tc>
          <w:tcPr>
            <w:tcW w:w="0" w:type="auto"/>
            <w:tcBorders>
              <w:top w:val="nil"/>
              <w:left w:val="nil"/>
              <w:bottom w:val="single" w:sz="12" w:space="0" w:color="auto"/>
              <w:right w:val="nil"/>
            </w:tcBorders>
            <w:shd w:val="clear" w:color="auto" w:fill="auto"/>
            <w:vAlign w:val="center"/>
            <w:hideMark/>
          </w:tcPr>
          <w:p w:rsidR="00C5267A" w:rsidRPr="006473A3" w:rsidRDefault="00C5267A" w:rsidP="00A075F8">
            <w:pPr>
              <w:keepNext/>
              <w:spacing w:after="0" w:line="240" w:lineRule="auto"/>
              <w:jc w:val="center"/>
              <w:rPr>
                <w:rFonts w:ascii="Arial" w:eastAsia="Times New Roman" w:hAnsi="Arial" w:cs="Arial"/>
                <w:i/>
                <w:iCs/>
                <w:color w:val="000000"/>
                <w:sz w:val="16"/>
                <w:szCs w:val="16"/>
                <w:lang w:eastAsia="en-GB"/>
              </w:rPr>
            </w:pPr>
            <w:r w:rsidRPr="006473A3">
              <w:rPr>
                <w:rFonts w:ascii="Arial" w:eastAsia="Times New Roman" w:hAnsi="Arial" w:cs="Arial"/>
                <w:i/>
                <w:iCs/>
                <w:color w:val="000000"/>
                <w:sz w:val="16"/>
                <w:szCs w:val="16"/>
                <w:lang w:eastAsia="en-GB"/>
              </w:rPr>
              <w:t>Weighted bases</w:t>
            </w:r>
          </w:p>
        </w:tc>
        <w:tc>
          <w:tcPr>
            <w:tcW w:w="0" w:type="auto"/>
            <w:tcBorders>
              <w:top w:val="nil"/>
              <w:left w:val="nil"/>
              <w:bottom w:val="single" w:sz="12" w:space="0" w:color="auto"/>
              <w:right w:val="nil"/>
            </w:tcBorders>
            <w:shd w:val="clear" w:color="auto" w:fill="auto"/>
            <w:vAlign w:val="center"/>
            <w:hideMark/>
          </w:tcPr>
          <w:p w:rsidR="00C5267A" w:rsidRPr="006473A3" w:rsidRDefault="00C5267A" w:rsidP="00A075F8">
            <w:pPr>
              <w:keepNext/>
              <w:spacing w:after="0" w:line="240" w:lineRule="auto"/>
              <w:jc w:val="center"/>
              <w:rPr>
                <w:rFonts w:ascii="Arial" w:eastAsia="Times New Roman" w:hAnsi="Arial" w:cs="Arial"/>
                <w:i/>
                <w:iCs/>
                <w:color w:val="000000"/>
                <w:sz w:val="16"/>
                <w:szCs w:val="16"/>
                <w:lang w:eastAsia="en-GB"/>
              </w:rPr>
            </w:pPr>
            <w:r w:rsidRPr="006473A3">
              <w:rPr>
                <w:rFonts w:ascii="Arial" w:eastAsia="Times New Roman" w:hAnsi="Arial" w:cs="Arial"/>
                <w:i/>
                <w:iCs/>
                <w:color w:val="000000"/>
                <w:sz w:val="16"/>
                <w:szCs w:val="16"/>
                <w:lang w:eastAsia="en-GB"/>
              </w:rPr>
              <w:t>Unweighted bases</w:t>
            </w:r>
          </w:p>
        </w:tc>
      </w:tr>
      <w:tr w:rsidR="00C5267A" w:rsidRPr="00C52421" w:rsidTr="00A075F8">
        <w:trPr>
          <w:trHeight w:val="283"/>
        </w:trPr>
        <w:tc>
          <w:tcPr>
            <w:tcW w:w="0" w:type="auto"/>
            <w:gridSpan w:val="7"/>
            <w:tcBorders>
              <w:top w:val="single" w:sz="12" w:space="0" w:color="auto"/>
              <w:left w:val="nil"/>
              <w:bottom w:val="single" w:sz="8" w:space="0" w:color="auto"/>
              <w:right w:val="nil"/>
            </w:tcBorders>
            <w:shd w:val="clear" w:color="auto" w:fill="auto"/>
            <w:vAlign w:val="center"/>
            <w:hideMark/>
          </w:tcPr>
          <w:p w:rsidR="00C5267A" w:rsidRPr="00C52421" w:rsidRDefault="00C5267A" w:rsidP="00A075F8">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C5267A" w:rsidRPr="00C52421" w:rsidTr="00A075F8">
        <w:trPr>
          <w:trHeight w:val="300"/>
        </w:trPr>
        <w:tc>
          <w:tcPr>
            <w:tcW w:w="0" w:type="auto"/>
            <w:tcBorders>
              <w:top w:val="nil"/>
              <w:left w:val="nil"/>
              <w:bottom w:val="nil"/>
              <w:right w:val="nil"/>
            </w:tcBorders>
            <w:shd w:val="clear" w:color="auto" w:fill="auto"/>
            <w:noWrap/>
            <w:vAlign w:val="center"/>
            <w:hideMark/>
          </w:tcPr>
          <w:p w:rsidR="00C5267A" w:rsidRPr="00C52421"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No siblings at home</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60</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1232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1223</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One sibling at home</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24</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1491</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1513</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Two or more siblings at home</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1238</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1228</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Default="00C5267A" w:rsidP="00A075F8">
            <w:pPr>
              <w:keepNext/>
              <w:spacing w:after="0" w:line="240" w:lineRule="auto"/>
              <w:rPr>
                <w:rFonts w:ascii="Arial" w:eastAsia="Times New Roman" w:hAnsi="Arial" w:cs="Arial"/>
                <w:color w:val="000000"/>
                <w:sz w:val="20"/>
                <w:szCs w:val="20"/>
                <w:lang w:eastAsia="en-GB"/>
              </w:rPr>
            </w:pPr>
          </w:p>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Two parent household</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2713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2747</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One parent household</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56</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692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668</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Step-family</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63</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458</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454</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Other household type</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21</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57</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77</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74</w:t>
            </w: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p>
        </w:tc>
      </w:tr>
      <w:tr w:rsidR="00C5267A" w:rsidRPr="006231D8" w:rsidTr="00A075F8">
        <w:trPr>
          <w:trHeight w:val="300"/>
        </w:trPr>
        <w:tc>
          <w:tcPr>
            <w:tcW w:w="0" w:type="auto"/>
            <w:tcBorders>
              <w:top w:val="nil"/>
              <w:left w:val="nil"/>
              <w:bottom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Additional support need</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22</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54</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750</w:t>
            </w:r>
          </w:p>
        </w:tc>
        <w:tc>
          <w:tcPr>
            <w:tcW w:w="0" w:type="auto"/>
            <w:tcBorders>
              <w:top w:val="nil"/>
              <w:left w:val="nil"/>
              <w:bottom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729</w:t>
            </w:r>
          </w:p>
        </w:tc>
      </w:tr>
      <w:tr w:rsidR="00C5267A" w:rsidRPr="006231D8" w:rsidTr="00A075F8">
        <w:trPr>
          <w:trHeight w:val="300"/>
        </w:trPr>
        <w:tc>
          <w:tcPr>
            <w:tcW w:w="0" w:type="auto"/>
            <w:tcBorders>
              <w:top w:val="nil"/>
              <w:left w:val="nil"/>
              <w:right w:val="nil"/>
            </w:tcBorders>
            <w:shd w:val="clear" w:color="auto" w:fill="auto"/>
            <w:noWrap/>
            <w:vAlign w:val="center"/>
            <w:hideMark/>
          </w:tcPr>
          <w:p w:rsidR="00C5267A" w:rsidRPr="006231D8" w:rsidRDefault="00C5267A" w:rsidP="00A075F8">
            <w:pPr>
              <w:keepNext/>
              <w:spacing w:after="0" w:line="240" w:lineRule="auto"/>
              <w:rPr>
                <w:rFonts w:ascii="Arial" w:eastAsia="Times New Roman" w:hAnsi="Arial" w:cs="Arial"/>
                <w:color w:val="000000"/>
                <w:sz w:val="20"/>
                <w:szCs w:val="20"/>
                <w:lang w:eastAsia="en-GB"/>
              </w:rPr>
            </w:pPr>
            <w:r w:rsidRPr="006231D8">
              <w:rPr>
                <w:rFonts w:ascii="Arial" w:eastAsia="Times New Roman" w:hAnsi="Arial" w:cs="Arial"/>
                <w:color w:val="000000"/>
                <w:sz w:val="20"/>
                <w:szCs w:val="20"/>
                <w:lang w:eastAsia="en-GB"/>
              </w:rPr>
              <w:t>No additional support need</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23</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color w:val="000000"/>
                <w:sz w:val="20"/>
                <w:szCs w:val="20"/>
              </w:rPr>
            </w:pPr>
            <w:r>
              <w:rPr>
                <w:rFonts w:ascii="Arial" w:hAnsi="Arial" w:cs="Arial"/>
                <w:color w:val="000000"/>
                <w:sz w:val="20"/>
                <w:szCs w:val="20"/>
              </w:rPr>
              <w:t>62</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3260</w:t>
            </w:r>
          </w:p>
        </w:tc>
        <w:tc>
          <w:tcPr>
            <w:tcW w:w="0" w:type="auto"/>
            <w:tcBorders>
              <w:top w:val="nil"/>
              <w:left w:val="nil"/>
              <w:right w:val="nil"/>
            </w:tcBorders>
            <w:shd w:val="clear" w:color="auto" w:fill="auto"/>
            <w:noWrap/>
            <w:vAlign w:val="center"/>
          </w:tcPr>
          <w:p w:rsidR="00C5267A" w:rsidRDefault="00C5267A" w:rsidP="00A075F8">
            <w:pPr>
              <w:spacing w:after="0" w:line="240" w:lineRule="auto"/>
              <w:jc w:val="right"/>
              <w:rPr>
                <w:rFonts w:ascii="Arial" w:hAnsi="Arial" w:cs="Arial"/>
                <w:i/>
                <w:iCs/>
                <w:color w:val="000000"/>
                <w:sz w:val="20"/>
                <w:szCs w:val="20"/>
              </w:rPr>
            </w:pPr>
            <w:r>
              <w:rPr>
                <w:rFonts w:ascii="Arial" w:hAnsi="Arial" w:cs="Arial"/>
                <w:i/>
                <w:iCs/>
                <w:color w:val="000000"/>
                <w:sz w:val="20"/>
                <w:szCs w:val="20"/>
              </w:rPr>
              <w:t>3284</w:t>
            </w:r>
          </w:p>
        </w:tc>
      </w:tr>
      <w:tr w:rsidR="00C5267A" w:rsidRPr="006231D8" w:rsidTr="00A075F8">
        <w:trPr>
          <w:trHeight w:val="227"/>
        </w:trPr>
        <w:tc>
          <w:tcPr>
            <w:tcW w:w="0" w:type="auto"/>
            <w:tcBorders>
              <w:top w:val="nil"/>
              <w:left w:val="nil"/>
              <w:bottom w:val="single" w:sz="12" w:space="0" w:color="auto"/>
              <w:right w:val="nil"/>
            </w:tcBorders>
            <w:shd w:val="clear" w:color="auto" w:fill="auto"/>
            <w:noWrap/>
            <w:vAlign w:val="center"/>
          </w:tcPr>
          <w:p w:rsidR="00C5267A" w:rsidRPr="006231D8" w:rsidRDefault="00C5267A" w:rsidP="00A075F8">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single" w:sz="12" w:space="0" w:color="auto"/>
              <w:right w:val="nil"/>
            </w:tcBorders>
            <w:shd w:val="clear" w:color="auto" w:fill="auto"/>
            <w:noWrap/>
            <w:vAlign w:val="bottom"/>
          </w:tcPr>
          <w:p w:rsidR="00C5267A" w:rsidRPr="006231D8" w:rsidRDefault="00C5267A" w:rsidP="00A075F8">
            <w:pPr>
              <w:keepNext/>
              <w:spacing w:after="0" w:line="240" w:lineRule="auto"/>
              <w:jc w:val="right"/>
              <w:rPr>
                <w:rFonts w:ascii="Arial" w:eastAsia="Times New Roman" w:hAnsi="Arial" w:cs="Arial"/>
                <w:i/>
                <w:iCs/>
                <w:color w:val="000000"/>
                <w:sz w:val="20"/>
                <w:szCs w:val="20"/>
                <w:lang w:eastAsia="en-GB"/>
              </w:rPr>
            </w:pPr>
          </w:p>
        </w:tc>
      </w:tr>
    </w:tbl>
    <w:p w:rsidR="00D347FA" w:rsidRPr="00A018E9" w:rsidRDefault="00D347FA" w:rsidP="00D347FA">
      <w:pPr>
        <w:pStyle w:val="BodyCopy"/>
        <w:spacing w:after="200" w:line="276" w:lineRule="auto"/>
        <w:rPr>
          <w:i/>
          <w:sz w:val="18"/>
          <w:szCs w:val="18"/>
        </w:rPr>
      </w:pPr>
      <w:bookmarkStart w:id="136" w:name="_Toc478636833"/>
      <w:bookmarkStart w:id="137" w:name="_Toc479456968"/>
      <w:r w:rsidRPr="00A018E9">
        <w:rPr>
          <w:i/>
          <w:sz w:val="18"/>
          <w:szCs w:val="18"/>
        </w:rPr>
        <w:t xml:space="preserve">Source: RCS </w:t>
      </w:r>
      <w:r>
        <w:rPr>
          <w:i/>
          <w:sz w:val="18"/>
          <w:szCs w:val="18"/>
        </w:rPr>
        <w:t>primary school survey, Falkirk, 2016/17</w:t>
      </w:r>
    </w:p>
    <w:p w:rsidR="00D347FA" w:rsidRDefault="00D347FA" w:rsidP="00D347FA">
      <w:pPr>
        <w:pStyle w:val="Heading3"/>
        <w:numPr>
          <w:ilvl w:val="0"/>
          <w:numId w:val="0"/>
        </w:numPr>
        <w:spacing w:line="276" w:lineRule="auto"/>
        <w:ind w:left="851" w:hanging="851"/>
      </w:pPr>
      <w:bookmarkStart w:id="138" w:name="_Toc494182085"/>
      <w:r w:rsidRPr="000A224D">
        <w:rPr>
          <w:color w:val="auto"/>
        </w:rPr>
        <w:t>Bullyi</w:t>
      </w:r>
      <w:r w:rsidRPr="000A224D">
        <w:t>ng</w:t>
      </w:r>
      <w:bookmarkEnd w:id="136"/>
      <w:r w:rsidRPr="000A224D">
        <w:t xml:space="preserve"> (Safe, Included, Respected, Responsible)</w:t>
      </w:r>
      <w:bookmarkEnd w:id="137"/>
      <w:bookmarkEnd w:id="138"/>
    </w:p>
    <w:p w:rsidR="00D347FA" w:rsidRDefault="00D347FA" w:rsidP="00D347FA">
      <w:pPr>
        <w:pStyle w:val="BodyCopy"/>
        <w:spacing w:before="240" w:line="276" w:lineRule="auto"/>
      </w:pPr>
      <w:r>
        <w:t xml:space="preserve">As part of the primary </w:t>
      </w:r>
      <w:r w:rsidR="008A0959">
        <w:t xml:space="preserve">school </w:t>
      </w:r>
      <w:r>
        <w:t>survey, pupils in P5 to P7 were asked how often, if at all, they are bullied by other children at school and what types of bullying they experience</w:t>
      </w:r>
      <w:r w:rsidR="008A0959">
        <w:t>d</w:t>
      </w:r>
      <w:r>
        <w:t xml:space="preserve">. </w:t>
      </w:r>
    </w:p>
    <w:p w:rsidR="00D347FA" w:rsidRDefault="00D347FA" w:rsidP="00D347FA">
      <w:pPr>
        <w:pStyle w:val="BodyCopy"/>
        <w:spacing w:before="240" w:line="276" w:lineRule="auto"/>
      </w:pPr>
      <w:r>
        <w:t xml:space="preserve">Over half (56%) said that they were picked on at least sometimes by being called names, or made fun of, in a way they did </w:t>
      </w:r>
      <w:r w:rsidRPr="005A4CF5">
        <w:t>n</w:t>
      </w:r>
      <w:r>
        <w:t>o</w:t>
      </w:r>
      <w:r w:rsidRPr="005A4CF5">
        <w:t>t like</w:t>
      </w:r>
      <w:r>
        <w:t xml:space="preserve">, and over one in ten (14%) said this happened on most days. Similar proportions (49%) were left out of games and chats (12% on most days). </w:t>
      </w:r>
    </w:p>
    <w:p w:rsidR="00D347FA" w:rsidRDefault="00D347FA" w:rsidP="00D347FA">
      <w:pPr>
        <w:pStyle w:val="BodyCopy"/>
        <w:spacing w:before="240" w:line="276" w:lineRule="auto"/>
      </w:pPr>
      <w:r>
        <w:t xml:space="preserve">There was a physical dimension to bullying for 39% of pupils who said they were </w:t>
      </w:r>
      <w:r w:rsidR="000A224D">
        <w:t xml:space="preserve">picked on by someone </w:t>
      </w:r>
      <w:r>
        <w:t>push</w:t>
      </w:r>
      <w:r w:rsidR="000A224D">
        <w:t>ing</w:t>
      </w:r>
      <w:r>
        <w:t>, shov</w:t>
      </w:r>
      <w:r w:rsidR="000A224D">
        <w:t>ing or</w:t>
      </w:r>
      <w:r>
        <w:t xml:space="preserve"> hit</w:t>
      </w:r>
      <w:r w:rsidR="000A224D">
        <w:t>ting them</w:t>
      </w:r>
      <w:r>
        <w:t xml:space="preserve"> or pick</w:t>
      </w:r>
      <w:r w:rsidR="000A224D">
        <w:t>ing</w:t>
      </w:r>
      <w:r>
        <w:t xml:space="preserve"> a fight </w:t>
      </w:r>
      <w:r w:rsidR="000A224D">
        <w:t xml:space="preserve">with them </w:t>
      </w:r>
      <w:r>
        <w:t xml:space="preserve">at least sometimes (8% on most days). </w:t>
      </w:r>
    </w:p>
    <w:p w:rsidR="00D347FA" w:rsidRDefault="00D347FA" w:rsidP="00D347FA">
      <w:pPr>
        <w:pStyle w:val="BodyCopy"/>
        <w:spacing w:before="240" w:line="276" w:lineRule="auto"/>
      </w:pPr>
      <w:r>
        <w:t>Interestingly, given the prominence given to concerns about cyber-bu</w:t>
      </w:r>
      <w:r w:rsidR="00CE7314">
        <w:t>llying, a smaller proportion (16</w:t>
      </w:r>
      <w:r>
        <w:t xml:space="preserve">%) said they were picked on through the sending of emails, text messages, or something being posted online (4% on most days). </w:t>
      </w:r>
    </w:p>
    <w:p w:rsidR="00D347FA" w:rsidRDefault="00D347FA" w:rsidP="00D347FA">
      <w:pPr>
        <w:pStyle w:val="BodyCopy"/>
        <w:spacing w:before="240" w:line="276" w:lineRule="auto"/>
      </w:pPr>
      <w:r>
        <w:rPr>
          <w:noProof/>
        </w:rPr>
        <w:lastRenderedPageBreak/>
        <w:drawing>
          <wp:inline distT="0" distB="0" distL="0" distR="0" wp14:anchorId="703DCDC4" wp14:editId="0E0BC5C0">
            <wp:extent cx="5400675" cy="3629278"/>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w:t>
      </w:r>
      <w:r w:rsidR="00CE7314">
        <w:rPr>
          <w:i/>
          <w:sz w:val="18"/>
          <w:szCs w:val="18"/>
        </w:rPr>
        <w:t xml:space="preserve"> </w:t>
      </w:r>
      <w:r>
        <w:rPr>
          <w:i/>
          <w:sz w:val="18"/>
          <w:szCs w:val="18"/>
        </w:rPr>
        <w:t>2017</w:t>
      </w:r>
    </w:p>
    <w:p w:rsidR="00D347FA" w:rsidRDefault="00D347FA" w:rsidP="00D347FA">
      <w:pPr>
        <w:pStyle w:val="BodyCopy"/>
        <w:spacing w:before="240" w:line="276" w:lineRule="auto"/>
      </w:pPr>
      <w:r>
        <w:t xml:space="preserve">These questions were </w:t>
      </w:r>
      <w:r w:rsidR="004757E3">
        <w:t xml:space="preserve">combined </w:t>
      </w:r>
      <w:r>
        <w:t>to form a scale, with 31% being identified as being bullied more often than average, 27% average</w:t>
      </w:r>
      <w:r w:rsidR="004613CC">
        <w:rPr>
          <w:rStyle w:val="EndnoteReference"/>
        </w:rPr>
        <w:endnoteReference w:id="30"/>
      </w:r>
      <w:r>
        <w:t xml:space="preserve">, and 42% very rarely if at all. </w:t>
      </w:r>
      <w:r w:rsidR="004757E3">
        <w:t>Further details of this scale are provided in the appendix.</w:t>
      </w:r>
    </w:p>
    <w:p w:rsidR="00D347FA" w:rsidRDefault="00D347FA" w:rsidP="00D347FA">
      <w:pPr>
        <w:pStyle w:val="BodyCopy"/>
        <w:spacing w:before="240" w:line="276" w:lineRule="auto"/>
      </w:pPr>
      <w:r>
        <w:t xml:space="preserve">Younger primary children were more likely than older ones to report higher levels of bullying – 35% of those in P5 and 31% P6 doing so, compared with 27% in P7. Boys also experienced higher levels of bullying than girls (33% compared with 29%). </w:t>
      </w:r>
    </w:p>
    <w:p w:rsidR="00D347FA" w:rsidRDefault="00D347FA" w:rsidP="00D347FA">
      <w:pPr>
        <w:pStyle w:val="BodyCopy"/>
        <w:spacing w:before="240" w:line="276" w:lineRule="auto"/>
      </w:pPr>
      <w:r w:rsidRPr="006B58B2">
        <w:t xml:space="preserve">Those </w:t>
      </w:r>
      <w:r w:rsidR="00B435A7">
        <w:t>eligible for</w:t>
      </w:r>
      <w:r w:rsidR="00B435A7" w:rsidRPr="006B58B2">
        <w:t xml:space="preserve"> </w:t>
      </w:r>
      <w:r w:rsidRPr="006B58B2">
        <w:t>free school meals were also more likely to repo</w:t>
      </w:r>
      <w:r>
        <w:t>rt</w:t>
      </w:r>
      <w:r w:rsidR="000A224D">
        <w:t xml:space="preserve"> higher levels of bullying (39%)</w:t>
      </w:r>
      <w:r>
        <w:t xml:space="preserve"> compared with </w:t>
      </w:r>
      <w:r w:rsidRPr="006B58B2">
        <w:t>other chil</w:t>
      </w:r>
      <w:r>
        <w:t>dren</w:t>
      </w:r>
      <w:r w:rsidR="000A224D">
        <w:t xml:space="preserve"> (30%</w:t>
      </w:r>
      <w:r>
        <w:t>). Children with no siblings or two or more siblings (34</w:t>
      </w:r>
      <w:r w:rsidRPr="006B58B2">
        <w:t>%</w:t>
      </w:r>
      <w:r>
        <w:t xml:space="preserve"> and 33% respectively</w:t>
      </w:r>
      <w:r w:rsidRPr="006B58B2">
        <w:t>) reported more bullying than</w:t>
      </w:r>
      <w:r>
        <w:t xml:space="preserve"> those with just one sibling (27</w:t>
      </w:r>
      <w:r w:rsidRPr="006B58B2">
        <w:t>%). Those</w:t>
      </w:r>
      <w:r>
        <w:t xml:space="preserve"> in </w:t>
      </w:r>
      <w:r w:rsidR="000A224D">
        <w:t xml:space="preserve">one </w:t>
      </w:r>
      <w:r>
        <w:t xml:space="preserve">parent households and step-families (both 37%) </w:t>
      </w:r>
      <w:r w:rsidRPr="006B58B2">
        <w:t>also reported higher levels of bullying than t</w:t>
      </w:r>
      <w:r>
        <w:t>hose in two</w:t>
      </w:r>
      <w:r w:rsidR="000A224D">
        <w:t xml:space="preserve"> </w:t>
      </w:r>
      <w:r>
        <w:t>parent households (28%</w:t>
      </w:r>
      <w:r w:rsidRPr="006B58B2">
        <w:t xml:space="preserve">). </w:t>
      </w:r>
    </w:p>
    <w:p w:rsidR="00D347FA" w:rsidRDefault="00D347FA" w:rsidP="00D347FA">
      <w:pPr>
        <w:pStyle w:val="BodyCopy"/>
        <w:spacing w:before="240" w:line="276" w:lineRule="auto"/>
      </w:pPr>
      <w:r w:rsidRPr="006B58B2">
        <w:t>Children with an additional support need were also more likely to experien</w:t>
      </w:r>
      <w:r>
        <w:t xml:space="preserve">ce higher levels of bullying (41%) than others (29%), as were those in receipt of children’s services (39% compared with 31% of those who were not in receipt). </w:t>
      </w:r>
    </w:p>
    <w:p w:rsidR="00D347FA" w:rsidRDefault="00D347FA" w:rsidP="00D347FA">
      <w:pPr>
        <w:pStyle w:val="BodyCopy"/>
        <w:spacing w:before="240" w:line="276" w:lineRule="auto"/>
      </w:pPr>
      <w:r w:rsidRPr="006B58B2">
        <w:t>There was also a relationship between area deprivation and exper</w:t>
      </w:r>
      <w:r>
        <w:t>iences of being bullied, with 36</w:t>
      </w:r>
      <w:r w:rsidRPr="006B58B2">
        <w:t>% of those in the most deprived quintile reportin</w:t>
      </w:r>
      <w:r>
        <w:t>g high levels of bullying and 26</w:t>
      </w:r>
      <w:r w:rsidRPr="006B58B2">
        <w:t>% of those in the least deprived quintile reporting the same</w:t>
      </w:r>
      <w:r>
        <w:t>, with these levels increasing as area deprivation increased</w:t>
      </w:r>
      <w:r w:rsidRPr="006B58B2">
        <w:t>.</w:t>
      </w:r>
    </w:p>
    <w:p w:rsidR="00D347FA" w:rsidRPr="00955ABC" w:rsidRDefault="00D347FA" w:rsidP="00D347FA">
      <w:pPr>
        <w:rPr>
          <w:lang w:eastAsia="en-GB"/>
        </w:rPr>
      </w:pPr>
    </w:p>
    <w:p w:rsidR="00D347FA" w:rsidRDefault="00D347FA" w:rsidP="00D347FA">
      <w:pPr>
        <w:rPr>
          <w:lang w:eastAsia="en-GB"/>
        </w:rPr>
      </w:pPr>
      <w:r>
        <w:rPr>
          <w:noProof/>
          <w:lang w:eastAsia="en-GB"/>
        </w:rPr>
        <w:lastRenderedPageBreak/>
        <w:drawing>
          <wp:inline distT="0" distB="0" distL="0" distR="0" wp14:anchorId="74AE1FA7" wp14:editId="57013FC1">
            <wp:extent cx="5400675" cy="362486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47FA"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before="240" w:line="276" w:lineRule="auto"/>
      </w:pPr>
      <w:r>
        <w:t>Primary pupils were also asked how often, if at all, they bully other children. Most (81%) said they never hit kicked or punched other children at school, and the same proportion (81%) said they were never mean to other children at school or called them hurtful names.</w:t>
      </w:r>
    </w:p>
    <w:p w:rsidR="00D347FA" w:rsidRDefault="00D347FA" w:rsidP="00D347FA">
      <w:pPr>
        <w:pStyle w:val="BodyCopy"/>
        <w:spacing w:before="240" w:line="276" w:lineRule="auto"/>
      </w:pPr>
      <w:r>
        <w:t xml:space="preserve">Boys were </w:t>
      </w:r>
      <w:r w:rsidR="006933D4">
        <w:t xml:space="preserve">nearly four times as </w:t>
      </w:r>
      <w:r>
        <w:t xml:space="preserve">likely </w:t>
      </w:r>
      <w:r w:rsidR="006933D4">
        <w:t>as</w:t>
      </w:r>
      <w:r>
        <w:t xml:space="preserve"> girls to say they hit other children at least sometimes (30% and 8% respectively) or </w:t>
      </w:r>
      <w:r w:rsidR="000B4348">
        <w:t xml:space="preserve">that they are </w:t>
      </w:r>
      <w:r w:rsidR="00CE7314">
        <w:t>ever mean to other children (26% and 11</w:t>
      </w:r>
      <w:r>
        <w:t xml:space="preserve">%). Those who lived in the most deprived </w:t>
      </w:r>
      <w:r w:rsidR="006933D4">
        <w:t xml:space="preserve">quintile </w:t>
      </w:r>
      <w:r>
        <w:t xml:space="preserve">were more likely to </w:t>
      </w:r>
      <w:r w:rsidR="006933D4">
        <w:t>say they had hit someone</w:t>
      </w:r>
      <w:r w:rsidR="00CE7314">
        <w:t xml:space="preserve"> (25</w:t>
      </w:r>
      <w:r>
        <w:t>% compared with 16-21% for other areas) or be</w:t>
      </w:r>
      <w:r w:rsidR="006933D4">
        <w:t>en</w:t>
      </w:r>
      <w:r>
        <w:t xml:space="preserve"> mean to others (2</w:t>
      </w:r>
      <w:r w:rsidR="00CE7314">
        <w:t>3</w:t>
      </w:r>
      <w:r>
        <w:t>% in the most deprived quintile compared with 1</w:t>
      </w:r>
      <w:r w:rsidR="00CE7314">
        <w:t>5</w:t>
      </w:r>
      <w:r>
        <w:t xml:space="preserve">% in the least deprived). Those eligible for free school meals were more likely than others to </w:t>
      </w:r>
      <w:r w:rsidR="006933D4">
        <w:t>say they had hit</w:t>
      </w:r>
      <w:r>
        <w:t xml:space="preserve"> (2</w:t>
      </w:r>
      <w:r w:rsidR="00CE7314">
        <w:t>4</w:t>
      </w:r>
      <w:r>
        <w:t xml:space="preserve">% and 18% respectively) and </w:t>
      </w:r>
      <w:r w:rsidR="0004381B">
        <w:t>that they had been</w:t>
      </w:r>
      <w:r>
        <w:t xml:space="preserve"> mean (24% and 18%</w:t>
      </w:r>
      <w:r w:rsidR="006933D4">
        <w:t xml:space="preserve"> respectively</w:t>
      </w:r>
      <w:r>
        <w:t xml:space="preserve">). </w:t>
      </w:r>
    </w:p>
    <w:p w:rsidR="00507F17" w:rsidRDefault="00D347FA" w:rsidP="00D347FA">
      <w:pPr>
        <w:pStyle w:val="BodyCopy"/>
        <w:spacing w:before="240" w:line="276" w:lineRule="auto"/>
      </w:pPr>
      <w:r>
        <w:t>Bullying behaviour also varied by household type</w:t>
      </w:r>
      <w:r w:rsidR="003A56F7">
        <w:t xml:space="preserve"> in relation to both hitting and being mean to others</w:t>
      </w:r>
      <w:r>
        <w:t>: for instance, 17% of those in two</w:t>
      </w:r>
      <w:r w:rsidR="006933D4">
        <w:t xml:space="preserve"> </w:t>
      </w:r>
      <w:r>
        <w:t>parent households</w:t>
      </w:r>
      <w:r w:rsidRPr="00826B3E">
        <w:t xml:space="preserve"> </w:t>
      </w:r>
      <w:r>
        <w:t>said they hit others at least sometimes, compared with 21% in single</w:t>
      </w:r>
      <w:r w:rsidR="003A56F7">
        <w:t xml:space="preserve"> </w:t>
      </w:r>
      <w:r>
        <w:t xml:space="preserve">parent households and 28% </w:t>
      </w:r>
      <w:r w:rsidR="003A56F7">
        <w:t xml:space="preserve">in </w:t>
      </w:r>
      <w:r>
        <w:t xml:space="preserve">step-families. </w:t>
      </w:r>
    </w:p>
    <w:p w:rsidR="00D347FA" w:rsidRDefault="00D347FA" w:rsidP="00D347FA">
      <w:pPr>
        <w:pStyle w:val="BodyCopy"/>
        <w:spacing w:before="240" w:line="276" w:lineRule="auto"/>
      </w:pPr>
      <w:r>
        <w:t>But perhaps the most notable difference was in terms of whether the children were themselves bullied. Among those who experienced higher levels of bullying themselve</w:t>
      </w:r>
      <w:r w:rsidR="00CE7314">
        <w:t>s, 34</w:t>
      </w:r>
      <w:r>
        <w:t>% admitted hit</w:t>
      </w:r>
      <w:r w:rsidR="00CE7314">
        <w:t>ting others compared with only 7</w:t>
      </w:r>
      <w:r>
        <w:t xml:space="preserve">% of those who experienced lower levels of bullying. Similarly, 35% of those who were bullied more </w:t>
      </w:r>
      <w:r w:rsidR="003A56F7">
        <w:t xml:space="preserve">frequently </w:t>
      </w:r>
      <w:r>
        <w:t xml:space="preserve">admitted to being mean to others compared with 7% of those who were bullied </w:t>
      </w:r>
      <w:r w:rsidR="003A56F7">
        <w:t>less often</w:t>
      </w:r>
      <w:r>
        <w:t>.</w:t>
      </w:r>
    </w:p>
    <w:p w:rsidR="00D347FA" w:rsidRDefault="00D347FA" w:rsidP="00D347FA">
      <w:pPr>
        <w:rPr>
          <w:lang w:eastAsia="en-GB"/>
        </w:rPr>
      </w:pPr>
    </w:p>
    <w:p w:rsidR="00D347FA" w:rsidRDefault="00D347FA" w:rsidP="00D347FA">
      <w:pPr>
        <w:rPr>
          <w:lang w:eastAsia="en-GB"/>
        </w:rPr>
      </w:pPr>
      <w:r>
        <w:rPr>
          <w:noProof/>
          <w:lang w:eastAsia="en-GB"/>
        </w:rPr>
        <w:lastRenderedPageBreak/>
        <w:drawing>
          <wp:inline distT="0" distB="0" distL="0" distR="0" wp14:anchorId="65F7B324" wp14:editId="6AA058B9">
            <wp:extent cx="4943475" cy="3248025"/>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47FA" w:rsidRPr="00A018E9" w:rsidRDefault="00D347FA" w:rsidP="00D347FA">
      <w:pPr>
        <w:pStyle w:val="BodyCopy"/>
        <w:spacing w:after="200" w:line="276" w:lineRule="auto"/>
        <w:rPr>
          <w:i/>
          <w:sz w:val="18"/>
          <w:szCs w:val="18"/>
        </w:rPr>
      </w:pPr>
      <w:bookmarkStart w:id="139" w:name="_Toc478636834"/>
      <w:bookmarkStart w:id="140" w:name="_Toc479456969"/>
      <w:r w:rsidRPr="00A018E9">
        <w:rPr>
          <w:i/>
          <w:sz w:val="18"/>
          <w:szCs w:val="18"/>
        </w:rPr>
        <w:t xml:space="preserve">Source: RCS </w:t>
      </w:r>
      <w:r>
        <w:rPr>
          <w:i/>
          <w:sz w:val="18"/>
          <w:szCs w:val="18"/>
        </w:rPr>
        <w:t>primary school survey, Falkirk 2017</w:t>
      </w:r>
    </w:p>
    <w:p w:rsidR="00D347FA" w:rsidRPr="00AE7F5E" w:rsidRDefault="00D347FA" w:rsidP="00D347FA">
      <w:pPr>
        <w:pStyle w:val="Heading3"/>
        <w:spacing w:line="276" w:lineRule="auto"/>
      </w:pPr>
      <w:bookmarkStart w:id="141" w:name="_Toc494182086"/>
      <w:r w:rsidRPr="00AE7F5E">
        <w:t>Societal</w:t>
      </w:r>
      <w:bookmarkEnd w:id="139"/>
      <w:bookmarkEnd w:id="140"/>
      <w:bookmarkEnd w:id="141"/>
      <w:r w:rsidRPr="00AE7F5E">
        <w:t xml:space="preserve"> </w:t>
      </w:r>
    </w:p>
    <w:p w:rsidR="00D347FA" w:rsidRDefault="00D347FA" w:rsidP="00D347FA">
      <w:pPr>
        <w:pStyle w:val="Heading3"/>
        <w:numPr>
          <w:ilvl w:val="0"/>
          <w:numId w:val="0"/>
        </w:numPr>
        <w:spacing w:line="276" w:lineRule="auto"/>
        <w:ind w:left="851" w:hanging="851"/>
      </w:pPr>
      <w:bookmarkStart w:id="142" w:name="_Toc478636835"/>
      <w:bookmarkStart w:id="143" w:name="_Toc479456970"/>
      <w:bookmarkStart w:id="144" w:name="_Toc494182087"/>
      <w:r w:rsidRPr="00507F17">
        <w:rPr>
          <w:color w:val="auto"/>
        </w:rPr>
        <w:t>Equ</w:t>
      </w:r>
      <w:r w:rsidRPr="00507F17">
        <w:t>ality</w:t>
      </w:r>
      <w:bookmarkEnd w:id="142"/>
      <w:r w:rsidRPr="00507F17">
        <w:t xml:space="preserve"> (Included)</w:t>
      </w:r>
      <w:bookmarkEnd w:id="143"/>
      <w:bookmarkEnd w:id="144"/>
    </w:p>
    <w:p w:rsidR="00D347FA" w:rsidRDefault="00D347FA" w:rsidP="00D347FA">
      <w:pPr>
        <w:pStyle w:val="BodyCopy"/>
        <w:spacing w:before="240" w:line="276" w:lineRule="auto"/>
      </w:pPr>
      <w:r>
        <w:t>Primary pupils were asked whether</w:t>
      </w:r>
      <w:r w:rsidRPr="00C7597E">
        <w:t xml:space="preserve"> </w:t>
      </w:r>
      <w:r>
        <w:t>they thought</w:t>
      </w:r>
      <w:r w:rsidRPr="00C7597E">
        <w:t xml:space="preserve"> </w:t>
      </w:r>
      <w:r>
        <w:t>their</w:t>
      </w:r>
      <w:r w:rsidRPr="00C7597E">
        <w:t xml:space="preserve"> family </w:t>
      </w:r>
      <w:r>
        <w:t>was</w:t>
      </w:r>
      <w:r w:rsidRPr="00C7597E">
        <w:t xml:space="preserve"> richer, poorer or about the same</w:t>
      </w:r>
      <w:r>
        <w:t xml:space="preserve"> as those of their friends. Despite the fact that pupils were drawn from across a range of backgrounds, most (82%) said their family was about the same, 12% that they were richer and 5% poorer. They were also asked to t</w:t>
      </w:r>
      <w:r w:rsidRPr="00CA27D8">
        <w:t xml:space="preserve">hink about the things </w:t>
      </w:r>
      <w:r>
        <w:t>they have</w:t>
      </w:r>
      <w:r w:rsidRPr="00CA27D8">
        <w:t xml:space="preserve"> at home – like toys, games, computers, phones or clothes – </w:t>
      </w:r>
      <w:r>
        <w:t>and to say whether they</w:t>
      </w:r>
      <w:r w:rsidRPr="00CA27D8">
        <w:t xml:space="preserve"> think </w:t>
      </w:r>
      <w:r>
        <w:t>they</w:t>
      </w:r>
      <w:r w:rsidRPr="00CA27D8">
        <w:t xml:space="preserve"> have more or less of these things than </w:t>
      </w:r>
      <w:r>
        <w:t>their friends. Almost three quarters (70%) said about the same, 21% said more and 9% less.</w:t>
      </w:r>
    </w:p>
    <w:p w:rsidR="00D347FA" w:rsidRDefault="00D347FA" w:rsidP="00D347FA">
      <w:pPr>
        <w:pStyle w:val="BodyCopy"/>
        <w:spacing w:before="240" w:line="276" w:lineRule="auto"/>
      </w:pPr>
      <w:r>
        <w:t>Boys</w:t>
      </w:r>
      <w:r w:rsidRPr="00891800">
        <w:t xml:space="preserve"> </w:t>
      </w:r>
      <w:r>
        <w:t>were more likely than girls to think that they had more things at home (25% and 18% respectively), as we</w:t>
      </w:r>
      <w:r w:rsidR="00AE7F5E">
        <w:t>re</w:t>
      </w:r>
      <w:r>
        <w:t xml:space="preserve"> children living in step-families (24% compared with 20% of children in one parent households and 21% of children in two parent households). </w:t>
      </w:r>
    </w:p>
    <w:p w:rsidR="00D347FA" w:rsidRDefault="00D347FA" w:rsidP="00D347FA">
      <w:pPr>
        <w:pStyle w:val="BodyCopy"/>
        <w:spacing w:before="240" w:line="276" w:lineRule="auto"/>
      </w:pPr>
      <w:r>
        <w:t>Those eligible for free school meals were more likely than other children to think they were poorer than other families (9% compared with 5%). Finally, those in two</w:t>
      </w:r>
      <w:r w:rsidR="00AE7F5E">
        <w:t xml:space="preserve"> </w:t>
      </w:r>
      <w:r>
        <w:t xml:space="preserve">parent households (13%) or step-families (14%) were more likely to think they were richer than those in </w:t>
      </w:r>
      <w:r w:rsidR="00AE7F5E">
        <w:t xml:space="preserve">one </w:t>
      </w:r>
      <w:r>
        <w:t xml:space="preserve">parent households (9%). </w:t>
      </w:r>
    </w:p>
    <w:p w:rsidR="00D347FA" w:rsidRDefault="00D347FA" w:rsidP="00D347FA">
      <w:pPr>
        <w:pStyle w:val="Heading3"/>
        <w:numPr>
          <w:ilvl w:val="0"/>
          <w:numId w:val="0"/>
        </w:numPr>
        <w:spacing w:line="276" w:lineRule="auto"/>
        <w:ind w:left="851" w:hanging="851"/>
      </w:pPr>
      <w:bookmarkStart w:id="145" w:name="_Toc479456971"/>
      <w:bookmarkStart w:id="146" w:name="_Toc494182088"/>
      <w:r w:rsidRPr="000233C9">
        <w:rPr>
          <w:color w:val="auto"/>
        </w:rPr>
        <w:t>Anti-</w:t>
      </w:r>
      <w:r>
        <w:t>social behaviours (Responsible)</w:t>
      </w:r>
      <w:bookmarkEnd w:id="145"/>
      <w:bookmarkEnd w:id="146"/>
    </w:p>
    <w:p w:rsidR="00D347FA" w:rsidRDefault="00D347FA" w:rsidP="00D347FA">
      <w:pPr>
        <w:pStyle w:val="BodyCopy"/>
        <w:spacing w:before="240" w:line="276" w:lineRule="auto"/>
      </w:pPr>
      <w:r>
        <w:t xml:space="preserve">In order to gauge the extent to which they might engage in anti-social behaviour, primary pupils were asked how many times they had stolen </w:t>
      </w:r>
      <w:r>
        <w:lastRenderedPageBreak/>
        <w:t xml:space="preserve">something that did not belong to them. Most (87%) said </w:t>
      </w:r>
      <w:r w:rsidR="00AE7F5E">
        <w:t xml:space="preserve">they </w:t>
      </w:r>
      <w:r>
        <w:t>had never done so, but 11% said once and 2% more than once. Girls were more likely than boys to say that they had never stolen anything (89% compared with 85%). There were also associations with other forms of anti-social behaviour, such as hitting other children or being mean to them.</w:t>
      </w:r>
    </w:p>
    <w:p w:rsidR="00D347FA" w:rsidRDefault="00D347FA" w:rsidP="00D347FA">
      <w:pPr>
        <w:pStyle w:val="BodyCopy"/>
        <w:spacing w:before="240" w:line="276" w:lineRule="auto"/>
      </w:pPr>
      <w:r>
        <w:t>Those who admitted hitting other children once a week or more were more likely to admit to stealing (35% compared with 10% of those who said they never hit other children). Similarly, those who admitted being mean at least once a week were more likely to say they had ever stolen (36% compared with 10% of those who said they were never mean).</w:t>
      </w:r>
    </w:p>
    <w:p w:rsidR="00D347FA" w:rsidRDefault="002F6251" w:rsidP="00D347FA">
      <w:pPr>
        <w:pStyle w:val="BodyCopy"/>
        <w:spacing w:before="240" w:line="276" w:lineRule="auto"/>
      </w:pPr>
      <w:r>
        <w:rPr>
          <w:noProof/>
        </w:rPr>
        <w:drawing>
          <wp:inline distT="0" distB="0" distL="0" distR="0" wp14:anchorId="24789996" wp14:editId="41A8C3F1">
            <wp:extent cx="4953000" cy="40386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347FA" w:rsidRPr="00A018E9" w:rsidRDefault="00D347FA" w:rsidP="00AE7F5E">
      <w:pPr>
        <w:pStyle w:val="BodyCopy"/>
        <w:spacing w:after="120" w:line="276" w:lineRule="auto"/>
        <w:rPr>
          <w:i/>
          <w:sz w:val="18"/>
          <w:szCs w:val="18"/>
        </w:rPr>
      </w:pPr>
      <w:bookmarkStart w:id="147" w:name="_Toc479456972"/>
      <w:r w:rsidRPr="00A018E9">
        <w:rPr>
          <w:i/>
          <w:sz w:val="18"/>
          <w:szCs w:val="18"/>
        </w:rPr>
        <w:t xml:space="preserve">Source: RCS </w:t>
      </w:r>
      <w:r>
        <w:rPr>
          <w:i/>
          <w:sz w:val="18"/>
          <w:szCs w:val="18"/>
        </w:rPr>
        <w:t>primary school survey, Falkirk 2017</w:t>
      </w:r>
    </w:p>
    <w:p w:rsidR="00D347FA" w:rsidRDefault="00D347FA" w:rsidP="00D347FA">
      <w:pPr>
        <w:pStyle w:val="Heading3"/>
        <w:numPr>
          <w:ilvl w:val="0"/>
          <w:numId w:val="0"/>
        </w:numPr>
        <w:spacing w:line="276" w:lineRule="auto"/>
        <w:ind w:left="851" w:hanging="851"/>
      </w:pPr>
      <w:bookmarkStart w:id="148" w:name="_Toc494182089"/>
      <w:r w:rsidRPr="000233C9">
        <w:rPr>
          <w:color w:val="auto"/>
        </w:rPr>
        <w:t>Body</w:t>
      </w:r>
      <w:r>
        <w:t xml:space="preserve"> image and appearance (Healthy)</w:t>
      </w:r>
      <w:bookmarkEnd w:id="147"/>
      <w:bookmarkEnd w:id="148"/>
    </w:p>
    <w:p w:rsidR="00AE7F5E" w:rsidRDefault="00D347FA" w:rsidP="00D347FA">
      <w:pPr>
        <w:pStyle w:val="BodyCopy"/>
        <w:spacing w:before="240" w:line="276" w:lineRule="auto"/>
      </w:pPr>
      <w:r>
        <w:t>The link between how men, women and children feel about their own appearance and their mental wellbeing has been the subject of much research</w:t>
      </w:r>
      <w:r w:rsidR="002A74CE">
        <w:t>.</w:t>
      </w:r>
      <w:r>
        <w:rPr>
          <w:rStyle w:val="EndnoteReference"/>
        </w:rPr>
        <w:endnoteReference w:id="31"/>
      </w:r>
      <w:r w:rsidR="00FB4F11">
        <w:t xml:space="preserve"> Most children (71</w:t>
      </w:r>
      <w:r>
        <w:t xml:space="preserve">%) said they were either very or fairly happy with their appearance, though a few (4%) said they were not at all happy. </w:t>
      </w:r>
    </w:p>
    <w:p w:rsidR="00D347FA" w:rsidRDefault="006216A9" w:rsidP="00D347FA">
      <w:pPr>
        <w:pStyle w:val="BodyCopy"/>
        <w:spacing w:before="240" w:line="276" w:lineRule="auto"/>
      </w:pPr>
      <w:r>
        <w:t>T</w:t>
      </w:r>
      <w:r w:rsidR="002A74CE">
        <w:t>he</w:t>
      </w:r>
      <w:r w:rsidR="00D347FA">
        <w:t xml:space="preserve"> proportion feeling very happy with their appearance </w:t>
      </w:r>
      <w:r w:rsidR="00EA3D51">
        <w:t xml:space="preserve">fell </w:t>
      </w:r>
      <w:r w:rsidR="00D347FA">
        <w:t xml:space="preserve">from 46% in P5 to 27% in P7. Those living in step-families or </w:t>
      </w:r>
      <w:r w:rsidR="002A74CE">
        <w:t xml:space="preserve">one </w:t>
      </w:r>
      <w:r w:rsidR="00D347FA">
        <w:t>parent households were also less likely to be very happy with their looks (33% and 32% respectively) than those in two</w:t>
      </w:r>
      <w:r w:rsidR="00E74DE5">
        <w:t xml:space="preserve"> </w:t>
      </w:r>
      <w:r w:rsidR="00D347FA">
        <w:t xml:space="preserve">parent households (38%).  </w:t>
      </w:r>
    </w:p>
    <w:p w:rsidR="00D347FA" w:rsidRDefault="00EA3D51" w:rsidP="00D347FA">
      <w:pPr>
        <w:pStyle w:val="BodyCopy"/>
        <w:spacing w:before="240" w:line="276" w:lineRule="auto"/>
      </w:pPr>
      <w:r>
        <w:lastRenderedPageBreak/>
        <w:t>Interestingly</w:t>
      </w:r>
      <w:r w:rsidR="00D347FA">
        <w:t xml:space="preserve">, </w:t>
      </w:r>
      <w:r w:rsidR="00A322D7">
        <w:t xml:space="preserve">40% of those receiving free school meals were very happy with their appearance compared with </w:t>
      </w:r>
      <w:r w:rsidR="00D347FA">
        <w:t>36% of those not eligible for free school meals. Those with either no siblings or two siblings were also more likely to report that they felt positively about their body (40% and 37%</w:t>
      </w:r>
      <w:r w:rsidR="00E74DE5">
        <w:t xml:space="preserve"> respectively saying they were</w:t>
      </w:r>
      <w:r w:rsidR="00D347FA">
        <w:t xml:space="preserve"> very happy) </w:t>
      </w:r>
      <w:r w:rsidR="00E74DE5">
        <w:t xml:space="preserve">compared with </w:t>
      </w:r>
      <w:r w:rsidR="00D347FA">
        <w:t>those with one sibling (33%).</w:t>
      </w:r>
    </w:p>
    <w:p w:rsidR="00D347FA" w:rsidRDefault="00D347FA" w:rsidP="00D347FA">
      <w:pPr>
        <w:pStyle w:val="BodyCopy"/>
        <w:spacing w:before="240" w:line="276" w:lineRule="auto"/>
      </w:pPr>
      <w:r>
        <w:t xml:space="preserve">Area deprivation also had a significant relationship with how happy children were with their appearance, though the pattern was unclear. Interestingly, there was no significant difference in feelings about </w:t>
      </w:r>
      <w:r w:rsidR="00E772B2">
        <w:t xml:space="preserve">how they </w:t>
      </w:r>
      <w:r>
        <w:t xml:space="preserve">look by </w:t>
      </w:r>
      <w:r w:rsidR="00E772B2">
        <w:t>gender</w:t>
      </w:r>
      <w:r>
        <w:t xml:space="preserve">.  </w:t>
      </w:r>
    </w:p>
    <w:p w:rsidR="00D347FA" w:rsidRDefault="002F6251" w:rsidP="00D347FA">
      <w:pPr>
        <w:pStyle w:val="BodyCopy"/>
        <w:spacing w:before="240" w:line="276" w:lineRule="auto"/>
      </w:pPr>
      <w:r>
        <w:rPr>
          <w:noProof/>
        </w:rPr>
        <w:drawing>
          <wp:inline distT="0" distB="0" distL="0" distR="0" wp14:anchorId="0271D417" wp14:editId="63E21A2B">
            <wp:extent cx="4951095" cy="3427681"/>
            <wp:effectExtent l="0" t="0" r="1905" b="190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347FA" w:rsidRPr="00A018E9" w:rsidRDefault="00D347FA" w:rsidP="00AE7F5E">
      <w:pPr>
        <w:pStyle w:val="BodyCopy"/>
        <w:spacing w:after="12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BodyCopy"/>
        <w:spacing w:before="240" w:line="276" w:lineRule="auto"/>
      </w:pPr>
      <w:r>
        <w:t xml:space="preserve">Negative body self-image </w:t>
      </w:r>
      <w:r w:rsidR="00227722">
        <w:t>was associated with a range of other outcomes relating to social wellbeing</w:t>
      </w:r>
      <w:r>
        <w:t>. Over half (52%) of those with a more positive relationship with their parents felt very happy with their appearance compared with 31% of those with an average relationship and 22% with a less positive one. Almost half (45%) of those whose friends were always nice were very happy with their appearance compared with 26-28% of those whose friends were not always nice. Children with three or more close friends were also more likely to be very happy with their appearance (41%) than those with either two (31%) or just one or no close friends (29%).</w:t>
      </w:r>
    </w:p>
    <w:p w:rsidR="00D347FA" w:rsidRDefault="00D347FA" w:rsidP="00D347FA">
      <w:pPr>
        <w:pStyle w:val="Heading2"/>
        <w:spacing w:line="276" w:lineRule="auto"/>
      </w:pPr>
      <w:r>
        <w:t xml:space="preserve">   </w:t>
      </w:r>
      <w:bookmarkStart w:id="149" w:name="_Toc478636838"/>
      <w:bookmarkStart w:id="150" w:name="_Toc479456973"/>
      <w:bookmarkStart w:id="151" w:name="_Toc494182090"/>
      <w:r w:rsidRPr="00507F17">
        <w:t>Place</w:t>
      </w:r>
      <w:bookmarkEnd w:id="149"/>
      <w:r w:rsidRPr="00507F17">
        <w:t xml:space="preserve"> and wellbeing</w:t>
      </w:r>
      <w:bookmarkEnd w:id="150"/>
      <w:bookmarkEnd w:id="151"/>
    </w:p>
    <w:p w:rsidR="00D347FA" w:rsidRDefault="00D347FA" w:rsidP="00D347FA">
      <w:r>
        <w:t xml:space="preserve">This section covers the areas of wellbeing related to the place domain addressed in the primary survey. These related to children’s views of the area in which they live and other aspects of their immediate physical environment. </w:t>
      </w:r>
    </w:p>
    <w:p w:rsidR="00D347FA" w:rsidRDefault="00D347FA" w:rsidP="00D347FA">
      <w:pPr>
        <w:pStyle w:val="Heading3"/>
        <w:spacing w:line="276" w:lineRule="auto"/>
      </w:pPr>
      <w:bookmarkStart w:id="152" w:name="_Toc479168292"/>
      <w:bookmarkStart w:id="153" w:name="_Toc479339368"/>
      <w:bookmarkStart w:id="154" w:name="_Toc478636840"/>
      <w:bookmarkStart w:id="155" w:name="_Toc479456974"/>
      <w:bookmarkStart w:id="156" w:name="_Toc494182091"/>
      <w:bookmarkEnd w:id="152"/>
      <w:bookmarkEnd w:id="153"/>
      <w:r>
        <w:lastRenderedPageBreak/>
        <w:t>Physical environment</w:t>
      </w:r>
      <w:bookmarkEnd w:id="154"/>
      <w:bookmarkEnd w:id="155"/>
      <w:bookmarkEnd w:id="156"/>
    </w:p>
    <w:p w:rsidR="00D347FA" w:rsidRDefault="00D347FA" w:rsidP="00D347FA">
      <w:pPr>
        <w:pStyle w:val="Heading3"/>
        <w:numPr>
          <w:ilvl w:val="0"/>
          <w:numId w:val="0"/>
        </w:numPr>
        <w:spacing w:line="276" w:lineRule="auto"/>
        <w:ind w:left="851" w:hanging="851"/>
      </w:pPr>
      <w:bookmarkStart w:id="157" w:name="_Toc478636841"/>
      <w:bookmarkStart w:id="158" w:name="_Toc479456975"/>
      <w:bookmarkStart w:id="159" w:name="_Toc494182092"/>
      <w:r w:rsidRPr="000233C9">
        <w:rPr>
          <w:color w:val="auto"/>
        </w:rPr>
        <w:t>Vie</w:t>
      </w:r>
      <w:r>
        <w:t>ws on local area</w:t>
      </w:r>
      <w:bookmarkEnd w:id="157"/>
      <w:r>
        <w:t xml:space="preserve"> (Included)</w:t>
      </w:r>
      <w:bookmarkEnd w:id="158"/>
      <w:bookmarkEnd w:id="159"/>
    </w:p>
    <w:p w:rsidR="00D347FA" w:rsidRDefault="00D347FA" w:rsidP="000A6322">
      <w:pPr>
        <w:pStyle w:val="BodyCopy"/>
        <w:spacing w:before="120" w:line="276" w:lineRule="auto"/>
      </w:pPr>
      <w:r>
        <w:t>More than half (55%) of the children in P5 to P7 in Falkirk said they liked living in their local area a lot, but a higher proportion said they liked it a lot in the least deprived (67%) than in the most deprived quintile (44</w:t>
      </w:r>
      <w:r w:rsidRPr="007F2993">
        <w:t xml:space="preserve">%). </w:t>
      </w:r>
    </w:p>
    <w:p w:rsidR="00D347FA" w:rsidRDefault="00D347FA" w:rsidP="00D347FA">
      <w:pPr>
        <w:pStyle w:val="BodyCopy"/>
        <w:spacing w:before="240" w:line="276" w:lineRule="auto"/>
      </w:pPr>
      <w:r>
        <w:t>Younger children were also more likely to report liking where they lived a lot, w</w:t>
      </w:r>
      <w:r w:rsidR="00507F17">
        <w:t>ith 60% of those in P5 doing so</w:t>
      </w:r>
      <w:r>
        <w:t xml:space="preserve"> compared with 53% in P6 and 52% in P7. Those eligible for free school meals were less likely to report liking their local area compared with those not receiving free meals (46% and 57% respectively). </w:t>
      </w:r>
      <w:r w:rsidRPr="007F2993">
        <w:t>Pupils living in two</w:t>
      </w:r>
      <w:r w:rsidR="00507F17">
        <w:t xml:space="preserve"> </w:t>
      </w:r>
      <w:r w:rsidRPr="007F2993">
        <w:t xml:space="preserve">parent households </w:t>
      </w:r>
      <w:r>
        <w:t>(58</w:t>
      </w:r>
      <w:r w:rsidRPr="007F2993">
        <w:t>%) were also more likely than t</w:t>
      </w:r>
      <w:r>
        <w:t>hose living in a step-family (49</w:t>
      </w:r>
      <w:r w:rsidRPr="007F2993">
        <w:t xml:space="preserve">%) </w:t>
      </w:r>
      <w:r>
        <w:t xml:space="preserve">or </w:t>
      </w:r>
      <w:r w:rsidR="00507F17">
        <w:t>one p</w:t>
      </w:r>
      <w:r>
        <w:t>arent household (46</w:t>
      </w:r>
      <w:r w:rsidRPr="007F2993">
        <w:t xml:space="preserve">%) </w:t>
      </w:r>
      <w:r>
        <w:t>to say they like</w:t>
      </w:r>
      <w:r w:rsidRPr="007F2993">
        <w:t xml:space="preserve"> their area a lot.</w:t>
      </w:r>
      <w:r>
        <w:t xml:space="preserve"> </w:t>
      </w:r>
    </w:p>
    <w:p w:rsidR="00D347FA" w:rsidRDefault="00D347FA" w:rsidP="00D347FA">
      <w:pPr>
        <w:pStyle w:val="BodyCopy"/>
        <w:spacing w:before="240" w:line="276" w:lineRule="auto"/>
      </w:pPr>
      <w:r>
        <w:t xml:space="preserve">Overall, </w:t>
      </w:r>
      <w:r w:rsidR="00507F17">
        <w:t>around three in five</w:t>
      </w:r>
      <w:r>
        <w:t xml:space="preserve"> (58</w:t>
      </w:r>
      <w:r w:rsidRPr="007F2993">
        <w:t>%) said there were lots of places to pl</w:t>
      </w:r>
      <w:r>
        <w:t xml:space="preserve">ay outside near them, 39% said some, and just 3% said none. Boys were more likely to agree there was lots of space to play outdoors (61%) compared with girls (56%). </w:t>
      </w:r>
    </w:p>
    <w:p w:rsidR="00507F17" w:rsidRDefault="00507F17" w:rsidP="00507F17">
      <w:pPr>
        <w:pStyle w:val="BodyCopy"/>
        <w:spacing w:line="276" w:lineRule="auto"/>
      </w:pPr>
    </w:p>
    <w:p w:rsidR="00D347FA" w:rsidRDefault="00D347FA" w:rsidP="000A6322">
      <w:pPr>
        <w:pStyle w:val="BodyCopy"/>
        <w:spacing w:line="276" w:lineRule="auto"/>
      </w:pPr>
      <w:r>
        <w:t>Area deprivation also played a role here, with 53% of children in the most depriv</w:t>
      </w:r>
      <w:r w:rsidR="00FB4F11">
        <w:t>ed quintile</w:t>
      </w:r>
      <w:r>
        <w:t xml:space="preserve"> reporting there being lots of places to play and 65% reporting the same in the least deprived quintile.</w:t>
      </w:r>
      <w:r w:rsidRPr="007F2993">
        <w:t xml:space="preserve"> </w:t>
      </w:r>
      <w:r>
        <w:t xml:space="preserve">Those in P5 were least likely to say they had lots of access (54%), while those in P7 were the most likely to say they did (63%). </w:t>
      </w:r>
      <w:r w:rsidR="00507F17">
        <w:t>Children</w:t>
      </w:r>
      <w:r>
        <w:t xml:space="preserve"> in two</w:t>
      </w:r>
      <w:r w:rsidR="00507F17">
        <w:t xml:space="preserve"> </w:t>
      </w:r>
      <w:r>
        <w:t>parent households had more access to open spaces, with 60% saying they ha</w:t>
      </w:r>
      <w:r w:rsidR="00507F17">
        <w:t>d a lot of access</w:t>
      </w:r>
      <w:r>
        <w:t xml:space="preserve"> compared with 53% of those in </w:t>
      </w:r>
      <w:r w:rsidR="00507F17">
        <w:t xml:space="preserve">one </w:t>
      </w:r>
      <w:r>
        <w:t>parent families and 59% of those in step-families.</w:t>
      </w:r>
    </w:p>
    <w:p w:rsidR="00C5267A" w:rsidRDefault="00C5267A" w:rsidP="000A6322">
      <w:pPr>
        <w:pStyle w:val="BodyCopy"/>
        <w:spacing w:line="276" w:lineRule="auto"/>
      </w:pPr>
    </w:p>
    <w:tbl>
      <w:tblPr>
        <w:tblW w:w="0" w:type="auto"/>
        <w:tblInd w:w="93" w:type="dxa"/>
        <w:tblLook w:val="04A0" w:firstRow="1" w:lastRow="0" w:firstColumn="1" w:lastColumn="0" w:noHBand="0" w:noVBand="1"/>
      </w:tblPr>
      <w:tblGrid>
        <w:gridCol w:w="3169"/>
        <w:gridCol w:w="466"/>
        <w:gridCol w:w="761"/>
        <w:gridCol w:w="827"/>
        <w:gridCol w:w="600"/>
        <w:gridCol w:w="964"/>
        <w:gridCol w:w="1133"/>
      </w:tblGrid>
      <w:tr w:rsidR="00D347FA" w:rsidRPr="00A744A4" w:rsidTr="008B6453">
        <w:trPr>
          <w:trHeight w:val="340"/>
        </w:trPr>
        <w:tc>
          <w:tcPr>
            <w:tcW w:w="0" w:type="auto"/>
            <w:gridSpan w:val="7"/>
            <w:tcBorders>
              <w:top w:val="single" w:sz="12" w:space="0" w:color="auto"/>
              <w:left w:val="nil"/>
              <w:bottom w:val="nil"/>
              <w:right w:val="nil"/>
            </w:tcBorders>
            <w:shd w:val="clear" w:color="auto" w:fill="auto"/>
            <w:hideMark/>
          </w:tcPr>
          <w:p w:rsidR="00D347FA" w:rsidRPr="00A744A4" w:rsidRDefault="00D347FA" w:rsidP="008B6453">
            <w:pPr>
              <w:keepNext/>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Table 3.4.1a</w:t>
            </w:r>
            <w:r w:rsidRPr="00A744A4">
              <w:rPr>
                <w:rFonts w:ascii="Arial" w:eastAsia="Times New Roman" w:hAnsi="Arial" w:cs="Arial"/>
                <w:b/>
                <w:bCs/>
                <w:color w:val="000000"/>
                <w:sz w:val="20"/>
                <w:szCs w:val="20"/>
                <w:lang w:eastAsia="en-GB"/>
              </w:rPr>
              <w:t xml:space="preserve"> Views on local area</w:t>
            </w:r>
          </w:p>
        </w:tc>
      </w:tr>
      <w:tr w:rsidR="00D347FA" w:rsidRPr="00A744A4" w:rsidTr="008B6453">
        <w:trPr>
          <w:trHeight w:val="794"/>
        </w:trPr>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How much do you like the area you live in?</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A lot</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Quite a lot</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Not very much</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Not at all</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i/>
                <w:iCs/>
                <w:color w:val="000000"/>
                <w:sz w:val="16"/>
                <w:szCs w:val="16"/>
                <w:lang w:eastAsia="en-GB"/>
              </w:rPr>
            </w:pPr>
            <w:r w:rsidRPr="00A744A4">
              <w:rPr>
                <w:rFonts w:ascii="Arial" w:eastAsia="Times New Roman" w:hAnsi="Arial" w:cs="Arial"/>
                <w:i/>
                <w:iCs/>
                <w:color w:val="000000"/>
                <w:sz w:val="16"/>
                <w:szCs w:val="16"/>
                <w:lang w:eastAsia="en-GB"/>
              </w:rPr>
              <w:t>Weighted base</w:t>
            </w:r>
            <w:r w:rsidR="000A6322">
              <w:rPr>
                <w:rFonts w:ascii="Arial" w:eastAsia="Times New Roman" w:hAnsi="Arial" w:cs="Arial"/>
                <w:i/>
                <w:iCs/>
                <w:color w:val="000000"/>
                <w:sz w:val="16"/>
                <w:szCs w:val="16"/>
                <w:lang w:eastAsia="en-GB"/>
              </w:rPr>
              <w:t>s</w:t>
            </w:r>
          </w:p>
        </w:tc>
        <w:tc>
          <w:tcPr>
            <w:tcW w:w="0" w:type="auto"/>
            <w:tcBorders>
              <w:top w:val="nil"/>
              <w:left w:val="nil"/>
              <w:bottom w:val="single" w:sz="12" w:space="0" w:color="auto"/>
              <w:right w:val="nil"/>
            </w:tcBorders>
            <w:shd w:val="clear" w:color="auto" w:fill="auto"/>
            <w:vAlign w:val="center"/>
            <w:hideMark/>
          </w:tcPr>
          <w:p w:rsidR="00D347FA" w:rsidRPr="00A744A4" w:rsidRDefault="00D347FA" w:rsidP="008B6453">
            <w:pPr>
              <w:keepNext/>
              <w:spacing w:after="0" w:line="240" w:lineRule="auto"/>
              <w:jc w:val="center"/>
              <w:rPr>
                <w:rFonts w:ascii="Arial" w:eastAsia="Times New Roman" w:hAnsi="Arial" w:cs="Arial"/>
                <w:i/>
                <w:iCs/>
                <w:color w:val="000000"/>
                <w:sz w:val="16"/>
                <w:szCs w:val="16"/>
                <w:lang w:eastAsia="en-GB"/>
              </w:rPr>
            </w:pPr>
            <w:r w:rsidRPr="00A744A4">
              <w:rPr>
                <w:rFonts w:ascii="Arial" w:eastAsia="Times New Roman" w:hAnsi="Arial" w:cs="Arial"/>
                <w:i/>
                <w:iCs/>
                <w:color w:val="000000"/>
                <w:sz w:val="16"/>
                <w:szCs w:val="16"/>
                <w:lang w:eastAsia="en-GB"/>
              </w:rPr>
              <w:t>Unweighted base</w:t>
            </w:r>
            <w:r w:rsidR="000A6322">
              <w:rPr>
                <w:rFonts w:ascii="Arial" w:eastAsia="Times New Roman" w:hAnsi="Arial" w:cs="Arial"/>
                <w:i/>
                <w:iCs/>
                <w:color w:val="000000"/>
                <w:sz w:val="16"/>
                <w:szCs w:val="16"/>
                <w:lang w:eastAsia="en-GB"/>
              </w:rPr>
              <w:t>s</w:t>
            </w:r>
          </w:p>
        </w:tc>
      </w:tr>
      <w:tr w:rsidR="00D347FA" w:rsidRPr="00A744A4" w:rsidTr="008B6453">
        <w:trPr>
          <w:trHeight w:val="283"/>
        </w:trPr>
        <w:tc>
          <w:tcPr>
            <w:tcW w:w="0" w:type="auto"/>
            <w:gridSpan w:val="7"/>
            <w:tcBorders>
              <w:top w:val="single" w:sz="12" w:space="0" w:color="auto"/>
              <w:left w:val="nil"/>
              <w:bottom w:val="single" w:sz="8" w:space="0" w:color="auto"/>
              <w:right w:val="nil"/>
            </w:tcBorders>
            <w:shd w:val="clear" w:color="auto" w:fill="auto"/>
            <w:vAlign w:val="center"/>
            <w:hideMark/>
          </w:tcPr>
          <w:p w:rsidR="00D347FA" w:rsidRPr="00A744A4" w:rsidRDefault="00D347FA" w:rsidP="008B6453">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bookmarkStart w:id="160" w:name="_Toc478636842"/>
            <w:bookmarkStart w:id="161" w:name="_Toc479456976"/>
            <w:r w:rsidRPr="00164CB6">
              <w:rPr>
                <w:rFonts w:ascii="Arial" w:eastAsia="Times New Roman" w:hAnsi="Arial" w:cs="Arial"/>
                <w:color w:val="000000"/>
                <w:sz w:val="20"/>
                <w:szCs w:val="20"/>
                <w:lang w:eastAsia="en-GB"/>
              </w:rPr>
              <w:t>All</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55</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3985</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3988</w:t>
            </w:r>
          </w:p>
        </w:tc>
      </w:tr>
      <w:tr w:rsidR="000A6322" w:rsidRPr="00164CB6" w:rsidTr="008B6453">
        <w:trPr>
          <w:trHeight w:val="300"/>
        </w:trPr>
        <w:tc>
          <w:tcPr>
            <w:tcW w:w="0" w:type="auto"/>
            <w:tcBorders>
              <w:top w:val="nil"/>
              <w:left w:val="nil"/>
              <w:bottom w:val="nil"/>
              <w:right w:val="nil"/>
            </w:tcBorders>
            <w:shd w:val="clear" w:color="auto" w:fill="auto"/>
            <w:noWrap/>
            <w:vAlign w:val="center"/>
          </w:tcPr>
          <w:p w:rsidR="000A6322" w:rsidRPr="00164CB6" w:rsidRDefault="000A6322"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P5</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60</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28</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1367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1356</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P6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11</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1287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1255</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P7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1303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1348</w:t>
            </w:r>
          </w:p>
        </w:tc>
      </w:tr>
      <w:tr w:rsidR="000A6322" w:rsidRPr="00164CB6" w:rsidTr="008B6453">
        <w:trPr>
          <w:trHeight w:val="300"/>
        </w:trPr>
        <w:tc>
          <w:tcPr>
            <w:tcW w:w="0" w:type="auto"/>
            <w:tcBorders>
              <w:top w:val="nil"/>
              <w:left w:val="nil"/>
              <w:bottom w:val="nil"/>
              <w:right w:val="nil"/>
            </w:tcBorders>
            <w:shd w:val="clear" w:color="auto" w:fill="auto"/>
            <w:noWrap/>
            <w:vAlign w:val="center"/>
          </w:tcPr>
          <w:p w:rsidR="000A6322" w:rsidRPr="00164CB6" w:rsidRDefault="000A6322"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SIMD quintile 1 (most deprived)</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44</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588</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568</w:t>
            </w:r>
          </w:p>
        </w:tc>
      </w:tr>
      <w:tr w:rsidR="00D347FA" w:rsidRPr="00A744A4" w:rsidTr="008B6453">
        <w:trPr>
          <w:trHeight w:val="300"/>
        </w:trPr>
        <w:tc>
          <w:tcPr>
            <w:tcW w:w="0" w:type="auto"/>
            <w:tcBorders>
              <w:top w:val="nil"/>
              <w:left w:val="nil"/>
              <w:bottom w:val="nil"/>
              <w:right w:val="nil"/>
            </w:tcBorders>
            <w:shd w:val="clear" w:color="auto" w:fill="auto"/>
            <w:noWrap/>
            <w:vAlign w:val="center"/>
            <w:hideMark/>
          </w:tcPr>
          <w:p w:rsidR="00D347FA" w:rsidRPr="00A744A4"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SIMD quintile 2</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50</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15</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1140</w:t>
            </w:r>
          </w:p>
        </w:tc>
        <w:tc>
          <w:tcPr>
            <w:tcW w:w="0" w:type="auto"/>
            <w:tcBorders>
              <w:top w:val="nil"/>
              <w:left w:val="nil"/>
              <w:bottom w:val="nil"/>
              <w:right w:val="nil"/>
            </w:tcBorders>
            <w:shd w:val="clear" w:color="auto" w:fill="auto"/>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1132</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SIMD quintile 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10</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766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768</w:t>
            </w:r>
          </w:p>
        </w:tc>
      </w:tr>
      <w:tr w:rsidR="00D347FA" w:rsidRPr="00164CB6" w:rsidTr="00C5267A">
        <w:trPr>
          <w:trHeight w:val="300"/>
        </w:trPr>
        <w:tc>
          <w:tcPr>
            <w:tcW w:w="0" w:type="auto"/>
            <w:tcBorders>
              <w:top w:val="nil"/>
              <w:left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SIMD quintile 4</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734</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746</w:t>
            </w:r>
          </w:p>
        </w:tc>
      </w:tr>
      <w:tr w:rsidR="00D347FA" w:rsidRPr="00164CB6" w:rsidTr="00C5267A">
        <w:trPr>
          <w:trHeight w:val="300"/>
        </w:trPr>
        <w:tc>
          <w:tcPr>
            <w:tcW w:w="0" w:type="auto"/>
            <w:tcBorders>
              <w:top w:val="nil"/>
              <w:left w:val="nil"/>
              <w:bottom w:val="single" w:sz="12" w:space="0" w:color="auto"/>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SIMD quintile 5 (least deprived)</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67</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27</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738</w:t>
            </w:r>
          </w:p>
        </w:tc>
        <w:tc>
          <w:tcPr>
            <w:tcW w:w="0" w:type="auto"/>
            <w:tcBorders>
              <w:top w:val="nil"/>
              <w:left w:val="nil"/>
              <w:bottom w:val="single" w:sz="12" w:space="0" w:color="auto"/>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755</w:t>
            </w:r>
          </w:p>
        </w:tc>
      </w:tr>
      <w:tr w:rsidR="00C5267A" w:rsidRPr="00164CB6" w:rsidTr="00A075F8">
        <w:trPr>
          <w:trHeight w:val="300"/>
        </w:trPr>
        <w:tc>
          <w:tcPr>
            <w:tcW w:w="0" w:type="auto"/>
            <w:tcBorders>
              <w:top w:val="single" w:sz="12" w:space="0" w:color="auto"/>
              <w:left w:val="nil"/>
              <w:bottom w:val="nil"/>
              <w:right w:val="nil"/>
            </w:tcBorders>
            <w:shd w:val="clear" w:color="auto" w:fill="auto"/>
            <w:noWrap/>
            <w:vAlign w:val="center"/>
          </w:tcPr>
          <w:p w:rsidR="00C5267A" w:rsidRPr="00164CB6" w:rsidRDefault="00C5267A" w:rsidP="008B6453">
            <w:pPr>
              <w:keepNext/>
              <w:spacing w:after="0" w:line="240" w:lineRule="auto"/>
              <w:rPr>
                <w:rFonts w:ascii="Arial" w:eastAsia="Times New Roman" w:hAnsi="Arial" w:cs="Arial"/>
                <w:color w:val="000000"/>
                <w:sz w:val="20"/>
                <w:szCs w:val="20"/>
                <w:lang w:eastAsia="en-GB"/>
              </w:rPr>
            </w:pPr>
          </w:p>
        </w:tc>
        <w:tc>
          <w:tcPr>
            <w:tcW w:w="0" w:type="auto"/>
            <w:tcBorders>
              <w:top w:val="single" w:sz="12" w:space="0" w:color="auto"/>
              <w:left w:val="nil"/>
              <w:bottom w:val="nil"/>
              <w:right w:val="nil"/>
            </w:tcBorders>
            <w:shd w:val="clear" w:color="auto" w:fill="auto"/>
            <w:noWrap/>
            <w:vAlign w:val="center"/>
          </w:tcPr>
          <w:p w:rsidR="00C5267A" w:rsidRDefault="00C5267A" w:rsidP="008B6453">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8B6453">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8B6453">
            <w:pPr>
              <w:spacing w:after="0" w:line="240" w:lineRule="auto"/>
              <w:jc w:val="right"/>
              <w:rPr>
                <w:rFonts w:ascii="Arial" w:hAnsi="Arial" w:cs="Arial"/>
                <w:color w:val="000000"/>
                <w:sz w:val="20"/>
                <w:szCs w:val="20"/>
              </w:rPr>
            </w:pPr>
          </w:p>
        </w:tc>
        <w:tc>
          <w:tcPr>
            <w:tcW w:w="0" w:type="auto"/>
            <w:tcBorders>
              <w:top w:val="single" w:sz="12" w:space="0" w:color="auto"/>
              <w:left w:val="nil"/>
              <w:bottom w:val="nil"/>
              <w:right w:val="nil"/>
            </w:tcBorders>
            <w:shd w:val="clear" w:color="auto" w:fill="auto"/>
            <w:noWrap/>
            <w:vAlign w:val="center"/>
          </w:tcPr>
          <w:p w:rsidR="00C5267A" w:rsidRDefault="00C5267A" w:rsidP="008B6453">
            <w:pPr>
              <w:spacing w:after="0" w:line="240" w:lineRule="auto"/>
              <w:jc w:val="right"/>
              <w:rPr>
                <w:rFonts w:ascii="Arial" w:hAnsi="Arial" w:cs="Arial"/>
                <w:color w:val="000000"/>
                <w:sz w:val="20"/>
                <w:szCs w:val="20"/>
              </w:rPr>
            </w:pPr>
          </w:p>
        </w:tc>
        <w:tc>
          <w:tcPr>
            <w:tcW w:w="0" w:type="auto"/>
            <w:gridSpan w:val="2"/>
            <w:tcBorders>
              <w:top w:val="single" w:sz="12" w:space="0" w:color="auto"/>
              <w:left w:val="nil"/>
              <w:bottom w:val="nil"/>
              <w:right w:val="nil"/>
            </w:tcBorders>
            <w:shd w:val="clear" w:color="auto" w:fill="auto"/>
            <w:noWrap/>
            <w:vAlign w:val="center"/>
          </w:tcPr>
          <w:p w:rsidR="00C5267A" w:rsidRDefault="00C5267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Continued…</w:t>
            </w:r>
          </w:p>
        </w:tc>
      </w:tr>
    </w:tbl>
    <w:p w:rsidR="00C5267A" w:rsidRDefault="00C5267A"/>
    <w:p w:rsidR="00C5267A" w:rsidRDefault="00C5267A" w:rsidP="00C5267A">
      <w:pPr>
        <w:spacing w:after="0" w:line="240" w:lineRule="auto"/>
      </w:pPr>
    </w:p>
    <w:tbl>
      <w:tblPr>
        <w:tblW w:w="0" w:type="auto"/>
        <w:tblInd w:w="93" w:type="dxa"/>
        <w:tblLook w:val="04A0" w:firstRow="1" w:lastRow="0" w:firstColumn="1" w:lastColumn="0" w:noHBand="0" w:noVBand="1"/>
      </w:tblPr>
      <w:tblGrid>
        <w:gridCol w:w="3233"/>
        <w:gridCol w:w="462"/>
        <w:gridCol w:w="751"/>
        <w:gridCol w:w="809"/>
        <w:gridCol w:w="590"/>
        <w:gridCol w:w="953"/>
        <w:gridCol w:w="1122"/>
      </w:tblGrid>
      <w:tr w:rsidR="00C5267A" w:rsidRPr="00A744A4" w:rsidTr="00A075F8">
        <w:trPr>
          <w:trHeight w:val="340"/>
        </w:trPr>
        <w:tc>
          <w:tcPr>
            <w:tcW w:w="0" w:type="auto"/>
            <w:gridSpan w:val="7"/>
            <w:tcBorders>
              <w:top w:val="single" w:sz="12" w:space="0" w:color="auto"/>
              <w:left w:val="nil"/>
              <w:bottom w:val="nil"/>
              <w:right w:val="nil"/>
            </w:tcBorders>
            <w:shd w:val="clear" w:color="auto" w:fill="auto"/>
            <w:hideMark/>
          </w:tcPr>
          <w:p w:rsidR="00C5267A" w:rsidRPr="00A744A4" w:rsidRDefault="00C5267A" w:rsidP="00C5267A">
            <w:pPr>
              <w:keepNext/>
              <w:spacing w:after="0" w:line="240" w:lineRule="auto"/>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Table 3.4.1a</w:t>
            </w:r>
            <w:r w:rsidRPr="00A744A4">
              <w:rPr>
                <w:rFonts w:ascii="Arial" w:eastAsia="Times New Roman" w:hAnsi="Arial" w:cs="Arial"/>
                <w:b/>
                <w:bCs/>
                <w:color w:val="000000"/>
                <w:sz w:val="20"/>
                <w:szCs w:val="20"/>
                <w:lang w:eastAsia="en-GB"/>
              </w:rPr>
              <w:t xml:space="preserve"> </w:t>
            </w:r>
            <w:r>
              <w:rPr>
                <w:rFonts w:ascii="Arial" w:eastAsia="Times New Roman" w:hAnsi="Arial" w:cs="Arial"/>
                <w:b/>
                <w:bCs/>
                <w:color w:val="000000"/>
                <w:sz w:val="20"/>
                <w:szCs w:val="20"/>
                <w:lang w:eastAsia="en-GB"/>
              </w:rPr>
              <w:t>-</w:t>
            </w:r>
            <w:r w:rsidRPr="00C5267A">
              <w:rPr>
                <w:rFonts w:ascii="Arial" w:eastAsia="Times New Roman" w:hAnsi="Arial" w:cs="Arial"/>
                <w:b/>
                <w:bCs/>
                <w:i/>
                <w:color w:val="000000"/>
                <w:sz w:val="20"/>
                <w:szCs w:val="20"/>
                <w:lang w:eastAsia="en-GB"/>
              </w:rPr>
              <w:t xml:space="preserve"> Continued</w:t>
            </w:r>
          </w:p>
        </w:tc>
      </w:tr>
      <w:tr w:rsidR="00C5267A" w:rsidRPr="00A744A4" w:rsidTr="00A075F8">
        <w:trPr>
          <w:trHeight w:val="794"/>
        </w:trPr>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How much do you like the area you live in?</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A lot</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Quite a lot</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Not very much</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color w:val="000000"/>
                <w:sz w:val="20"/>
                <w:szCs w:val="20"/>
                <w:lang w:eastAsia="en-GB"/>
              </w:rPr>
            </w:pPr>
            <w:r w:rsidRPr="00A744A4">
              <w:rPr>
                <w:rFonts w:ascii="Arial" w:eastAsia="Times New Roman" w:hAnsi="Arial" w:cs="Arial"/>
                <w:color w:val="000000"/>
                <w:sz w:val="20"/>
                <w:szCs w:val="20"/>
                <w:lang w:eastAsia="en-GB"/>
              </w:rPr>
              <w:t>Not at all</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i/>
                <w:iCs/>
                <w:color w:val="000000"/>
                <w:sz w:val="16"/>
                <w:szCs w:val="16"/>
                <w:lang w:eastAsia="en-GB"/>
              </w:rPr>
            </w:pPr>
            <w:r w:rsidRPr="00A744A4">
              <w:rPr>
                <w:rFonts w:ascii="Arial" w:eastAsia="Times New Roman" w:hAnsi="Arial" w:cs="Arial"/>
                <w:i/>
                <w:iCs/>
                <w:color w:val="000000"/>
                <w:sz w:val="16"/>
                <w:szCs w:val="16"/>
                <w:lang w:eastAsia="en-GB"/>
              </w:rPr>
              <w:t>Weighted base</w:t>
            </w:r>
            <w:r>
              <w:rPr>
                <w:rFonts w:ascii="Arial" w:eastAsia="Times New Roman" w:hAnsi="Arial" w:cs="Arial"/>
                <w:i/>
                <w:iCs/>
                <w:color w:val="000000"/>
                <w:sz w:val="16"/>
                <w:szCs w:val="16"/>
                <w:lang w:eastAsia="en-GB"/>
              </w:rPr>
              <w:t>s</w:t>
            </w:r>
          </w:p>
        </w:tc>
        <w:tc>
          <w:tcPr>
            <w:tcW w:w="0" w:type="auto"/>
            <w:tcBorders>
              <w:top w:val="nil"/>
              <w:left w:val="nil"/>
              <w:bottom w:val="single" w:sz="12" w:space="0" w:color="auto"/>
              <w:right w:val="nil"/>
            </w:tcBorders>
            <w:shd w:val="clear" w:color="auto" w:fill="auto"/>
            <w:vAlign w:val="center"/>
            <w:hideMark/>
          </w:tcPr>
          <w:p w:rsidR="00C5267A" w:rsidRPr="00A744A4" w:rsidRDefault="00C5267A" w:rsidP="00A075F8">
            <w:pPr>
              <w:keepNext/>
              <w:spacing w:after="0" w:line="240" w:lineRule="auto"/>
              <w:jc w:val="center"/>
              <w:rPr>
                <w:rFonts w:ascii="Arial" w:eastAsia="Times New Roman" w:hAnsi="Arial" w:cs="Arial"/>
                <w:i/>
                <w:iCs/>
                <w:color w:val="000000"/>
                <w:sz w:val="16"/>
                <w:szCs w:val="16"/>
                <w:lang w:eastAsia="en-GB"/>
              </w:rPr>
            </w:pPr>
            <w:r w:rsidRPr="00A744A4">
              <w:rPr>
                <w:rFonts w:ascii="Arial" w:eastAsia="Times New Roman" w:hAnsi="Arial" w:cs="Arial"/>
                <w:i/>
                <w:iCs/>
                <w:color w:val="000000"/>
                <w:sz w:val="16"/>
                <w:szCs w:val="16"/>
                <w:lang w:eastAsia="en-GB"/>
              </w:rPr>
              <w:t>Unweighted base</w:t>
            </w:r>
            <w:r>
              <w:rPr>
                <w:rFonts w:ascii="Arial" w:eastAsia="Times New Roman" w:hAnsi="Arial" w:cs="Arial"/>
                <w:i/>
                <w:iCs/>
                <w:color w:val="000000"/>
                <w:sz w:val="16"/>
                <w:szCs w:val="16"/>
                <w:lang w:eastAsia="en-GB"/>
              </w:rPr>
              <w:t>s</w:t>
            </w:r>
          </w:p>
        </w:tc>
      </w:tr>
      <w:tr w:rsidR="00C5267A" w:rsidRPr="00A744A4" w:rsidTr="00A075F8">
        <w:trPr>
          <w:trHeight w:val="283"/>
        </w:trPr>
        <w:tc>
          <w:tcPr>
            <w:tcW w:w="0" w:type="auto"/>
            <w:gridSpan w:val="7"/>
            <w:tcBorders>
              <w:top w:val="single" w:sz="12" w:space="0" w:color="auto"/>
              <w:left w:val="nil"/>
              <w:bottom w:val="single" w:sz="8" w:space="0" w:color="auto"/>
              <w:right w:val="nil"/>
            </w:tcBorders>
            <w:shd w:val="clear" w:color="auto" w:fill="auto"/>
            <w:vAlign w:val="center"/>
            <w:hideMark/>
          </w:tcPr>
          <w:p w:rsidR="00C5267A" w:rsidRPr="00A744A4" w:rsidRDefault="00C5267A" w:rsidP="00A075F8">
            <w:pPr>
              <w:keepNext/>
              <w:spacing w:after="0" w:line="240" w:lineRule="auto"/>
              <w:rPr>
                <w:rFonts w:ascii="Arial" w:eastAsia="Times New Roman" w:hAnsi="Arial" w:cs="Arial"/>
                <w:i/>
                <w:iCs/>
                <w:color w:val="000000"/>
                <w:sz w:val="20"/>
                <w:szCs w:val="20"/>
                <w:lang w:eastAsia="en-GB"/>
              </w:rPr>
            </w:pPr>
            <w:r>
              <w:rPr>
                <w:rFonts w:ascii="Arial" w:eastAsia="Times New Roman" w:hAnsi="Arial" w:cs="Arial"/>
                <w:i/>
                <w:iCs/>
                <w:color w:val="000000"/>
                <w:sz w:val="20"/>
                <w:szCs w:val="20"/>
                <w:lang w:eastAsia="en-GB"/>
              </w:rPr>
              <w:t>Row percentages</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nil"/>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i/>
                <w:iCs/>
                <w:color w:val="000000"/>
                <w:sz w:val="20"/>
                <w:szCs w:val="20"/>
                <w:lang w:eastAsia="en-GB"/>
              </w:rPr>
            </w:pP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Eligible for free school</w:t>
            </w:r>
            <w:r w:rsidRPr="00164CB6">
              <w:rPr>
                <w:rFonts w:ascii="Arial" w:eastAsia="Times New Roman" w:hAnsi="Arial" w:cs="Arial"/>
                <w:color w:val="000000"/>
                <w:sz w:val="20"/>
                <w:szCs w:val="20"/>
                <w:lang w:eastAsia="en-GB"/>
              </w:rPr>
              <w:t xml:space="preserve"> meals</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30</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654</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568</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 xml:space="preserve">Not </w:t>
            </w:r>
            <w:r>
              <w:rPr>
                <w:rFonts w:ascii="Arial" w:eastAsia="Times New Roman" w:hAnsi="Arial" w:cs="Arial"/>
                <w:color w:val="000000"/>
                <w:sz w:val="20"/>
                <w:szCs w:val="20"/>
                <w:lang w:eastAsia="en-GB"/>
              </w:rPr>
              <w:t>eligible for free school</w:t>
            </w:r>
            <w:r w:rsidRPr="00164CB6">
              <w:rPr>
                <w:rFonts w:ascii="Arial" w:eastAsia="Times New Roman" w:hAnsi="Arial" w:cs="Arial"/>
                <w:color w:val="000000"/>
                <w:sz w:val="20"/>
                <w:szCs w:val="20"/>
                <w:lang w:eastAsia="en-GB"/>
              </w:rPr>
              <w:t xml:space="preserve"> meals</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57</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3332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3420</w:t>
            </w:r>
          </w:p>
        </w:tc>
      </w:tr>
      <w:tr w:rsidR="000A6322" w:rsidRPr="00164CB6" w:rsidTr="008B6453">
        <w:trPr>
          <w:trHeight w:val="300"/>
        </w:trPr>
        <w:tc>
          <w:tcPr>
            <w:tcW w:w="0" w:type="auto"/>
            <w:tcBorders>
              <w:top w:val="nil"/>
              <w:left w:val="nil"/>
              <w:bottom w:val="nil"/>
              <w:right w:val="nil"/>
            </w:tcBorders>
            <w:shd w:val="clear" w:color="auto" w:fill="auto"/>
            <w:noWrap/>
            <w:vAlign w:val="center"/>
          </w:tcPr>
          <w:p w:rsidR="000A6322" w:rsidRPr="00164CB6" w:rsidRDefault="000A6322"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c>
          <w:tcPr>
            <w:tcW w:w="0" w:type="auto"/>
            <w:tcBorders>
              <w:top w:val="nil"/>
              <w:left w:val="nil"/>
              <w:bottom w:val="nil"/>
              <w:right w:val="nil"/>
            </w:tcBorders>
            <w:shd w:val="clear" w:color="auto" w:fill="auto"/>
            <w:noWrap/>
            <w:vAlign w:val="center"/>
          </w:tcPr>
          <w:p w:rsidR="000A6322" w:rsidRDefault="000A6322" w:rsidP="008B6453">
            <w:pPr>
              <w:spacing w:after="0" w:line="240" w:lineRule="auto"/>
              <w:jc w:val="right"/>
              <w:rPr>
                <w:rFonts w:ascii="Arial" w:hAnsi="Arial" w:cs="Arial"/>
                <w:i/>
                <w:iCs/>
                <w:color w:val="000000"/>
                <w:sz w:val="20"/>
                <w:szCs w:val="20"/>
              </w:rPr>
            </w:pP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Two parent household</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58</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31</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9</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2713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2747</w:t>
            </w:r>
          </w:p>
        </w:tc>
      </w:tr>
      <w:tr w:rsidR="00D347FA" w:rsidRPr="00164CB6" w:rsidTr="008B6453">
        <w:trPr>
          <w:trHeight w:val="300"/>
        </w:trPr>
        <w:tc>
          <w:tcPr>
            <w:tcW w:w="0" w:type="auto"/>
            <w:tcBorders>
              <w:top w:val="nil"/>
              <w:left w:val="nil"/>
              <w:bottom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One parent household</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33</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16</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692</w:t>
            </w:r>
          </w:p>
        </w:tc>
        <w:tc>
          <w:tcPr>
            <w:tcW w:w="0" w:type="auto"/>
            <w:tcBorders>
              <w:top w:val="nil"/>
              <w:left w:val="nil"/>
              <w:bottom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667</w:t>
            </w:r>
          </w:p>
        </w:tc>
      </w:tr>
      <w:tr w:rsidR="00D347FA" w:rsidRPr="00164CB6" w:rsidTr="008B6453">
        <w:trPr>
          <w:trHeight w:val="300"/>
        </w:trPr>
        <w:tc>
          <w:tcPr>
            <w:tcW w:w="0" w:type="auto"/>
            <w:tcBorders>
              <w:top w:val="nil"/>
              <w:left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Step-family</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49</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34</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12</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4</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469</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464</w:t>
            </w:r>
          </w:p>
        </w:tc>
      </w:tr>
      <w:tr w:rsidR="00D347FA" w:rsidRPr="00164CB6" w:rsidTr="008B6453">
        <w:trPr>
          <w:trHeight w:val="300"/>
        </w:trPr>
        <w:tc>
          <w:tcPr>
            <w:tcW w:w="0" w:type="auto"/>
            <w:tcBorders>
              <w:top w:val="nil"/>
              <w:left w:val="nil"/>
              <w:right w:val="nil"/>
            </w:tcBorders>
            <w:shd w:val="clear" w:color="auto" w:fill="auto"/>
            <w:noWrap/>
            <w:vAlign w:val="center"/>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r w:rsidRPr="00164CB6">
              <w:rPr>
                <w:rFonts w:ascii="Arial" w:eastAsia="Times New Roman" w:hAnsi="Arial" w:cs="Arial"/>
                <w:color w:val="000000"/>
                <w:sz w:val="20"/>
                <w:szCs w:val="20"/>
                <w:lang w:eastAsia="en-GB"/>
              </w:rPr>
              <w:t>Other household type</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61</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20</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13</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color w:val="000000"/>
                <w:sz w:val="20"/>
                <w:szCs w:val="20"/>
              </w:rPr>
            </w:pPr>
            <w:r>
              <w:rPr>
                <w:rFonts w:ascii="Arial" w:hAnsi="Arial" w:cs="Arial"/>
                <w:color w:val="000000"/>
                <w:sz w:val="20"/>
                <w:szCs w:val="20"/>
              </w:rPr>
              <w:t>5</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77</w:t>
            </w:r>
          </w:p>
        </w:tc>
        <w:tc>
          <w:tcPr>
            <w:tcW w:w="0" w:type="auto"/>
            <w:tcBorders>
              <w:top w:val="nil"/>
              <w:left w:val="nil"/>
              <w:right w:val="nil"/>
            </w:tcBorders>
            <w:shd w:val="clear" w:color="auto" w:fill="auto"/>
            <w:noWrap/>
            <w:vAlign w:val="center"/>
          </w:tcPr>
          <w:p w:rsidR="00D347FA" w:rsidRDefault="00D347FA" w:rsidP="008B6453">
            <w:pPr>
              <w:spacing w:after="0" w:line="240" w:lineRule="auto"/>
              <w:jc w:val="right"/>
              <w:rPr>
                <w:rFonts w:ascii="Arial" w:hAnsi="Arial" w:cs="Arial"/>
                <w:i/>
                <w:iCs/>
                <w:color w:val="000000"/>
                <w:sz w:val="20"/>
                <w:szCs w:val="20"/>
              </w:rPr>
            </w:pPr>
            <w:r>
              <w:rPr>
                <w:rFonts w:ascii="Arial" w:hAnsi="Arial" w:cs="Arial"/>
                <w:i/>
                <w:iCs/>
                <w:color w:val="000000"/>
                <w:sz w:val="20"/>
                <w:szCs w:val="20"/>
              </w:rPr>
              <w:t>74</w:t>
            </w:r>
          </w:p>
        </w:tc>
      </w:tr>
      <w:tr w:rsidR="00D347FA" w:rsidRPr="00164CB6" w:rsidTr="008B6453">
        <w:trPr>
          <w:trHeight w:val="227"/>
        </w:trPr>
        <w:tc>
          <w:tcPr>
            <w:tcW w:w="0" w:type="auto"/>
            <w:tcBorders>
              <w:top w:val="nil"/>
              <w:left w:val="nil"/>
              <w:bottom w:val="single" w:sz="12" w:space="0" w:color="auto"/>
              <w:right w:val="nil"/>
            </w:tcBorders>
            <w:shd w:val="clear" w:color="auto" w:fill="auto"/>
            <w:noWrap/>
            <w:vAlign w:val="bottom"/>
            <w:hideMark/>
          </w:tcPr>
          <w:p w:rsidR="00D347FA" w:rsidRPr="00164CB6" w:rsidRDefault="00D347FA" w:rsidP="008B6453">
            <w:pPr>
              <w:keepNext/>
              <w:spacing w:after="0" w:line="240" w:lineRule="auto"/>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i/>
                <w:iCs/>
                <w:color w:val="000000"/>
                <w:sz w:val="20"/>
                <w:szCs w:val="20"/>
                <w:lang w:eastAsia="en-GB"/>
              </w:rPr>
            </w:pPr>
          </w:p>
        </w:tc>
        <w:tc>
          <w:tcPr>
            <w:tcW w:w="0" w:type="auto"/>
            <w:tcBorders>
              <w:top w:val="nil"/>
              <w:left w:val="nil"/>
              <w:bottom w:val="single" w:sz="12" w:space="0" w:color="auto"/>
              <w:right w:val="nil"/>
            </w:tcBorders>
            <w:shd w:val="clear" w:color="auto" w:fill="auto"/>
            <w:noWrap/>
            <w:vAlign w:val="center"/>
          </w:tcPr>
          <w:p w:rsidR="00D347FA" w:rsidRPr="00164CB6" w:rsidRDefault="00D347FA" w:rsidP="008B6453">
            <w:pPr>
              <w:keepNext/>
              <w:spacing w:after="0" w:line="240" w:lineRule="auto"/>
              <w:jc w:val="right"/>
              <w:rPr>
                <w:rFonts w:ascii="Arial" w:eastAsia="Times New Roman" w:hAnsi="Arial" w:cs="Arial"/>
                <w:i/>
                <w:iCs/>
                <w:color w:val="000000"/>
                <w:sz w:val="20"/>
                <w:szCs w:val="20"/>
                <w:lang w:eastAsia="en-GB"/>
              </w:rPr>
            </w:pPr>
          </w:p>
        </w:tc>
      </w:tr>
    </w:tbl>
    <w:p w:rsidR="00D347FA" w:rsidRPr="00A018E9" w:rsidRDefault="00D347FA" w:rsidP="00D347FA">
      <w:pPr>
        <w:pStyle w:val="BodyCopy"/>
        <w:spacing w:after="200" w:line="276" w:lineRule="auto"/>
        <w:rPr>
          <w:i/>
          <w:sz w:val="18"/>
          <w:szCs w:val="18"/>
        </w:rPr>
      </w:pPr>
      <w:r w:rsidRPr="00A018E9">
        <w:rPr>
          <w:i/>
          <w:sz w:val="18"/>
          <w:szCs w:val="18"/>
        </w:rPr>
        <w:t xml:space="preserve">Source: RCS </w:t>
      </w:r>
      <w:r>
        <w:rPr>
          <w:i/>
          <w:sz w:val="18"/>
          <w:szCs w:val="18"/>
        </w:rPr>
        <w:t>primary school survey, Falkirk 2017</w:t>
      </w:r>
    </w:p>
    <w:p w:rsidR="00D347FA" w:rsidRDefault="00D347FA" w:rsidP="00D347FA">
      <w:pPr>
        <w:pStyle w:val="Heading3"/>
        <w:numPr>
          <w:ilvl w:val="0"/>
          <w:numId w:val="0"/>
        </w:numPr>
        <w:spacing w:line="276" w:lineRule="auto"/>
      </w:pPr>
      <w:bookmarkStart w:id="162" w:name="_Toc494182093"/>
      <w:r>
        <w:t xml:space="preserve">Access to </w:t>
      </w:r>
      <w:bookmarkEnd w:id="160"/>
      <w:r w:rsidR="00BB049C">
        <w:t>a garden at home</w:t>
      </w:r>
      <w:r>
        <w:t xml:space="preserve"> (Active)</w:t>
      </w:r>
      <w:bookmarkEnd w:id="161"/>
      <w:bookmarkEnd w:id="162"/>
    </w:p>
    <w:p w:rsidR="00D347FA" w:rsidRDefault="00D347FA" w:rsidP="00D347FA">
      <w:pPr>
        <w:pStyle w:val="BodyCopy"/>
        <w:spacing w:before="240" w:line="276" w:lineRule="auto"/>
      </w:pPr>
      <w:r>
        <w:t>Most children (92</w:t>
      </w:r>
      <w:r w:rsidRPr="0032152D">
        <w:t>%) said they had a garden at home they could play in</w:t>
      </w:r>
      <w:r w:rsidR="004613CC">
        <w:t>. However,</w:t>
      </w:r>
      <w:r w:rsidR="00227722">
        <w:t xml:space="preserve"> t</w:t>
      </w:r>
      <w:r w:rsidRPr="0032152D">
        <w:t>here were significant differences with respect to area deprivation (</w:t>
      </w:r>
      <w:r>
        <w:t>85</w:t>
      </w:r>
      <w:r w:rsidRPr="0032152D">
        <w:t xml:space="preserve">% in the most </w:t>
      </w:r>
      <w:r>
        <w:t xml:space="preserve">deprived </w:t>
      </w:r>
      <w:r w:rsidR="00121A5A">
        <w:t>quintile</w:t>
      </w:r>
      <w:r>
        <w:t xml:space="preserve"> </w:t>
      </w:r>
      <w:r w:rsidR="004613CC">
        <w:t xml:space="preserve">had access to a garden </w:t>
      </w:r>
      <w:r>
        <w:t>compared with 96</w:t>
      </w:r>
      <w:r w:rsidRPr="0032152D">
        <w:t>% in the least depriv</w:t>
      </w:r>
      <w:r>
        <w:t>ed), free school meal status (84</w:t>
      </w:r>
      <w:r w:rsidRPr="0032152D">
        <w:t>% of those</w:t>
      </w:r>
      <w:r w:rsidR="00121A5A">
        <w:t xml:space="preserve"> eligible for free school meals</w:t>
      </w:r>
      <w:r w:rsidRPr="0032152D">
        <w:t xml:space="preserve"> compared with </w:t>
      </w:r>
      <w:r>
        <w:t>93</w:t>
      </w:r>
      <w:r w:rsidRPr="0032152D">
        <w:t xml:space="preserve">% of other children), and the number </w:t>
      </w:r>
      <w:r>
        <w:t>of children in the household (89</w:t>
      </w:r>
      <w:r w:rsidR="00121A5A">
        <w:t>% of only children</w:t>
      </w:r>
      <w:r w:rsidRPr="0032152D">
        <w:t xml:space="preserve"> compared</w:t>
      </w:r>
      <w:r>
        <w:t xml:space="preserve"> with 94</w:t>
      </w:r>
      <w:r w:rsidRPr="0032152D">
        <w:t xml:space="preserve">% with one sibling and </w:t>
      </w:r>
      <w:r>
        <w:t>92</w:t>
      </w:r>
      <w:r w:rsidRPr="0032152D">
        <w:t xml:space="preserve">% with two or more). </w:t>
      </w:r>
      <w:r>
        <w:t>Children in two</w:t>
      </w:r>
      <w:r w:rsidR="00121A5A">
        <w:t xml:space="preserve"> </w:t>
      </w:r>
      <w:r>
        <w:t xml:space="preserve">parent </w:t>
      </w:r>
      <w:r w:rsidR="00507F17">
        <w:t>hous</w:t>
      </w:r>
      <w:r w:rsidR="00B91E1C">
        <w:t>e</w:t>
      </w:r>
      <w:r w:rsidR="00507F17">
        <w:t>holds</w:t>
      </w:r>
      <w:r>
        <w:t xml:space="preserve"> were also more likely t</w:t>
      </w:r>
      <w:r w:rsidR="00121A5A">
        <w:t>o have access to a garden (94%)</w:t>
      </w:r>
      <w:r>
        <w:t xml:space="preserve"> compared with those in </w:t>
      </w:r>
      <w:r w:rsidR="00121A5A">
        <w:t xml:space="preserve">one </w:t>
      </w:r>
      <w:r>
        <w:t>parent households (86%) and step-families (88%).</w:t>
      </w:r>
    </w:p>
    <w:p w:rsidR="00D347FA" w:rsidRDefault="00D347FA" w:rsidP="00D347FA">
      <w:pPr>
        <w:pStyle w:val="Heading2"/>
        <w:spacing w:line="276" w:lineRule="auto"/>
        <w:ind w:left="902" w:hanging="902"/>
      </w:pPr>
      <w:bookmarkStart w:id="163" w:name="_Toc494182094"/>
      <w:r>
        <w:t>Summary of key findings from the primary school survey</w:t>
      </w:r>
      <w:bookmarkEnd w:id="163"/>
    </w:p>
    <w:p w:rsidR="003913E4" w:rsidRPr="00C8693D" w:rsidRDefault="003913E4" w:rsidP="003913E4">
      <w:pPr>
        <w:pStyle w:val="BodyCopy"/>
        <w:spacing w:before="240" w:line="276" w:lineRule="auto"/>
      </w:pPr>
      <w:r w:rsidRPr="00C8693D">
        <w:t xml:space="preserve">Across a range of different indicators of wellbeing there were significant differences by gender, area deprivation, household type, as well as whether pupils were eligible for free school meals or had additional support needs. </w:t>
      </w:r>
    </w:p>
    <w:p w:rsidR="003913E4" w:rsidRPr="00C8693D" w:rsidRDefault="003913E4" w:rsidP="003913E4">
      <w:pPr>
        <w:pStyle w:val="BodyCopy"/>
        <w:spacing w:before="240" w:line="276" w:lineRule="auto"/>
      </w:pPr>
      <w:r w:rsidRPr="00C8693D">
        <w:t>Girls were more likely than boys to have a healthy diet, have a ‘higher mood’ and to have a more positive relationship with their parents than boys. In relation</w:t>
      </w:r>
      <w:r w:rsidRPr="00E90F49">
        <w:t xml:space="preserve"> to school, girls were more likely than boys to say they enjoyed school, </w:t>
      </w:r>
      <w:r w:rsidRPr="00C8693D">
        <w:t>had a considerably more positive view of their educational environment and were less likely to experience bullying.</w:t>
      </w:r>
    </w:p>
    <w:p w:rsidR="003913E4" w:rsidRPr="00E90F49" w:rsidRDefault="003913E4" w:rsidP="003913E4">
      <w:pPr>
        <w:pStyle w:val="BodyCopy"/>
        <w:spacing w:before="240" w:line="276" w:lineRule="auto"/>
      </w:pPr>
      <w:r w:rsidRPr="00C8693D">
        <w:t xml:space="preserve">The differences between those living in the most deprived areas and those in the least deprived areas suggest that inequalities persist in relation to a range of key indicators of physical and emotional wellbeing. A similar relationship was found in relation to those eligible for free school meals and those who were not. For example, pupils living in deprived areas were less likely to eat a healthy </w:t>
      </w:r>
      <w:r w:rsidRPr="00C8693D">
        <w:lastRenderedPageBreak/>
        <w:t>diet, consuming less fruit and vegetables and more fizzy drinks than those in less deprived areas.</w:t>
      </w:r>
      <w:r w:rsidRPr="00E90F49">
        <w:t xml:space="preserve"> The higher consumption of fizzy drinks among those in more deprived areas is also </w:t>
      </w:r>
      <w:r w:rsidR="00B97E9F">
        <w:t>accompanied by</w:t>
      </w:r>
      <w:r w:rsidRPr="00E90F49">
        <w:t xml:space="preserve"> poor dental hygiene as those who consume more fizzy drinks are less likely to brush their teeth regularly.</w:t>
      </w:r>
    </w:p>
    <w:p w:rsidR="003913E4" w:rsidRPr="00E90F49" w:rsidRDefault="003913E4" w:rsidP="003913E4">
      <w:pPr>
        <w:pStyle w:val="BodyCopy"/>
        <w:spacing w:before="240" w:line="276" w:lineRule="auto"/>
      </w:pPr>
      <w:r w:rsidRPr="00C8693D">
        <w:t xml:space="preserve">Pupils in deprived areas were also more </w:t>
      </w:r>
      <w:r w:rsidR="00B97E9F">
        <w:t xml:space="preserve">likely to be </w:t>
      </w:r>
      <w:r w:rsidRPr="00C8693D">
        <w:t>exposed to an unhealthy environment with 39% of children in the most deprived quintile being frequently exposed to second hand smoke compared with only 9% in the least deprived quintile. And</w:t>
      </w:r>
      <w:r w:rsidR="00C8693D">
        <w:t xml:space="preserve"> those in deprived areas were also</w:t>
      </w:r>
      <w:r w:rsidRPr="00C8693D">
        <w:t xml:space="preserve"> less likely to take part in activities that were shown to be linked to a healthy lifestyle, for example, 34% in the most deprived quintile ate with their family every day compared with 51% in the least deprived quintile.</w:t>
      </w:r>
    </w:p>
    <w:p w:rsidR="003913E4" w:rsidRPr="00E90F49" w:rsidRDefault="00B97E9F" w:rsidP="003913E4">
      <w:pPr>
        <w:pStyle w:val="BodyCopy"/>
        <w:spacing w:before="240" w:line="276" w:lineRule="auto"/>
      </w:pPr>
      <w:r>
        <w:t>T</w:t>
      </w:r>
      <w:r w:rsidR="003913E4" w:rsidRPr="00C8693D">
        <w:t xml:space="preserve">hose in the most deprived </w:t>
      </w:r>
      <w:r>
        <w:t>areas were also</w:t>
      </w:r>
      <w:r w:rsidR="003913E4" w:rsidRPr="00C8693D">
        <w:t xml:space="preserve"> more likely to worry about the health of a family member</w:t>
      </w:r>
      <w:r>
        <w:t xml:space="preserve"> or</w:t>
      </w:r>
      <w:r w:rsidR="003913E4" w:rsidRPr="00C8693D">
        <w:t xml:space="preserve"> about not doing well at school, and more likely to have been bullied at school. They were less likely to have access to a garden or to say that they liked living in their local area.</w:t>
      </w:r>
    </w:p>
    <w:p w:rsidR="003913E4" w:rsidRPr="00E90F49" w:rsidRDefault="003913E4" w:rsidP="003913E4">
      <w:pPr>
        <w:pStyle w:val="BodyCopy"/>
        <w:spacing w:before="240" w:line="276" w:lineRule="auto"/>
      </w:pPr>
      <w:r w:rsidRPr="00E90F49">
        <w:t xml:space="preserve">Family composition was a predictive factor for indicators within each of the three wellbeing domains. In comparison </w:t>
      </w:r>
      <w:r w:rsidR="00C8693D">
        <w:t>with</w:t>
      </w:r>
      <w:r w:rsidRPr="00E90F49">
        <w:t xml:space="preserve"> children who lived with two parents, children in single parent and step</w:t>
      </w:r>
      <w:r w:rsidR="00C8693D">
        <w:t>-</w:t>
      </w:r>
      <w:r w:rsidRPr="00E90F49">
        <w:t xml:space="preserve">families </w:t>
      </w:r>
      <w:r>
        <w:t>had</w:t>
      </w:r>
      <w:r w:rsidRPr="00E90F49">
        <w:t>:</w:t>
      </w:r>
    </w:p>
    <w:p w:rsidR="003913E4" w:rsidRDefault="003913E4" w:rsidP="003913E4">
      <w:pPr>
        <w:pStyle w:val="Bullet1"/>
        <w:numPr>
          <w:ilvl w:val="0"/>
          <w:numId w:val="14"/>
        </w:numPr>
        <w:ind w:left="641" w:hanging="357"/>
      </w:pPr>
      <w:r>
        <w:t>worse health</w:t>
      </w:r>
    </w:p>
    <w:p w:rsidR="003913E4" w:rsidRDefault="003913E4" w:rsidP="003913E4">
      <w:pPr>
        <w:pStyle w:val="Bullet1"/>
        <w:numPr>
          <w:ilvl w:val="0"/>
          <w:numId w:val="14"/>
        </w:numPr>
        <w:ind w:left="641" w:hanging="357"/>
      </w:pPr>
      <w:r>
        <w:t>less healthy dietary behaviours</w:t>
      </w:r>
    </w:p>
    <w:p w:rsidR="003913E4" w:rsidRPr="00C346AB" w:rsidRDefault="003913E4" w:rsidP="003913E4">
      <w:pPr>
        <w:pStyle w:val="Bullet1"/>
        <w:numPr>
          <w:ilvl w:val="0"/>
          <w:numId w:val="14"/>
        </w:numPr>
        <w:ind w:left="641" w:hanging="357"/>
      </w:pPr>
      <w:r w:rsidRPr="00C346AB">
        <w:t xml:space="preserve">lower levels of life satisfaction </w:t>
      </w:r>
    </w:p>
    <w:p w:rsidR="003913E4" w:rsidRPr="00C346AB" w:rsidRDefault="003913E4" w:rsidP="003913E4">
      <w:pPr>
        <w:pStyle w:val="Bullet1"/>
        <w:numPr>
          <w:ilvl w:val="0"/>
          <w:numId w:val="14"/>
        </w:numPr>
        <w:ind w:left="641" w:hanging="357"/>
      </w:pPr>
      <w:r w:rsidRPr="00C346AB">
        <w:t>lower moods</w:t>
      </w:r>
    </w:p>
    <w:p w:rsidR="003913E4" w:rsidRPr="00C346AB" w:rsidRDefault="003913E4" w:rsidP="003913E4">
      <w:pPr>
        <w:pStyle w:val="Bullet1"/>
        <w:numPr>
          <w:ilvl w:val="0"/>
          <w:numId w:val="14"/>
        </w:numPr>
        <w:ind w:left="641" w:hanging="357"/>
      </w:pPr>
      <w:r w:rsidRPr="00C346AB">
        <w:t>increased exposure to second-hand smoke in the home</w:t>
      </w:r>
    </w:p>
    <w:p w:rsidR="003913E4" w:rsidRPr="00C346AB" w:rsidRDefault="003913E4" w:rsidP="003913E4">
      <w:pPr>
        <w:pStyle w:val="Bullet1"/>
        <w:numPr>
          <w:ilvl w:val="0"/>
          <w:numId w:val="14"/>
        </w:numPr>
        <w:ind w:left="641" w:hanging="357"/>
      </w:pPr>
      <w:r w:rsidRPr="00C346AB">
        <w:t>less positive relationships with their parents</w:t>
      </w:r>
    </w:p>
    <w:p w:rsidR="003913E4" w:rsidRPr="00C346AB" w:rsidRDefault="003913E4" w:rsidP="003913E4">
      <w:pPr>
        <w:pStyle w:val="Bullet1"/>
        <w:numPr>
          <w:ilvl w:val="0"/>
          <w:numId w:val="14"/>
        </w:numPr>
        <w:ind w:left="641" w:hanging="357"/>
      </w:pPr>
      <w:r w:rsidRPr="00C346AB">
        <w:t>increased incidence of bullying</w:t>
      </w:r>
    </w:p>
    <w:p w:rsidR="003913E4" w:rsidRPr="00C346AB" w:rsidRDefault="003913E4" w:rsidP="003913E4">
      <w:pPr>
        <w:pStyle w:val="Bullet1"/>
        <w:numPr>
          <w:ilvl w:val="0"/>
          <w:numId w:val="14"/>
        </w:numPr>
        <w:ind w:left="641" w:hanging="357"/>
      </w:pPr>
      <w:r w:rsidRPr="00C346AB">
        <w:t>poorer body image</w:t>
      </w:r>
    </w:p>
    <w:p w:rsidR="003913E4" w:rsidRDefault="003913E4" w:rsidP="003913E4">
      <w:pPr>
        <w:pStyle w:val="Bullet1"/>
        <w:numPr>
          <w:ilvl w:val="0"/>
          <w:numId w:val="14"/>
        </w:numPr>
        <w:ind w:left="641" w:hanging="357"/>
      </w:pPr>
      <w:r w:rsidRPr="00C346AB">
        <w:t>lower satisfaction with the area they live in</w:t>
      </w:r>
    </w:p>
    <w:p w:rsidR="003913E4" w:rsidRPr="00C346AB" w:rsidRDefault="003913E4" w:rsidP="003913E4">
      <w:pPr>
        <w:pStyle w:val="Bullet1"/>
        <w:ind w:left="641"/>
      </w:pPr>
    </w:p>
    <w:p w:rsidR="003913E4" w:rsidRPr="00E63653" w:rsidRDefault="00B97E9F" w:rsidP="003913E4">
      <w:r>
        <w:t>P</w:t>
      </w:r>
      <w:r w:rsidR="003913E4" w:rsidRPr="00E90F49">
        <w:t>upils with additional support needs were considerab</w:t>
      </w:r>
      <w:r w:rsidR="003913E4">
        <w:t xml:space="preserve">ly more likely to </w:t>
      </w:r>
      <w:r>
        <w:t xml:space="preserve">have </w:t>
      </w:r>
      <w:r w:rsidR="003913E4">
        <w:t>be</w:t>
      </w:r>
      <w:r>
        <w:t>en</w:t>
      </w:r>
      <w:r w:rsidR="003913E4">
        <w:t xml:space="preserve"> bullied (41</w:t>
      </w:r>
      <w:r w:rsidR="003913E4" w:rsidRPr="00E90F49">
        <w:t>% compared with</w:t>
      </w:r>
      <w:r w:rsidR="003913E4">
        <w:t xml:space="preserve"> 29</w:t>
      </w:r>
      <w:r w:rsidR="003913E4" w:rsidRPr="00E90F49">
        <w:t>% among those without); to have fewer friends</w:t>
      </w:r>
      <w:r>
        <w:t>;</w:t>
      </w:r>
      <w:r w:rsidR="003913E4" w:rsidRPr="00E90F49">
        <w:t xml:space="preserve"> </w:t>
      </w:r>
      <w:r>
        <w:t>to be</w:t>
      </w:r>
      <w:r w:rsidRPr="00E90F49">
        <w:t xml:space="preserve"> </w:t>
      </w:r>
      <w:r w:rsidR="003913E4" w:rsidRPr="00E90F49">
        <w:t xml:space="preserve">less likely to enjoy school and more likely </w:t>
      </w:r>
      <w:r w:rsidR="003913E4">
        <w:t>to have ever skipped school</w:t>
      </w:r>
      <w:r>
        <w:t>;</w:t>
      </w:r>
      <w:r w:rsidR="003913E4" w:rsidRPr="00E90F49">
        <w:t xml:space="preserve"> </w:t>
      </w:r>
      <w:r>
        <w:t>to be</w:t>
      </w:r>
      <w:r w:rsidRPr="00E90F49">
        <w:t xml:space="preserve"> </w:t>
      </w:r>
      <w:r w:rsidR="003913E4" w:rsidRPr="00E90F49">
        <w:t>less likely to have high life satisfaction and more likely to have lower mood</w:t>
      </w:r>
      <w:r w:rsidR="003913E4">
        <w:t>.</w:t>
      </w:r>
    </w:p>
    <w:p w:rsidR="00507F17" w:rsidRDefault="00507F17">
      <w:pPr>
        <w:spacing w:after="0" w:line="240" w:lineRule="auto"/>
        <w:rPr>
          <w:rFonts w:ascii="Arial" w:eastAsia="Times New Roman" w:hAnsi="Arial" w:cs="Times New Roman"/>
          <w:b/>
          <w:sz w:val="44"/>
          <w:szCs w:val="20"/>
          <w:lang w:eastAsia="en-GB"/>
        </w:rPr>
      </w:pPr>
      <w:r>
        <w:rPr>
          <w:rFonts w:ascii="Arial" w:eastAsia="Times New Roman" w:hAnsi="Arial" w:cs="Times New Roman"/>
          <w:b/>
          <w:sz w:val="44"/>
          <w:szCs w:val="20"/>
          <w:lang w:eastAsia="en-GB"/>
        </w:rPr>
        <w:br w:type="page"/>
      </w:r>
    </w:p>
    <w:p w:rsidR="00940DAB" w:rsidRPr="00BC1E28" w:rsidRDefault="00940DAB" w:rsidP="00940DAB">
      <w:pPr>
        <w:pStyle w:val="Heading1"/>
        <w:pageBreakBefore w:val="0"/>
        <w:spacing w:line="276" w:lineRule="auto"/>
      </w:pPr>
      <w:bookmarkStart w:id="164" w:name="_Toc492045506"/>
      <w:bookmarkStart w:id="165" w:name="_Toc494182095"/>
      <w:bookmarkStart w:id="166" w:name="_Toc479857063"/>
      <w:bookmarkEnd w:id="65"/>
      <w:r w:rsidRPr="00BC1E28">
        <w:lastRenderedPageBreak/>
        <w:t>Findings from the parent survey</w:t>
      </w:r>
      <w:bookmarkEnd w:id="164"/>
      <w:bookmarkEnd w:id="165"/>
    </w:p>
    <w:p w:rsidR="00940DAB" w:rsidRDefault="00940DAB" w:rsidP="00940DAB">
      <w:pPr>
        <w:pStyle w:val="Heading2"/>
        <w:spacing w:line="276" w:lineRule="auto"/>
        <w:ind w:left="902" w:hanging="902"/>
      </w:pPr>
      <w:bookmarkStart w:id="167" w:name="_Toc492045507"/>
      <w:bookmarkStart w:id="168" w:name="_Toc494182096"/>
      <w:r w:rsidRPr="00AC655C">
        <w:t>How the</w:t>
      </w:r>
      <w:r>
        <w:t xml:space="preserve"> survey was carried out</w:t>
      </w:r>
      <w:bookmarkEnd w:id="167"/>
      <w:bookmarkEnd w:id="168"/>
    </w:p>
    <w:p w:rsidR="00940DAB" w:rsidRPr="00C642D3" w:rsidRDefault="00940DAB" w:rsidP="00940DAB">
      <w:pPr>
        <w:pStyle w:val="Bullet1"/>
        <w:spacing w:before="240" w:after="0" w:line="276" w:lineRule="auto"/>
        <w:rPr>
          <w:rFonts w:asciiTheme="minorHAnsi" w:hAnsiTheme="minorHAnsi" w:cstheme="minorHAnsi"/>
        </w:rPr>
      </w:pPr>
      <w:r w:rsidRPr="00C642D3">
        <w:rPr>
          <w:rFonts w:asciiTheme="minorHAnsi" w:hAnsiTheme="minorHAnsi" w:cstheme="minorHAnsi"/>
        </w:rPr>
        <w:t xml:space="preserve">This element of the RCS survey programme served two main purposes. First and most importantly, </w:t>
      </w:r>
      <w:r>
        <w:rPr>
          <w:rFonts w:asciiTheme="minorHAnsi" w:hAnsiTheme="minorHAnsi" w:cstheme="minorHAnsi"/>
        </w:rPr>
        <w:t>it was a means of obtaining proxy information about the health and wellbeing of children in the early stages of childhood (0-8 years), to set alongside that provided by the school-based surveys of older children and young people. Secondly, it offered an opportunity to gather some information about the views, experiences and wellbeing of parents and carers themselves. In relation to both these groups – 0-8 year-olds and their parents – the survey provides population-level information not readily available from any other source.</w:t>
      </w:r>
    </w:p>
    <w:p w:rsidR="00940DAB" w:rsidRPr="009A6E02" w:rsidRDefault="00940DAB" w:rsidP="00940DAB">
      <w:pPr>
        <w:pStyle w:val="BodyCopy"/>
        <w:spacing w:before="240" w:line="276" w:lineRule="auto"/>
        <w:rPr>
          <w:rFonts w:cs="Arial"/>
          <w:szCs w:val="22"/>
        </w:rPr>
      </w:pPr>
      <w:r>
        <w:rPr>
          <w:rFonts w:cs="Arial"/>
          <w:szCs w:val="22"/>
        </w:rPr>
        <w:t xml:space="preserve">Interviews were </w:t>
      </w:r>
      <w:r w:rsidRPr="009A6E02">
        <w:rPr>
          <w:rFonts w:cs="Arial"/>
          <w:szCs w:val="22"/>
        </w:rPr>
        <w:t>conducted</w:t>
      </w:r>
      <w:r w:rsidRPr="009A6E02">
        <w:rPr>
          <w:rFonts w:cs="Arial"/>
          <w:b/>
          <w:szCs w:val="22"/>
        </w:rPr>
        <w:t xml:space="preserve"> </w:t>
      </w:r>
      <w:r w:rsidRPr="009A6E02">
        <w:rPr>
          <w:rFonts w:cs="Arial"/>
          <w:szCs w:val="22"/>
        </w:rPr>
        <w:t xml:space="preserve">with </w:t>
      </w:r>
      <w:r w:rsidR="007C7AB4" w:rsidRPr="009A6E02">
        <w:rPr>
          <w:rFonts w:cs="Arial"/>
          <w:szCs w:val="22"/>
        </w:rPr>
        <w:t>502</w:t>
      </w:r>
      <w:r w:rsidRPr="009A6E02">
        <w:rPr>
          <w:rFonts w:cs="Arial"/>
          <w:szCs w:val="22"/>
        </w:rPr>
        <w:t xml:space="preserve"> parents or main carers across Falkirk in their homes between </w:t>
      </w:r>
      <w:r w:rsidR="007C7AB4" w:rsidRPr="009A6E02">
        <w:rPr>
          <w:rFonts w:cs="Arial"/>
          <w:szCs w:val="22"/>
        </w:rPr>
        <w:t>Jan</w:t>
      </w:r>
      <w:r w:rsidRPr="009A6E02">
        <w:rPr>
          <w:rFonts w:cs="Arial"/>
          <w:szCs w:val="22"/>
        </w:rPr>
        <w:t xml:space="preserve">uary and May 2017, using face-to-face Computer Assisted Personal Interviewing (CAPI) interviewing. The questionnaire took approximately 30 minutes, on average, for parents to complete. </w:t>
      </w:r>
    </w:p>
    <w:p w:rsidR="00940DAB" w:rsidRPr="009A6E02" w:rsidRDefault="00940DAB" w:rsidP="00940DAB">
      <w:pPr>
        <w:spacing w:before="240" w:after="0"/>
        <w:rPr>
          <w:rFonts w:ascii="Times New Roman" w:eastAsia="Calibri" w:hAnsi="Times New Roman" w:cs="Times New Roman"/>
          <w:sz w:val="24"/>
          <w:szCs w:val="24"/>
          <w:lang w:eastAsia="en-GB"/>
        </w:rPr>
      </w:pPr>
      <w:r w:rsidRPr="009A6E02">
        <w:rPr>
          <w:rFonts w:cstheme="minorHAnsi"/>
        </w:rPr>
        <w:t>If interviewees had more than one child in the 0-8 age group, a ‘reference child’ was selected at random. The survey used an approach called quota sampling to ensure that the sample was broadly representative of the Local Authority in terms of the age of the child (0-4 or 5-8 years) and working status of the household (working or non-working). It cannot be assumed to be wholly representative of the Local Authority in terms of other demographic characteristics. As is common in surveys of this kind with ‘main carers’, the vast majority of interviewees (7</w:t>
      </w:r>
      <w:r w:rsidR="009A6E02" w:rsidRPr="009A6E02">
        <w:rPr>
          <w:rFonts w:cstheme="minorHAnsi"/>
        </w:rPr>
        <w:t>7</w:t>
      </w:r>
      <w:r w:rsidRPr="009A6E02">
        <w:rPr>
          <w:rFonts w:cstheme="minorHAnsi"/>
        </w:rPr>
        <w:t xml:space="preserve">%) were female which may have had an impact on some responses. </w:t>
      </w:r>
      <w:r w:rsidRPr="009A6E02">
        <w:rPr>
          <w:rFonts w:ascii="Times New Roman" w:eastAsia="Calibri" w:hAnsi="Times New Roman" w:cs="Times New Roman"/>
          <w:sz w:val="24"/>
          <w:szCs w:val="24"/>
          <w:lang w:eastAsia="en-GB"/>
        </w:rPr>
        <w:t xml:space="preserve"> </w:t>
      </w:r>
    </w:p>
    <w:p w:rsidR="00940DAB" w:rsidRPr="009A6E02" w:rsidRDefault="00940DAB" w:rsidP="00940DAB">
      <w:pPr>
        <w:pStyle w:val="Bullet1"/>
        <w:spacing w:before="240" w:after="0" w:line="276" w:lineRule="auto"/>
        <w:rPr>
          <w:rFonts w:asciiTheme="minorHAnsi" w:hAnsiTheme="minorHAnsi" w:cstheme="minorHAnsi"/>
        </w:rPr>
      </w:pPr>
      <w:r w:rsidRPr="009A6E02">
        <w:rPr>
          <w:rFonts w:asciiTheme="minorHAnsi" w:hAnsiTheme="minorHAnsi" w:cstheme="minorHAnsi"/>
        </w:rPr>
        <w:t>In terms of the gender of the child being asked about, 257 (</w:t>
      </w:r>
      <w:r w:rsidR="009A6E02" w:rsidRPr="009A6E02">
        <w:rPr>
          <w:rFonts w:asciiTheme="minorHAnsi" w:hAnsiTheme="minorHAnsi" w:cstheme="minorHAnsi"/>
        </w:rPr>
        <w:t>51</w:t>
      </w:r>
      <w:r w:rsidRPr="009A6E02">
        <w:rPr>
          <w:rFonts w:asciiTheme="minorHAnsi" w:hAnsiTheme="minorHAnsi" w:cstheme="minorHAnsi"/>
        </w:rPr>
        <w:t>%) were male and 245 (49%) were female. In terms of age, 1</w:t>
      </w:r>
      <w:r w:rsidR="009A6E02" w:rsidRPr="009A6E02">
        <w:rPr>
          <w:rFonts w:asciiTheme="minorHAnsi" w:hAnsiTheme="minorHAnsi" w:cstheme="minorHAnsi"/>
        </w:rPr>
        <w:t>58</w:t>
      </w:r>
      <w:r w:rsidRPr="009A6E02">
        <w:rPr>
          <w:rFonts w:asciiTheme="minorHAnsi" w:hAnsiTheme="minorHAnsi" w:cstheme="minorHAnsi"/>
        </w:rPr>
        <w:t xml:space="preserve"> (</w:t>
      </w:r>
      <w:r w:rsidR="009A6E02" w:rsidRPr="009A6E02">
        <w:rPr>
          <w:rFonts w:asciiTheme="minorHAnsi" w:hAnsiTheme="minorHAnsi" w:cstheme="minorHAnsi"/>
        </w:rPr>
        <w:t>32</w:t>
      </w:r>
      <w:r w:rsidRPr="009A6E02">
        <w:rPr>
          <w:rFonts w:asciiTheme="minorHAnsi" w:hAnsiTheme="minorHAnsi" w:cstheme="minorHAnsi"/>
        </w:rPr>
        <w:t>%) were aged 0-2 years, 1</w:t>
      </w:r>
      <w:r w:rsidR="009A6E02" w:rsidRPr="009A6E02">
        <w:rPr>
          <w:rFonts w:asciiTheme="minorHAnsi" w:hAnsiTheme="minorHAnsi" w:cstheme="minorHAnsi"/>
        </w:rPr>
        <w:t>10</w:t>
      </w:r>
      <w:r w:rsidRPr="009A6E02">
        <w:rPr>
          <w:rFonts w:asciiTheme="minorHAnsi" w:hAnsiTheme="minorHAnsi" w:cstheme="minorHAnsi"/>
        </w:rPr>
        <w:t xml:space="preserve"> (2</w:t>
      </w:r>
      <w:r w:rsidR="009A6E02" w:rsidRPr="009A6E02">
        <w:rPr>
          <w:rFonts w:asciiTheme="minorHAnsi" w:hAnsiTheme="minorHAnsi" w:cstheme="minorHAnsi"/>
        </w:rPr>
        <w:t>2</w:t>
      </w:r>
      <w:r w:rsidRPr="009A6E02">
        <w:rPr>
          <w:rFonts w:asciiTheme="minorHAnsi" w:hAnsiTheme="minorHAnsi" w:cstheme="minorHAnsi"/>
        </w:rPr>
        <w:t>%) were aged 3-4 years and 2</w:t>
      </w:r>
      <w:r w:rsidR="009A6E02" w:rsidRPr="009A6E02">
        <w:rPr>
          <w:rFonts w:asciiTheme="minorHAnsi" w:hAnsiTheme="minorHAnsi" w:cstheme="minorHAnsi"/>
        </w:rPr>
        <w:t>34</w:t>
      </w:r>
      <w:r w:rsidRPr="009A6E02">
        <w:rPr>
          <w:rFonts w:asciiTheme="minorHAnsi" w:hAnsiTheme="minorHAnsi" w:cstheme="minorHAnsi"/>
        </w:rPr>
        <w:t xml:space="preserve"> (4</w:t>
      </w:r>
      <w:r w:rsidR="009A6E02" w:rsidRPr="009A6E02">
        <w:rPr>
          <w:rFonts w:asciiTheme="minorHAnsi" w:hAnsiTheme="minorHAnsi" w:cstheme="minorHAnsi"/>
        </w:rPr>
        <w:t>7</w:t>
      </w:r>
      <w:r w:rsidRPr="009A6E02">
        <w:rPr>
          <w:rFonts w:asciiTheme="minorHAnsi" w:hAnsiTheme="minorHAnsi" w:cstheme="minorHAnsi"/>
        </w:rPr>
        <w:t>%) were aged 5-8 years.</w:t>
      </w:r>
    </w:p>
    <w:p w:rsidR="00940DAB" w:rsidRDefault="00940DAB" w:rsidP="00940DAB">
      <w:pPr>
        <w:pStyle w:val="Bullet1"/>
        <w:spacing w:before="240" w:after="0" w:line="276" w:lineRule="auto"/>
        <w:rPr>
          <w:rFonts w:asciiTheme="minorHAnsi" w:hAnsiTheme="minorHAnsi" w:cstheme="minorHAnsi"/>
        </w:rPr>
      </w:pPr>
      <w:r w:rsidRPr="009A6E02">
        <w:rPr>
          <w:rFonts w:asciiTheme="minorHAnsi" w:hAnsiTheme="minorHAnsi" w:cstheme="minorHAnsi"/>
        </w:rPr>
        <w:t>Because of the relatively small total sample size, there are limits on</w:t>
      </w:r>
      <w:r>
        <w:rPr>
          <w:rFonts w:asciiTheme="minorHAnsi" w:hAnsiTheme="minorHAnsi" w:cstheme="minorHAnsi"/>
        </w:rPr>
        <w:t xml:space="preserve"> the extent to which statistically significant differences can be demonstrated across sub-groups.</w:t>
      </w:r>
    </w:p>
    <w:p w:rsidR="00940DAB" w:rsidRDefault="00940DAB" w:rsidP="00940DAB">
      <w:pPr>
        <w:pStyle w:val="Bullet1"/>
        <w:spacing w:before="240" w:after="0" w:line="276" w:lineRule="auto"/>
        <w:rPr>
          <w:rFonts w:cs="Arial"/>
          <w:szCs w:val="22"/>
        </w:rPr>
      </w:pPr>
      <w:r>
        <w:rPr>
          <w:rFonts w:cs="Arial"/>
          <w:szCs w:val="22"/>
        </w:rPr>
        <w:t>Further details about the data collection process – and about the characteristics of the achieved sample – can be found in the Technical Report.</w:t>
      </w:r>
    </w:p>
    <w:p w:rsidR="00940DAB" w:rsidRDefault="00940DAB" w:rsidP="00940DAB">
      <w:pPr>
        <w:pStyle w:val="Heading2"/>
        <w:spacing w:line="276" w:lineRule="auto"/>
        <w:ind w:left="902" w:hanging="902"/>
      </w:pPr>
      <w:bookmarkStart w:id="169" w:name="_Toc492045508"/>
      <w:bookmarkStart w:id="170" w:name="_Toc494182097"/>
      <w:r>
        <w:t>Personal wellbeing</w:t>
      </w:r>
      <w:bookmarkEnd w:id="169"/>
      <w:bookmarkEnd w:id="170"/>
    </w:p>
    <w:p w:rsidR="00940DAB" w:rsidRDefault="00940DAB" w:rsidP="00940DAB">
      <w:pPr>
        <w:pStyle w:val="BodyCopy"/>
        <w:spacing w:line="276" w:lineRule="auto"/>
      </w:pPr>
      <w:r>
        <w:t>Parents and carers were asked to provide proxy data in relation to various aspects of personal wellbeing.  These included physical health (child’s general health; long-standing health conditions; hospital admissions; communication and sleep patterns), healthy living (diet and nutrition; physical activity; dental health) and mental health.</w:t>
      </w:r>
    </w:p>
    <w:p w:rsidR="00940DAB" w:rsidRDefault="00940DAB" w:rsidP="00940DAB">
      <w:pPr>
        <w:pStyle w:val="Heading3"/>
        <w:spacing w:line="276" w:lineRule="auto"/>
      </w:pPr>
      <w:bookmarkStart w:id="171" w:name="_Toc492045509"/>
      <w:bookmarkStart w:id="172" w:name="_Toc494182098"/>
      <w:r>
        <w:lastRenderedPageBreak/>
        <w:t>General health</w:t>
      </w:r>
      <w:bookmarkEnd w:id="171"/>
      <w:bookmarkEnd w:id="172"/>
    </w:p>
    <w:p w:rsidR="00940DAB" w:rsidRPr="00532DEC" w:rsidRDefault="00940DAB" w:rsidP="00940DAB">
      <w:pPr>
        <w:pStyle w:val="Heading3"/>
        <w:numPr>
          <w:ilvl w:val="0"/>
          <w:numId w:val="0"/>
        </w:numPr>
        <w:spacing w:line="276" w:lineRule="auto"/>
        <w:ind w:left="851" w:hanging="851"/>
        <w:rPr>
          <w:szCs w:val="32"/>
        </w:rPr>
      </w:pPr>
      <w:bookmarkStart w:id="173" w:name="_Toc492045510"/>
      <w:bookmarkStart w:id="174" w:name="_Toc494182099"/>
      <w:r w:rsidRPr="000E6077">
        <w:rPr>
          <w:color w:val="auto"/>
          <w:szCs w:val="32"/>
        </w:rPr>
        <w:t>C</w:t>
      </w:r>
      <w:r w:rsidRPr="00532DEC">
        <w:rPr>
          <w:szCs w:val="32"/>
        </w:rPr>
        <w:t>hild’s general health</w:t>
      </w:r>
      <w:r>
        <w:rPr>
          <w:szCs w:val="32"/>
        </w:rPr>
        <w:t xml:space="preserve"> (Healthy)</w:t>
      </w:r>
      <w:bookmarkEnd w:id="173"/>
      <w:bookmarkEnd w:id="174"/>
    </w:p>
    <w:p w:rsidR="00940DAB" w:rsidRDefault="00940DAB" w:rsidP="00940DAB">
      <w:pPr>
        <w:spacing w:before="240"/>
      </w:pPr>
      <w:r>
        <w:t xml:space="preserve">The survey suggests that parents and carers tend to take a relatively </w:t>
      </w:r>
      <w:r w:rsidR="00F65391">
        <w:t xml:space="preserve">positive </w:t>
      </w:r>
      <w:r>
        <w:t xml:space="preserve">view of </w:t>
      </w:r>
      <w:r w:rsidRPr="002C2757">
        <w:t>their child’s health: almost all rated their child’s general health as either ‘very good’ (</w:t>
      </w:r>
      <w:r>
        <w:t>76%) or ‘good’ (19%), while just 5</w:t>
      </w:r>
      <w:r w:rsidRPr="002C2757">
        <w:t xml:space="preserve">% reported that it was ‘fair’ and </w:t>
      </w:r>
      <w:r>
        <w:t>1</w:t>
      </w:r>
      <w:r w:rsidRPr="002C2757">
        <w:t xml:space="preserve">% that it was ‘bad’. Scottish Health Survey 2015 data for Scotland as a whole showed </w:t>
      </w:r>
      <w:r w:rsidRPr="008F482A">
        <w:t>that around seven in ten (68%</w:t>
      </w:r>
      <w:r>
        <w:t>)</w:t>
      </w:r>
      <w:r w:rsidRPr="008F482A">
        <w:t xml:space="preserve"> of those aged 0-3 and those aged 4-7</w:t>
      </w:r>
      <w:r>
        <w:t xml:space="preserve"> (71%</w:t>
      </w:r>
      <w:r w:rsidRPr="008F482A">
        <w:t>) had their health rated as ‘very good’ using the same question</w:t>
      </w:r>
      <w:r>
        <w:t>.</w:t>
      </w:r>
      <w:r w:rsidRPr="008F482A">
        <w:rPr>
          <w:vertAlign w:val="superscript"/>
        </w:rPr>
        <w:endnoteReference w:id="32"/>
      </w:r>
    </w:p>
    <w:p w:rsidR="00940DAB" w:rsidRDefault="00940DAB" w:rsidP="00940DAB">
      <w:pPr>
        <w:pStyle w:val="Heading3"/>
        <w:numPr>
          <w:ilvl w:val="0"/>
          <w:numId w:val="0"/>
        </w:numPr>
        <w:spacing w:line="276" w:lineRule="auto"/>
        <w:ind w:left="851" w:hanging="851"/>
      </w:pPr>
      <w:bookmarkStart w:id="175" w:name="_Toc492045511"/>
      <w:bookmarkStart w:id="176" w:name="_Toc494182100"/>
      <w:r w:rsidRPr="0053137A">
        <w:rPr>
          <w:color w:val="auto"/>
        </w:rPr>
        <w:t>Long</w:t>
      </w:r>
      <w:r>
        <w:t>-standing health conditions (Healthy)</w:t>
      </w:r>
      <w:bookmarkEnd w:id="175"/>
      <w:bookmarkEnd w:id="176"/>
    </w:p>
    <w:p w:rsidR="00940DAB" w:rsidRPr="002C2757" w:rsidRDefault="00940DAB" w:rsidP="00940DAB">
      <w:pPr>
        <w:spacing w:before="240"/>
      </w:pPr>
      <w:r>
        <w:t>Despite these positive assessments of general health, a</w:t>
      </w:r>
      <w:r w:rsidRPr="00374230">
        <w:t>round one</w:t>
      </w:r>
      <w:r>
        <w:t xml:space="preserve"> parent</w:t>
      </w:r>
      <w:r w:rsidRPr="00374230">
        <w:t xml:space="preserve"> in </w:t>
      </w:r>
      <w:r>
        <w:t>six (18</w:t>
      </w:r>
      <w:r w:rsidRPr="002C2757">
        <w:t>%) said their child has a long-term physical or mental health condition or illness (that is, a condition or illness that has been present since birth or is expected to last for 12 months or more). Comparative national data from the Scottish Health Survey in 2015 showed 10% of those aged 0-3 and 17% of those aged 4-7 were reported to have a long-term condition</w:t>
      </w:r>
      <w:r>
        <w:t>.</w:t>
      </w:r>
      <w:r w:rsidRPr="002C2757">
        <w:rPr>
          <w:vertAlign w:val="superscript"/>
        </w:rPr>
        <w:endnoteReference w:id="33"/>
      </w:r>
    </w:p>
    <w:p w:rsidR="00940DAB" w:rsidRDefault="00940DAB" w:rsidP="00940DAB">
      <w:pPr>
        <w:spacing w:before="240"/>
      </w:pPr>
      <w:r w:rsidRPr="002C2757">
        <w:t xml:space="preserve">Of those children with a long-standing health condition, </w:t>
      </w:r>
      <w:r w:rsidRPr="00A26B3B">
        <w:t>the largest single group (</w:t>
      </w:r>
      <w:r>
        <w:t>29</w:t>
      </w:r>
      <w:r w:rsidRPr="00A26B3B">
        <w:t xml:space="preserve">%) had a condition </w:t>
      </w:r>
      <w:r>
        <w:t>relating to social or behavioural issues. A</w:t>
      </w:r>
      <w:r w:rsidRPr="00A26B3B">
        <w:t xml:space="preserve"> further </w:t>
      </w:r>
      <w:r>
        <w:t>24</w:t>
      </w:r>
      <w:r w:rsidRPr="00A26B3B">
        <w:t>%</w:t>
      </w:r>
      <w:r w:rsidRPr="00C66C16">
        <w:t xml:space="preserve"> </w:t>
      </w:r>
      <w:r>
        <w:t xml:space="preserve">reported the child </w:t>
      </w:r>
      <w:r w:rsidRPr="00A26B3B">
        <w:t xml:space="preserve">having a condition </w:t>
      </w:r>
      <w:r>
        <w:t>that affected their stamina or breathing and 19% mentioned issues with the child’s learning or concentration</w:t>
      </w:r>
      <w:r w:rsidRPr="00A26B3B">
        <w:t xml:space="preserve">. The most commonly mentioned other conditions were </w:t>
      </w:r>
      <w:r>
        <w:t>allergies (18</w:t>
      </w:r>
      <w:r w:rsidRPr="00A26B3B">
        <w:t xml:space="preserve">%), </w:t>
      </w:r>
      <w:r>
        <w:t>conditions that affected vision</w:t>
      </w:r>
      <w:r w:rsidRPr="00A26B3B">
        <w:t xml:space="preserve"> </w:t>
      </w:r>
      <w:r>
        <w:t xml:space="preserve">(13%), and issues relating to mobility </w:t>
      </w:r>
      <w:r w:rsidRPr="00A26B3B">
        <w:t>(</w:t>
      </w:r>
      <w:r>
        <w:t>11</w:t>
      </w:r>
      <w:r w:rsidRPr="00A26B3B">
        <w:t>%).</w:t>
      </w:r>
      <w:r>
        <w:t xml:space="preserve"> </w:t>
      </w:r>
    </w:p>
    <w:p w:rsidR="00940DAB" w:rsidRDefault="00940DAB" w:rsidP="00940DAB">
      <w:pPr>
        <w:pStyle w:val="Heading3"/>
        <w:numPr>
          <w:ilvl w:val="0"/>
          <w:numId w:val="0"/>
        </w:numPr>
        <w:spacing w:line="276" w:lineRule="auto"/>
      </w:pPr>
      <w:bookmarkStart w:id="177" w:name="_Toc492045512"/>
      <w:bookmarkStart w:id="178" w:name="_Toc494182101"/>
      <w:r>
        <w:t xml:space="preserve">Accidents, injuries and hospital admissions </w:t>
      </w:r>
      <w:r w:rsidRPr="00CA66AC">
        <w:t>(</w:t>
      </w:r>
      <w:r>
        <w:t xml:space="preserve">Safe, </w:t>
      </w:r>
      <w:r w:rsidRPr="00CA66AC">
        <w:t>Healthy)</w:t>
      </w:r>
      <w:bookmarkEnd w:id="177"/>
      <w:bookmarkEnd w:id="178"/>
    </w:p>
    <w:p w:rsidR="00940DAB" w:rsidRPr="000E6077" w:rsidRDefault="00940DAB" w:rsidP="00940DAB">
      <w:pPr>
        <w:pStyle w:val="BodyCopy"/>
        <w:spacing w:before="360" w:after="100" w:line="276" w:lineRule="auto"/>
        <w:rPr>
          <w:b/>
          <w:i/>
          <w:sz w:val="24"/>
          <w:szCs w:val="24"/>
        </w:rPr>
      </w:pPr>
      <w:r w:rsidRPr="000E6077">
        <w:rPr>
          <w:b/>
          <w:i/>
          <w:sz w:val="24"/>
          <w:szCs w:val="24"/>
        </w:rPr>
        <w:t>Accidents and injuries</w:t>
      </w:r>
    </w:p>
    <w:p w:rsidR="00940DAB" w:rsidRPr="000E6077" w:rsidRDefault="00940DAB" w:rsidP="00940DAB">
      <w:pPr>
        <w:spacing w:before="240"/>
      </w:pPr>
      <w:r>
        <w:t>Around one in eight (12%)</w:t>
      </w:r>
      <w:r w:rsidRPr="000E6077">
        <w:t xml:space="preserve"> children had experienced an accident or injury during the past twelve months. Figures from the 2015 Scottish Health Survey (with a slightly different question) showed that across Scotland 12% of those aged 0-3 and 13% of those aged 4-7 had an accident in the previous 12 months.</w:t>
      </w:r>
    </w:p>
    <w:p w:rsidR="00940DAB" w:rsidRPr="000E6077" w:rsidRDefault="00940DAB" w:rsidP="00940DAB">
      <w:pPr>
        <w:spacing w:before="240"/>
      </w:pPr>
      <w:r w:rsidRPr="000E6077">
        <w:t>Of those who had ex</w:t>
      </w:r>
      <w:r>
        <w:t>perienced accident or injury, 76</w:t>
      </w:r>
      <w:r w:rsidRPr="000E6077">
        <w:t xml:space="preserve">% attended Casualty or Accident and Emergency and </w:t>
      </w:r>
      <w:r>
        <w:t>6</w:t>
      </w:r>
      <w:r w:rsidRPr="000E6077">
        <w:t xml:space="preserve">% were admitted to a hospital ward. The remaining </w:t>
      </w:r>
      <w:r>
        <w:t>18</w:t>
      </w:r>
      <w:r w:rsidRPr="000E6077">
        <w:t>% did not need to go to hospital.</w:t>
      </w:r>
      <w:r w:rsidR="00A40D43">
        <w:t xml:space="preserve"> There were no significant differences between sub-groups in relation to experience of accidents or injury.</w:t>
      </w:r>
    </w:p>
    <w:p w:rsidR="00940DAB" w:rsidRDefault="00940DAB" w:rsidP="00940DAB">
      <w:pPr>
        <w:spacing w:before="240"/>
        <w:rPr>
          <w:b/>
          <w:i/>
          <w:sz w:val="24"/>
          <w:szCs w:val="24"/>
        </w:rPr>
      </w:pPr>
      <w:r w:rsidRPr="000E6077">
        <w:rPr>
          <w:b/>
          <w:i/>
          <w:sz w:val="24"/>
          <w:szCs w:val="24"/>
        </w:rPr>
        <w:t xml:space="preserve">Hospital </w:t>
      </w:r>
      <w:r w:rsidRPr="00D918C5">
        <w:rPr>
          <w:b/>
          <w:i/>
          <w:sz w:val="24"/>
          <w:szCs w:val="24"/>
        </w:rPr>
        <w:t>admission as a result of illness</w:t>
      </w:r>
    </w:p>
    <w:p w:rsidR="00940DAB" w:rsidRPr="00D918C5" w:rsidRDefault="00940DAB" w:rsidP="00940DAB">
      <w:pPr>
        <w:spacing w:before="240"/>
      </w:pPr>
      <w:r>
        <w:t>Around a quarter of parents (26</w:t>
      </w:r>
      <w:r w:rsidRPr="00D918C5">
        <w:t xml:space="preserve">%) said that their child had ever been admitted to a hospital ward as a result of illness </w:t>
      </w:r>
      <w:r w:rsidRPr="00C52F6B">
        <w:t xml:space="preserve">or a health problem. </w:t>
      </w:r>
      <w:r w:rsidRPr="00767A69">
        <w:t xml:space="preserve">There were no </w:t>
      </w:r>
      <w:r w:rsidRPr="00767A69">
        <w:lastRenderedPageBreak/>
        <w:t>statistically significant differences in hospital admission according to the child’s age, gender or area deprivation level.</w:t>
      </w:r>
    </w:p>
    <w:p w:rsidR="00342B7E" w:rsidRDefault="00342B7E" w:rsidP="00342B7E">
      <w:pPr>
        <w:pStyle w:val="Heading3"/>
        <w:numPr>
          <w:ilvl w:val="0"/>
          <w:numId w:val="0"/>
        </w:numPr>
        <w:spacing w:line="276" w:lineRule="auto"/>
      </w:pPr>
      <w:bookmarkStart w:id="179" w:name="_Toc491244178"/>
      <w:bookmarkStart w:id="180" w:name="_Toc494182102"/>
      <w:bookmarkStart w:id="181" w:name="_Toc492045513"/>
      <w:r>
        <w:t>Birth weight (Healthy)</w:t>
      </w:r>
      <w:bookmarkEnd w:id="179"/>
      <w:bookmarkEnd w:id="180"/>
    </w:p>
    <w:p w:rsidR="00342B7E" w:rsidRPr="00174909" w:rsidRDefault="00342B7E" w:rsidP="00342B7E">
      <w:pPr>
        <w:spacing w:before="240"/>
      </w:pPr>
      <w:r>
        <w:t>Parents were asked to provide their child’s weight at birth. Those children who were singleton births and whose weight was under 2.5kg were classed as having low birth weight. Only 7% of children had a low birth weight. Children living in areas in the two most deprived quintiles were markedly more likely to have had a low birth weight than were children living in areas in the three least deprived quintiles (10% compared with 5%).</w:t>
      </w:r>
    </w:p>
    <w:p w:rsidR="00940DAB" w:rsidRPr="00531575" w:rsidRDefault="00940DAB" w:rsidP="00940DAB">
      <w:pPr>
        <w:pStyle w:val="Heading3"/>
        <w:numPr>
          <w:ilvl w:val="0"/>
          <w:numId w:val="0"/>
        </w:numPr>
        <w:spacing w:line="276" w:lineRule="auto"/>
        <w:rPr>
          <w:rFonts w:asciiTheme="minorHAnsi" w:hAnsiTheme="minorHAnsi" w:cstheme="minorHAnsi"/>
          <w:sz w:val="22"/>
          <w:szCs w:val="22"/>
        </w:rPr>
      </w:pPr>
      <w:bookmarkStart w:id="182" w:name="_Toc494182103"/>
      <w:r>
        <w:t>Concerns about development, communication and sleep patterns (Healthy, Achieving)</w:t>
      </w:r>
      <w:bookmarkEnd w:id="181"/>
      <w:bookmarkEnd w:id="182"/>
    </w:p>
    <w:p w:rsidR="00940DAB" w:rsidRPr="000E6077" w:rsidRDefault="00940DAB" w:rsidP="00940DAB">
      <w:pPr>
        <w:spacing w:before="240"/>
        <w:jc w:val="both"/>
        <w:rPr>
          <w:rFonts w:cstheme="minorHAnsi"/>
          <w:b/>
          <w:i/>
          <w:sz w:val="24"/>
        </w:rPr>
      </w:pPr>
      <w:r w:rsidRPr="000E6077">
        <w:rPr>
          <w:rFonts w:cstheme="minorHAnsi"/>
          <w:b/>
          <w:i/>
          <w:sz w:val="24"/>
        </w:rPr>
        <w:t>Development and communication</w:t>
      </w:r>
    </w:p>
    <w:p w:rsidR="00940DAB" w:rsidRPr="00B90315" w:rsidRDefault="00940DAB" w:rsidP="00940DAB">
      <w:pPr>
        <w:spacing w:before="240"/>
      </w:pPr>
      <w:r w:rsidRPr="000E6077">
        <w:rPr>
          <w:rFonts w:cstheme="minorHAnsi"/>
        </w:rPr>
        <w:t xml:space="preserve">Overall, </w:t>
      </w:r>
      <w:r>
        <w:t>88</w:t>
      </w:r>
      <w:r w:rsidRPr="000E6077">
        <w:t>% of parents had no concerns</w:t>
      </w:r>
      <w:r w:rsidRPr="000E6077">
        <w:rPr>
          <w:rFonts w:cstheme="minorHAnsi"/>
        </w:rPr>
        <w:t xml:space="preserve"> about their child’s development, learning and/or behaviour</w:t>
      </w:r>
      <w:r>
        <w:t>, 7</w:t>
      </w:r>
      <w:r w:rsidRPr="000E6077">
        <w:t xml:space="preserve">% had some concerns and </w:t>
      </w:r>
      <w:r>
        <w:t>5</w:t>
      </w:r>
      <w:r w:rsidRPr="000E6077">
        <w:t>% had a lot</w:t>
      </w:r>
      <w:r>
        <w:t xml:space="preserve">. </w:t>
      </w:r>
      <w:r w:rsidRPr="00767A69">
        <w:t xml:space="preserve">Parents of girls were more likely </w:t>
      </w:r>
      <w:r w:rsidR="00342B7E">
        <w:t xml:space="preserve">than parents of boys </w:t>
      </w:r>
      <w:r w:rsidRPr="00767A69">
        <w:t>to say they had no concerns (92%</w:t>
      </w:r>
      <w:r w:rsidR="00342B7E">
        <w:t xml:space="preserve"> and 84% respectively</w:t>
      </w:r>
      <w:r w:rsidRPr="00767A69">
        <w:t>)</w:t>
      </w:r>
      <w:r>
        <w:t>.</w:t>
      </w:r>
    </w:p>
    <w:p w:rsidR="00940DAB" w:rsidRPr="000E6077" w:rsidRDefault="00940DAB" w:rsidP="00940DAB">
      <w:pPr>
        <w:autoSpaceDE w:val="0"/>
        <w:autoSpaceDN w:val="0"/>
        <w:adjustRightInd w:val="0"/>
        <w:rPr>
          <w:rFonts w:ascii="MyriadMMLight" w:eastAsia="Calibri" w:hAnsi="MyriadMMLight" w:cs="MyriadMMLight"/>
          <w:lang w:eastAsia="en-GB"/>
        </w:rPr>
      </w:pPr>
      <w:r w:rsidRPr="000E6077">
        <w:rPr>
          <w:rFonts w:ascii="MyriadMMLight" w:eastAsia="Calibri" w:hAnsi="MyriadMMLight" w:cs="MyriadMMLight"/>
          <w:lang w:eastAsia="en-GB"/>
        </w:rPr>
        <w:t xml:space="preserve">Research shows that children and young people who have </w:t>
      </w:r>
      <w:r>
        <w:t>speech, l</w:t>
      </w:r>
      <w:r w:rsidRPr="000E6077">
        <w:t>anguage a</w:t>
      </w:r>
      <w:r>
        <w:t>nd communication n</w:t>
      </w:r>
      <w:r w:rsidRPr="000E6077">
        <w:t xml:space="preserve">eeds </w:t>
      </w:r>
      <w:r w:rsidRPr="000E6077">
        <w:rPr>
          <w:rFonts w:ascii="MyriadMMLight" w:eastAsia="Calibri" w:hAnsi="MyriadMMLight" w:cs="MyriadMMLight"/>
          <w:lang w:eastAsia="en-GB"/>
        </w:rPr>
        <w:t>commonly have difficulties with reading and writing and accessing the curriculum as well as behavioural difficulties and difficulties in socialising with their peers</w:t>
      </w:r>
      <w:r>
        <w:rPr>
          <w:rFonts w:ascii="MyriadMMLight" w:eastAsia="Calibri" w:hAnsi="MyriadMMLight" w:cs="MyriadMMLight"/>
          <w:lang w:eastAsia="en-GB"/>
        </w:rPr>
        <w:t>.  T</w:t>
      </w:r>
      <w:r w:rsidRPr="000E6077">
        <w:rPr>
          <w:rFonts w:ascii="MyriadMMLight" w:eastAsia="Calibri" w:hAnsi="MyriadMMLight" w:cs="MyriadMMLight"/>
          <w:lang w:eastAsia="en-GB"/>
        </w:rPr>
        <w:t xml:space="preserve">hese difficulties </w:t>
      </w:r>
      <w:r>
        <w:rPr>
          <w:rFonts w:ascii="MyriadMMLight" w:eastAsia="Calibri" w:hAnsi="MyriadMMLight" w:cs="MyriadMMLight"/>
          <w:lang w:eastAsia="en-GB"/>
        </w:rPr>
        <w:t xml:space="preserve">can </w:t>
      </w:r>
      <w:r w:rsidRPr="000E6077">
        <w:rPr>
          <w:rFonts w:ascii="MyriadMMLight" w:eastAsia="Calibri" w:hAnsi="MyriadMMLight" w:cs="MyriadMMLight"/>
          <w:lang w:eastAsia="en-GB"/>
        </w:rPr>
        <w:t>progress into poor outcomes in terms of mental health and employment opportuni</w:t>
      </w:r>
      <w:r>
        <w:rPr>
          <w:rFonts w:ascii="MyriadMMLight" w:eastAsia="Calibri" w:hAnsi="MyriadMMLight" w:cs="MyriadMMLight"/>
          <w:lang w:eastAsia="en-GB"/>
        </w:rPr>
        <w:t>ties during adulthood. Speech, language and communication n</w:t>
      </w:r>
      <w:r w:rsidRPr="000E6077">
        <w:rPr>
          <w:rFonts w:ascii="MyriadMMLight" w:eastAsia="Calibri" w:hAnsi="MyriadMMLight" w:cs="MyriadMMLight"/>
          <w:lang w:eastAsia="en-GB"/>
        </w:rPr>
        <w:t>eeds are often concentrated in socially disadvantaged households, but research has demonstrated the positive impact of support on these families.</w:t>
      </w:r>
      <w:r w:rsidRPr="000E6077">
        <w:rPr>
          <w:rStyle w:val="EndnoteReference"/>
          <w:rFonts w:ascii="MyriadMMLight" w:eastAsia="Calibri" w:hAnsi="MyriadMMLight" w:cs="MyriadMMLight"/>
          <w:lang w:eastAsia="en-GB"/>
        </w:rPr>
        <w:endnoteReference w:id="34"/>
      </w:r>
      <w:r w:rsidRPr="000E6077">
        <w:rPr>
          <w:rFonts w:ascii="MyriadMMLight" w:eastAsia="Calibri" w:hAnsi="MyriadMMLight" w:cs="MyriadMMLight"/>
          <w:vertAlign w:val="superscript"/>
          <w:lang w:eastAsia="en-GB"/>
        </w:rPr>
        <w:t>,</w:t>
      </w:r>
      <w:r w:rsidRPr="000E6077">
        <w:rPr>
          <w:rStyle w:val="EndnoteReference"/>
          <w:rFonts w:ascii="MyriadMMLight" w:eastAsia="Calibri" w:hAnsi="MyriadMMLight" w:cs="MyriadMMLight"/>
          <w:lang w:eastAsia="en-GB"/>
        </w:rPr>
        <w:endnoteReference w:id="35"/>
      </w:r>
      <w:r w:rsidRPr="000E6077">
        <w:rPr>
          <w:rFonts w:ascii="MyriadMMLight" w:eastAsia="Calibri" w:hAnsi="MyriadMMLight" w:cs="MyriadMMLight"/>
          <w:vertAlign w:val="superscript"/>
          <w:lang w:eastAsia="en-GB"/>
        </w:rPr>
        <w:t>,</w:t>
      </w:r>
      <w:r w:rsidRPr="000E6077">
        <w:rPr>
          <w:rStyle w:val="EndnoteReference"/>
          <w:rFonts w:ascii="MyriadMMLight" w:eastAsia="Calibri" w:hAnsi="MyriadMMLight" w:cs="MyriadMMLight"/>
          <w:lang w:eastAsia="en-GB"/>
        </w:rPr>
        <w:endnoteReference w:id="36"/>
      </w:r>
      <w:r w:rsidRPr="000E6077">
        <w:rPr>
          <w:rFonts w:ascii="MyriadMMLight" w:eastAsia="Calibri" w:hAnsi="MyriadMMLight" w:cs="MyriadMMLight"/>
          <w:vertAlign w:val="superscript"/>
          <w:lang w:eastAsia="en-GB"/>
        </w:rPr>
        <w:t>,</w:t>
      </w:r>
      <w:r w:rsidRPr="000E6077">
        <w:rPr>
          <w:rStyle w:val="EndnoteReference"/>
          <w:rFonts w:ascii="MyriadMMLight" w:eastAsia="Calibri" w:hAnsi="MyriadMMLight" w:cs="MyriadMMLight"/>
          <w:lang w:eastAsia="en-GB"/>
        </w:rPr>
        <w:endnoteReference w:id="37"/>
      </w:r>
    </w:p>
    <w:p w:rsidR="00940DAB" w:rsidRPr="000E6077" w:rsidRDefault="00940DAB" w:rsidP="00940DAB">
      <w:pPr>
        <w:spacing w:before="240"/>
      </w:pPr>
      <w:r w:rsidRPr="000E6077">
        <w:t>A la</w:t>
      </w:r>
      <w:r>
        <w:t>rge majority of parents (91</w:t>
      </w:r>
      <w:r w:rsidRPr="000E6077">
        <w:t xml:space="preserve">%) had no concerns about how their child communicates, </w:t>
      </w:r>
      <w:r>
        <w:t xml:space="preserve">5% had some concerns and </w:t>
      </w:r>
      <w:r w:rsidRPr="008C7150">
        <w:t>4</w:t>
      </w:r>
      <w:r w:rsidRPr="00C713FA">
        <w:t xml:space="preserve">% a lot of concerns. </w:t>
      </w:r>
      <w:r w:rsidR="00B53329">
        <w:t>Again, p</w:t>
      </w:r>
      <w:r w:rsidRPr="00C713FA">
        <w:t>aren</w:t>
      </w:r>
      <w:r w:rsidRPr="000344A4">
        <w:t>ts of girls were more likely (</w:t>
      </w:r>
      <w:r w:rsidRPr="008C7150">
        <w:t>95%) to have no concerns about how their child communicates than the parents of boys (87</w:t>
      </w:r>
      <w:r w:rsidRPr="00B80B69">
        <w:t>%).</w:t>
      </w:r>
    </w:p>
    <w:p w:rsidR="00940DAB" w:rsidRPr="00DD2335" w:rsidRDefault="00940DAB" w:rsidP="00940DAB">
      <w:pPr>
        <w:spacing w:before="240"/>
        <w:jc w:val="both"/>
        <w:rPr>
          <w:b/>
          <w:i/>
          <w:sz w:val="24"/>
        </w:rPr>
      </w:pPr>
      <w:r w:rsidRPr="000E6077">
        <w:rPr>
          <w:b/>
          <w:i/>
          <w:sz w:val="24"/>
        </w:rPr>
        <w:t>Sleep patterns</w:t>
      </w:r>
    </w:p>
    <w:p w:rsidR="00940DAB" w:rsidRPr="00FC7168" w:rsidRDefault="00940DAB" w:rsidP="00940DAB">
      <w:r>
        <w:t xml:space="preserve">Around 1 in 4 parents reported that their child’s sleep had been a problem during the previous three months: 18% stated that this had been ‘a bit of a problem’ and 6% said that it had been ‘a big problem’. Not surprisingly, sleep was less likely to be a problem among older children – 83% of parents of 5-8 year-olds said it had not been a problem, </w:t>
      </w:r>
      <w:r w:rsidRPr="00FC7168">
        <w:t xml:space="preserve">compared with 74% of parents of 3-4 years-olds and 66% of parents of 0-2 year-olds. </w:t>
      </w:r>
    </w:p>
    <w:p w:rsidR="00940DAB" w:rsidRDefault="00940DAB" w:rsidP="00940DAB">
      <w:r w:rsidRPr="00FC7168">
        <w:t>National data from GUS (2013)</w:t>
      </w:r>
      <w:r w:rsidRPr="00FC7168">
        <w:rPr>
          <w:rStyle w:val="EndnoteReference"/>
        </w:rPr>
        <w:endnoteReference w:id="38"/>
      </w:r>
      <w:r w:rsidRPr="00FC7168">
        <w:t xml:space="preserve"> showed that 64% of parents of 10 month old children said their child’s sleep had not been a problem in the last 3 months and 71% said this of their children at age 3 years.</w:t>
      </w:r>
      <w:r>
        <w:t xml:space="preserve"> </w:t>
      </w:r>
    </w:p>
    <w:p w:rsidR="00940DAB" w:rsidRDefault="00940DAB" w:rsidP="00940DAB">
      <w:pPr>
        <w:pStyle w:val="Heading3"/>
        <w:spacing w:line="276" w:lineRule="auto"/>
      </w:pPr>
      <w:bookmarkStart w:id="183" w:name="_Toc492045514"/>
      <w:bookmarkStart w:id="184" w:name="_Toc494182104"/>
      <w:r>
        <w:lastRenderedPageBreak/>
        <w:t>Healthy Living</w:t>
      </w:r>
      <w:bookmarkEnd w:id="183"/>
      <w:bookmarkEnd w:id="184"/>
    </w:p>
    <w:p w:rsidR="00B53329" w:rsidRDefault="00B53329" w:rsidP="00B53329">
      <w:pPr>
        <w:pStyle w:val="Heading3"/>
        <w:numPr>
          <w:ilvl w:val="0"/>
          <w:numId w:val="0"/>
        </w:numPr>
        <w:spacing w:line="276" w:lineRule="auto"/>
        <w:ind w:left="851" w:hanging="851"/>
        <w:rPr>
          <w:color w:val="auto"/>
        </w:rPr>
      </w:pPr>
      <w:bookmarkStart w:id="185" w:name="_Toc491244181"/>
      <w:bookmarkStart w:id="186" w:name="_Toc494182105"/>
      <w:bookmarkStart w:id="187" w:name="_Toc492045515"/>
      <w:r>
        <w:rPr>
          <w:color w:val="auto"/>
        </w:rPr>
        <w:t>Breastfeeding (Healthy)</w:t>
      </w:r>
      <w:bookmarkEnd w:id="185"/>
      <w:bookmarkEnd w:id="186"/>
    </w:p>
    <w:p w:rsidR="00B53329" w:rsidRDefault="00B53329" w:rsidP="00B53329">
      <w:pPr>
        <w:spacing w:before="240"/>
      </w:pPr>
      <w:r>
        <w:t>Over half of children (54%) were breastfed for at least some duration. Findings from GUS suggest that amongst children born in 2010 and 2011, 63% were breastfed for some duration.</w:t>
      </w:r>
      <w:r>
        <w:rPr>
          <w:rStyle w:val="EndnoteReference"/>
        </w:rPr>
        <w:endnoteReference w:id="39"/>
      </w:r>
      <w:r>
        <w:t xml:space="preserve"> Children living in less deprived areas and those whose parents had higher levels of education were much more likely to have been breastfed than were those living in more deprived areas and those whose parents had lower levels of education. For example, 74% of children with a degree educated parent were breastfed compared with 40% of those whose parents’ highest qualifications were at Standard Grade. In addition, 61% of children living in areas in the three least deprived quintiles had been breastfed compared with 45% of children living in areas in the two most deprived quintiles. </w:t>
      </w:r>
      <w:r w:rsidR="000C3736">
        <w:t>Those who had regularly attended any parent and baby/toddler groups with their child were also more likely to have breastfed than those who had not (64% compared with 48% respectively).</w:t>
      </w:r>
      <w:r>
        <w:t xml:space="preserve"> </w:t>
      </w:r>
    </w:p>
    <w:p w:rsidR="00940DAB" w:rsidRPr="0016412A" w:rsidRDefault="00940DAB" w:rsidP="00940DAB">
      <w:pPr>
        <w:pStyle w:val="Heading3"/>
        <w:numPr>
          <w:ilvl w:val="0"/>
          <w:numId w:val="0"/>
        </w:numPr>
        <w:spacing w:line="276" w:lineRule="auto"/>
        <w:ind w:left="851" w:hanging="851"/>
      </w:pPr>
      <w:bookmarkStart w:id="188" w:name="_Toc494182106"/>
      <w:r w:rsidRPr="000E6077">
        <w:rPr>
          <w:color w:val="auto"/>
        </w:rPr>
        <w:t>Di</w:t>
      </w:r>
      <w:r>
        <w:t>et and nutrition (Healthy)</w:t>
      </w:r>
      <w:bookmarkEnd w:id="187"/>
      <w:bookmarkEnd w:id="188"/>
    </w:p>
    <w:p w:rsidR="00940DAB" w:rsidRDefault="00940DAB" w:rsidP="00940DAB">
      <w:pPr>
        <w:spacing w:before="240"/>
      </w:pPr>
      <w:r>
        <w:t>As noted elsewhere in this report, diet and nutrition are key areas in terms of child wellbeing.</w:t>
      </w:r>
    </w:p>
    <w:p w:rsidR="00940DAB" w:rsidRDefault="00940DAB" w:rsidP="00940DAB">
      <w:pPr>
        <w:spacing w:before="240"/>
      </w:pPr>
      <w:r>
        <w:t xml:space="preserve">Parents in Falkirk were asked how frequently their child consumes fruit and/or vegetables. </w:t>
      </w:r>
      <w:r w:rsidRPr="00C73574">
        <w:t>For the purpose of analysis</w:t>
      </w:r>
      <w:r>
        <w:t>, levels of fruit and vegetable consumption were combined and classified as follows:</w:t>
      </w:r>
    </w:p>
    <w:p w:rsidR="00940DAB" w:rsidRDefault="00940DAB" w:rsidP="00940DAB">
      <w:pPr>
        <w:pStyle w:val="ListParagraph"/>
        <w:numPr>
          <w:ilvl w:val="0"/>
          <w:numId w:val="19"/>
        </w:numPr>
        <w:spacing w:before="240"/>
      </w:pPr>
      <w:r>
        <w:t>Higher – consumes</w:t>
      </w:r>
      <w:r w:rsidRPr="00D637D6">
        <w:t xml:space="preserve"> fruit and</w:t>
      </w:r>
      <w:r>
        <w:t>/or</w:t>
      </w:r>
      <w:r w:rsidRPr="00D637D6">
        <w:t xml:space="preserve"> vegetables at least once a day or one of these more than once a day and the other most days</w:t>
      </w:r>
    </w:p>
    <w:p w:rsidR="00940DAB" w:rsidRDefault="00940DAB" w:rsidP="00940DAB">
      <w:pPr>
        <w:pStyle w:val="ListParagraph"/>
        <w:numPr>
          <w:ilvl w:val="0"/>
          <w:numId w:val="19"/>
        </w:numPr>
        <w:spacing w:before="240"/>
      </w:pPr>
      <w:r>
        <w:t xml:space="preserve">Medium – </w:t>
      </w:r>
      <w:r w:rsidRPr="00964FE8">
        <w:t>consume</w:t>
      </w:r>
      <w:r>
        <w:t>s</w:t>
      </w:r>
      <w:r w:rsidRPr="00964FE8">
        <w:t xml:space="preserve"> fruit and/or vegetables most days or one of these most days and </w:t>
      </w:r>
      <w:r>
        <w:t xml:space="preserve">the other </w:t>
      </w:r>
      <w:r w:rsidRPr="00964FE8">
        <w:t>less than once a month</w:t>
      </w:r>
    </w:p>
    <w:p w:rsidR="00940DAB" w:rsidRPr="00964FE8" w:rsidRDefault="00940DAB" w:rsidP="00940DAB">
      <w:pPr>
        <w:pStyle w:val="ListParagraph"/>
        <w:numPr>
          <w:ilvl w:val="0"/>
          <w:numId w:val="19"/>
        </w:numPr>
        <w:spacing w:before="240"/>
      </w:pPr>
      <w:r>
        <w:t xml:space="preserve">Lower – </w:t>
      </w:r>
      <w:r w:rsidRPr="00964FE8">
        <w:t>consume</w:t>
      </w:r>
      <w:r>
        <w:t>s</w:t>
      </w:r>
      <w:r w:rsidRPr="00964FE8">
        <w:t xml:space="preserve"> fruit and/or vegetables less than once a month or one</w:t>
      </w:r>
      <w:r>
        <w:t xml:space="preserve"> of these</w:t>
      </w:r>
      <w:r w:rsidRPr="00964FE8">
        <w:t xml:space="preserve"> at least once a week and </w:t>
      </w:r>
      <w:r>
        <w:t>never consumes the other</w:t>
      </w:r>
    </w:p>
    <w:p w:rsidR="00940DAB" w:rsidRPr="005F2E77" w:rsidRDefault="00940DAB" w:rsidP="00940DAB">
      <w:pPr>
        <w:spacing w:before="240"/>
      </w:pPr>
      <w:r>
        <w:t>Overall, around two-thirds of</w:t>
      </w:r>
      <w:r w:rsidRPr="00964FE8">
        <w:t xml:space="preserve"> children </w:t>
      </w:r>
      <w:r>
        <w:t xml:space="preserve">aged 8 or under </w:t>
      </w:r>
      <w:r w:rsidRPr="00964FE8">
        <w:t>(</w:t>
      </w:r>
      <w:r>
        <w:t>67</w:t>
      </w:r>
      <w:r w:rsidRPr="00964FE8">
        <w:t>%) were classified as having a high</w:t>
      </w:r>
      <w:r>
        <w:t>er</w:t>
      </w:r>
      <w:r w:rsidRPr="00964FE8">
        <w:t xml:space="preserve"> level of fruit and vegetable consumption within this sample. </w:t>
      </w:r>
      <w:r>
        <w:t>Three in 10</w:t>
      </w:r>
      <w:r w:rsidRPr="00964FE8">
        <w:t xml:space="preserve"> (</w:t>
      </w:r>
      <w:r>
        <w:t>30</w:t>
      </w:r>
      <w:r w:rsidRPr="00964FE8">
        <w:t xml:space="preserve">%) </w:t>
      </w:r>
      <w:r>
        <w:t>were</w:t>
      </w:r>
      <w:r w:rsidRPr="00964FE8">
        <w:t xml:space="preserve"> classified as having a medium consumption, whilst </w:t>
      </w:r>
      <w:r w:rsidR="003F5F10">
        <w:t>fewer</w:t>
      </w:r>
      <w:r>
        <w:t xml:space="preserve"> than 1 in 20 (4%)</w:t>
      </w:r>
      <w:r w:rsidRPr="00964FE8">
        <w:t xml:space="preserve"> were</w:t>
      </w:r>
      <w:r>
        <w:t xml:space="preserve"> classified as having a lower</w:t>
      </w:r>
      <w:r w:rsidRPr="00964FE8">
        <w:t xml:space="preserve"> fruit and vegetable consumption</w:t>
      </w:r>
      <w:r>
        <w:t>.</w:t>
      </w:r>
      <w:r w:rsidRPr="00964FE8">
        <w:rPr>
          <w:rStyle w:val="EndnoteReference"/>
        </w:rPr>
        <w:endnoteReference w:id="40"/>
      </w:r>
      <w:r>
        <w:t xml:space="preserve"> </w:t>
      </w:r>
    </w:p>
    <w:p w:rsidR="00940DAB" w:rsidRDefault="00940DAB" w:rsidP="00940DAB">
      <w:pPr>
        <w:spacing w:before="240"/>
      </w:pPr>
      <w:r w:rsidRPr="0007430B">
        <w:t xml:space="preserve">Girls </w:t>
      </w:r>
      <w:r>
        <w:t xml:space="preserve">(73%) </w:t>
      </w:r>
      <w:r w:rsidRPr="0007430B">
        <w:t>were more likely to have a high fruit and vegetable consumption than boys</w:t>
      </w:r>
      <w:r>
        <w:t xml:space="preserve"> (60</w:t>
      </w:r>
      <w:r w:rsidRPr="00C713FA">
        <w:t>%)</w:t>
      </w:r>
      <w:r w:rsidRPr="0007430B">
        <w:t xml:space="preserve">. </w:t>
      </w:r>
      <w:r w:rsidRPr="00C713FA">
        <w:t xml:space="preserve">Children aged between 0 and 2 years </w:t>
      </w:r>
      <w:r w:rsidRPr="000344A4">
        <w:t>(</w:t>
      </w:r>
      <w:r w:rsidRPr="00C713FA">
        <w:t xml:space="preserve">79%) were </w:t>
      </w:r>
      <w:r w:rsidRPr="0007430B">
        <w:t xml:space="preserve">also </w:t>
      </w:r>
      <w:r w:rsidRPr="00C713FA">
        <w:t xml:space="preserve">more likely to have a high fruit and vegetable consumption, most likely due to weaning, than those aged 3-4 </w:t>
      </w:r>
      <w:r w:rsidRPr="000344A4">
        <w:t>or</w:t>
      </w:r>
      <w:r w:rsidRPr="00C713FA">
        <w:t xml:space="preserve"> 5-8 (69% and 58% respectively).</w:t>
      </w:r>
      <w:r w:rsidRPr="00C668AA">
        <w:t xml:space="preserve"> </w:t>
      </w:r>
    </w:p>
    <w:p w:rsidR="00940DAB" w:rsidRDefault="00940DAB" w:rsidP="00940DAB">
      <w:pPr>
        <w:spacing w:before="240"/>
        <w:rPr>
          <w:i/>
          <w:sz w:val="18"/>
          <w:szCs w:val="18"/>
        </w:rPr>
      </w:pPr>
      <w:r>
        <w:rPr>
          <w:noProof/>
          <w:lang w:eastAsia="en-GB"/>
        </w:rPr>
        <w:lastRenderedPageBreak/>
        <w:drawing>
          <wp:inline distT="0" distB="0" distL="0" distR="0" wp14:anchorId="7412DD14" wp14:editId="12B849F8">
            <wp:extent cx="5402580" cy="2956560"/>
            <wp:effectExtent l="0" t="0" r="762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40DAB" w:rsidRPr="00833971" w:rsidRDefault="00940DAB" w:rsidP="00940DAB">
      <w:pPr>
        <w:spacing w:before="240"/>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r>
        <w:t xml:space="preserve">Overall, 64% of children in Falkirk aged 0-8 </w:t>
      </w:r>
      <w:r w:rsidR="003F5F10">
        <w:t xml:space="preserve">were reported to </w:t>
      </w:r>
      <w:r w:rsidRPr="00122551">
        <w:t xml:space="preserve">never </w:t>
      </w:r>
      <w:r>
        <w:t>consume fizzy drinks and a further 14% do so less than once a month. However, 16% consume fizzy drinks at least once a week, and 6% do so either ‘most days’, ‘once a day’ or ‘more than once a day’.</w:t>
      </w:r>
    </w:p>
    <w:p w:rsidR="00940DAB" w:rsidRDefault="00940DAB" w:rsidP="00940DAB">
      <w:pPr>
        <w:spacing w:before="240"/>
      </w:pPr>
      <w:r w:rsidRPr="00C713FA">
        <w:t>Not surprisingly, whether a child consumed fizzy drinks was linked to the age of child: 90% of parents of children aged 0-2 said that their child never consumes fizzy drinks compared with 75% of those with children aged 3-4 and 43% of those with children aged 5-8.</w:t>
      </w:r>
      <w:r>
        <w:t xml:space="preserve"> </w:t>
      </w:r>
    </w:p>
    <w:p w:rsidR="00940DAB" w:rsidRDefault="00940DAB" w:rsidP="00940DAB">
      <w:pPr>
        <w:pStyle w:val="Heading3"/>
        <w:numPr>
          <w:ilvl w:val="0"/>
          <w:numId w:val="0"/>
        </w:numPr>
        <w:spacing w:line="276" w:lineRule="auto"/>
        <w:ind w:left="851" w:hanging="851"/>
      </w:pPr>
      <w:bookmarkStart w:id="189" w:name="_Toc492045516"/>
      <w:bookmarkStart w:id="190" w:name="_Toc494182107"/>
      <w:r w:rsidRPr="000E6077">
        <w:rPr>
          <w:color w:val="auto"/>
        </w:rPr>
        <w:t>P</w:t>
      </w:r>
      <w:r>
        <w:t>hysical activity (Active, Healthy)</w:t>
      </w:r>
      <w:bookmarkEnd w:id="189"/>
      <w:bookmarkEnd w:id="190"/>
    </w:p>
    <w:p w:rsidR="00940DAB" w:rsidRPr="004E6EDE" w:rsidRDefault="00940DAB" w:rsidP="00940DAB">
      <w:pPr>
        <w:autoSpaceDE w:val="0"/>
        <w:autoSpaceDN w:val="0"/>
        <w:adjustRightInd w:val="0"/>
        <w:rPr>
          <w:rFonts w:cstheme="minorHAnsi"/>
        </w:rPr>
      </w:pPr>
      <w:r w:rsidRPr="00D7337A">
        <w:rPr>
          <w:rFonts w:eastAsia="Calibri" w:cstheme="minorHAnsi"/>
          <w:lang w:eastAsia="en-GB"/>
        </w:rPr>
        <w:t>Having good levels of physical activity is important for both physical and mental health. Being active can help reduce the risk of over 25 chronic conditions including coronary heart disease,</w:t>
      </w:r>
      <w:r>
        <w:rPr>
          <w:rFonts w:eastAsia="Calibri" w:cstheme="minorHAnsi"/>
          <w:lang w:eastAsia="en-GB"/>
        </w:rPr>
        <w:t xml:space="preserve"> </w:t>
      </w:r>
      <w:r w:rsidRPr="00D7337A">
        <w:rPr>
          <w:rFonts w:eastAsia="Calibri" w:cstheme="minorHAnsi"/>
          <w:lang w:eastAsia="en-GB"/>
        </w:rPr>
        <w:t>stroke, type 2 diabetes, cancer, obesity and musculoskeletal problems and has secondary prevention benefits for many other conditions</w:t>
      </w:r>
      <w:r>
        <w:rPr>
          <w:rFonts w:eastAsia="Calibri" w:cstheme="minorHAnsi"/>
          <w:lang w:eastAsia="en-GB"/>
        </w:rPr>
        <w:t>.</w:t>
      </w:r>
      <w:r w:rsidRPr="00D7337A">
        <w:rPr>
          <w:rStyle w:val="EndnoteReference"/>
          <w:rFonts w:eastAsia="Calibri" w:cstheme="minorHAnsi"/>
          <w:lang w:eastAsia="en-GB"/>
        </w:rPr>
        <w:endnoteReference w:id="41"/>
      </w:r>
      <w:r w:rsidRPr="008A1255">
        <w:rPr>
          <w:rStyle w:val="CommentReference"/>
          <w:rFonts w:cstheme="minorHAnsi"/>
          <w:sz w:val="22"/>
          <w:szCs w:val="22"/>
        </w:rPr>
        <w:t xml:space="preserve"> </w:t>
      </w:r>
    </w:p>
    <w:p w:rsidR="00940DAB" w:rsidRDefault="00940DAB" w:rsidP="00940DAB">
      <w:r w:rsidRPr="00A73734">
        <w:rPr>
          <w:rFonts w:cstheme="minorHAnsi"/>
        </w:rPr>
        <w:t>Most parents reported that their children engaged in</w:t>
      </w:r>
      <w:r w:rsidRPr="000A77D9">
        <w:t xml:space="preserve"> physical act</w:t>
      </w:r>
      <w:r>
        <w:t>ivity on a regular basis, with 83</w:t>
      </w:r>
      <w:r w:rsidRPr="000A77D9">
        <w:t>% of children active for at least 60 minutes every day during the p</w:t>
      </w:r>
      <w:r>
        <w:t>ast seven days. 9</w:t>
      </w:r>
      <w:r w:rsidRPr="000A77D9">
        <w:t xml:space="preserve">% were active for at least 60 minutes on 5-6 of the past seven days, </w:t>
      </w:r>
      <w:r w:rsidRPr="00122551">
        <w:t>while 5% were active on 2-4 days and a further 3% were active on one day or less.</w:t>
      </w:r>
      <w:r w:rsidRPr="00122551">
        <w:rPr>
          <w:rStyle w:val="EndnoteReference"/>
        </w:rPr>
        <w:endnoteReference w:id="42"/>
      </w:r>
      <w:r w:rsidRPr="00122551">
        <w:t xml:space="preserve"> These figures are broadly comparable with findings from the 2015 Scottish Health Survey (which used a different and more detailed set of questions): this showed 70% of children aged 2-4 and 78% of those aged 5-7 being active for at least 60 minutes every day in the past week.</w:t>
      </w:r>
    </w:p>
    <w:p w:rsidR="00940DAB" w:rsidRDefault="00940DAB" w:rsidP="00940DAB">
      <w:pPr>
        <w:rPr>
          <w:i/>
          <w:sz w:val="18"/>
          <w:szCs w:val="18"/>
        </w:rPr>
      </w:pPr>
      <w:r>
        <w:rPr>
          <w:noProof/>
          <w:lang w:eastAsia="en-GB"/>
        </w:rPr>
        <w:lastRenderedPageBreak/>
        <w:drawing>
          <wp:inline distT="0" distB="0" distL="0" distR="0" wp14:anchorId="42FA72C1" wp14:editId="1D1130C7">
            <wp:extent cx="5267325" cy="3281363"/>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40DAB" w:rsidRPr="00833971" w:rsidRDefault="00940DAB" w:rsidP="00940DAB">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pStyle w:val="Heading3"/>
        <w:numPr>
          <w:ilvl w:val="0"/>
          <w:numId w:val="0"/>
        </w:numPr>
        <w:spacing w:line="276" w:lineRule="auto"/>
        <w:ind w:left="851" w:hanging="851"/>
      </w:pPr>
      <w:bookmarkStart w:id="191" w:name="_Toc492045517"/>
      <w:bookmarkStart w:id="192" w:name="_Toc494182108"/>
      <w:r w:rsidRPr="000E6077">
        <w:rPr>
          <w:color w:val="auto"/>
        </w:rPr>
        <w:t>De</w:t>
      </w:r>
      <w:r>
        <w:t>ntal health (Healthy)</w:t>
      </w:r>
      <w:bookmarkEnd w:id="191"/>
      <w:bookmarkEnd w:id="192"/>
    </w:p>
    <w:p w:rsidR="00940DAB" w:rsidRPr="003A1DB8" w:rsidRDefault="00940DAB" w:rsidP="00940DAB">
      <w:pPr>
        <w:spacing w:before="240"/>
        <w:rPr>
          <w:rFonts w:cstheme="minorHAnsi"/>
        </w:rPr>
      </w:pPr>
      <w:r>
        <w:rPr>
          <w:rFonts w:cstheme="minorHAnsi"/>
          <w:color w:val="000000"/>
        </w:rPr>
        <w:t>Although almost totally preventable, dental decay</w:t>
      </w:r>
      <w:r w:rsidRPr="00956369">
        <w:rPr>
          <w:rFonts w:cstheme="minorHAnsi"/>
          <w:color w:val="000000"/>
        </w:rPr>
        <w:t xml:space="preserve"> is the single most common reason to admit children to hospital in Scotland</w:t>
      </w:r>
      <w:r>
        <w:rPr>
          <w:rFonts w:cstheme="minorHAnsi"/>
          <w:color w:val="000000"/>
        </w:rPr>
        <w:t xml:space="preserve">, </w:t>
      </w:r>
      <w:r w:rsidRPr="00956369">
        <w:rPr>
          <w:rFonts w:cstheme="minorHAnsi"/>
          <w:color w:val="000000"/>
        </w:rPr>
        <w:t xml:space="preserve">accounts for significant pain and discomfort to the child and </w:t>
      </w:r>
      <w:r>
        <w:rPr>
          <w:rFonts w:cstheme="minorHAnsi"/>
          <w:color w:val="000000"/>
        </w:rPr>
        <w:t>can result in</w:t>
      </w:r>
      <w:r w:rsidRPr="00956369">
        <w:rPr>
          <w:rFonts w:cstheme="minorHAnsi"/>
          <w:color w:val="000000"/>
        </w:rPr>
        <w:t xml:space="preserve"> absence from school. Dental health is also widely used as an 'indicative measure' of children's general health and reflects a key 'outcome' of good parental care during the pre-school period</w:t>
      </w:r>
      <w:r>
        <w:rPr>
          <w:rFonts w:cstheme="minorHAnsi"/>
          <w:color w:val="000000"/>
        </w:rPr>
        <w:t>.</w:t>
      </w:r>
      <w:r w:rsidRPr="00956369">
        <w:rPr>
          <w:rStyle w:val="EndnoteReference"/>
          <w:rFonts w:cstheme="minorHAnsi"/>
          <w:color w:val="000000"/>
        </w:rPr>
        <w:endnoteReference w:id="43"/>
      </w:r>
      <w:r w:rsidRPr="003A1DB8">
        <w:rPr>
          <w:rFonts w:cstheme="minorHAnsi"/>
        </w:rPr>
        <w:t xml:space="preserve"> </w:t>
      </w:r>
      <w:r w:rsidRPr="004B671E">
        <w:rPr>
          <w:rFonts w:cstheme="minorHAnsi"/>
        </w:rPr>
        <w:t xml:space="preserve">Oral health </w:t>
      </w:r>
      <w:r>
        <w:rPr>
          <w:rFonts w:cstheme="minorHAnsi"/>
        </w:rPr>
        <w:t xml:space="preserve">is </w:t>
      </w:r>
      <w:r w:rsidRPr="004B671E">
        <w:rPr>
          <w:rFonts w:cstheme="minorHAnsi"/>
        </w:rPr>
        <w:t>an important component of wider general health which can influence a person’s quality of life</w:t>
      </w:r>
      <w:r>
        <w:rPr>
          <w:rFonts w:cstheme="minorHAnsi"/>
        </w:rPr>
        <w:t>.</w:t>
      </w:r>
      <w:r w:rsidRPr="003A1DB8">
        <w:rPr>
          <w:rStyle w:val="EndnoteReference"/>
          <w:rFonts w:cstheme="minorHAnsi"/>
        </w:rPr>
        <w:endnoteReference w:id="44"/>
      </w:r>
    </w:p>
    <w:p w:rsidR="00940DAB" w:rsidRDefault="00940DAB" w:rsidP="00940DAB">
      <w:pPr>
        <w:spacing w:before="240"/>
      </w:pPr>
      <w:r>
        <w:t>Around</w:t>
      </w:r>
      <w:r w:rsidRPr="003A1DB8">
        <w:t xml:space="preserve"> 8 in 10 (</w:t>
      </w:r>
      <w:r>
        <w:t>84</w:t>
      </w:r>
      <w:r w:rsidRPr="003A1DB8">
        <w:t xml:space="preserve">%) </w:t>
      </w:r>
      <w:r>
        <w:t>parents</w:t>
      </w:r>
      <w:r w:rsidRPr="003A1DB8">
        <w:t xml:space="preserve"> reported ‘always’ taking their child for check-ups, either as often as the dentist suggests or around once every 6 months, with a further </w:t>
      </w:r>
      <w:r>
        <w:t>4</w:t>
      </w:r>
      <w:r w:rsidRPr="007D3C90">
        <w:t>% reporting ‘mostly’ taking their child for check-ups</w:t>
      </w:r>
      <w:r w:rsidRPr="00AF13A1">
        <w:t xml:space="preserve">. </w:t>
      </w:r>
      <w:r>
        <w:t xml:space="preserve">Around 1 in 10 </w:t>
      </w:r>
      <w:r w:rsidRPr="00AF13A1">
        <w:t>(</w:t>
      </w:r>
      <w:r>
        <w:t>12</w:t>
      </w:r>
      <w:r w:rsidRPr="00AF13A1">
        <w:t>%) did not take their child for check-ups at the dentist.</w:t>
      </w:r>
      <w:r>
        <w:t xml:space="preserve"> </w:t>
      </w:r>
      <w:r w:rsidRPr="007E474E">
        <w:t>In nationally representative data (GUS, 2008)</w:t>
      </w:r>
      <w:r w:rsidRPr="007E474E">
        <w:rPr>
          <w:rStyle w:val="EndnoteReference"/>
        </w:rPr>
        <w:endnoteReference w:id="45"/>
      </w:r>
      <w:r w:rsidRPr="007E474E">
        <w:t xml:space="preserve"> 43% of parents of children aged 2 had taken their child to the dentist in the last 6 months and 66% of parents of the children aged 4.</w:t>
      </w:r>
      <w:r>
        <w:t xml:space="preserve"> This is not directly comparable due to question wording as GUS only asked about visits in the last 6 months whereas on RCS they were asked about general frequency of check-ups. </w:t>
      </w:r>
    </w:p>
    <w:p w:rsidR="00940DAB" w:rsidRPr="00C642D3" w:rsidRDefault="003F5F10" w:rsidP="00940DAB">
      <w:pPr>
        <w:spacing w:before="100" w:beforeAutospacing="1" w:after="100" w:afterAutospacing="1"/>
        <w:rPr>
          <w:rFonts w:eastAsia="Times New Roman" w:cstheme="minorHAnsi"/>
          <w:sz w:val="24"/>
          <w:szCs w:val="24"/>
          <w:lang w:val="en" w:eastAsia="en-GB"/>
        </w:rPr>
      </w:pPr>
      <w:r>
        <w:t>Not surprisingly, f</w:t>
      </w:r>
      <w:r w:rsidR="00940DAB" w:rsidRPr="00AF13A1">
        <w:t xml:space="preserve">requency of dental check-ups varied by age, with children aged </w:t>
      </w:r>
      <w:r w:rsidR="00940DAB">
        <w:t>0-</w:t>
      </w:r>
      <w:r w:rsidR="00940DAB" w:rsidRPr="00AF13A1">
        <w:t xml:space="preserve">2 years </w:t>
      </w:r>
      <w:r w:rsidR="00940DAB">
        <w:t>(65%) less</w:t>
      </w:r>
      <w:r w:rsidR="00940DAB" w:rsidRPr="00AF13A1">
        <w:t xml:space="preserve"> likely to be taken for check-ups </w:t>
      </w:r>
      <w:r w:rsidR="00940DAB">
        <w:t xml:space="preserve">(every 6 months) </w:t>
      </w:r>
      <w:r w:rsidR="00940DAB" w:rsidRPr="00AF13A1">
        <w:t xml:space="preserve">than those aged 3-4 years </w:t>
      </w:r>
      <w:r w:rsidR="00940DAB">
        <w:t xml:space="preserve">(90%) </w:t>
      </w:r>
      <w:r w:rsidR="00940DAB" w:rsidRPr="00AF13A1">
        <w:t>and 5-8 years</w:t>
      </w:r>
      <w:r w:rsidR="00940DAB">
        <w:t xml:space="preserve"> (93%)</w:t>
      </w:r>
      <w:r w:rsidR="00940DAB" w:rsidRPr="00AF13A1">
        <w:t>.</w:t>
      </w:r>
      <w:r w:rsidR="00940DAB">
        <w:t xml:space="preserve"> Guidance from Child Smile suggests that parents </w:t>
      </w:r>
      <w:r w:rsidR="00940DAB" w:rsidRPr="00A14E46">
        <w:rPr>
          <w:rFonts w:cstheme="minorHAnsi"/>
        </w:rPr>
        <w:t xml:space="preserve">should </w:t>
      </w:r>
      <w:r w:rsidR="00940DAB" w:rsidRPr="00C237E6">
        <w:rPr>
          <w:rFonts w:cstheme="minorHAnsi"/>
          <w:sz w:val="20"/>
        </w:rPr>
        <w:t>‘</w:t>
      </w:r>
      <w:r w:rsidR="00940DAB" w:rsidRPr="00C237E6">
        <w:rPr>
          <w:rFonts w:eastAsia="Times New Roman" w:cstheme="minorHAnsi"/>
          <w:szCs w:val="24"/>
          <w:lang w:val="en" w:eastAsia="en-GB"/>
        </w:rPr>
        <w:t>Aim to register your baby with a dentist soon after birth or by the time they are six months of age. From then on, take your child to the dental practice every six months, or as advised by your dental team.’</w:t>
      </w:r>
    </w:p>
    <w:p w:rsidR="00940DAB" w:rsidRDefault="00940DAB" w:rsidP="00940DAB">
      <w:pPr>
        <w:pStyle w:val="Heading3"/>
        <w:spacing w:line="276" w:lineRule="auto"/>
      </w:pPr>
      <w:bookmarkStart w:id="193" w:name="_Toc492045518"/>
      <w:bookmarkStart w:id="194" w:name="_Toc494182109"/>
      <w:r>
        <w:lastRenderedPageBreak/>
        <w:t>Mental health and wellbeing</w:t>
      </w:r>
      <w:bookmarkEnd w:id="193"/>
      <w:bookmarkEnd w:id="194"/>
    </w:p>
    <w:p w:rsidR="00940DAB" w:rsidRPr="00D72AE2" w:rsidRDefault="00940DAB" w:rsidP="00940DAB">
      <w:pPr>
        <w:pStyle w:val="Heading3"/>
        <w:numPr>
          <w:ilvl w:val="3"/>
          <w:numId w:val="13"/>
        </w:numPr>
        <w:spacing w:line="276" w:lineRule="auto"/>
      </w:pPr>
      <w:bookmarkStart w:id="195" w:name="_Toc492045519"/>
      <w:bookmarkStart w:id="196" w:name="_Toc494182110"/>
      <w:r w:rsidRPr="000E6077">
        <w:rPr>
          <w:color w:val="auto"/>
        </w:rPr>
        <w:t>St</w:t>
      </w:r>
      <w:r>
        <w:t>rengths and difficulties questionnaire (Healthy, Achieving, Included)</w:t>
      </w:r>
      <w:bookmarkEnd w:id="195"/>
      <w:bookmarkEnd w:id="196"/>
    </w:p>
    <w:p w:rsidR="00940DAB" w:rsidRDefault="00940DAB" w:rsidP="00940DAB">
      <w:pPr>
        <w:pStyle w:val="BodyCopy"/>
        <w:spacing w:line="276" w:lineRule="auto"/>
      </w:pPr>
      <w:r>
        <w:t>As noted in relation to the secondary survey, Goodman’s Strengths and Difficulties Questionnaire (SDQ)</w:t>
      </w:r>
      <w:r>
        <w:rPr>
          <w:rStyle w:val="EndnoteReference"/>
        </w:rPr>
        <w:endnoteReference w:id="46"/>
      </w:r>
      <w:r>
        <w:t xml:space="preserve"> is a commonly used tool for reporting on social, emotional and behavioural development in children. These questions were also asked of parents of children aged 3-8 years (</w:t>
      </w:r>
      <w:r w:rsidRPr="00FD486E">
        <w:t>n=</w:t>
      </w:r>
      <w:r w:rsidR="00C313F9">
        <w:t>317</w:t>
      </w:r>
      <w:r>
        <w:t xml:space="preserve">), in line with the guidelines of the scale. More detail on the SDQ is </w:t>
      </w:r>
      <w:r w:rsidRPr="00F066ED">
        <w:t>provided in section 2.2.3.</w:t>
      </w:r>
    </w:p>
    <w:p w:rsidR="00940DAB" w:rsidRDefault="00940DAB" w:rsidP="00940DAB">
      <w:pPr>
        <w:pStyle w:val="BodyCopy"/>
        <w:spacing w:line="276" w:lineRule="auto"/>
      </w:pPr>
    </w:p>
    <w:p w:rsidR="00940DAB" w:rsidRDefault="00940DAB" w:rsidP="00940DAB">
      <w:pPr>
        <w:pStyle w:val="BodyCopy"/>
        <w:spacing w:line="276" w:lineRule="auto"/>
        <w:jc w:val="both"/>
        <w:rPr>
          <w:rFonts w:asciiTheme="minorHAnsi" w:hAnsiTheme="minorHAnsi" w:cstheme="minorHAnsi"/>
        </w:rPr>
      </w:pPr>
      <w:r w:rsidRPr="00CE5E39">
        <w:rPr>
          <w:rFonts w:asciiTheme="minorHAnsi" w:hAnsiTheme="minorHAnsi" w:cstheme="minorHAnsi"/>
        </w:rPr>
        <w:t>Summary data for each of the five</w:t>
      </w:r>
      <w:r>
        <w:rPr>
          <w:rFonts w:asciiTheme="minorHAnsi" w:hAnsiTheme="minorHAnsi" w:cstheme="minorHAnsi"/>
        </w:rPr>
        <w:t xml:space="preserve"> sub-scores, together with a summary measure of children’s total SDQ difficulties score, are </w:t>
      </w:r>
      <w:r w:rsidRPr="00F066ED">
        <w:rPr>
          <w:rFonts w:asciiTheme="minorHAnsi" w:hAnsiTheme="minorHAnsi" w:cstheme="minorHAnsi"/>
        </w:rPr>
        <w:t>presented in Chart 4.2.3a</w:t>
      </w:r>
      <w:r>
        <w:rPr>
          <w:rFonts w:asciiTheme="minorHAnsi" w:hAnsiTheme="minorHAnsi" w:cstheme="minorHAnsi"/>
        </w:rPr>
        <w:t xml:space="preserve"> below. </w:t>
      </w:r>
    </w:p>
    <w:p w:rsidR="00940DAB" w:rsidRDefault="00940DAB" w:rsidP="00940DAB">
      <w:pPr>
        <w:pStyle w:val="BodyCopy"/>
        <w:spacing w:line="276" w:lineRule="auto"/>
        <w:jc w:val="both"/>
        <w:rPr>
          <w:rFonts w:asciiTheme="minorHAnsi" w:hAnsiTheme="minorHAnsi" w:cstheme="minorHAnsi"/>
        </w:rPr>
      </w:pPr>
      <w:r>
        <w:rPr>
          <w:noProof/>
        </w:rPr>
        <w:drawing>
          <wp:inline distT="0" distB="0" distL="0" distR="0" wp14:anchorId="378913E4" wp14:editId="20CCE440">
            <wp:extent cx="5400675" cy="4079493"/>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40DAB" w:rsidRPr="002C00EE" w:rsidRDefault="00940DAB" w:rsidP="00940DAB">
      <w:pPr>
        <w:pStyle w:val="BodyCopy"/>
        <w:spacing w:line="276" w:lineRule="auto"/>
        <w:jc w:val="both"/>
        <w:rPr>
          <w:noProof/>
        </w:rPr>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BC1118" w:rsidRDefault="00940DAB" w:rsidP="00940DAB">
      <w:pPr>
        <w:pStyle w:val="BodyCopy"/>
        <w:spacing w:before="240" w:line="276" w:lineRule="auto"/>
        <w:jc w:val="both"/>
        <w:rPr>
          <w:rFonts w:asciiTheme="minorHAnsi" w:eastAsiaTheme="minorHAnsi" w:hAnsiTheme="minorHAnsi" w:cstheme="minorHAnsi"/>
          <w:szCs w:val="22"/>
          <w:lang w:eastAsia="en-US"/>
        </w:rPr>
      </w:pPr>
      <w:r>
        <w:rPr>
          <w:rFonts w:asciiTheme="minorHAnsi" w:hAnsiTheme="minorHAnsi" w:cstheme="minorHAnsi"/>
        </w:rPr>
        <w:t xml:space="preserve">Most </w:t>
      </w:r>
      <w:r w:rsidRPr="003E1F61">
        <w:rPr>
          <w:rFonts w:asciiTheme="minorHAnsi" w:hAnsiTheme="minorHAnsi" w:cstheme="minorHAnsi"/>
        </w:rPr>
        <w:t xml:space="preserve">children aged between 3 and 8 years </w:t>
      </w:r>
      <w:r>
        <w:rPr>
          <w:rFonts w:asciiTheme="minorHAnsi" w:hAnsiTheme="minorHAnsi" w:cstheme="minorHAnsi"/>
        </w:rPr>
        <w:t xml:space="preserve">(85%) </w:t>
      </w:r>
      <w:r w:rsidRPr="003E1F61">
        <w:rPr>
          <w:rFonts w:asciiTheme="minorHAnsi" w:hAnsiTheme="minorHAnsi" w:cstheme="minorHAnsi"/>
        </w:rPr>
        <w:t xml:space="preserve">scored in the ‘close to average’ range according to their total SDQ difficulties score, with a further </w:t>
      </w:r>
      <w:r>
        <w:rPr>
          <w:rFonts w:asciiTheme="minorHAnsi" w:hAnsiTheme="minorHAnsi" w:cstheme="minorHAnsi"/>
        </w:rPr>
        <w:t>4</w:t>
      </w:r>
      <w:r w:rsidRPr="003E1F61">
        <w:rPr>
          <w:rFonts w:asciiTheme="minorHAnsi" w:hAnsiTheme="minorHAnsi" w:cstheme="minorHAnsi"/>
        </w:rPr>
        <w:t xml:space="preserve">% in the ‘slightly raised’ range. </w:t>
      </w:r>
      <w:r>
        <w:rPr>
          <w:rFonts w:asciiTheme="minorHAnsi" w:hAnsiTheme="minorHAnsi" w:cstheme="minorHAnsi"/>
        </w:rPr>
        <w:t>Around one child in nine was</w:t>
      </w:r>
      <w:r w:rsidRPr="003E1F61">
        <w:rPr>
          <w:rFonts w:asciiTheme="minorHAnsi" w:hAnsiTheme="minorHAnsi" w:cstheme="minorHAnsi"/>
        </w:rPr>
        <w:t xml:space="preserve"> classified as</w:t>
      </w:r>
      <w:r>
        <w:rPr>
          <w:rFonts w:asciiTheme="minorHAnsi" w:hAnsiTheme="minorHAnsi" w:cstheme="minorHAnsi"/>
        </w:rPr>
        <w:t xml:space="preserve"> being in either the</w:t>
      </w:r>
      <w:r w:rsidRPr="003E1F61">
        <w:rPr>
          <w:rFonts w:asciiTheme="minorHAnsi" w:hAnsiTheme="minorHAnsi" w:cstheme="minorHAnsi"/>
        </w:rPr>
        <w:t xml:space="preserve"> ‘high’</w:t>
      </w:r>
      <w:r>
        <w:rPr>
          <w:rFonts w:asciiTheme="minorHAnsi" w:hAnsiTheme="minorHAnsi" w:cstheme="minorHAnsi"/>
        </w:rPr>
        <w:t xml:space="preserve"> (5%) or ‘very high’ (6</w:t>
      </w:r>
      <w:r w:rsidRPr="003E1F61">
        <w:rPr>
          <w:rFonts w:asciiTheme="minorHAnsi" w:hAnsiTheme="minorHAnsi" w:cstheme="minorHAnsi"/>
        </w:rPr>
        <w:t>%</w:t>
      </w:r>
      <w:r>
        <w:rPr>
          <w:rFonts w:asciiTheme="minorHAnsi" w:hAnsiTheme="minorHAnsi" w:cstheme="minorHAnsi"/>
        </w:rPr>
        <w:t>)</w:t>
      </w:r>
      <w:r w:rsidRPr="003E1F61">
        <w:rPr>
          <w:rFonts w:asciiTheme="minorHAnsi" w:hAnsiTheme="minorHAnsi" w:cstheme="minorHAnsi"/>
        </w:rPr>
        <w:t xml:space="preserve"> range</w:t>
      </w:r>
      <w:r>
        <w:rPr>
          <w:rFonts w:asciiTheme="minorHAnsi" w:hAnsiTheme="minorHAnsi" w:cstheme="minorHAnsi"/>
        </w:rPr>
        <w:t xml:space="preserve">. </w:t>
      </w:r>
    </w:p>
    <w:p w:rsidR="00940DAB" w:rsidRDefault="00940DAB" w:rsidP="00940DAB">
      <w:pPr>
        <w:pStyle w:val="BodyCopy"/>
        <w:spacing w:before="240" w:line="276" w:lineRule="auto"/>
        <w:jc w:val="both"/>
      </w:pPr>
      <w:r>
        <w:t xml:space="preserve">Although the SDQ has been used with parents in previous national surveys, the cut-off points for the scales have since been revised, so it is not possible to make direct comparisons with national data. The revised measures were validated on a UK sample of children aged 4 to 17, which found around 80% scored ‘close to average’ on each sub-scale. The lower proportion categorised </w:t>
      </w:r>
      <w:r>
        <w:lastRenderedPageBreak/>
        <w:t xml:space="preserve">as ‘close to average’ in the validated UK sample may be due to the older age group, as it was found in both the </w:t>
      </w:r>
      <w:r w:rsidRPr="00FD486E">
        <w:t>parent survey</w:t>
      </w:r>
      <w:r>
        <w:t xml:space="preserve"> and the secondary school survey (completed by the child) that scores on the difficulties scale tend to increase as the child’s age increases. </w:t>
      </w:r>
    </w:p>
    <w:p w:rsidR="00940DAB" w:rsidRDefault="00940DAB" w:rsidP="00940DAB">
      <w:pPr>
        <w:pStyle w:val="BodyCopy"/>
        <w:spacing w:before="240" w:line="276" w:lineRule="auto"/>
        <w:jc w:val="both"/>
      </w:pPr>
      <w:r>
        <w:t xml:space="preserve">There were a number of differences in scores according to gender, with girls more likely than boys to score ‘close to average’ on the ‘conduct, ‘hyperactivity’, and ‘pro-social’ sub-scales in addition to the ‘total’ SDQ score. Parental physical health and mental wellbeing were also significantly related to total SDQ scores, with children of parents with ‘average’ or ‘above average’ physical health (87%) and mental wellbeing (90%) more likely to score ‘close to average’ than the children of parents with ‘low’ physical health (70%) and mental wellbeing (56%). Only the ‘emotional’ sub-scale </w:t>
      </w:r>
      <w:r w:rsidR="002D11FD">
        <w:t>showed any statistically significant variation across</w:t>
      </w:r>
      <w:r>
        <w:t xml:space="preserve"> age</w:t>
      </w:r>
      <w:r w:rsidR="002D11FD">
        <w:t xml:space="preserve"> groups</w:t>
      </w:r>
      <w:r>
        <w:t xml:space="preserve">, with children aged 3-4 years more likely than those aged 5-8 years to score ‘close to average’. </w:t>
      </w:r>
    </w:p>
    <w:p w:rsidR="00940DAB" w:rsidRDefault="00940DAB" w:rsidP="002C7EF3">
      <w:pPr>
        <w:spacing w:before="240" w:after="0"/>
      </w:pPr>
      <w:r>
        <w:t>There were no significant differences on any of the sub-scales in relation to</w:t>
      </w:r>
      <w:r w:rsidR="00AE3DD5">
        <w:t xml:space="preserve"> the level of area deprivation.</w:t>
      </w:r>
    </w:p>
    <w:p w:rsidR="00940DAB" w:rsidRPr="00175A8E" w:rsidRDefault="00940DAB" w:rsidP="00940DAB">
      <w:pPr>
        <w:pStyle w:val="Heading2"/>
        <w:spacing w:line="276" w:lineRule="auto"/>
      </w:pPr>
      <w:r>
        <w:t xml:space="preserve">  </w:t>
      </w:r>
      <w:bookmarkStart w:id="197" w:name="_Toc492045520"/>
      <w:bookmarkStart w:id="198" w:name="_Toc494182111"/>
      <w:r w:rsidRPr="00175A8E">
        <w:t>Social wellbeing</w:t>
      </w:r>
      <w:bookmarkEnd w:id="197"/>
      <w:bookmarkEnd w:id="198"/>
    </w:p>
    <w:p w:rsidR="002D11FD" w:rsidRDefault="002D11FD" w:rsidP="002D11FD">
      <w:bookmarkStart w:id="199" w:name="_Toc492045521"/>
      <w:bookmarkStart w:id="200" w:name="_Toc494182112"/>
      <w:r w:rsidRPr="002D11FD">
        <w:t>For the parent survey, this section covers questions relating to family circumstances and relationships. These include household characteristics including accommodation, living arrangements and non-resident parents; parental general health; parental healthy living; and parent-child relationship). And the educational and learning environment (pre-school; primary school; parental involvement in homework; home learning environment; and additional support needs).</w:t>
      </w:r>
    </w:p>
    <w:p w:rsidR="00940DAB" w:rsidRDefault="00940DAB" w:rsidP="00940DAB">
      <w:pPr>
        <w:pStyle w:val="Heading3"/>
        <w:tabs>
          <w:tab w:val="clear" w:pos="0"/>
          <w:tab w:val="num" w:pos="900"/>
        </w:tabs>
        <w:spacing w:line="276" w:lineRule="auto"/>
        <w:ind w:left="900" w:hanging="900"/>
      </w:pPr>
      <w:r>
        <w:t>Family</w:t>
      </w:r>
      <w:bookmarkEnd w:id="199"/>
      <w:bookmarkEnd w:id="200"/>
    </w:p>
    <w:p w:rsidR="00940DAB" w:rsidRPr="00FD486E" w:rsidRDefault="00940DAB" w:rsidP="00940DAB">
      <w:pPr>
        <w:spacing w:before="240"/>
        <w:rPr>
          <w:rFonts w:asciiTheme="majorHAnsi" w:hAnsiTheme="majorHAnsi" w:cstheme="majorHAnsi"/>
          <w:sz w:val="32"/>
          <w:szCs w:val="32"/>
        </w:rPr>
      </w:pPr>
      <w:r w:rsidRPr="000E6077">
        <w:rPr>
          <w:rFonts w:asciiTheme="majorHAnsi" w:hAnsiTheme="majorHAnsi" w:cstheme="majorHAnsi"/>
          <w:sz w:val="32"/>
          <w:szCs w:val="32"/>
        </w:rPr>
        <w:t>Wheth</w:t>
      </w:r>
      <w:r w:rsidRPr="00FD486E">
        <w:rPr>
          <w:rFonts w:asciiTheme="majorHAnsi" w:hAnsiTheme="majorHAnsi" w:cstheme="majorHAnsi"/>
          <w:sz w:val="32"/>
          <w:szCs w:val="32"/>
        </w:rPr>
        <w:t>er children have their own bedroom and a garden</w:t>
      </w:r>
      <w:r>
        <w:rPr>
          <w:rFonts w:asciiTheme="majorHAnsi" w:hAnsiTheme="majorHAnsi" w:cstheme="majorHAnsi"/>
          <w:sz w:val="32"/>
          <w:szCs w:val="32"/>
        </w:rPr>
        <w:t xml:space="preserve"> (Active, Respected)</w:t>
      </w:r>
    </w:p>
    <w:p w:rsidR="00940DAB" w:rsidRDefault="00940DAB" w:rsidP="00940DAB">
      <w:pPr>
        <w:spacing w:before="240"/>
      </w:pPr>
      <w:r w:rsidRPr="00DF65CE">
        <w:t>A majority of children</w:t>
      </w:r>
      <w:r w:rsidR="009B357F">
        <w:t xml:space="preserve"> aged</w:t>
      </w:r>
      <w:r w:rsidRPr="00DF65CE">
        <w:t xml:space="preserve"> 0-8 (80%) had their own bedroom. Comparable national figures from GUS (2009/10) showed that 64% of children aged 5 years had their own bedroom (this figure was the same when children were aged 1 in GUS</w:t>
      </w:r>
      <w:r w:rsidRPr="00DF65CE">
        <w:rPr>
          <w:rStyle w:val="EndnoteReference"/>
        </w:rPr>
        <w:endnoteReference w:id="47"/>
      </w:r>
      <w:r w:rsidRPr="00DF65CE">
        <w:t>).</w:t>
      </w:r>
      <w:r>
        <w:t xml:space="preserve"> Most also had access to a garden or common space, with 93% living in a home with their own garden and 4% having access to a shared garden. </w:t>
      </w:r>
    </w:p>
    <w:p w:rsidR="00940DAB" w:rsidRDefault="009B357F" w:rsidP="00940DAB">
      <w:pPr>
        <w:spacing w:before="240"/>
      </w:pPr>
      <w:r>
        <w:t>N</w:t>
      </w:r>
      <w:r w:rsidR="00940DAB" w:rsidRPr="00020868">
        <w:t xml:space="preserve">ot surprisingly, whether or not a child had their own </w:t>
      </w:r>
      <w:r w:rsidR="00940DAB" w:rsidRPr="000344A4">
        <w:t xml:space="preserve">bedroom varied by </w:t>
      </w:r>
      <w:r w:rsidR="00940DAB">
        <w:t>area deprivation, with</w:t>
      </w:r>
      <w:r w:rsidR="00940DAB" w:rsidRPr="000344A4">
        <w:t xml:space="preserve"> </w:t>
      </w:r>
      <w:r w:rsidR="00940DAB" w:rsidRPr="00020868">
        <w:t>73% of children living in the two most deprived quintiles ha</w:t>
      </w:r>
      <w:r w:rsidR="00940DAB">
        <w:t>ving</w:t>
      </w:r>
      <w:r w:rsidR="00940DAB" w:rsidRPr="00020868">
        <w:t xml:space="preserve"> their own bedroom</w:t>
      </w:r>
      <w:r w:rsidR="00940DAB">
        <w:t xml:space="preserve"> and </w:t>
      </w:r>
      <w:r w:rsidR="00940DAB" w:rsidRPr="00020868">
        <w:t>85%</w:t>
      </w:r>
      <w:r w:rsidR="00940DAB">
        <w:t xml:space="preserve"> of those living </w:t>
      </w:r>
      <w:r w:rsidR="00940DAB" w:rsidRPr="00020868">
        <w:t>in the three least deprived quintiles.</w:t>
      </w:r>
      <w:r w:rsidR="00940DAB">
        <w:t xml:space="preserve"> </w:t>
      </w:r>
    </w:p>
    <w:p w:rsidR="002F7BE0" w:rsidRDefault="002F7BE0" w:rsidP="00940DAB">
      <w:pPr>
        <w:pStyle w:val="BodyCopy"/>
        <w:spacing w:after="200" w:line="276" w:lineRule="auto"/>
        <w:rPr>
          <w:i/>
          <w:sz w:val="18"/>
          <w:szCs w:val="18"/>
        </w:rPr>
      </w:pPr>
    </w:p>
    <w:p w:rsidR="002F7BE0" w:rsidRDefault="002F7BE0" w:rsidP="00940DAB">
      <w:pPr>
        <w:pStyle w:val="BodyCopy"/>
        <w:spacing w:after="200" w:line="276" w:lineRule="auto"/>
        <w:rPr>
          <w:i/>
          <w:sz w:val="18"/>
          <w:szCs w:val="18"/>
        </w:rPr>
      </w:pPr>
      <w:r>
        <w:rPr>
          <w:noProof/>
        </w:rPr>
        <w:lastRenderedPageBreak/>
        <w:drawing>
          <wp:inline distT="0" distB="0" distL="0" distR="0" wp14:anchorId="6F5D3D98" wp14:editId="6710E1F5">
            <wp:extent cx="4953000" cy="3192780"/>
            <wp:effectExtent l="0" t="0" r="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40DAB" w:rsidRPr="00A018E9" w:rsidRDefault="00940DAB" w:rsidP="00940DAB">
      <w:pPr>
        <w:pStyle w:val="BodyCopy"/>
        <w:spacing w:after="200" w:line="276" w:lineRule="auto"/>
        <w:rPr>
          <w:i/>
          <w:sz w:val="18"/>
          <w:szCs w:val="18"/>
        </w:rPr>
      </w:pPr>
      <w:r w:rsidRPr="00A018E9">
        <w:rPr>
          <w:i/>
          <w:sz w:val="18"/>
          <w:szCs w:val="18"/>
        </w:rPr>
        <w:t xml:space="preserve">Source: RCS </w:t>
      </w:r>
      <w:r>
        <w:rPr>
          <w:i/>
          <w:sz w:val="18"/>
          <w:szCs w:val="18"/>
        </w:rPr>
        <w:t>parent survey, Falkirk 2017</w:t>
      </w:r>
    </w:p>
    <w:p w:rsidR="00940DAB" w:rsidRPr="000E6077" w:rsidRDefault="00940DAB" w:rsidP="00940DAB">
      <w:pPr>
        <w:spacing w:before="240"/>
        <w:rPr>
          <w:rFonts w:asciiTheme="majorHAnsi" w:hAnsiTheme="majorHAnsi" w:cstheme="majorHAnsi"/>
          <w:sz w:val="32"/>
          <w:szCs w:val="32"/>
        </w:rPr>
      </w:pPr>
      <w:r w:rsidRPr="000E6077">
        <w:rPr>
          <w:rFonts w:asciiTheme="majorHAnsi" w:hAnsiTheme="majorHAnsi" w:cstheme="majorHAnsi"/>
          <w:sz w:val="32"/>
          <w:szCs w:val="32"/>
        </w:rPr>
        <w:t>Living arrangements and non-resident parents</w:t>
      </w:r>
    </w:p>
    <w:p w:rsidR="00940DAB" w:rsidRPr="000E6077" w:rsidRDefault="00940DAB" w:rsidP="00940DAB">
      <w:pPr>
        <w:spacing w:before="240"/>
      </w:pPr>
      <w:r>
        <w:t>Overall, 87</w:t>
      </w:r>
      <w:r w:rsidRPr="000E6077">
        <w:t xml:space="preserve">% of parents reported that their child lives </w:t>
      </w:r>
      <w:r>
        <w:t>with them all of the time, and 13</w:t>
      </w:r>
      <w:r w:rsidRPr="000E6077">
        <w:t>% that their child sometimes lives somewhere else.</w:t>
      </w:r>
    </w:p>
    <w:p w:rsidR="00940DAB" w:rsidRPr="000E6077" w:rsidRDefault="00940DAB" w:rsidP="00940DAB">
      <w:pPr>
        <w:spacing w:before="240"/>
      </w:pPr>
      <w:r>
        <w:t>Around one in five (19%)</w:t>
      </w:r>
      <w:r w:rsidRPr="000E6077">
        <w:t xml:space="preserve"> children had a non-resident parent. Typically, this was a non-resident father (</w:t>
      </w:r>
      <w:r w:rsidR="00D120A3">
        <w:t>83</w:t>
      </w:r>
      <w:r w:rsidRPr="000E6077">
        <w:t xml:space="preserve">%) but </w:t>
      </w:r>
      <w:r>
        <w:t>8</w:t>
      </w:r>
      <w:r w:rsidRPr="000E6077">
        <w:t xml:space="preserve">% of those with a non-resident parent had a non-resident mother, and </w:t>
      </w:r>
      <w:r w:rsidR="00D120A3">
        <w:t>9</w:t>
      </w:r>
      <w:r w:rsidRPr="000E6077">
        <w:t xml:space="preserve">% had two </w:t>
      </w:r>
      <w:r>
        <w:t xml:space="preserve">non-resident </w:t>
      </w:r>
      <w:r w:rsidRPr="000E6077">
        <w:t>parents</w:t>
      </w:r>
      <w:r w:rsidRPr="00020868">
        <w:t xml:space="preserve">. </w:t>
      </w:r>
      <w:r w:rsidRPr="000344A4">
        <w:t>Whether or not a child had a non-resid</w:t>
      </w:r>
      <w:r w:rsidRPr="00020868">
        <w:t xml:space="preserve">ent parent varied by </w:t>
      </w:r>
      <w:r>
        <w:t>area deprivation</w:t>
      </w:r>
      <w:r w:rsidRPr="00020868">
        <w:t>, with children living in the two mo</w:t>
      </w:r>
      <w:r>
        <w:t>st</w:t>
      </w:r>
      <w:r w:rsidRPr="00020868">
        <w:t xml:space="preserve"> deprived quintiles markedly more likely than those living in the three le</w:t>
      </w:r>
      <w:r>
        <w:t>ast</w:t>
      </w:r>
      <w:r w:rsidRPr="00020868">
        <w:t xml:space="preserve"> deprived quintiles to have a non-resident parent (29% compared with 11%).</w:t>
      </w:r>
    </w:p>
    <w:p w:rsidR="00940DAB" w:rsidRPr="000E6077" w:rsidRDefault="00940DAB" w:rsidP="00940DAB">
      <w:pPr>
        <w:pStyle w:val="Heading3"/>
        <w:numPr>
          <w:ilvl w:val="0"/>
          <w:numId w:val="0"/>
        </w:numPr>
        <w:spacing w:line="276" w:lineRule="auto"/>
        <w:ind w:left="851" w:hanging="851"/>
        <w:rPr>
          <w:color w:val="auto"/>
        </w:rPr>
      </w:pPr>
      <w:bookmarkStart w:id="201" w:name="_Toc492045522"/>
      <w:bookmarkStart w:id="202" w:name="_Toc494182113"/>
      <w:r w:rsidRPr="000E6077">
        <w:rPr>
          <w:color w:val="auto"/>
        </w:rPr>
        <w:t>Parental general health</w:t>
      </w:r>
      <w:bookmarkEnd w:id="201"/>
      <w:bookmarkEnd w:id="202"/>
    </w:p>
    <w:p w:rsidR="00940DAB" w:rsidRPr="000E6077" w:rsidRDefault="00940DAB" w:rsidP="00940DAB">
      <w:pPr>
        <w:autoSpaceDE w:val="0"/>
        <w:autoSpaceDN w:val="0"/>
        <w:adjustRightInd w:val="0"/>
        <w:spacing w:before="240"/>
        <w:rPr>
          <w:rFonts w:cstheme="minorHAnsi"/>
        </w:rPr>
      </w:pPr>
      <w:r w:rsidRPr="000E6077">
        <w:rPr>
          <w:rFonts w:eastAsia="Calibri" w:cstheme="minorHAnsi"/>
          <w:lang w:eastAsia="en-GB"/>
        </w:rPr>
        <w:t>Maternal health problems have been identified as a significant factor associated with child outcomes, including behaviour difficulties</w:t>
      </w:r>
      <w:r>
        <w:rPr>
          <w:rFonts w:eastAsia="Calibri" w:cstheme="minorHAnsi"/>
          <w:lang w:eastAsia="en-GB"/>
        </w:rPr>
        <w:t>.</w:t>
      </w:r>
      <w:r w:rsidRPr="000E6077">
        <w:rPr>
          <w:rStyle w:val="EndnoteReference"/>
          <w:rFonts w:eastAsia="Calibri" w:cstheme="minorHAnsi"/>
          <w:lang w:eastAsia="en-GB"/>
        </w:rPr>
        <w:endnoteReference w:id="48"/>
      </w:r>
      <w:r w:rsidRPr="000E6077">
        <w:rPr>
          <w:rFonts w:cstheme="minorHAnsi"/>
        </w:rPr>
        <w:t xml:space="preserve"> </w:t>
      </w:r>
    </w:p>
    <w:p w:rsidR="00940DAB" w:rsidRPr="00884701" w:rsidRDefault="00940DAB" w:rsidP="00940DAB">
      <w:pPr>
        <w:autoSpaceDE w:val="0"/>
        <w:autoSpaceDN w:val="0"/>
        <w:adjustRightInd w:val="0"/>
        <w:spacing w:before="240"/>
        <w:rPr>
          <w:b/>
          <w:i/>
          <w:sz w:val="24"/>
        </w:rPr>
      </w:pPr>
      <w:r w:rsidRPr="000E6077">
        <w:rPr>
          <w:b/>
          <w:i/>
          <w:sz w:val="24"/>
        </w:rPr>
        <w:t xml:space="preserve">Physical </w:t>
      </w:r>
      <w:r w:rsidRPr="00884701">
        <w:rPr>
          <w:b/>
          <w:i/>
          <w:sz w:val="24"/>
        </w:rPr>
        <w:t>and mental health</w:t>
      </w:r>
    </w:p>
    <w:p w:rsidR="00940DAB" w:rsidRDefault="00940DAB" w:rsidP="00940DAB">
      <w:pPr>
        <w:autoSpaceDE w:val="0"/>
        <w:autoSpaceDN w:val="0"/>
        <w:adjustRightInd w:val="0"/>
        <w:spacing w:before="240"/>
      </w:pPr>
      <w:r>
        <w:t xml:space="preserve">Parents were asked a series of questions relating to their health. These form the SF-12, which is a </w:t>
      </w:r>
      <w:r w:rsidR="002D11FD">
        <w:t>short survey</w:t>
      </w:r>
      <w:r>
        <w:t xml:space="preserve"> of physical and mental health.</w:t>
      </w:r>
      <w:r>
        <w:rPr>
          <w:rStyle w:val="EndnoteReference"/>
        </w:rPr>
        <w:endnoteReference w:id="49"/>
      </w:r>
      <w:r>
        <w:t xml:space="preserve"> Data from these questions were combined to produce a summary measure of respondent’s physical health and mental wellbeing. The majority of parents had few physical or mental health problems, with 11% of parents reporting below average physical health and 14% reporting below average mental health.</w:t>
      </w:r>
    </w:p>
    <w:p w:rsidR="00AE3DD5" w:rsidRDefault="00AE3DD5" w:rsidP="00940DAB">
      <w:pPr>
        <w:spacing w:before="240"/>
        <w:jc w:val="both"/>
        <w:rPr>
          <w:b/>
          <w:i/>
          <w:sz w:val="24"/>
        </w:rPr>
      </w:pPr>
    </w:p>
    <w:p w:rsidR="00940DAB" w:rsidRDefault="00940DAB" w:rsidP="00940DAB">
      <w:pPr>
        <w:spacing w:before="240"/>
        <w:jc w:val="both"/>
        <w:rPr>
          <w:b/>
          <w:i/>
          <w:sz w:val="24"/>
        </w:rPr>
      </w:pPr>
      <w:r w:rsidRPr="002B6A64">
        <w:rPr>
          <w:b/>
          <w:i/>
          <w:sz w:val="24"/>
        </w:rPr>
        <w:lastRenderedPageBreak/>
        <w:t>Parental health and children’s SDQ</w:t>
      </w:r>
    </w:p>
    <w:p w:rsidR="00940DAB" w:rsidRDefault="00940DAB" w:rsidP="00940DAB">
      <w:pPr>
        <w:pStyle w:val="CommentText"/>
        <w:rPr>
          <w:sz w:val="22"/>
        </w:rPr>
      </w:pPr>
      <w:r w:rsidRPr="00986C3F">
        <w:rPr>
          <w:sz w:val="22"/>
        </w:rPr>
        <w:t xml:space="preserve">Children’s total difficulties scores on the Strength and Difficulties Questionnaire </w:t>
      </w:r>
      <w:r w:rsidRPr="007D3F8D">
        <w:rPr>
          <w:sz w:val="22"/>
        </w:rPr>
        <w:t>varied according to the respond</w:t>
      </w:r>
      <w:r>
        <w:rPr>
          <w:sz w:val="22"/>
        </w:rPr>
        <w:t>ing</w:t>
      </w:r>
      <w:r w:rsidRPr="007D3F8D">
        <w:rPr>
          <w:sz w:val="22"/>
        </w:rPr>
        <w:t xml:space="preserve"> parent’s </w:t>
      </w:r>
      <w:r>
        <w:rPr>
          <w:sz w:val="22"/>
        </w:rPr>
        <w:t>physical</w:t>
      </w:r>
      <w:r w:rsidRPr="007D3F8D">
        <w:rPr>
          <w:sz w:val="22"/>
        </w:rPr>
        <w:t xml:space="preserve"> </w:t>
      </w:r>
      <w:r w:rsidR="00C350A8">
        <w:rPr>
          <w:sz w:val="22"/>
        </w:rPr>
        <w:t xml:space="preserve">and mental </w:t>
      </w:r>
      <w:r>
        <w:rPr>
          <w:sz w:val="22"/>
        </w:rPr>
        <w:t>health</w:t>
      </w:r>
      <w:r w:rsidR="002D11FD">
        <w:rPr>
          <w:sz w:val="22"/>
        </w:rPr>
        <w:t xml:space="preserve"> </w:t>
      </w:r>
      <w:r w:rsidR="002D11FD" w:rsidRPr="00986C3F">
        <w:rPr>
          <w:sz w:val="22"/>
        </w:rPr>
        <w:t xml:space="preserve">(see </w:t>
      </w:r>
      <w:r w:rsidR="002D11FD" w:rsidRPr="00F066ED">
        <w:rPr>
          <w:sz w:val="22"/>
        </w:rPr>
        <w:t>sections 2.2.3 and 4.2.3 for more</w:t>
      </w:r>
      <w:r w:rsidR="002D11FD" w:rsidRPr="006F15C0">
        <w:rPr>
          <w:sz w:val="22"/>
        </w:rPr>
        <w:t xml:space="preserve"> detail)</w:t>
      </w:r>
      <w:r>
        <w:rPr>
          <w:sz w:val="22"/>
        </w:rPr>
        <w:t>. Where a parent had an ‘above average’ physical health score, 87% of children had a</w:t>
      </w:r>
      <w:r w:rsidRPr="007D3F8D">
        <w:rPr>
          <w:sz w:val="22"/>
        </w:rPr>
        <w:t xml:space="preserve"> ‘close to average’ </w:t>
      </w:r>
      <w:r>
        <w:rPr>
          <w:sz w:val="22"/>
        </w:rPr>
        <w:t>total SDQ score; however, this figure fell to 70% where the child’s</w:t>
      </w:r>
      <w:r w:rsidRPr="007D3F8D">
        <w:rPr>
          <w:sz w:val="22"/>
        </w:rPr>
        <w:t xml:space="preserve"> parent had</w:t>
      </w:r>
      <w:r>
        <w:rPr>
          <w:sz w:val="22"/>
        </w:rPr>
        <w:t xml:space="preserve"> a</w:t>
      </w:r>
      <w:r w:rsidRPr="007D3F8D">
        <w:rPr>
          <w:sz w:val="22"/>
        </w:rPr>
        <w:t xml:space="preserve"> lower than average </w:t>
      </w:r>
      <w:r>
        <w:rPr>
          <w:sz w:val="22"/>
        </w:rPr>
        <w:t>physical health score</w:t>
      </w:r>
      <w:r w:rsidRPr="007D3F8D">
        <w:rPr>
          <w:sz w:val="22"/>
        </w:rPr>
        <w:t xml:space="preserve">. </w:t>
      </w:r>
      <w:r w:rsidRPr="002B6A64">
        <w:rPr>
          <w:sz w:val="22"/>
        </w:rPr>
        <w:t>Similarly,</w:t>
      </w:r>
      <w:r>
        <w:t xml:space="preserve"> w</w:t>
      </w:r>
      <w:r>
        <w:rPr>
          <w:sz w:val="22"/>
        </w:rPr>
        <w:t>here a parent had an ‘above average’ mental wellbeing score, 90% of children had a</w:t>
      </w:r>
      <w:r w:rsidRPr="007D3F8D">
        <w:rPr>
          <w:sz w:val="22"/>
        </w:rPr>
        <w:t xml:space="preserve"> ‘close to average’ </w:t>
      </w:r>
      <w:r>
        <w:rPr>
          <w:sz w:val="22"/>
        </w:rPr>
        <w:t>total SDQ score; however, this figure fell to 56% where the child’s</w:t>
      </w:r>
      <w:r w:rsidRPr="007D3F8D">
        <w:rPr>
          <w:sz w:val="22"/>
        </w:rPr>
        <w:t xml:space="preserve"> parent had</w:t>
      </w:r>
      <w:r>
        <w:rPr>
          <w:sz w:val="22"/>
        </w:rPr>
        <w:t xml:space="preserve"> a</w:t>
      </w:r>
      <w:r w:rsidRPr="007D3F8D">
        <w:rPr>
          <w:sz w:val="22"/>
        </w:rPr>
        <w:t xml:space="preserve"> lower than average </w:t>
      </w:r>
      <w:r>
        <w:rPr>
          <w:sz w:val="22"/>
        </w:rPr>
        <w:t>mental wellbeing score</w:t>
      </w:r>
      <w:r w:rsidRPr="007D3F8D">
        <w:rPr>
          <w:sz w:val="22"/>
        </w:rPr>
        <w:t xml:space="preserve">. </w:t>
      </w:r>
    </w:p>
    <w:p w:rsidR="00940DAB" w:rsidRPr="004201F7" w:rsidRDefault="00940DAB" w:rsidP="00940DAB">
      <w:r>
        <w:rPr>
          <w:noProof/>
          <w:lang w:eastAsia="en-GB"/>
        </w:rPr>
        <w:drawing>
          <wp:inline distT="0" distB="0" distL="0" distR="0" wp14:anchorId="0DB969DF" wp14:editId="1D1F38C6">
            <wp:extent cx="5400675" cy="3807934"/>
            <wp:effectExtent l="0" t="0" r="0" b="25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AB17FB" w:rsidRDefault="00940DAB" w:rsidP="00940DAB">
      <w:pPr>
        <w:keepNext/>
        <w:spacing w:before="240"/>
        <w:rPr>
          <w:b/>
          <w:i/>
          <w:sz w:val="24"/>
        </w:rPr>
      </w:pPr>
      <w:r w:rsidRPr="000E6077">
        <w:rPr>
          <w:b/>
          <w:i/>
          <w:sz w:val="24"/>
        </w:rPr>
        <w:t>Par</w:t>
      </w:r>
      <w:r w:rsidRPr="00AB17FB">
        <w:rPr>
          <w:b/>
          <w:i/>
          <w:sz w:val="24"/>
        </w:rPr>
        <w:t>ental life satisfaction</w:t>
      </w:r>
    </w:p>
    <w:p w:rsidR="00940DAB" w:rsidRDefault="00940DAB" w:rsidP="00940DAB">
      <w:pPr>
        <w:spacing w:before="240"/>
        <w:jc w:val="both"/>
      </w:pPr>
      <w:r>
        <w:t xml:space="preserve">Parents were asked to assess their general satisfaction with life using a scale between 0 and 10, where 0 </w:t>
      </w:r>
      <w:r w:rsidRPr="009632A0">
        <w:t>denotes extremely</w:t>
      </w:r>
      <w:r>
        <w:t xml:space="preserve"> dissatisfied and 10 denotes extremely satisfied. Most parents (80%) selected a value between 7 and 10, indicating a relatively high degree of satisfaction with their lives. </w:t>
      </w:r>
      <w:r w:rsidRPr="005E1B31">
        <w:t xml:space="preserve">A further </w:t>
      </w:r>
      <w:r>
        <w:t>16</w:t>
      </w:r>
      <w:r w:rsidRPr="005E1B31">
        <w:t>% selected a</w:t>
      </w:r>
      <w:r>
        <w:t xml:space="preserve"> value between 4 and 6, whilst 4</w:t>
      </w:r>
      <w:r w:rsidRPr="005E1B31">
        <w:t>% of respondents selected a value between 0 and 3, suggesting a level of dissatisfaction with life.</w:t>
      </w:r>
    </w:p>
    <w:p w:rsidR="00940DAB" w:rsidRPr="005E1B31" w:rsidRDefault="00940DAB" w:rsidP="00940DAB">
      <w:pPr>
        <w:spacing w:before="240"/>
        <w:jc w:val="both"/>
      </w:pPr>
      <w:r>
        <w:rPr>
          <w:noProof/>
          <w:lang w:eastAsia="en-GB"/>
        </w:rPr>
        <w:lastRenderedPageBreak/>
        <w:drawing>
          <wp:inline distT="0" distB="0" distL="0" distR="0" wp14:anchorId="51D1D693" wp14:editId="7A21ACA6">
            <wp:extent cx="5095876"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40DAB" w:rsidRPr="00A018E9" w:rsidRDefault="00940DAB" w:rsidP="00940DAB">
      <w:pPr>
        <w:pStyle w:val="BodyCopy"/>
        <w:spacing w:after="200" w:line="276" w:lineRule="auto"/>
        <w:rPr>
          <w:i/>
          <w:sz w:val="18"/>
          <w:szCs w:val="18"/>
        </w:rPr>
      </w:pPr>
      <w:r w:rsidRPr="00A018E9">
        <w:rPr>
          <w:i/>
          <w:sz w:val="18"/>
          <w:szCs w:val="18"/>
        </w:rPr>
        <w:t xml:space="preserve">Source: RCS </w:t>
      </w:r>
      <w:r>
        <w:rPr>
          <w:i/>
          <w:sz w:val="18"/>
          <w:szCs w:val="18"/>
        </w:rPr>
        <w:t>parent survey, Falkirk 2017</w:t>
      </w:r>
    </w:p>
    <w:p w:rsidR="00940DAB" w:rsidRPr="005E1B31" w:rsidRDefault="00940DAB" w:rsidP="00940DAB">
      <w:pPr>
        <w:spacing w:before="240"/>
        <w:jc w:val="both"/>
      </w:pPr>
      <w:r>
        <w:t xml:space="preserve">Parental life satisfaction varied by area deprivation, </w:t>
      </w:r>
      <w:r w:rsidRPr="005E1B31">
        <w:t xml:space="preserve">with parents </w:t>
      </w:r>
      <w:r>
        <w:t>living in areas in the three least deprived quintiles</w:t>
      </w:r>
      <w:r w:rsidRPr="005E1B31">
        <w:t xml:space="preserve"> more likely to report being satisfied with life (</w:t>
      </w:r>
      <w:r w:rsidR="00D120A3">
        <w:t>83</w:t>
      </w:r>
      <w:r w:rsidRPr="005E1B31">
        <w:t xml:space="preserve">%) than those </w:t>
      </w:r>
      <w:r>
        <w:t>living in areas in the</w:t>
      </w:r>
      <w:r w:rsidR="00D120A3">
        <w:t xml:space="preserve"> two most deprived quintiles (76</w:t>
      </w:r>
      <w:r w:rsidRPr="005E1B31">
        <w:t xml:space="preserve">%). </w:t>
      </w:r>
    </w:p>
    <w:p w:rsidR="00940DAB" w:rsidRPr="00706282" w:rsidRDefault="00940DAB" w:rsidP="00940DAB">
      <w:pPr>
        <w:spacing w:before="240"/>
      </w:pPr>
      <w:r>
        <w:t xml:space="preserve">The findings also highlight the importance of the relationship between life satisfaction and parental health. Those </w:t>
      </w:r>
      <w:r w:rsidRPr="00536646">
        <w:t>with above average</w:t>
      </w:r>
      <w:r>
        <w:t xml:space="preserve"> physical and mental health within the sample were much more likely to </w:t>
      </w:r>
      <w:r w:rsidR="00D120A3">
        <w:t>report being satisfied</w:t>
      </w:r>
      <w:r>
        <w:t xml:space="preserve"> -  82% and 86% doing so, respectively, compared with 60% and 47% of those with lower than average physical and mental health. Although the sample size is not large enough to support more detailed analysis, it is reasonable then to assume that those with poorer health will show markedly worse levels of general life satisfaction.</w:t>
      </w:r>
    </w:p>
    <w:p w:rsidR="00940DAB" w:rsidRPr="000E6077" w:rsidRDefault="00940DAB" w:rsidP="00940DAB">
      <w:pPr>
        <w:pStyle w:val="Heading3"/>
        <w:numPr>
          <w:ilvl w:val="0"/>
          <w:numId w:val="0"/>
        </w:numPr>
        <w:spacing w:line="276" w:lineRule="auto"/>
        <w:ind w:left="851" w:hanging="851"/>
        <w:rPr>
          <w:color w:val="auto"/>
        </w:rPr>
      </w:pPr>
      <w:bookmarkStart w:id="203" w:name="_Toc492045523"/>
      <w:bookmarkStart w:id="204" w:name="_Toc494182114"/>
      <w:r w:rsidRPr="00C350A8">
        <w:rPr>
          <w:color w:val="auto"/>
        </w:rPr>
        <w:t>Parental healthy living</w:t>
      </w:r>
      <w:bookmarkEnd w:id="203"/>
      <w:bookmarkEnd w:id="204"/>
    </w:p>
    <w:p w:rsidR="00940DAB" w:rsidRPr="000E6077" w:rsidRDefault="00940DAB" w:rsidP="00940DAB">
      <w:pPr>
        <w:spacing w:before="240"/>
      </w:pPr>
      <w:r w:rsidRPr="000E6077">
        <w:t>Parental smoking, alcohol or drug misuse can have an effect on child health and wellbeing during pregnancy (via, for example, foetal alcohol syndrome</w:t>
      </w:r>
      <w:r>
        <w:t>,</w:t>
      </w:r>
      <w:r w:rsidRPr="000E6077">
        <w:rPr>
          <w:rStyle w:val="EndnoteReference"/>
        </w:rPr>
        <w:endnoteReference w:id="50"/>
      </w:r>
      <w:r w:rsidRPr="000E6077">
        <w:t xml:space="preserve"> neonatal abstinence syndrome</w:t>
      </w:r>
      <w:r w:rsidRPr="000E6077">
        <w:rPr>
          <w:rStyle w:val="EndnoteReference"/>
        </w:rPr>
        <w:endnoteReference w:id="51"/>
      </w:r>
      <w:r w:rsidRPr="000E6077">
        <w:t xml:space="preserve"> and the impact of smoke on sudden infant death syndrome, stillbirths and complications in pregnancy</w:t>
      </w:r>
      <w:r w:rsidRPr="000E6077">
        <w:rPr>
          <w:rStyle w:val="EndnoteReference"/>
        </w:rPr>
        <w:endnoteReference w:id="52"/>
      </w:r>
      <w:r w:rsidRPr="000E6077">
        <w:t>). There can also be impacts in later life, with passive smoking being linked to a range of health issues among children, including respiratory diseases, asthma, lung function and bacterial meningitis</w:t>
      </w:r>
      <w:r>
        <w:t>.</w:t>
      </w:r>
      <w:r w:rsidRPr="000E6077">
        <w:rPr>
          <w:rStyle w:val="EndnoteReference"/>
        </w:rPr>
        <w:endnoteReference w:id="53"/>
      </w:r>
      <w:r w:rsidRPr="000E6077">
        <w:t xml:space="preserve">  </w:t>
      </w:r>
    </w:p>
    <w:p w:rsidR="00940DAB" w:rsidRPr="007E1749" w:rsidRDefault="00940DAB" w:rsidP="00940DAB">
      <w:pPr>
        <w:keepNext/>
        <w:spacing w:before="240"/>
        <w:rPr>
          <w:b/>
          <w:i/>
          <w:sz w:val="24"/>
        </w:rPr>
      </w:pPr>
      <w:r w:rsidRPr="000E6077">
        <w:rPr>
          <w:b/>
          <w:i/>
          <w:sz w:val="24"/>
        </w:rPr>
        <w:t xml:space="preserve">Alcohol </w:t>
      </w:r>
      <w:r w:rsidRPr="007E1749">
        <w:rPr>
          <w:b/>
          <w:i/>
          <w:sz w:val="24"/>
        </w:rPr>
        <w:t>use</w:t>
      </w:r>
    </w:p>
    <w:p w:rsidR="00940DAB" w:rsidRDefault="00940DAB" w:rsidP="00940DAB">
      <w:pPr>
        <w:spacing w:before="240"/>
        <w:jc w:val="both"/>
        <w:rPr>
          <w:rFonts w:ascii="Arial" w:hAnsi="Arial" w:cs="Arial"/>
          <w:szCs w:val="18"/>
        </w:rPr>
      </w:pPr>
      <w:r w:rsidRPr="00B91E1C">
        <w:t>Table 4.3.1</w:t>
      </w:r>
      <w:r w:rsidR="00B91E1C" w:rsidRPr="00B91E1C">
        <w:t>d</w:t>
      </w:r>
      <w:r w:rsidRPr="00B91E1C">
        <w:t xml:space="preserve"> shows</w:t>
      </w:r>
      <w:r>
        <w:t xml:space="preserve"> the frequency of alcohol consumption reported by respondent parents of 0-8 year olds in Falkirk compared with national figures from Growing Up in Scotland.</w:t>
      </w:r>
      <w:r w:rsidRPr="000B706B">
        <w:rPr>
          <w:rStyle w:val="EndnoteReference"/>
          <w:rFonts w:ascii="Arial" w:hAnsi="Arial" w:cs="Arial"/>
          <w:szCs w:val="18"/>
        </w:rPr>
        <w:endnoteReference w:id="54"/>
      </w:r>
      <w:r>
        <w:t xml:space="preserve"> </w:t>
      </w:r>
      <w:r w:rsidRPr="000B706B">
        <w:rPr>
          <w:rFonts w:ascii="Arial" w:hAnsi="Arial" w:cs="Arial"/>
          <w:szCs w:val="18"/>
        </w:rPr>
        <w:t>As this GUS data was gathered from parents of children aged 10 months this is not directly comparable to results from the RCS survey</w:t>
      </w:r>
      <w:r>
        <w:rPr>
          <w:rFonts w:ascii="Arial" w:hAnsi="Arial" w:cs="Arial"/>
          <w:szCs w:val="18"/>
        </w:rPr>
        <w:t>, but the broad patterns are very similar</w:t>
      </w:r>
      <w:r w:rsidRPr="000B706B">
        <w:rPr>
          <w:rFonts w:ascii="Arial" w:hAnsi="Arial" w:cs="Arial"/>
          <w:szCs w:val="18"/>
        </w:rPr>
        <w:t xml:space="preserve">. </w:t>
      </w:r>
      <w:r>
        <w:rPr>
          <w:rFonts w:ascii="Arial" w:hAnsi="Arial" w:cs="Arial"/>
          <w:szCs w:val="18"/>
        </w:rPr>
        <w:t>In both surveys, the achieved sample was predominantly female.</w:t>
      </w:r>
    </w:p>
    <w:tbl>
      <w:tblPr>
        <w:tblW w:w="5000"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757"/>
        <w:gridCol w:w="2599"/>
        <w:gridCol w:w="2497"/>
      </w:tblGrid>
      <w:tr w:rsidR="00940DAB" w:rsidRPr="00E863E5" w:rsidTr="008B6453">
        <w:trPr>
          <w:trHeight w:val="340"/>
        </w:trPr>
        <w:tc>
          <w:tcPr>
            <w:tcW w:w="5000" w:type="pct"/>
            <w:gridSpan w:val="3"/>
            <w:tcBorders>
              <w:top w:val="single" w:sz="12" w:space="0" w:color="auto"/>
              <w:bottom w:val="nil"/>
            </w:tcBorders>
          </w:tcPr>
          <w:p w:rsidR="00940DAB" w:rsidRPr="002C5CF7" w:rsidRDefault="00940DAB" w:rsidP="008B6453">
            <w:pPr>
              <w:pStyle w:val="BSATableHeading"/>
              <w:spacing w:before="0" w:after="0"/>
              <w:rPr>
                <w:rFonts w:asciiTheme="minorHAnsi" w:hAnsiTheme="minorHAnsi" w:cstheme="minorHAnsi"/>
                <w:sz w:val="20"/>
              </w:rPr>
            </w:pPr>
            <w:r w:rsidRPr="002C5CF7">
              <w:rPr>
                <w:rFonts w:asciiTheme="minorHAnsi" w:hAnsiTheme="minorHAnsi" w:cstheme="minorHAnsi"/>
                <w:sz w:val="20"/>
              </w:rPr>
              <w:lastRenderedPageBreak/>
              <w:t xml:space="preserve">Table </w:t>
            </w:r>
            <w:r w:rsidR="00B91E1C">
              <w:rPr>
                <w:rFonts w:cstheme="minorHAnsi"/>
                <w:sz w:val="20"/>
              </w:rPr>
              <w:t>4.3.1d</w:t>
            </w:r>
            <w:r>
              <w:rPr>
                <w:rFonts w:cstheme="minorHAnsi"/>
                <w:sz w:val="20"/>
              </w:rPr>
              <w:t xml:space="preserve"> </w:t>
            </w:r>
            <w:r w:rsidRPr="002C5CF7">
              <w:rPr>
                <w:rFonts w:cstheme="minorHAnsi"/>
                <w:sz w:val="20"/>
              </w:rPr>
              <w:t>Frequency of parental alcohol consumption</w:t>
            </w:r>
            <w:r w:rsidRPr="002C5CF7">
              <w:rPr>
                <w:rFonts w:eastAsia="Tahoma" w:cstheme="minorHAnsi"/>
                <w:bCs/>
                <w:sz w:val="20"/>
                <w:lang w:eastAsia="en-GB"/>
              </w:rPr>
              <w:t xml:space="preserve"> </w:t>
            </w:r>
          </w:p>
        </w:tc>
      </w:tr>
      <w:tr w:rsidR="00940DAB" w:rsidRPr="00E863E5" w:rsidTr="008B6453">
        <w:trPr>
          <w:trHeight w:val="794"/>
        </w:trPr>
        <w:tc>
          <w:tcPr>
            <w:tcW w:w="1755" w:type="pct"/>
            <w:tcBorders>
              <w:top w:val="nil"/>
              <w:bottom w:val="single" w:sz="12" w:space="0" w:color="auto"/>
            </w:tcBorders>
            <w:vAlign w:val="center"/>
          </w:tcPr>
          <w:p w:rsidR="00940DAB" w:rsidRPr="002C5CF7" w:rsidRDefault="00940DAB" w:rsidP="008B6453">
            <w:pPr>
              <w:pStyle w:val="BSATableText"/>
              <w:spacing w:after="0" w:line="240" w:lineRule="auto"/>
              <w:ind w:left="0" w:firstLine="0"/>
              <w:jc w:val="center"/>
              <w:rPr>
                <w:rFonts w:asciiTheme="minorHAnsi" w:hAnsiTheme="minorHAnsi" w:cstheme="minorHAnsi"/>
                <w:sz w:val="20"/>
              </w:rPr>
            </w:pPr>
          </w:p>
        </w:tc>
        <w:tc>
          <w:tcPr>
            <w:tcW w:w="1655" w:type="pct"/>
            <w:tcBorders>
              <w:top w:val="nil"/>
              <w:bottom w:val="single" w:sz="12" w:space="0" w:color="auto"/>
            </w:tcBorders>
            <w:vAlign w:val="center"/>
          </w:tcPr>
          <w:p w:rsidR="00940DAB" w:rsidRPr="002C5CF7" w:rsidRDefault="00940DAB" w:rsidP="008B6453">
            <w:pPr>
              <w:pStyle w:val="BSATableNumber"/>
              <w:jc w:val="center"/>
              <w:rPr>
                <w:rFonts w:asciiTheme="minorHAnsi" w:hAnsiTheme="minorHAnsi" w:cstheme="minorHAnsi"/>
                <w:sz w:val="20"/>
              </w:rPr>
            </w:pPr>
            <w:r>
              <w:rPr>
                <w:rFonts w:asciiTheme="minorHAnsi" w:hAnsiTheme="minorHAnsi" w:cstheme="minorHAnsi"/>
                <w:sz w:val="20"/>
              </w:rPr>
              <w:t>Falkirk</w:t>
            </w:r>
          </w:p>
          <w:p w:rsidR="00940DAB" w:rsidRPr="002C5CF7" w:rsidRDefault="00940DAB" w:rsidP="008B6453">
            <w:pPr>
              <w:pStyle w:val="BSATableNumber"/>
              <w:jc w:val="center"/>
              <w:rPr>
                <w:rFonts w:asciiTheme="minorHAnsi" w:hAnsiTheme="minorHAnsi" w:cstheme="minorHAnsi"/>
                <w:sz w:val="20"/>
              </w:rPr>
            </w:pPr>
            <w:r w:rsidRPr="002C5CF7">
              <w:rPr>
                <w:rFonts w:asciiTheme="minorHAnsi" w:hAnsiTheme="minorHAnsi" w:cstheme="minorHAnsi"/>
                <w:sz w:val="20"/>
              </w:rPr>
              <w:t>Parents of children aged 0</w:t>
            </w:r>
            <w:r w:rsidR="004D0E0D">
              <w:rPr>
                <w:rFonts w:asciiTheme="minorHAnsi" w:hAnsiTheme="minorHAnsi" w:cstheme="minorHAnsi"/>
                <w:sz w:val="20"/>
              </w:rPr>
              <w:noBreakHyphen/>
            </w:r>
            <w:r w:rsidRPr="002C5CF7">
              <w:rPr>
                <w:rFonts w:asciiTheme="minorHAnsi" w:hAnsiTheme="minorHAnsi" w:cstheme="minorHAnsi"/>
                <w:sz w:val="20"/>
              </w:rPr>
              <w:t>8)</w:t>
            </w:r>
          </w:p>
        </w:tc>
        <w:tc>
          <w:tcPr>
            <w:tcW w:w="1590" w:type="pct"/>
            <w:tcBorders>
              <w:top w:val="nil"/>
              <w:bottom w:val="single" w:sz="12" w:space="0" w:color="auto"/>
            </w:tcBorders>
            <w:vAlign w:val="center"/>
          </w:tcPr>
          <w:p w:rsidR="00940DAB" w:rsidRPr="002C5CF7" w:rsidRDefault="00940DAB" w:rsidP="008B6453">
            <w:pPr>
              <w:pStyle w:val="BSATableNumber"/>
              <w:jc w:val="center"/>
              <w:rPr>
                <w:rFonts w:asciiTheme="minorHAnsi" w:hAnsiTheme="minorHAnsi" w:cstheme="minorHAnsi"/>
                <w:sz w:val="20"/>
              </w:rPr>
            </w:pPr>
            <w:r w:rsidRPr="00704BA0">
              <w:rPr>
                <w:rFonts w:asciiTheme="minorHAnsi" w:hAnsiTheme="minorHAnsi" w:cstheme="minorHAnsi"/>
                <w:sz w:val="20"/>
              </w:rPr>
              <w:t>National GUS data (parents of child aged 10 months)</w:t>
            </w:r>
          </w:p>
        </w:tc>
      </w:tr>
      <w:tr w:rsidR="00940DAB" w:rsidRPr="00E863E5" w:rsidTr="00AE3DD5">
        <w:trPr>
          <w:trHeight w:val="283"/>
        </w:trPr>
        <w:tc>
          <w:tcPr>
            <w:tcW w:w="5000" w:type="pct"/>
            <w:gridSpan w:val="3"/>
            <w:tcBorders>
              <w:top w:val="single" w:sz="12" w:space="0" w:color="auto"/>
              <w:bottom w:val="single" w:sz="6" w:space="0" w:color="auto"/>
            </w:tcBorders>
            <w:vAlign w:val="bottom"/>
          </w:tcPr>
          <w:p w:rsidR="00940DAB" w:rsidRPr="00C71EF4" w:rsidRDefault="00940DAB" w:rsidP="00AE3DD5">
            <w:pPr>
              <w:pStyle w:val="BSATableNumber"/>
              <w:rPr>
                <w:rFonts w:asciiTheme="minorHAnsi" w:hAnsiTheme="minorHAnsi" w:cstheme="minorHAnsi"/>
                <w:i/>
                <w:sz w:val="20"/>
              </w:rPr>
            </w:pPr>
            <w:r>
              <w:rPr>
                <w:rFonts w:asciiTheme="minorHAnsi" w:hAnsiTheme="minorHAnsi" w:cstheme="minorHAnsi"/>
                <w:i/>
                <w:sz w:val="20"/>
              </w:rPr>
              <w:t>Column percentages</w:t>
            </w:r>
          </w:p>
        </w:tc>
      </w:tr>
      <w:tr w:rsidR="00940DAB" w:rsidRPr="00E863E5" w:rsidTr="008B6453">
        <w:trPr>
          <w:trHeight w:val="300"/>
        </w:trPr>
        <w:tc>
          <w:tcPr>
            <w:tcW w:w="1755" w:type="pct"/>
            <w:vAlign w:val="center"/>
          </w:tcPr>
          <w:p w:rsidR="00940DAB" w:rsidRPr="002C5CF7" w:rsidRDefault="00940DAB" w:rsidP="008B6453">
            <w:pPr>
              <w:pStyle w:val="Default"/>
              <w:keepNext/>
              <w:rPr>
                <w:rFonts w:asciiTheme="minorHAnsi" w:hAnsiTheme="minorHAnsi" w:cstheme="minorHAnsi"/>
                <w:sz w:val="20"/>
                <w:szCs w:val="20"/>
              </w:rPr>
            </w:pPr>
            <w:r w:rsidRPr="002C5CF7">
              <w:rPr>
                <w:rFonts w:asciiTheme="minorHAnsi" w:hAnsiTheme="minorHAnsi" w:cstheme="minorHAnsi"/>
                <w:sz w:val="20"/>
                <w:szCs w:val="20"/>
              </w:rPr>
              <w:t>Never drink alcohol</w:t>
            </w:r>
          </w:p>
        </w:tc>
        <w:tc>
          <w:tcPr>
            <w:tcW w:w="1655" w:type="pct"/>
            <w:vAlign w:val="center"/>
          </w:tcPr>
          <w:p w:rsidR="00940DAB" w:rsidRPr="002C5CF7" w:rsidRDefault="00940DAB" w:rsidP="008B6453">
            <w:pPr>
              <w:pStyle w:val="BSATableNumber"/>
              <w:ind w:right="284"/>
              <w:rPr>
                <w:rFonts w:asciiTheme="minorHAnsi" w:hAnsiTheme="minorHAnsi" w:cstheme="minorHAnsi"/>
                <w:sz w:val="20"/>
              </w:rPr>
            </w:pPr>
            <w:r>
              <w:rPr>
                <w:rFonts w:asciiTheme="minorHAnsi" w:hAnsiTheme="minorHAnsi" w:cstheme="minorHAnsi"/>
                <w:sz w:val="20"/>
              </w:rPr>
              <w:t>20</w:t>
            </w:r>
          </w:p>
        </w:tc>
        <w:tc>
          <w:tcPr>
            <w:tcW w:w="1590" w:type="pct"/>
            <w:vAlign w:val="center"/>
          </w:tcPr>
          <w:p w:rsidR="00940DAB" w:rsidRPr="002C5CF7" w:rsidRDefault="00940DAB" w:rsidP="008B6453">
            <w:pPr>
              <w:pStyle w:val="BSATableNumber"/>
              <w:ind w:right="284"/>
              <w:rPr>
                <w:rFonts w:asciiTheme="minorHAnsi" w:hAnsiTheme="minorHAnsi" w:cstheme="minorHAnsi"/>
                <w:sz w:val="20"/>
              </w:rPr>
            </w:pPr>
            <w:r w:rsidRPr="002C5CF7">
              <w:rPr>
                <w:rFonts w:asciiTheme="minorHAnsi" w:hAnsiTheme="minorHAnsi" w:cstheme="minorHAnsi"/>
                <w:sz w:val="20"/>
              </w:rPr>
              <w:t>21</w:t>
            </w:r>
          </w:p>
        </w:tc>
      </w:tr>
      <w:tr w:rsidR="00940DAB" w:rsidRPr="00E863E5" w:rsidTr="008B6453">
        <w:trPr>
          <w:trHeight w:val="300"/>
        </w:trPr>
        <w:tc>
          <w:tcPr>
            <w:tcW w:w="1755" w:type="pct"/>
            <w:vAlign w:val="center"/>
          </w:tcPr>
          <w:p w:rsidR="00940DAB" w:rsidRPr="002C5CF7" w:rsidRDefault="00940DAB" w:rsidP="008B6453">
            <w:pPr>
              <w:keepNext/>
              <w:spacing w:after="0" w:line="240" w:lineRule="auto"/>
              <w:rPr>
                <w:rFonts w:cstheme="minorHAnsi"/>
                <w:sz w:val="20"/>
                <w:szCs w:val="20"/>
              </w:rPr>
            </w:pPr>
            <w:r w:rsidRPr="002C5CF7">
              <w:rPr>
                <w:rFonts w:cstheme="minorHAnsi"/>
                <w:color w:val="000000"/>
                <w:sz w:val="20"/>
                <w:szCs w:val="20"/>
              </w:rPr>
              <w:t>Monthly or less</w:t>
            </w:r>
          </w:p>
        </w:tc>
        <w:tc>
          <w:tcPr>
            <w:tcW w:w="1655" w:type="pct"/>
            <w:vAlign w:val="center"/>
          </w:tcPr>
          <w:p w:rsidR="00940DAB" w:rsidRPr="002C5CF7" w:rsidRDefault="00940DAB" w:rsidP="008B6453">
            <w:pPr>
              <w:pStyle w:val="BSATableNumber"/>
              <w:ind w:right="284"/>
              <w:rPr>
                <w:rFonts w:asciiTheme="minorHAnsi" w:hAnsiTheme="minorHAnsi" w:cstheme="minorHAnsi"/>
                <w:sz w:val="20"/>
              </w:rPr>
            </w:pPr>
            <w:r>
              <w:rPr>
                <w:rFonts w:asciiTheme="minorHAnsi" w:hAnsiTheme="minorHAnsi" w:cstheme="minorHAnsi"/>
                <w:sz w:val="20"/>
              </w:rPr>
              <w:t>35</w:t>
            </w:r>
          </w:p>
        </w:tc>
        <w:tc>
          <w:tcPr>
            <w:tcW w:w="1590" w:type="pct"/>
            <w:vAlign w:val="center"/>
          </w:tcPr>
          <w:p w:rsidR="00940DAB" w:rsidRPr="002C5CF7" w:rsidRDefault="00940DAB" w:rsidP="008B6453">
            <w:pPr>
              <w:pStyle w:val="BSATableNumber"/>
              <w:ind w:right="284"/>
              <w:rPr>
                <w:rFonts w:asciiTheme="minorHAnsi" w:hAnsiTheme="minorHAnsi" w:cstheme="minorHAnsi"/>
                <w:sz w:val="20"/>
              </w:rPr>
            </w:pPr>
            <w:r w:rsidRPr="002C5CF7">
              <w:rPr>
                <w:rFonts w:asciiTheme="minorHAnsi" w:hAnsiTheme="minorHAnsi" w:cstheme="minorHAnsi"/>
                <w:sz w:val="20"/>
              </w:rPr>
              <w:t>39</w:t>
            </w:r>
          </w:p>
        </w:tc>
      </w:tr>
      <w:tr w:rsidR="00940DAB" w:rsidRPr="00E863E5" w:rsidTr="008B6453">
        <w:trPr>
          <w:trHeight w:val="300"/>
        </w:trPr>
        <w:tc>
          <w:tcPr>
            <w:tcW w:w="1755" w:type="pct"/>
            <w:vAlign w:val="center"/>
          </w:tcPr>
          <w:p w:rsidR="00940DAB" w:rsidRPr="002C5CF7" w:rsidRDefault="00940DAB" w:rsidP="008B6453">
            <w:pPr>
              <w:keepNext/>
              <w:spacing w:after="0" w:line="240" w:lineRule="auto"/>
              <w:rPr>
                <w:rFonts w:cstheme="minorHAnsi"/>
                <w:color w:val="000000"/>
                <w:sz w:val="20"/>
                <w:szCs w:val="20"/>
              </w:rPr>
            </w:pPr>
            <w:r w:rsidRPr="002C5CF7">
              <w:rPr>
                <w:rFonts w:cstheme="minorHAnsi"/>
                <w:color w:val="000000"/>
                <w:sz w:val="20"/>
                <w:szCs w:val="20"/>
              </w:rPr>
              <w:t>2-4 times a month</w:t>
            </w:r>
          </w:p>
        </w:tc>
        <w:tc>
          <w:tcPr>
            <w:tcW w:w="1655" w:type="pct"/>
            <w:vAlign w:val="center"/>
          </w:tcPr>
          <w:p w:rsidR="00940DAB" w:rsidRPr="002C5CF7" w:rsidRDefault="00940DAB" w:rsidP="008B6453">
            <w:pPr>
              <w:pStyle w:val="BSATableNumber"/>
              <w:ind w:right="284"/>
              <w:rPr>
                <w:rFonts w:asciiTheme="minorHAnsi" w:hAnsiTheme="minorHAnsi" w:cstheme="minorHAnsi"/>
                <w:sz w:val="20"/>
              </w:rPr>
            </w:pPr>
            <w:r>
              <w:rPr>
                <w:rFonts w:asciiTheme="minorHAnsi" w:hAnsiTheme="minorHAnsi" w:cstheme="minorHAnsi"/>
                <w:sz w:val="20"/>
              </w:rPr>
              <w:t>28</w:t>
            </w:r>
          </w:p>
        </w:tc>
        <w:tc>
          <w:tcPr>
            <w:tcW w:w="1590" w:type="pct"/>
            <w:vAlign w:val="center"/>
          </w:tcPr>
          <w:p w:rsidR="00940DAB" w:rsidRPr="002C5CF7" w:rsidRDefault="00940DAB" w:rsidP="008B6453">
            <w:pPr>
              <w:pStyle w:val="BSATableNumber"/>
              <w:ind w:right="284"/>
              <w:rPr>
                <w:rFonts w:asciiTheme="minorHAnsi" w:hAnsiTheme="minorHAnsi" w:cstheme="minorHAnsi"/>
                <w:sz w:val="20"/>
              </w:rPr>
            </w:pPr>
            <w:r w:rsidRPr="002C5CF7">
              <w:rPr>
                <w:rFonts w:asciiTheme="minorHAnsi" w:hAnsiTheme="minorHAnsi" w:cstheme="minorHAnsi"/>
                <w:sz w:val="20"/>
              </w:rPr>
              <w:t>27</w:t>
            </w:r>
          </w:p>
        </w:tc>
      </w:tr>
      <w:tr w:rsidR="00940DAB" w:rsidRPr="00E863E5" w:rsidTr="008B6453">
        <w:trPr>
          <w:trHeight w:val="300"/>
        </w:trPr>
        <w:tc>
          <w:tcPr>
            <w:tcW w:w="1755" w:type="pct"/>
            <w:vAlign w:val="center"/>
          </w:tcPr>
          <w:p w:rsidR="00940DAB" w:rsidRPr="002C5CF7" w:rsidRDefault="00940DAB" w:rsidP="008B6453">
            <w:pPr>
              <w:keepNext/>
              <w:spacing w:after="0" w:line="240" w:lineRule="auto"/>
              <w:rPr>
                <w:rFonts w:cstheme="minorHAnsi"/>
                <w:color w:val="000000"/>
                <w:sz w:val="20"/>
                <w:szCs w:val="20"/>
              </w:rPr>
            </w:pPr>
            <w:r w:rsidRPr="002C5CF7">
              <w:rPr>
                <w:rFonts w:cstheme="minorHAnsi"/>
                <w:color w:val="000000"/>
                <w:sz w:val="20"/>
                <w:szCs w:val="20"/>
              </w:rPr>
              <w:t>At least 2-3 times a week</w:t>
            </w:r>
          </w:p>
        </w:tc>
        <w:tc>
          <w:tcPr>
            <w:tcW w:w="1655" w:type="pct"/>
            <w:vAlign w:val="center"/>
          </w:tcPr>
          <w:p w:rsidR="00940DAB" w:rsidRPr="002C5CF7" w:rsidRDefault="00940DAB" w:rsidP="008B6453">
            <w:pPr>
              <w:pStyle w:val="BSATableNumber"/>
              <w:ind w:right="284"/>
              <w:rPr>
                <w:rFonts w:asciiTheme="minorHAnsi" w:hAnsiTheme="minorHAnsi" w:cstheme="minorHAnsi"/>
                <w:sz w:val="20"/>
              </w:rPr>
            </w:pPr>
            <w:r>
              <w:rPr>
                <w:rFonts w:asciiTheme="minorHAnsi" w:hAnsiTheme="minorHAnsi" w:cstheme="minorHAnsi"/>
                <w:sz w:val="20"/>
              </w:rPr>
              <w:t>17</w:t>
            </w:r>
          </w:p>
        </w:tc>
        <w:tc>
          <w:tcPr>
            <w:tcW w:w="1590" w:type="pct"/>
            <w:vAlign w:val="center"/>
          </w:tcPr>
          <w:p w:rsidR="00940DAB" w:rsidRPr="002C5CF7" w:rsidRDefault="00940DAB" w:rsidP="008B6453">
            <w:pPr>
              <w:pStyle w:val="BSATableNumber"/>
              <w:ind w:right="284"/>
              <w:rPr>
                <w:rFonts w:asciiTheme="minorHAnsi" w:hAnsiTheme="minorHAnsi" w:cstheme="minorHAnsi"/>
                <w:sz w:val="20"/>
              </w:rPr>
            </w:pPr>
            <w:r w:rsidRPr="002C5CF7">
              <w:rPr>
                <w:rFonts w:asciiTheme="minorHAnsi" w:hAnsiTheme="minorHAnsi" w:cstheme="minorHAnsi"/>
                <w:sz w:val="20"/>
              </w:rPr>
              <w:t>13</w:t>
            </w:r>
          </w:p>
        </w:tc>
      </w:tr>
      <w:tr w:rsidR="00940DAB" w:rsidRPr="00E863E5" w:rsidTr="008B6453">
        <w:trPr>
          <w:trHeight w:val="300"/>
        </w:trPr>
        <w:tc>
          <w:tcPr>
            <w:tcW w:w="1755" w:type="pct"/>
            <w:tcBorders>
              <w:top w:val="single" w:sz="4" w:space="0" w:color="auto"/>
              <w:bottom w:val="nil"/>
            </w:tcBorders>
            <w:vAlign w:val="center"/>
          </w:tcPr>
          <w:p w:rsidR="00940DAB" w:rsidRPr="002C5CF7" w:rsidRDefault="00940DAB" w:rsidP="008B6453">
            <w:pPr>
              <w:keepNext/>
              <w:spacing w:after="0" w:line="240" w:lineRule="auto"/>
              <w:rPr>
                <w:rFonts w:cstheme="minorHAnsi"/>
                <w:i/>
                <w:color w:val="000000"/>
                <w:sz w:val="20"/>
                <w:szCs w:val="20"/>
              </w:rPr>
            </w:pPr>
            <w:r w:rsidRPr="002C5CF7">
              <w:rPr>
                <w:rFonts w:cstheme="minorHAnsi"/>
                <w:i/>
                <w:color w:val="000000"/>
                <w:sz w:val="20"/>
                <w:szCs w:val="20"/>
              </w:rPr>
              <w:t>Weighted base</w:t>
            </w:r>
            <w:r>
              <w:rPr>
                <w:rFonts w:cstheme="minorHAnsi"/>
                <w:i/>
                <w:color w:val="000000"/>
                <w:sz w:val="20"/>
                <w:szCs w:val="20"/>
              </w:rPr>
              <w:t>s</w:t>
            </w:r>
          </w:p>
        </w:tc>
        <w:tc>
          <w:tcPr>
            <w:tcW w:w="1655" w:type="pct"/>
            <w:tcBorders>
              <w:top w:val="single" w:sz="4" w:space="0" w:color="auto"/>
              <w:bottom w:val="nil"/>
            </w:tcBorders>
            <w:vAlign w:val="center"/>
          </w:tcPr>
          <w:p w:rsidR="00940DAB" w:rsidRPr="002C5CF7" w:rsidRDefault="00940DAB" w:rsidP="008B6453">
            <w:pPr>
              <w:pStyle w:val="BSATableNumber"/>
              <w:ind w:right="284"/>
              <w:rPr>
                <w:rFonts w:asciiTheme="minorHAnsi" w:hAnsiTheme="minorHAnsi" w:cstheme="minorHAnsi"/>
                <w:i/>
                <w:sz w:val="20"/>
              </w:rPr>
            </w:pPr>
            <w:r>
              <w:rPr>
                <w:rFonts w:asciiTheme="minorHAnsi" w:hAnsiTheme="minorHAnsi" w:cstheme="minorHAnsi"/>
                <w:i/>
                <w:sz w:val="20"/>
              </w:rPr>
              <w:t>470</w:t>
            </w:r>
          </w:p>
        </w:tc>
        <w:tc>
          <w:tcPr>
            <w:tcW w:w="1590" w:type="pct"/>
            <w:tcBorders>
              <w:top w:val="single" w:sz="4" w:space="0" w:color="auto"/>
              <w:bottom w:val="nil"/>
            </w:tcBorders>
            <w:vAlign w:val="center"/>
          </w:tcPr>
          <w:p w:rsidR="00940DAB" w:rsidRPr="002C5CF7" w:rsidRDefault="00940DAB" w:rsidP="008B6453">
            <w:pPr>
              <w:pStyle w:val="BSATableNumber"/>
              <w:ind w:right="284"/>
              <w:rPr>
                <w:rFonts w:asciiTheme="minorHAnsi" w:hAnsiTheme="minorHAnsi" w:cstheme="minorHAnsi"/>
                <w:i/>
                <w:sz w:val="20"/>
              </w:rPr>
            </w:pPr>
            <w:r>
              <w:rPr>
                <w:rFonts w:asciiTheme="minorHAnsi" w:hAnsiTheme="minorHAnsi" w:cstheme="minorHAnsi"/>
                <w:i/>
                <w:sz w:val="20"/>
              </w:rPr>
              <w:t>6018</w:t>
            </w:r>
          </w:p>
        </w:tc>
      </w:tr>
      <w:tr w:rsidR="00940DAB" w:rsidRPr="00E863E5" w:rsidTr="008B6453">
        <w:trPr>
          <w:trHeight w:val="300"/>
        </w:trPr>
        <w:tc>
          <w:tcPr>
            <w:tcW w:w="1755" w:type="pct"/>
            <w:tcBorders>
              <w:top w:val="nil"/>
              <w:bottom w:val="single" w:sz="12" w:space="0" w:color="auto"/>
            </w:tcBorders>
            <w:vAlign w:val="center"/>
          </w:tcPr>
          <w:p w:rsidR="00940DAB" w:rsidRPr="002C5CF7" w:rsidRDefault="00940DAB" w:rsidP="008B6453">
            <w:pPr>
              <w:keepNext/>
              <w:spacing w:after="0" w:line="240" w:lineRule="auto"/>
              <w:rPr>
                <w:rFonts w:cstheme="minorHAnsi"/>
                <w:i/>
                <w:color w:val="000000"/>
                <w:sz w:val="20"/>
                <w:szCs w:val="20"/>
              </w:rPr>
            </w:pPr>
            <w:r>
              <w:rPr>
                <w:rFonts w:cstheme="minorHAnsi"/>
                <w:i/>
                <w:color w:val="000000"/>
                <w:sz w:val="20"/>
                <w:szCs w:val="20"/>
              </w:rPr>
              <w:t>Unweighted bases</w:t>
            </w:r>
          </w:p>
        </w:tc>
        <w:tc>
          <w:tcPr>
            <w:tcW w:w="1655" w:type="pct"/>
            <w:tcBorders>
              <w:top w:val="nil"/>
              <w:bottom w:val="single" w:sz="12" w:space="0" w:color="auto"/>
            </w:tcBorders>
            <w:vAlign w:val="center"/>
          </w:tcPr>
          <w:p w:rsidR="00940DAB" w:rsidRPr="002C5CF7" w:rsidRDefault="00940DAB" w:rsidP="008B6453">
            <w:pPr>
              <w:pStyle w:val="BSATableNumber"/>
              <w:ind w:right="284"/>
              <w:rPr>
                <w:rFonts w:asciiTheme="minorHAnsi" w:hAnsiTheme="minorHAnsi" w:cstheme="minorHAnsi"/>
                <w:i/>
                <w:sz w:val="20"/>
              </w:rPr>
            </w:pPr>
            <w:r>
              <w:rPr>
                <w:rFonts w:asciiTheme="minorHAnsi" w:hAnsiTheme="minorHAnsi" w:cstheme="minorHAnsi"/>
                <w:i/>
                <w:sz w:val="20"/>
              </w:rPr>
              <w:t>470</w:t>
            </w:r>
          </w:p>
        </w:tc>
        <w:tc>
          <w:tcPr>
            <w:tcW w:w="1590" w:type="pct"/>
            <w:tcBorders>
              <w:top w:val="nil"/>
              <w:bottom w:val="single" w:sz="12" w:space="0" w:color="auto"/>
            </w:tcBorders>
            <w:vAlign w:val="center"/>
          </w:tcPr>
          <w:p w:rsidR="00940DAB" w:rsidRPr="002C5CF7" w:rsidRDefault="00940DAB" w:rsidP="008B6453">
            <w:pPr>
              <w:pStyle w:val="BSATableNumber"/>
              <w:ind w:right="284"/>
              <w:rPr>
                <w:rFonts w:asciiTheme="minorHAnsi" w:hAnsiTheme="minorHAnsi" w:cstheme="minorHAnsi"/>
                <w:i/>
                <w:sz w:val="20"/>
              </w:rPr>
            </w:pPr>
            <w:r>
              <w:rPr>
                <w:rFonts w:asciiTheme="minorHAnsi" w:hAnsiTheme="minorHAnsi" w:cstheme="minorHAnsi"/>
                <w:i/>
                <w:sz w:val="20"/>
              </w:rPr>
              <w:t>6023</w:t>
            </w:r>
          </w:p>
        </w:tc>
      </w:tr>
    </w:tbl>
    <w:p w:rsidR="00940DAB" w:rsidRPr="00A018E9" w:rsidRDefault="00940DAB" w:rsidP="00940DAB">
      <w:pPr>
        <w:pStyle w:val="BodyCopy"/>
        <w:spacing w:after="200" w:line="276" w:lineRule="auto"/>
        <w:rPr>
          <w:i/>
          <w:sz w:val="18"/>
          <w:szCs w:val="18"/>
        </w:rPr>
      </w:pPr>
      <w:r w:rsidRPr="00A018E9">
        <w:rPr>
          <w:i/>
          <w:sz w:val="18"/>
          <w:szCs w:val="18"/>
        </w:rPr>
        <w:t xml:space="preserve">Source: RCS </w:t>
      </w:r>
      <w:r>
        <w:rPr>
          <w:i/>
          <w:sz w:val="18"/>
          <w:szCs w:val="18"/>
        </w:rPr>
        <w:t>parent survey, Falkirk 2017, Growing Up in Scotland 2011</w:t>
      </w:r>
    </w:p>
    <w:p w:rsidR="00940DAB" w:rsidRDefault="00940DAB" w:rsidP="00940DAB">
      <w:pPr>
        <w:spacing w:before="240"/>
        <w:jc w:val="both"/>
      </w:pPr>
      <w:r w:rsidRPr="0078153C">
        <w:rPr>
          <w:rFonts w:ascii="Arial" w:hAnsi="Arial" w:cs="Arial"/>
          <w:color w:val="000000"/>
          <w:szCs w:val="18"/>
        </w:rPr>
        <w:t xml:space="preserve">Alcohol use among </w:t>
      </w:r>
      <w:r w:rsidRPr="000344A4">
        <w:rPr>
          <w:rFonts w:ascii="Arial" w:hAnsi="Arial" w:cs="Arial"/>
          <w:szCs w:val="18"/>
        </w:rPr>
        <w:t xml:space="preserve">respondents in </w:t>
      </w:r>
      <w:r w:rsidRPr="0007430B">
        <w:t>Falkirk</w:t>
      </w:r>
      <w:r w:rsidRPr="0078153C">
        <w:rPr>
          <w:rFonts w:ascii="Arial" w:hAnsi="Arial" w:cs="Arial"/>
          <w:szCs w:val="18"/>
        </w:rPr>
        <w:t xml:space="preserve"> varied by </w:t>
      </w:r>
      <w:r>
        <w:rPr>
          <w:rFonts w:ascii="Arial" w:hAnsi="Arial" w:cs="Arial"/>
          <w:szCs w:val="18"/>
        </w:rPr>
        <w:t>area deprivation</w:t>
      </w:r>
      <w:r w:rsidRPr="0078153C">
        <w:rPr>
          <w:rFonts w:ascii="Arial" w:hAnsi="Arial" w:cs="Arial"/>
          <w:szCs w:val="18"/>
        </w:rPr>
        <w:t xml:space="preserve">, with </w:t>
      </w:r>
      <w:r w:rsidRPr="000344A4">
        <w:t>those living in the</w:t>
      </w:r>
      <w:r w:rsidRPr="0078153C">
        <w:t xml:space="preserve"> two mo</w:t>
      </w:r>
      <w:r>
        <w:t>st</w:t>
      </w:r>
      <w:r w:rsidRPr="0078153C">
        <w:t xml:space="preserve"> deprived quintiles (25%) more likely to say they never drink alcohol than those in the three le</w:t>
      </w:r>
      <w:r>
        <w:t>ast</w:t>
      </w:r>
      <w:r w:rsidRPr="0078153C">
        <w:t xml:space="preserve"> deprived quintiles (17%).</w:t>
      </w:r>
      <w:r w:rsidRPr="00E3154C">
        <w:t xml:space="preserve"> </w:t>
      </w:r>
    </w:p>
    <w:p w:rsidR="00C350A8" w:rsidRDefault="00C350A8" w:rsidP="00C350A8">
      <w:pPr>
        <w:spacing w:before="240"/>
      </w:pPr>
      <w:r w:rsidRPr="00993B8C">
        <w:t>The AUDIT-C is a brief indicator of risky drinking derived from the Alcohol Use Disorders Identification Test, developed by the World Health Organisation</w:t>
      </w:r>
      <w:r>
        <w:t>.</w:t>
      </w:r>
      <w:r w:rsidRPr="00993B8C">
        <w:rPr>
          <w:rStyle w:val="EndnoteReference"/>
        </w:rPr>
        <w:endnoteReference w:id="55"/>
      </w:r>
      <w:r w:rsidRPr="00C84711">
        <w:rPr>
          <w:sz w:val="18"/>
        </w:rPr>
        <w:t xml:space="preserve"> </w:t>
      </w:r>
      <w:r>
        <w:t>Data from questions concerning their alcohol consumption were combined to produce an AUDIT-C score</w:t>
      </w:r>
      <w:r>
        <w:rPr>
          <w:rStyle w:val="EndnoteReference"/>
        </w:rPr>
        <w:endnoteReference w:id="56"/>
      </w:r>
      <w:r>
        <w:t xml:space="preserve"> for each respondent</w:t>
      </w:r>
      <w:r w:rsidR="004D0E0D">
        <w:t>.</w:t>
      </w:r>
      <w:r>
        <w:t xml:space="preserve"> </w:t>
      </w:r>
    </w:p>
    <w:p w:rsidR="00C350A8" w:rsidRDefault="00C350A8" w:rsidP="00C350A8">
      <w:pPr>
        <w:spacing w:before="240"/>
      </w:pPr>
      <w:r>
        <w:t>Half of all parents (50%) in Falkirk fell into the category of ‘risky drinkers’ on the basis of their AUDIT-C scores</w:t>
      </w:r>
      <w:r w:rsidR="004D0E0D">
        <w:t>. ‘Risky drinking’</w:t>
      </w:r>
      <w:r>
        <w:t xml:space="preserve"> is defined as increasing or higher risk drinking (relating to how much and how often alcohol is consumed)</w:t>
      </w:r>
      <w:r w:rsidR="002D11FD">
        <w:t>. This is</w:t>
      </w:r>
      <w:r w:rsidR="004D0E0D">
        <w:t xml:space="preserve"> equivalent to drinking two or more glasses of wine at least twice a week for women, and slightly more for men. The proportion of risky drinkers in Falkirk is similar to that found nationally using data from GUS.</w:t>
      </w:r>
    </w:p>
    <w:p w:rsidR="00940DAB" w:rsidRPr="000E6077" w:rsidRDefault="00940DAB" w:rsidP="00940DAB">
      <w:pPr>
        <w:spacing w:before="240"/>
        <w:rPr>
          <w:b/>
          <w:i/>
          <w:sz w:val="24"/>
        </w:rPr>
      </w:pPr>
      <w:r w:rsidRPr="00D80CD2">
        <w:rPr>
          <w:b/>
          <w:i/>
          <w:sz w:val="24"/>
        </w:rPr>
        <w:t>Smoking</w:t>
      </w:r>
    </w:p>
    <w:p w:rsidR="00940DAB" w:rsidRDefault="00940DAB" w:rsidP="00940DAB">
      <w:pPr>
        <w:spacing w:before="240"/>
      </w:pPr>
      <w:r>
        <w:t>Around one in five (19%)</w:t>
      </w:r>
      <w:r w:rsidRPr="000E6077">
        <w:t xml:space="preserve"> parents and carers reported being current </w:t>
      </w:r>
      <w:r w:rsidRPr="009A0FD9">
        <w:t>smokers. (This compares to 21% of the whole Scottish adult population, using a similar – though not identical – measure from the Scottish Health Survey data). Of</w:t>
      </w:r>
      <w:r>
        <w:t xml:space="preserve"> those who were current smokers, 14% smoked </w:t>
      </w:r>
      <w:r w:rsidR="00D80CD2">
        <w:t>fewer</w:t>
      </w:r>
      <w:r>
        <w:t xml:space="preserve"> than five cigarettes per day, 16% smoked between five and nine cigarettes per day, 40% smoked between 10 and 14 cigarettes per day, and 16% smoked between 15 and 19 cigarettes per day. A further 14% of respondents reported smoking at least 20 cigarettes per day.</w:t>
      </w:r>
    </w:p>
    <w:p w:rsidR="00940DAB" w:rsidRPr="00C954A8" w:rsidRDefault="00940DAB" w:rsidP="00940DAB">
      <w:pPr>
        <w:spacing w:before="240"/>
      </w:pPr>
      <w:r>
        <w:t xml:space="preserve">As was seen in relation to pupil exposure to second-hand smoke </w:t>
      </w:r>
      <w:r w:rsidRPr="00363701">
        <w:t xml:space="preserve">(see pages </w:t>
      </w:r>
      <w:r w:rsidRPr="00F066ED">
        <w:t>2</w:t>
      </w:r>
      <w:r w:rsidR="00F066ED" w:rsidRPr="00F066ED">
        <w:t>6</w:t>
      </w:r>
      <w:r w:rsidRPr="00F066ED">
        <w:t xml:space="preserve">, </w:t>
      </w:r>
      <w:r w:rsidR="00F066ED" w:rsidRPr="00F066ED">
        <w:t>59</w:t>
      </w:r>
      <w:r w:rsidRPr="00F066ED">
        <w:t>), area</w:t>
      </w:r>
      <w:r>
        <w:t xml:space="preserve"> deprivation was a key predictor here: parental smoking rates were more than twice as high in the two most deprived quintiles (28%) as in the three least deprived (11%).</w:t>
      </w:r>
      <w:r>
        <w:rPr>
          <w:noProof/>
          <w:lang w:eastAsia="en-GB"/>
        </w:rPr>
        <w:lastRenderedPageBreak/>
        <w:drawing>
          <wp:inline distT="0" distB="0" distL="0" distR="0" wp14:anchorId="78E9680B" wp14:editId="2D49650F">
            <wp:extent cx="49911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0E6077" w:rsidRDefault="00940DAB" w:rsidP="00940DAB">
      <w:pPr>
        <w:keepNext/>
        <w:spacing w:before="240"/>
        <w:rPr>
          <w:b/>
          <w:i/>
          <w:sz w:val="24"/>
        </w:rPr>
      </w:pPr>
      <w:r w:rsidRPr="000E6077">
        <w:rPr>
          <w:b/>
          <w:i/>
          <w:sz w:val="24"/>
        </w:rPr>
        <w:t>Drug use</w:t>
      </w:r>
    </w:p>
    <w:p w:rsidR="00940DAB" w:rsidRPr="0006160D" w:rsidRDefault="00940DAB" w:rsidP="00940DAB">
      <w:pPr>
        <w:spacing w:before="240"/>
      </w:pPr>
      <w:r w:rsidRPr="009A0FD9">
        <w:t xml:space="preserve">Levels of reported parental drug use were low. Overall, 2% of parents reported having used cannabis at some point since their child was born, </w:t>
      </w:r>
      <w:r w:rsidR="00D80CD2">
        <w:t xml:space="preserve">less than </w:t>
      </w:r>
      <w:r w:rsidRPr="009A0FD9">
        <w:t xml:space="preserve">1% reported using cocaine or crack cocaine, and none said they had used either heroine or ‘other drugs’. A similar question was asked on Growing Up in Scotland (2013) of parents of children aged 10 months old which </w:t>
      </w:r>
      <w:r w:rsidR="00D80CD2">
        <w:t xml:space="preserve">showed </w:t>
      </w:r>
      <w:r w:rsidRPr="009A0FD9">
        <w:t xml:space="preserve">levels of drug use since their child was born as 2% usage </w:t>
      </w:r>
      <w:r w:rsidR="00D80CD2">
        <w:t>for</w:t>
      </w:r>
      <w:r w:rsidRPr="009A0FD9">
        <w:t xml:space="preserve"> cannabis, and less than 1% for crack, cocaine, heroin and methadone.</w:t>
      </w:r>
      <w:r w:rsidRPr="009A0FD9">
        <w:rPr>
          <w:vertAlign w:val="superscript"/>
        </w:rPr>
        <w:endnoteReference w:id="57"/>
      </w:r>
      <w:r w:rsidRPr="009A0FD9">
        <w:t xml:space="preserve"> In both surveys, the gender profile of the achieved sample may be a factor as rates of drug use may vary between male and female parents.</w:t>
      </w:r>
    </w:p>
    <w:p w:rsidR="00940DAB" w:rsidRDefault="00940DAB" w:rsidP="00940DAB">
      <w:pPr>
        <w:pStyle w:val="Heading3"/>
        <w:numPr>
          <w:ilvl w:val="0"/>
          <w:numId w:val="0"/>
        </w:numPr>
        <w:spacing w:line="276" w:lineRule="auto"/>
        <w:ind w:left="851" w:hanging="851"/>
      </w:pPr>
      <w:bookmarkStart w:id="205" w:name="_Toc492045524"/>
      <w:bookmarkStart w:id="206" w:name="_Toc494182115"/>
      <w:r w:rsidRPr="00D3179B">
        <w:t>Parent-child relationship (Nurtured)</w:t>
      </w:r>
      <w:bookmarkEnd w:id="205"/>
      <w:bookmarkEnd w:id="206"/>
    </w:p>
    <w:p w:rsidR="00940DAB" w:rsidRPr="000E6077" w:rsidRDefault="00940DAB" w:rsidP="00940DAB">
      <w:pPr>
        <w:spacing w:before="240"/>
        <w:rPr>
          <w:b/>
          <w:i/>
          <w:sz w:val="24"/>
        </w:rPr>
      </w:pPr>
      <w:r w:rsidRPr="000E6077">
        <w:rPr>
          <w:b/>
          <w:i/>
          <w:sz w:val="24"/>
        </w:rPr>
        <w:t>Attachment</w:t>
      </w:r>
    </w:p>
    <w:p w:rsidR="00940DAB" w:rsidRPr="000E6077" w:rsidRDefault="00940DAB" w:rsidP="00940DAB">
      <w:pPr>
        <w:spacing w:before="240"/>
      </w:pPr>
      <w:r w:rsidRPr="000E6077">
        <w:t xml:space="preserve">Evidence </w:t>
      </w:r>
      <w:r w:rsidR="002D11FD">
        <w:t>from Health Scotland has shown</w:t>
      </w:r>
      <w:r w:rsidRPr="000E6077">
        <w:t xml:space="preserve"> links between a child’s attachment style to their parents and later social and emotional outcomes</w:t>
      </w:r>
      <w:r>
        <w:t>,</w:t>
      </w:r>
      <w:r w:rsidRPr="000E6077">
        <w:rPr>
          <w:rStyle w:val="EndnoteReference"/>
        </w:rPr>
        <w:endnoteReference w:id="58"/>
      </w:r>
      <w:r w:rsidRPr="000E6077">
        <w:t xml:space="preserve"> including </w:t>
      </w:r>
      <w:r w:rsidR="002D11FD">
        <w:t xml:space="preserve">associations with a </w:t>
      </w:r>
      <w:r w:rsidRPr="000E6077">
        <w:t>relative improvement in cognitive ability between ages 3 and 5</w:t>
      </w:r>
      <w:r>
        <w:t>.</w:t>
      </w:r>
      <w:r w:rsidRPr="000E6077">
        <w:rPr>
          <w:rStyle w:val="EndnoteReference"/>
        </w:rPr>
        <w:endnoteReference w:id="59"/>
      </w:r>
      <w:r w:rsidRPr="000E6077">
        <w:t xml:space="preserve"> </w:t>
      </w:r>
    </w:p>
    <w:p w:rsidR="00802F1F" w:rsidRDefault="00940DAB" w:rsidP="00940DAB">
      <w:pPr>
        <w:spacing w:before="240"/>
      </w:pPr>
      <w:r w:rsidRPr="000E6077">
        <w:t xml:space="preserve">Parents and carers with a child aged between 0 and 2 years were asked a series of nine questions </w:t>
      </w:r>
      <w:r w:rsidR="001A5576">
        <w:t xml:space="preserve">about </w:t>
      </w:r>
      <w:r w:rsidRPr="000E6077">
        <w:t>the quality of the</w:t>
      </w:r>
      <w:r w:rsidR="001A5576">
        <w:t>ir</w:t>
      </w:r>
      <w:r w:rsidRPr="000E6077">
        <w:t xml:space="preserve"> relationship </w:t>
      </w:r>
      <w:r w:rsidR="001A5576">
        <w:t xml:space="preserve">with </w:t>
      </w:r>
      <w:r w:rsidRPr="000E6077">
        <w:t xml:space="preserve">their child. Data from these questions were combined to produce a score for each respondent of between 22 and 37 based upon Condon and </w:t>
      </w:r>
      <w:proofErr w:type="spellStart"/>
      <w:r w:rsidRPr="000E6077">
        <w:t>Corkindale’s</w:t>
      </w:r>
      <w:proofErr w:type="spellEnd"/>
      <w:r w:rsidRPr="000E6077">
        <w:t xml:space="preserve"> Parent-Infant Attachment scale (MPAS)</w:t>
      </w:r>
      <w:r>
        <w:t>.</w:t>
      </w:r>
      <w:r w:rsidRPr="000E6077">
        <w:rPr>
          <w:rStyle w:val="EndnoteReference"/>
        </w:rPr>
        <w:endnoteReference w:id="60"/>
      </w:r>
      <w:r w:rsidRPr="000E6077">
        <w:t xml:space="preserve"> </w:t>
      </w:r>
    </w:p>
    <w:p w:rsidR="00802F1F" w:rsidRDefault="00802F1F" w:rsidP="00940DAB">
      <w:pPr>
        <w:spacing w:before="240"/>
      </w:pPr>
      <w:r>
        <w:t xml:space="preserve">A third (33%) of parents scored 36 or 37 on the scale, by reporting strong feelings of attachment in response to all or nearly all of the questions. These were recorded as demonstrating higher levels of attachment. The remaining two-thirds (67%) were recorded as having lower levels of attachment, but it </w:t>
      </w:r>
      <w:r>
        <w:lastRenderedPageBreak/>
        <w:t>should be recognised that this is only in relation to those scoring very highly, and most of these are likely to have a good relationship with their child.</w:t>
      </w:r>
    </w:p>
    <w:p w:rsidR="00940DAB" w:rsidRPr="00E52C06" w:rsidRDefault="00940DAB" w:rsidP="00940DAB">
      <w:pPr>
        <w:spacing w:before="240"/>
        <w:rPr>
          <w:b/>
          <w:i/>
          <w:sz w:val="24"/>
        </w:rPr>
      </w:pPr>
      <w:r w:rsidRPr="000E6077">
        <w:rPr>
          <w:b/>
          <w:i/>
          <w:sz w:val="24"/>
        </w:rPr>
        <w:t xml:space="preserve">Parental </w:t>
      </w:r>
      <w:r w:rsidRPr="00E52C06">
        <w:rPr>
          <w:b/>
          <w:i/>
          <w:sz w:val="24"/>
        </w:rPr>
        <w:t>warmth and conflict</w:t>
      </w:r>
      <w:r>
        <w:rPr>
          <w:b/>
          <w:i/>
          <w:sz w:val="24"/>
        </w:rPr>
        <w:t xml:space="preserve"> </w:t>
      </w:r>
    </w:p>
    <w:p w:rsidR="00940DAB" w:rsidRPr="00CF1575" w:rsidRDefault="00940DAB" w:rsidP="00940DAB">
      <w:pPr>
        <w:spacing w:before="240"/>
        <w:rPr>
          <w:rFonts w:asciiTheme="majorHAnsi" w:hAnsiTheme="majorHAnsi" w:cstheme="majorHAnsi"/>
        </w:rPr>
      </w:pPr>
      <w:r>
        <w:t>Parents and carers with a child aged between 3 and 8 years were asked a</w:t>
      </w:r>
      <w:r w:rsidR="006A7860">
        <w:t xml:space="preserve"> separate set </w:t>
      </w:r>
      <w:r>
        <w:t>of 15 questions</w:t>
      </w:r>
      <w:r w:rsidR="006A7860">
        <w:t xml:space="preserve"> from the </w:t>
      </w:r>
      <w:proofErr w:type="spellStart"/>
      <w:r w:rsidR="006A7860">
        <w:t>Pianta</w:t>
      </w:r>
      <w:proofErr w:type="spellEnd"/>
      <w:r w:rsidR="006A7860">
        <w:t xml:space="preserve"> scale</w:t>
      </w:r>
      <w:r w:rsidR="006A7860">
        <w:rPr>
          <w:rStyle w:val="EndnoteReference"/>
        </w:rPr>
        <w:endnoteReference w:id="61"/>
      </w:r>
      <w:r w:rsidR="006A7860">
        <w:t xml:space="preserve"> about </w:t>
      </w:r>
      <w:r>
        <w:t>the quality of the</w:t>
      </w:r>
      <w:r w:rsidR="006A7860">
        <w:t>ir</w:t>
      </w:r>
      <w:r>
        <w:t xml:space="preserve"> relationship </w:t>
      </w:r>
      <w:r w:rsidR="006A7860">
        <w:t xml:space="preserve">with </w:t>
      </w:r>
      <w:r>
        <w:t xml:space="preserve">their child. Data from these questions produce two summary measures – one indicating the level of parent-child warmth and one measuring parent-child </w:t>
      </w:r>
      <w:r>
        <w:rPr>
          <w:rFonts w:asciiTheme="majorHAnsi" w:hAnsiTheme="majorHAnsi" w:cstheme="majorHAnsi"/>
        </w:rPr>
        <w:t>conflict (as on GUS</w:t>
      </w:r>
      <w:r>
        <w:rPr>
          <w:rStyle w:val="EndnoteReference"/>
          <w:rFonts w:asciiTheme="majorHAnsi" w:hAnsiTheme="majorHAnsi" w:cstheme="majorHAnsi"/>
        </w:rPr>
        <w:endnoteReference w:id="62"/>
      </w:r>
      <w:r>
        <w:rPr>
          <w:rFonts w:asciiTheme="majorHAnsi" w:hAnsiTheme="majorHAnsi" w:cstheme="majorHAnsi"/>
        </w:rPr>
        <w:t>).</w:t>
      </w:r>
      <w:r w:rsidRPr="00CF1575">
        <w:rPr>
          <w:rFonts w:asciiTheme="majorHAnsi" w:hAnsiTheme="majorHAnsi" w:cstheme="majorHAnsi"/>
        </w:rPr>
        <w:t xml:space="preserve"> </w:t>
      </w:r>
    </w:p>
    <w:p w:rsidR="00940DAB" w:rsidRDefault="00940DAB" w:rsidP="00940DAB">
      <w:pPr>
        <w:pStyle w:val="NormalWeb"/>
        <w:rPr>
          <w:rFonts w:asciiTheme="majorHAnsi" w:hAnsiTheme="majorHAnsi" w:cstheme="majorHAnsi"/>
          <w:sz w:val="22"/>
          <w:szCs w:val="22"/>
        </w:rPr>
      </w:pPr>
      <w:r>
        <w:rPr>
          <w:rFonts w:asciiTheme="majorHAnsi" w:hAnsiTheme="majorHAnsi" w:cstheme="majorHAnsi"/>
          <w:sz w:val="22"/>
          <w:szCs w:val="22"/>
        </w:rPr>
        <w:t>Overall, 65% of respondents reported</w:t>
      </w:r>
      <w:r w:rsidRPr="00CF1575">
        <w:rPr>
          <w:rFonts w:asciiTheme="majorHAnsi" w:hAnsiTheme="majorHAnsi" w:cstheme="majorHAnsi"/>
          <w:sz w:val="22"/>
          <w:szCs w:val="22"/>
        </w:rPr>
        <w:t xml:space="preserve"> ‘high’ parent-child warmth (on the basis that </w:t>
      </w:r>
      <w:r w:rsidRPr="00947161">
        <w:rPr>
          <w:rFonts w:asciiTheme="majorHAnsi" w:hAnsiTheme="majorHAnsi" w:cstheme="majorHAnsi"/>
          <w:sz w:val="22"/>
          <w:szCs w:val="22"/>
        </w:rPr>
        <w:t>they scored 34 or more on these items) which is a similar proportion found in national data from GUS (65%, 2011)</w:t>
      </w:r>
      <w:r w:rsidRPr="00947161">
        <w:rPr>
          <w:rStyle w:val="EndnoteReference"/>
          <w:rFonts w:asciiTheme="majorHAnsi" w:hAnsiTheme="majorHAnsi" w:cstheme="majorHAnsi"/>
          <w:sz w:val="22"/>
          <w:szCs w:val="22"/>
        </w:rPr>
        <w:endnoteReference w:id="63"/>
      </w:r>
      <w:r w:rsidRPr="00947161">
        <w:rPr>
          <w:rFonts w:asciiTheme="majorHAnsi" w:hAnsiTheme="majorHAnsi" w:cstheme="majorHAnsi"/>
          <w:sz w:val="22"/>
          <w:szCs w:val="22"/>
        </w:rPr>
        <w:t xml:space="preserve"> of parents (mostly mothers) of children aged 5. Parent</w:t>
      </w:r>
      <w:r>
        <w:rPr>
          <w:rFonts w:asciiTheme="majorHAnsi" w:hAnsiTheme="majorHAnsi" w:cstheme="majorHAnsi"/>
          <w:sz w:val="22"/>
          <w:szCs w:val="22"/>
        </w:rPr>
        <w:t>-child warmth varied according to gender, with parents of girls more likely than parents of boys to report a high level of parent-child warmth (77% compared with 53%).</w:t>
      </w:r>
    </w:p>
    <w:p w:rsidR="00940DAB" w:rsidRDefault="00940DAB" w:rsidP="00940DAB">
      <w:pPr>
        <w:pStyle w:val="NormalWeb"/>
        <w:rPr>
          <w:rFonts w:asciiTheme="majorHAnsi" w:hAnsiTheme="majorHAnsi" w:cstheme="majorHAnsi"/>
          <w:sz w:val="22"/>
          <w:szCs w:val="22"/>
        </w:rPr>
      </w:pPr>
      <w:r>
        <w:rPr>
          <w:rFonts w:asciiTheme="majorHAnsi" w:hAnsiTheme="majorHAnsi" w:cstheme="majorHAnsi"/>
          <w:sz w:val="22"/>
          <w:szCs w:val="22"/>
        </w:rPr>
        <w:t xml:space="preserve">Around a third (32%) of parents in Falkirk </w:t>
      </w:r>
      <w:r w:rsidRPr="00CF1575">
        <w:rPr>
          <w:rFonts w:asciiTheme="majorHAnsi" w:hAnsiTheme="majorHAnsi" w:cstheme="majorHAnsi"/>
          <w:sz w:val="22"/>
          <w:szCs w:val="22"/>
        </w:rPr>
        <w:t>scored as having ‘high’</w:t>
      </w:r>
      <w:r>
        <w:rPr>
          <w:rFonts w:asciiTheme="majorHAnsi" w:hAnsiTheme="majorHAnsi" w:cstheme="majorHAnsi"/>
          <w:sz w:val="22"/>
          <w:szCs w:val="22"/>
        </w:rPr>
        <w:t xml:space="preserve"> parent</w:t>
      </w:r>
      <w:r w:rsidRPr="00CF1575">
        <w:rPr>
          <w:rFonts w:asciiTheme="majorHAnsi" w:hAnsiTheme="majorHAnsi" w:cstheme="majorHAnsi"/>
          <w:sz w:val="22"/>
          <w:szCs w:val="22"/>
        </w:rPr>
        <w:t>-child conflict</w:t>
      </w:r>
      <w:r>
        <w:rPr>
          <w:rFonts w:asciiTheme="majorHAnsi" w:hAnsiTheme="majorHAnsi" w:cstheme="majorHAnsi"/>
          <w:sz w:val="22"/>
          <w:szCs w:val="22"/>
        </w:rPr>
        <w:t xml:space="preserve"> (scores of 19-40), with a similar proportion (34%) achieving both</w:t>
      </w:r>
      <w:r w:rsidRPr="00CF1575">
        <w:rPr>
          <w:rFonts w:asciiTheme="majorHAnsi" w:hAnsiTheme="majorHAnsi" w:cstheme="majorHAnsi"/>
          <w:sz w:val="22"/>
          <w:szCs w:val="22"/>
        </w:rPr>
        <w:t xml:space="preserve"> medium </w:t>
      </w:r>
      <w:r>
        <w:rPr>
          <w:rFonts w:asciiTheme="majorHAnsi" w:hAnsiTheme="majorHAnsi" w:cstheme="majorHAnsi"/>
          <w:sz w:val="22"/>
          <w:szCs w:val="22"/>
        </w:rPr>
        <w:t xml:space="preserve">(scores of 13-18) </w:t>
      </w:r>
      <w:r w:rsidRPr="00CF1575">
        <w:rPr>
          <w:rFonts w:asciiTheme="majorHAnsi" w:hAnsiTheme="majorHAnsi" w:cstheme="majorHAnsi"/>
          <w:sz w:val="22"/>
          <w:szCs w:val="22"/>
        </w:rPr>
        <w:t>and low</w:t>
      </w:r>
      <w:r>
        <w:rPr>
          <w:rFonts w:asciiTheme="majorHAnsi" w:hAnsiTheme="majorHAnsi" w:cstheme="majorHAnsi"/>
          <w:sz w:val="22"/>
          <w:szCs w:val="22"/>
        </w:rPr>
        <w:t xml:space="preserve"> conflict scores (scores of 8-12)</w:t>
      </w:r>
      <w:r w:rsidRPr="00CF1575">
        <w:rPr>
          <w:rFonts w:asciiTheme="majorHAnsi" w:hAnsiTheme="majorHAnsi" w:cstheme="majorHAnsi"/>
          <w:sz w:val="22"/>
          <w:szCs w:val="22"/>
        </w:rPr>
        <w:t>.</w:t>
      </w:r>
      <w:r>
        <w:rPr>
          <w:rFonts w:asciiTheme="majorHAnsi" w:hAnsiTheme="majorHAnsi" w:cstheme="majorHAnsi"/>
          <w:sz w:val="22"/>
          <w:szCs w:val="22"/>
        </w:rPr>
        <w:t xml:space="preserve"> As with parent-child warmth, parent-child </w:t>
      </w:r>
      <w:r w:rsidRPr="00947161">
        <w:rPr>
          <w:rFonts w:asciiTheme="majorHAnsi" w:hAnsiTheme="majorHAnsi" w:cstheme="majorHAnsi"/>
          <w:sz w:val="22"/>
          <w:szCs w:val="22"/>
        </w:rPr>
        <w:t>conflict varied according to gender, with parents of boys more likely than parents of girls to report a high level of parent-child conflict (39% compared with 26%). Equivalent figures on parent-child conflict from GUS (2011) of parents of children aged 5 were 30%, 37% and 33%.</w:t>
      </w:r>
      <w:r>
        <w:rPr>
          <w:rFonts w:asciiTheme="majorHAnsi" w:hAnsiTheme="majorHAnsi" w:cstheme="majorHAnsi"/>
          <w:sz w:val="22"/>
          <w:szCs w:val="22"/>
        </w:rPr>
        <w:t xml:space="preserve"> </w:t>
      </w:r>
    </w:p>
    <w:p w:rsidR="00940DAB" w:rsidRPr="000E6077" w:rsidRDefault="00940DAB" w:rsidP="00940DAB">
      <w:pPr>
        <w:pStyle w:val="BodyCopy"/>
        <w:keepNext/>
        <w:spacing w:after="200" w:line="276" w:lineRule="auto"/>
        <w:rPr>
          <w:rFonts w:asciiTheme="minorHAnsi" w:eastAsiaTheme="minorHAnsi" w:hAnsiTheme="minorHAnsi" w:cstheme="minorBidi"/>
          <w:b/>
          <w:i/>
          <w:sz w:val="24"/>
          <w:szCs w:val="22"/>
          <w:lang w:eastAsia="en-US"/>
        </w:rPr>
      </w:pPr>
      <w:r w:rsidRPr="000E6077">
        <w:rPr>
          <w:rFonts w:asciiTheme="minorHAnsi" w:eastAsiaTheme="minorHAnsi" w:hAnsiTheme="minorHAnsi" w:cstheme="minorBidi"/>
          <w:b/>
          <w:i/>
          <w:sz w:val="24"/>
          <w:szCs w:val="22"/>
          <w:lang w:eastAsia="en-US"/>
        </w:rPr>
        <w:t>Meal times</w:t>
      </w:r>
    </w:p>
    <w:p w:rsidR="00940DAB" w:rsidRDefault="00940DAB" w:rsidP="00940DAB">
      <w:pPr>
        <w:pStyle w:val="BodyCopy"/>
        <w:spacing w:after="200" w:line="276" w:lineRule="auto"/>
      </w:pPr>
      <w:r>
        <w:rPr>
          <w:rFonts w:asciiTheme="minorHAnsi" w:eastAsiaTheme="minorHAnsi" w:hAnsiTheme="minorHAnsi" w:cstheme="minorBidi"/>
          <w:szCs w:val="22"/>
          <w:lang w:eastAsia="en-US"/>
        </w:rPr>
        <w:t>Around two-thirds of parents and carers (67</w:t>
      </w:r>
      <w:r w:rsidRPr="00EA360A">
        <w:rPr>
          <w:rFonts w:asciiTheme="minorHAnsi" w:eastAsiaTheme="minorHAnsi" w:hAnsiTheme="minorHAnsi" w:cstheme="minorBidi"/>
          <w:szCs w:val="22"/>
          <w:lang w:eastAsia="en-US"/>
        </w:rPr>
        <w:t>%</w:t>
      </w:r>
      <w:r>
        <w:rPr>
          <w:rFonts w:asciiTheme="minorHAnsi" w:eastAsiaTheme="minorHAnsi" w:hAnsiTheme="minorHAnsi" w:cstheme="minorBidi"/>
          <w:szCs w:val="22"/>
          <w:lang w:eastAsia="en-US"/>
        </w:rPr>
        <w:t>)</w:t>
      </w:r>
      <w:r w:rsidRPr="00EA360A">
        <w:rPr>
          <w:rFonts w:asciiTheme="minorHAnsi" w:eastAsiaTheme="minorHAnsi" w:hAnsiTheme="minorHAnsi" w:cstheme="minorBidi"/>
          <w:szCs w:val="22"/>
          <w:lang w:eastAsia="en-US"/>
        </w:rPr>
        <w:t xml:space="preserve"> reported that their child eats </w:t>
      </w:r>
      <w:r>
        <w:rPr>
          <w:rFonts w:asciiTheme="minorHAnsi" w:eastAsiaTheme="minorHAnsi" w:hAnsiTheme="minorHAnsi" w:cstheme="minorBidi"/>
          <w:szCs w:val="22"/>
          <w:lang w:eastAsia="en-US"/>
        </w:rPr>
        <w:t>a</w:t>
      </w:r>
      <w:r w:rsidRPr="00EA360A">
        <w:rPr>
          <w:rFonts w:asciiTheme="minorHAnsi" w:eastAsiaTheme="minorHAnsi" w:hAnsiTheme="minorHAnsi" w:cstheme="minorBidi"/>
          <w:szCs w:val="22"/>
          <w:lang w:eastAsia="en-US"/>
        </w:rPr>
        <w:t xml:space="preserve"> main meal with a parent or family member ‘every day’</w:t>
      </w:r>
      <w:r w:rsidR="00C90377">
        <w:rPr>
          <w:rFonts w:asciiTheme="minorHAnsi" w:eastAsiaTheme="minorHAnsi" w:hAnsiTheme="minorHAnsi" w:cstheme="minorBidi"/>
          <w:szCs w:val="22"/>
          <w:lang w:eastAsia="en-US"/>
        </w:rPr>
        <w:t xml:space="preserve"> and 20</w:t>
      </w:r>
      <w:r w:rsidRPr="00EA360A">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that they do so</w:t>
      </w:r>
      <w:r w:rsidRPr="00EA360A">
        <w:rPr>
          <w:rFonts w:asciiTheme="minorHAnsi" w:eastAsiaTheme="minorHAnsi" w:hAnsiTheme="minorHAnsi" w:cstheme="minorBidi"/>
          <w:szCs w:val="22"/>
          <w:lang w:eastAsia="en-US"/>
        </w:rPr>
        <w:t xml:space="preserve"> between 2 and 6 days per week</w:t>
      </w:r>
      <w:r>
        <w:rPr>
          <w:rFonts w:asciiTheme="minorHAnsi" w:eastAsiaTheme="minorHAnsi" w:hAnsiTheme="minorHAnsi" w:cstheme="minorBidi"/>
          <w:szCs w:val="22"/>
          <w:lang w:eastAsia="en-US"/>
        </w:rPr>
        <w:t>. A minority of children were reported to eat a main meal with a parent or family member</w:t>
      </w:r>
      <w:r w:rsidRPr="00EA360A">
        <w:rPr>
          <w:rFonts w:asciiTheme="minorHAnsi" w:eastAsiaTheme="minorHAnsi" w:hAnsiTheme="minorHAnsi" w:cstheme="minorBidi"/>
          <w:szCs w:val="22"/>
          <w:lang w:eastAsia="en-US"/>
        </w:rPr>
        <w:t xml:space="preserve"> ‘once a week’</w:t>
      </w:r>
      <w:r>
        <w:rPr>
          <w:rFonts w:asciiTheme="minorHAnsi" w:eastAsiaTheme="minorHAnsi" w:hAnsiTheme="minorHAnsi" w:cstheme="minorBidi"/>
          <w:szCs w:val="22"/>
          <w:lang w:eastAsia="en-US"/>
        </w:rPr>
        <w:t xml:space="preserve"> (5%) or </w:t>
      </w:r>
      <w:r w:rsidRPr="00EA360A">
        <w:rPr>
          <w:rFonts w:asciiTheme="minorHAnsi" w:eastAsiaTheme="minorHAnsi" w:hAnsiTheme="minorHAnsi" w:cstheme="minorBidi"/>
          <w:szCs w:val="22"/>
          <w:lang w:eastAsia="en-US"/>
        </w:rPr>
        <w:t xml:space="preserve">‘hardly ever or never’ </w:t>
      </w:r>
      <w:r>
        <w:rPr>
          <w:rFonts w:asciiTheme="minorHAnsi" w:eastAsiaTheme="minorHAnsi" w:hAnsiTheme="minorHAnsi" w:cstheme="minorBidi"/>
          <w:szCs w:val="22"/>
          <w:lang w:eastAsia="en-US"/>
        </w:rPr>
        <w:t>(8%)</w:t>
      </w:r>
      <w:r w:rsidRPr="00EA360A">
        <w:rPr>
          <w:rFonts w:asciiTheme="minorHAnsi" w:eastAsiaTheme="minorHAnsi" w:hAnsiTheme="minorHAnsi" w:cstheme="minorBidi"/>
          <w:szCs w:val="22"/>
          <w:lang w:eastAsia="en-US"/>
        </w:rPr>
        <w:t>.</w:t>
      </w:r>
      <w:r w:rsidDel="00D022EF">
        <w:t xml:space="preserve"> </w:t>
      </w:r>
      <w:r>
        <w:t>No significant sub-group variations were evident in relation to this measure, perhaps as a result of the limited total sample size.</w:t>
      </w:r>
    </w:p>
    <w:p w:rsidR="00940DAB" w:rsidRPr="00EA4A30" w:rsidRDefault="00940DAB" w:rsidP="00940DAB">
      <w:pPr>
        <w:pStyle w:val="Heading3"/>
        <w:spacing w:line="276" w:lineRule="auto"/>
      </w:pPr>
      <w:bookmarkStart w:id="207" w:name="_Toc492045525"/>
      <w:bookmarkStart w:id="208" w:name="_Toc494182116"/>
      <w:r w:rsidRPr="00EA4A30">
        <w:t>Educational and learning environment (Achieving)</w:t>
      </w:r>
      <w:bookmarkEnd w:id="207"/>
      <w:bookmarkEnd w:id="208"/>
    </w:p>
    <w:p w:rsidR="00940DAB" w:rsidRDefault="00940DAB" w:rsidP="00940DAB">
      <w:pPr>
        <w:spacing w:before="240"/>
      </w:pPr>
      <w:r>
        <w:t>Attendance at high quality early learning and childcare settings and school has clear links with improved educational (and other) outcomes. Longitudinal research in the UK has shown pre-compulsory education to have a positive impact on early schooling outcomes and later educational outcomes, as well as providing some evidence of positive labour market effects.</w:t>
      </w:r>
      <w:r>
        <w:rPr>
          <w:rStyle w:val="EndnoteReference"/>
        </w:rPr>
        <w:endnoteReference w:id="64"/>
      </w:r>
      <w:r>
        <w:t xml:space="preserve"> Parental assistance with homework is important given evidence that effective parental engagement programmes that focus on helping parents to use appropriate strategies to support their children’s learning at home can help reduce the attainment gap associated with pupils from economically disadvantaged households.</w:t>
      </w:r>
      <w:r>
        <w:rPr>
          <w:rStyle w:val="EndnoteReference"/>
        </w:rPr>
        <w:endnoteReference w:id="65"/>
      </w:r>
      <w:r>
        <w:t xml:space="preserve"> Moreover, longitudinal research in Scotland shows the home </w:t>
      </w:r>
      <w:r>
        <w:lastRenderedPageBreak/>
        <w:t>learning environment to exert a greater and more independent influence on children’s cognitive development at three years of age than parental education and socio-economic status.</w:t>
      </w:r>
      <w:r>
        <w:rPr>
          <w:rStyle w:val="EndnoteReference"/>
        </w:rPr>
        <w:endnoteReference w:id="66"/>
      </w:r>
      <w:r>
        <w:t xml:space="preserve"> </w:t>
      </w:r>
    </w:p>
    <w:p w:rsidR="00940DAB" w:rsidRPr="002B1DD6" w:rsidRDefault="00940DAB" w:rsidP="00940DAB">
      <w:pPr>
        <w:pStyle w:val="Heading3"/>
        <w:numPr>
          <w:ilvl w:val="0"/>
          <w:numId w:val="0"/>
        </w:numPr>
        <w:spacing w:line="276" w:lineRule="auto"/>
        <w:rPr>
          <w:szCs w:val="32"/>
        </w:rPr>
      </w:pPr>
      <w:bookmarkStart w:id="209" w:name="_Toc492045526"/>
      <w:bookmarkStart w:id="210" w:name="_Toc494182117"/>
      <w:r w:rsidRPr="00986C3F">
        <w:rPr>
          <w:color w:val="auto"/>
          <w:szCs w:val="32"/>
        </w:rPr>
        <w:t>P</w:t>
      </w:r>
      <w:r w:rsidRPr="00986C3F">
        <w:rPr>
          <w:szCs w:val="32"/>
        </w:rPr>
        <w:t>re-school (Achieving)</w:t>
      </w:r>
      <w:bookmarkEnd w:id="209"/>
      <w:bookmarkEnd w:id="210"/>
    </w:p>
    <w:p w:rsidR="00966A6A" w:rsidRDefault="00940DAB" w:rsidP="00940DAB">
      <w:pPr>
        <w:spacing w:before="240"/>
      </w:pPr>
      <w:r>
        <w:t xml:space="preserve">Around nine in ten parents or carers (92%) with a child aged 3 to 4 reported that the child </w:t>
      </w:r>
      <w:r w:rsidRPr="00D63121">
        <w:t>currently</w:t>
      </w:r>
      <w:r w:rsidRPr="00724949">
        <w:t xml:space="preserve"> attend</w:t>
      </w:r>
      <w:r>
        <w:t>s</w:t>
      </w:r>
      <w:r w:rsidRPr="00724949">
        <w:t xml:space="preserve"> a pre-school nursery. </w:t>
      </w:r>
      <w:r>
        <w:t xml:space="preserve">Of those who do, around four in five (79%) </w:t>
      </w:r>
      <w:r w:rsidRPr="00724949">
        <w:t>attend a nursery class attached to a local authority primary school,</w:t>
      </w:r>
      <w:r w:rsidRPr="008D0C48">
        <w:t xml:space="preserve"> </w:t>
      </w:r>
      <w:r w:rsidRPr="00A26389">
        <w:t>with</w:t>
      </w:r>
      <w:r>
        <w:t xml:space="preserve"> the remainder mostly </w:t>
      </w:r>
      <w:r w:rsidRPr="00A26389">
        <w:t>attending</w:t>
      </w:r>
      <w:r>
        <w:t xml:space="preserve"> either</w:t>
      </w:r>
      <w:r w:rsidRPr="00A26389">
        <w:t xml:space="preserve"> a </w:t>
      </w:r>
      <w:r>
        <w:t>lo</w:t>
      </w:r>
      <w:r w:rsidRPr="00A26389">
        <w:t>cal authority nursery</w:t>
      </w:r>
      <w:r>
        <w:t xml:space="preserve"> school or centre</w:t>
      </w:r>
      <w:r w:rsidRPr="00A26389">
        <w:t xml:space="preserve"> </w:t>
      </w:r>
      <w:r>
        <w:t xml:space="preserve">(7%) or </w:t>
      </w:r>
      <w:r w:rsidRPr="00A26389">
        <w:t>private day nursery or nursery school</w:t>
      </w:r>
      <w:r>
        <w:t xml:space="preserve"> (9%). </w:t>
      </w:r>
    </w:p>
    <w:p w:rsidR="00940DAB" w:rsidRDefault="00940DAB" w:rsidP="00940DAB">
      <w:pPr>
        <w:spacing w:before="240"/>
      </w:pPr>
      <w:r>
        <w:t>Of those</w:t>
      </w:r>
      <w:r w:rsidRPr="00724949">
        <w:t xml:space="preserve"> children attending a pre-school nursery</w:t>
      </w:r>
      <w:r>
        <w:t>, 75%</w:t>
      </w:r>
      <w:r w:rsidRPr="00724949">
        <w:t xml:space="preserve"> do so for 15 hours or </w:t>
      </w:r>
      <w:r>
        <w:t>fewer</w:t>
      </w:r>
      <w:r w:rsidRPr="00724949">
        <w:t xml:space="preserve"> per week, whilst </w:t>
      </w:r>
      <w:r>
        <w:t>25</w:t>
      </w:r>
      <w:r w:rsidRPr="00724949">
        <w:t>% attend for 16 hours or more.</w:t>
      </w:r>
    </w:p>
    <w:p w:rsidR="00EA4A30" w:rsidRDefault="00EA4A30" w:rsidP="00940DAB">
      <w:pPr>
        <w:spacing w:before="240"/>
        <w:rPr>
          <w:i/>
          <w:sz w:val="18"/>
          <w:szCs w:val="18"/>
        </w:rPr>
      </w:pPr>
      <w:r>
        <w:rPr>
          <w:noProof/>
          <w:lang w:eastAsia="en-GB"/>
        </w:rPr>
        <w:drawing>
          <wp:inline distT="0" distB="0" distL="0" distR="0" wp14:anchorId="73B6BC0D" wp14:editId="44592320">
            <wp:extent cx="4951095" cy="2747679"/>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40DAB" w:rsidRPr="00FF4956" w:rsidRDefault="00940DAB" w:rsidP="00940DAB">
      <w:pPr>
        <w:spacing w:before="240"/>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spacing w:before="240"/>
      </w:pPr>
      <w:r>
        <w:t>Levels of satisfaction with nursery provision appear high. Almost all those</w:t>
      </w:r>
      <w:r w:rsidRPr="00724949">
        <w:t xml:space="preserve"> with a child aged between 3 and 4 years who </w:t>
      </w:r>
      <w:r>
        <w:t>attended</w:t>
      </w:r>
      <w:r w:rsidRPr="00724949">
        <w:t xml:space="preserve"> a pre-school nursery </w:t>
      </w:r>
      <w:r>
        <w:t>(97%) we</w:t>
      </w:r>
      <w:r w:rsidRPr="00724949">
        <w:t>re satisfied with the overall standard of pre-school provision</w:t>
      </w:r>
      <w:r>
        <w:t xml:space="preserve"> – 71</w:t>
      </w:r>
      <w:r w:rsidRPr="00724949">
        <w:t xml:space="preserve">% </w:t>
      </w:r>
      <w:r>
        <w:t>we</w:t>
      </w:r>
      <w:r w:rsidRPr="00724949">
        <w:t xml:space="preserve">re ‘very satisfied’ and </w:t>
      </w:r>
      <w:r>
        <w:t>26</w:t>
      </w:r>
      <w:r w:rsidRPr="00724949">
        <w:t xml:space="preserve">% ‘satisfied’. </w:t>
      </w:r>
    </w:p>
    <w:p w:rsidR="00940DAB" w:rsidRPr="000E6077" w:rsidRDefault="00940DAB" w:rsidP="00940DAB">
      <w:pPr>
        <w:pStyle w:val="Heading3"/>
        <w:numPr>
          <w:ilvl w:val="0"/>
          <w:numId w:val="0"/>
        </w:numPr>
        <w:spacing w:line="276" w:lineRule="auto"/>
        <w:rPr>
          <w:color w:val="auto"/>
        </w:rPr>
      </w:pPr>
      <w:bookmarkStart w:id="211" w:name="_Toc492045527"/>
      <w:bookmarkStart w:id="212" w:name="_Toc494182118"/>
      <w:r w:rsidRPr="000E6077">
        <w:rPr>
          <w:color w:val="auto"/>
        </w:rPr>
        <w:t>Attendance at primary school (and reluctance to attend) (Achieving)</w:t>
      </w:r>
      <w:bookmarkEnd w:id="211"/>
      <w:bookmarkEnd w:id="212"/>
    </w:p>
    <w:p w:rsidR="00940DAB" w:rsidRPr="000E6077" w:rsidRDefault="00940DAB" w:rsidP="00940DAB">
      <w:pPr>
        <w:spacing w:before="240"/>
      </w:pPr>
      <w:r w:rsidRPr="000E6077">
        <w:t>Almost all children aged between 5 and 8 years (</w:t>
      </w:r>
      <w:r>
        <w:t>96</w:t>
      </w:r>
      <w:r w:rsidRPr="000E6077">
        <w:t xml:space="preserve">%) attended a primary school - and in all cases this was a state rather than a private school. </w:t>
      </w:r>
    </w:p>
    <w:p w:rsidR="00940DAB" w:rsidRPr="000E6077" w:rsidRDefault="00940DAB" w:rsidP="00940DAB">
      <w:pPr>
        <w:spacing w:before="240"/>
      </w:pPr>
      <w:r w:rsidRPr="000E6077">
        <w:t>Most parents and carers (</w:t>
      </w:r>
      <w:r>
        <w:t>72</w:t>
      </w:r>
      <w:r w:rsidRPr="000E6077">
        <w:t xml:space="preserve">%) reported that their child never feels upset or reluctant to go to school; however, </w:t>
      </w:r>
      <w:r>
        <w:t>20</w:t>
      </w:r>
      <w:r w:rsidRPr="000E6077">
        <w:t xml:space="preserve">% indicated that this happens once a week or less and </w:t>
      </w:r>
      <w:r>
        <w:t>8</w:t>
      </w:r>
      <w:r w:rsidRPr="000E6077">
        <w:t>% that it happens more than once a week.</w:t>
      </w:r>
      <w:r w:rsidRPr="000E6077" w:rsidDel="00051210">
        <w:t xml:space="preserve"> </w:t>
      </w:r>
    </w:p>
    <w:p w:rsidR="00940DAB" w:rsidRPr="00986C3F" w:rsidRDefault="00940DAB" w:rsidP="00940DAB">
      <w:pPr>
        <w:spacing w:before="240"/>
      </w:pPr>
      <w:r w:rsidRPr="000E6077">
        <w:lastRenderedPageBreak/>
        <w:t xml:space="preserve">There was a clear association between reluctance to attend school and SDQ scores. For instance, </w:t>
      </w:r>
      <w:r>
        <w:t>78</w:t>
      </w:r>
      <w:r w:rsidRPr="000E6077">
        <w:t>% of those with a</w:t>
      </w:r>
      <w:r>
        <w:t xml:space="preserve"> score close to average</w:t>
      </w:r>
      <w:r w:rsidRPr="000E6077">
        <w:t xml:space="preserve"> were reported to </w:t>
      </w:r>
      <w:r>
        <w:t xml:space="preserve">never </w:t>
      </w:r>
      <w:r w:rsidRPr="000E6077">
        <w:t xml:space="preserve">be reluctant to attend school; by comparison, the same was true of only </w:t>
      </w:r>
      <w:r>
        <w:t>41</w:t>
      </w:r>
      <w:r w:rsidRPr="000E6077">
        <w:t xml:space="preserve">% of </w:t>
      </w:r>
      <w:r w:rsidRPr="00986C3F">
        <w:t xml:space="preserve">those </w:t>
      </w:r>
      <w:r>
        <w:t>with a raised SDQ difficulties score</w:t>
      </w:r>
      <w:r w:rsidRPr="00986C3F">
        <w:t xml:space="preserve">. </w:t>
      </w:r>
    </w:p>
    <w:p w:rsidR="00940DAB" w:rsidRPr="000E6077" w:rsidRDefault="00940DAB" w:rsidP="00940DAB">
      <w:pPr>
        <w:spacing w:before="240"/>
      </w:pPr>
      <w:r w:rsidRPr="00986C3F">
        <w:t xml:space="preserve">Overall, </w:t>
      </w:r>
      <w:r>
        <w:t>89</w:t>
      </w:r>
      <w:r w:rsidRPr="00986C3F">
        <w:t xml:space="preserve">% of respondents with a child aged between 5 and 8 years who currently attends a primary school expressed satisfaction with the overall standard of primary school provision, with </w:t>
      </w:r>
      <w:r>
        <w:t>52</w:t>
      </w:r>
      <w:r w:rsidRPr="00986C3F">
        <w:t xml:space="preserve">% reporting that they are ‘very satisfied’ and </w:t>
      </w:r>
      <w:r>
        <w:t>36</w:t>
      </w:r>
      <w:r w:rsidRPr="00986C3F">
        <w:t xml:space="preserve">% stating that they are ‘satisfied’. A total of </w:t>
      </w:r>
      <w:r>
        <w:t>6</w:t>
      </w:r>
      <w:r w:rsidRPr="00986C3F">
        <w:t xml:space="preserve">% expressed dissatisfaction with the overall standard of primary school provision, with </w:t>
      </w:r>
      <w:r>
        <w:t>5</w:t>
      </w:r>
      <w:r w:rsidRPr="00986C3F">
        <w:t xml:space="preserve">% stating that they are ‘dissatisfied’ and </w:t>
      </w:r>
      <w:r>
        <w:t>1</w:t>
      </w:r>
      <w:r w:rsidRPr="00986C3F">
        <w:t xml:space="preserve">% reporting being ‘very dissatisfied’ </w:t>
      </w:r>
      <w:r>
        <w:t>and a further  5</w:t>
      </w:r>
      <w:r w:rsidRPr="00986C3F">
        <w:t xml:space="preserve">% of respondents </w:t>
      </w:r>
      <w:r>
        <w:t>being</w:t>
      </w:r>
      <w:r w:rsidRPr="00986C3F">
        <w:t xml:space="preserve"> ‘neither satisfied nor dissatisfied’.</w:t>
      </w:r>
    </w:p>
    <w:p w:rsidR="00940DAB" w:rsidRPr="008D18F3" w:rsidRDefault="00940DAB" w:rsidP="00940DAB">
      <w:pPr>
        <w:pStyle w:val="Heading3"/>
        <w:numPr>
          <w:ilvl w:val="0"/>
          <w:numId w:val="0"/>
        </w:numPr>
        <w:spacing w:line="276" w:lineRule="auto"/>
        <w:rPr>
          <w:color w:val="auto"/>
        </w:rPr>
      </w:pPr>
      <w:bookmarkStart w:id="213" w:name="_Toc492045528"/>
      <w:bookmarkStart w:id="214" w:name="_Toc494182119"/>
      <w:r w:rsidRPr="008D18F3">
        <w:rPr>
          <w:color w:val="auto"/>
        </w:rPr>
        <w:t>Home learning environment and parental involvement in homework (Achieving, Nurtured)</w:t>
      </w:r>
      <w:bookmarkEnd w:id="213"/>
      <w:bookmarkEnd w:id="214"/>
    </w:p>
    <w:p w:rsidR="00940DAB" w:rsidRDefault="00940DAB" w:rsidP="00940DAB">
      <w:pPr>
        <w:spacing w:before="240"/>
      </w:pPr>
      <w:r>
        <w:t xml:space="preserve">Encouraging parents to undertake home learning activities with their child from an early age has long been high on the agenda for both policy makers and academics interested in children’s outcomes and development. </w:t>
      </w:r>
    </w:p>
    <w:p w:rsidR="00940DAB" w:rsidRPr="00724949" w:rsidRDefault="00940DAB" w:rsidP="00940DAB">
      <w:pPr>
        <w:spacing w:before="240"/>
      </w:pPr>
      <w:r>
        <w:t>Parents and carers</w:t>
      </w:r>
      <w:r w:rsidRPr="00724949">
        <w:t xml:space="preserve"> were asked how often they undertake the following activities with their child:</w:t>
      </w:r>
    </w:p>
    <w:p w:rsidR="00940DAB" w:rsidRPr="00724949" w:rsidRDefault="00940DAB" w:rsidP="00940DAB">
      <w:pPr>
        <w:pStyle w:val="Bullet1"/>
        <w:numPr>
          <w:ilvl w:val="0"/>
          <w:numId w:val="14"/>
        </w:numPr>
        <w:ind w:left="357" w:hanging="357"/>
      </w:pPr>
      <w:r w:rsidRPr="00724949">
        <w:t>Reading stories or books</w:t>
      </w:r>
    </w:p>
    <w:p w:rsidR="00940DAB" w:rsidRPr="00724949" w:rsidRDefault="00940DAB" w:rsidP="00940DAB">
      <w:pPr>
        <w:pStyle w:val="Bullet1"/>
        <w:numPr>
          <w:ilvl w:val="0"/>
          <w:numId w:val="14"/>
        </w:numPr>
        <w:ind w:left="357" w:hanging="357"/>
      </w:pPr>
      <w:r w:rsidRPr="00724949">
        <w:t>Singing songs or playing music</w:t>
      </w:r>
    </w:p>
    <w:p w:rsidR="00940DAB" w:rsidRPr="00724949" w:rsidRDefault="00940DAB" w:rsidP="00940DAB">
      <w:pPr>
        <w:pStyle w:val="Bullet1"/>
        <w:numPr>
          <w:ilvl w:val="0"/>
          <w:numId w:val="14"/>
        </w:numPr>
        <w:ind w:left="357" w:hanging="357"/>
      </w:pPr>
      <w:r w:rsidRPr="00724949">
        <w:t>Visiting friends who have young children</w:t>
      </w:r>
    </w:p>
    <w:p w:rsidR="00940DAB" w:rsidRPr="00724949" w:rsidRDefault="00940DAB" w:rsidP="00940DAB">
      <w:pPr>
        <w:pStyle w:val="Bullet1"/>
        <w:numPr>
          <w:ilvl w:val="0"/>
          <w:numId w:val="14"/>
        </w:numPr>
        <w:ind w:left="357" w:hanging="357"/>
      </w:pPr>
      <w:r w:rsidRPr="00724949">
        <w:t>Activities outside of the home (e.g. going to play parks/soft play areas, going on day trips or doing hobbies or sports)</w:t>
      </w:r>
    </w:p>
    <w:p w:rsidR="00940DAB" w:rsidRDefault="00940DAB" w:rsidP="00940DAB">
      <w:pPr>
        <w:pStyle w:val="Bullet1"/>
        <w:numPr>
          <w:ilvl w:val="0"/>
          <w:numId w:val="14"/>
        </w:numPr>
        <w:ind w:left="357" w:hanging="357"/>
      </w:pPr>
      <w:r w:rsidRPr="00724949">
        <w:t>Activities or playing inside of the home</w:t>
      </w:r>
    </w:p>
    <w:p w:rsidR="00940DAB" w:rsidRDefault="00940DAB" w:rsidP="00940DAB">
      <w:pPr>
        <w:pStyle w:val="Bullet1"/>
      </w:pPr>
    </w:p>
    <w:p w:rsidR="00940DAB" w:rsidRDefault="00940DAB" w:rsidP="00940DAB">
      <w:pPr>
        <w:pStyle w:val="Bullet1"/>
        <w:spacing w:after="200" w:line="276" w:lineRule="auto"/>
      </w:pPr>
      <w:r>
        <w:t xml:space="preserve">The chart </w:t>
      </w:r>
      <w:r w:rsidRPr="008D18F3">
        <w:t>below shows the proportion that reported doing each of these activities with their child at least once or twice per week.</w:t>
      </w:r>
    </w:p>
    <w:p w:rsidR="00EA4A30" w:rsidRDefault="00EA4A30" w:rsidP="00940DAB">
      <w:pPr>
        <w:pStyle w:val="Bullet1"/>
        <w:spacing w:after="200" w:line="276" w:lineRule="auto"/>
      </w:pPr>
      <w:r>
        <w:rPr>
          <w:noProof/>
        </w:rPr>
        <w:lastRenderedPageBreak/>
        <w:drawing>
          <wp:inline distT="0" distB="0" distL="0" distR="0" wp14:anchorId="2AA56BC0" wp14:editId="27237886">
            <wp:extent cx="4951095" cy="2845587"/>
            <wp:effectExtent l="0" t="0" r="190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40DAB" w:rsidRDefault="00940DAB" w:rsidP="00940DAB">
      <w:pPr>
        <w:rPr>
          <w:b/>
          <w:i/>
        </w:rPr>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CA2842" w:rsidRDefault="00940DAB" w:rsidP="00940DAB">
      <w:pPr>
        <w:pStyle w:val="NormalWeb"/>
        <w:rPr>
          <w:rFonts w:asciiTheme="minorHAnsi" w:hAnsiTheme="minorHAnsi" w:cstheme="minorHAnsi"/>
          <w:sz w:val="22"/>
        </w:rPr>
      </w:pPr>
      <w:r w:rsidRPr="004F5C3D">
        <w:rPr>
          <w:rFonts w:asciiTheme="minorHAnsi" w:hAnsiTheme="minorHAnsi" w:cstheme="minorHAnsi"/>
          <w:sz w:val="22"/>
        </w:rPr>
        <w:t>O</w:t>
      </w:r>
      <w:r w:rsidRPr="00F52DDE">
        <w:rPr>
          <w:rFonts w:asciiTheme="minorHAnsi" w:hAnsiTheme="minorHAnsi" w:cstheme="minorHAnsi"/>
          <w:sz w:val="22"/>
        </w:rPr>
        <w:t>verall, the findings suggest that most parents engage in each of these activities relatively frequently. However, there are some variations by sub-group worth noting. For instance</w:t>
      </w:r>
      <w:r w:rsidRPr="00EB7F41">
        <w:rPr>
          <w:rFonts w:asciiTheme="minorHAnsi" w:hAnsiTheme="minorHAnsi" w:cstheme="minorHAnsi"/>
          <w:sz w:val="22"/>
        </w:rPr>
        <w:t xml:space="preserve">, parents with a degree level qualification were </w:t>
      </w:r>
      <w:r w:rsidR="00D3179B">
        <w:rPr>
          <w:rFonts w:asciiTheme="minorHAnsi" w:hAnsiTheme="minorHAnsi" w:cstheme="minorHAnsi"/>
          <w:sz w:val="22"/>
        </w:rPr>
        <w:t xml:space="preserve">markedly </w:t>
      </w:r>
      <w:r w:rsidRPr="00EB7F41">
        <w:rPr>
          <w:rFonts w:asciiTheme="minorHAnsi" w:hAnsiTheme="minorHAnsi" w:cstheme="minorHAnsi"/>
          <w:sz w:val="22"/>
        </w:rPr>
        <w:t xml:space="preserve">more likely to read to their child every day (87% compared with </w:t>
      </w:r>
      <w:r>
        <w:rPr>
          <w:rFonts w:asciiTheme="minorHAnsi" w:hAnsiTheme="minorHAnsi" w:cstheme="minorHAnsi"/>
          <w:sz w:val="22"/>
        </w:rPr>
        <w:t>68</w:t>
      </w:r>
      <w:r w:rsidRPr="00EB7F41">
        <w:rPr>
          <w:rFonts w:asciiTheme="minorHAnsi" w:hAnsiTheme="minorHAnsi" w:cstheme="minorHAnsi"/>
          <w:sz w:val="22"/>
        </w:rPr>
        <w:t>% of those with Standard Grades or equivalent and 55% of those with no formal qualifications), as were parents in the three le</w:t>
      </w:r>
      <w:r>
        <w:rPr>
          <w:rFonts w:asciiTheme="minorHAnsi" w:hAnsiTheme="minorHAnsi" w:cstheme="minorHAnsi"/>
          <w:sz w:val="22"/>
        </w:rPr>
        <w:t>ast</w:t>
      </w:r>
      <w:r w:rsidRPr="00EB7F41">
        <w:rPr>
          <w:rFonts w:asciiTheme="minorHAnsi" w:hAnsiTheme="minorHAnsi" w:cstheme="minorHAnsi"/>
          <w:sz w:val="22"/>
        </w:rPr>
        <w:t xml:space="preserve"> deprived quintiles (81% compared with 67% of parents in the two mo</w:t>
      </w:r>
      <w:r>
        <w:rPr>
          <w:rFonts w:asciiTheme="minorHAnsi" w:hAnsiTheme="minorHAnsi" w:cstheme="minorHAnsi"/>
          <w:sz w:val="22"/>
        </w:rPr>
        <w:t>st</w:t>
      </w:r>
      <w:r w:rsidRPr="00EB7F41">
        <w:rPr>
          <w:rFonts w:asciiTheme="minorHAnsi" w:hAnsiTheme="minorHAnsi" w:cstheme="minorHAnsi"/>
          <w:sz w:val="22"/>
        </w:rPr>
        <w:t xml:space="preserve"> deprived quintiles</w:t>
      </w:r>
      <w:r>
        <w:rPr>
          <w:rFonts w:asciiTheme="minorHAnsi" w:hAnsiTheme="minorHAnsi" w:cstheme="minorHAnsi"/>
          <w:sz w:val="22"/>
        </w:rPr>
        <w:t>)</w:t>
      </w:r>
      <w:r w:rsidRPr="004502C0">
        <w:rPr>
          <w:rFonts w:asciiTheme="minorHAnsi" w:hAnsiTheme="minorHAnsi" w:cstheme="minorHAnsi"/>
          <w:sz w:val="22"/>
        </w:rPr>
        <w:t>.</w:t>
      </w:r>
      <w:r w:rsidRPr="00CA2842">
        <w:rPr>
          <w:rFonts w:asciiTheme="minorHAnsi" w:hAnsiTheme="minorHAnsi" w:cstheme="minorHAnsi"/>
          <w:sz w:val="22"/>
        </w:rPr>
        <w:t xml:space="preserve">  </w:t>
      </w:r>
      <w:r>
        <w:rPr>
          <w:rFonts w:asciiTheme="minorHAnsi" w:hAnsiTheme="minorHAnsi" w:cstheme="minorHAnsi"/>
          <w:sz w:val="22"/>
        </w:rPr>
        <w:t xml:space="preserve">Parents in the two most deprived quintiles were, however, more likely to sing songs or play music to or with their child every day (83%) compared with those in the three least deprived quintiles (75%). </w:t>
      </w:r>
      <w:r w:rsidRPr="00CA2842">
        <w:rPr>
          <w:rFonts w:asciiTheme="minorHAnsi" w:hAnsiTheme="minorHAnsi" w:cstheme="minorHAnsi"/>
          <w:sz w:val="22"/>
        </w:rPr>
        <w:t>Parents with fewer educational qualifications were also less likely to undertake activities outside the home with their child at least once per week (82% of those with no qualifications compared with 96% of those with degree level qualifications).</w:t>
      </w:r>
    </w:p>
    <w:p w:rsidR="00940DAB" w:rsidRDefault="00940DAB" w:rsidP="00940DAB">
      <w:pPr>
        <w:pStyle w:val="NormalWeb"/>
        <w:rPr>
          <w:rFonts w:asciiTheme="minorHAnsi" w:hAnsiTheme="minorHAnsi" w:cstheme="minorHAnsi"/>
          <w:sz w:val="22"/>
        </w:rPr>
      </w:pPr>
      <w:r w:rsidRPr="00CA2842">
        <w:rPr>
          <w:rFonts w:asciiTheme="minorHAnsi" w:hAnsiTheme="minorHAnsi" w:cstheme="minorHAnsi"/>
          <w:sz w:val="22"/>
        </w:rPr>
        <w:t>Many of the activities varied by the age of the child, with daily</w:t>
      </w:r>
      <w:r w:rsidRPr="00EB7F41">
        <w:rPr>
          <w:rFonts w:asciiTheme="minorHAnsi" w:hAnsiTheme="minorHAnsi" w:cstheme="minorHAnsi"/>
          <w:sz w:val="22"/>
        </w:rPr>
        <w:t xml:space="preserve"> activities less common with children aged 5-8. For example, 63% of parents of children aged 5-8 played music or sang songs with their children daily compared with 86% of parents of children aged 3-4 and 96% of parents of children aged 0-2</w:t>
      </w:r>
      <w:r>
        <w:rPr>
          <w:rFonts w:asciiTheme="minorHAnsi" w:hAnsiTheme="minorHAnsi" w:cstheme="minorHAnsi"/>
          <w:sz w:val="22"/>
        </w:rPr>
        <w:t>. Reading to their child daily was reported by</w:t>
      </w:r>
      <w:r w:rsidRPr="00EB7F41">
        <w:rPr>
          <w:rFonts w:asciiTheme="minorHAnsi" w:hAnsiTheme="minorHAnsi" w:cstheme="minorHAnsi"/>
          <w:sz w:val="22"/>
        </w:rPr>
        <w:t xml:space="preserve"> 66% </w:t>
      </w:r>
      <w:r>
        <w:rPr>
          <w:rFonts w:asciiTheme="minorHAnsi" w:hAnsiTheme="minorHAnsi" w:cstheme="minorHAnsi"/>
          <w:sz w:val="22"/>
        </w:rPr>
        <w:t xml:space="preserve">of those with children aged 5-8 </w:t>
      </w:r>
      <w:r w:rsidRPr="00EB7F41">
        <w:rPr>
          <w:rFonts w:asciiTheme="minorHAnsi" w:hAnsiTheme="minorHAnsi" w:cstheme="minorHAnsi"/>
          <w:sz w:val="22"/>
        </w:rPr>
        <w:t>compared with 86% of parents of children aged 3-4 and 79% aged 0-2</w:t>
      </w:r>
      <w:r>
        <w:rPr>
          <w:rFonts w:asciiTheme="minorHAnsi" w:hAnsiTheme="minorHAnsi" w:cstheme="minorHAnsi"/>
          <w:sz w:val="22"/>
        </w:rPr>
        <w:t>, and</w:t>
      </w:r>
      <w:r w:rsidRPr="00EB7F41">
        <w:rPr>
          <w:rFonts w:asciiTheme="minorHAnsi" w:hAnsiTheme="minorHAnsi" w:cstheme="minorHAnsi"/>
          <w:sz w:val="22"/>
        </w:rPr>
        <w:t xml:space="preserve">; 19% </w:t>
      </w:r>
      <w:r w:rsidR="00D3179B">
        <w:rPr>
          <w:rFonts w:asciiTheme="minorHAnsi" w:hAnsiTheme="minorHAnsi" w:cstheme="minorHAnsi"/>
          <w:sz w:val="22"/>
        </w:rPr>
        <w:t xml:space="preserve">of parents of children aged 5-8 </w:t>
      </w:r>
      <w:r w:rsidRPr="00EB7F41">
        <w:rPr>
          <w:rFonts w:asciiTheme="minorHAnsi" w:hAnsiTheme="minorHAnsi" w:cstheme="minorHAnsi"/>
          <w:sz w:val="22"/>
        </w:rPr>
        <w:t xml:space="preserve">did activities outside the home </w:t>
      </w:r>
      <w:r>
        <w:rPr>
          <w:rFonts w:asciiTheme="minorHAnsi" w:hAnsiTheme="minorHAnsi" w:cstheme="minorHAnsi"/>
          <w:sz w:val="22"/>
        </w:rPr>
        <w:t xml:space="preserve">at least once per week compared with </w:t>
      </w:r>
      <w:r w:rsidRPr="00EB7F41">
        <w:rPr>
          <w:rFonts w:asciiTheme="minorHAnsi" w:hAnsiTheme="minorHAnsi" w:cstheme="minorHAnsi"/>
          <w:sz w:val="22"/>
        </w:rPr>
        <w:t xml:space="preserve">30% </w:t>
      </w:r>
      <w:r>
        <w:rPr>
          <w:rFonts w:asciiTheme="minorHAnsi" w:hAnsiTheme="minorHAnsi" w:cstheme="minorHAnsi"/>
          <w:sz w:val="22"/>
        </w:rPr>
        <w:t xml:space="preserve">aged </w:t>
      </w:r>
      <w:r w:rsidRPr="00EB7F41">
        <w:rPr>
          <w:rFonts w:asciiTheme="minorHAnsi" w:hAnsiTheme="minorHAnsi" w:cstheme="minorHAnsi"/>
          <w:sz w:val="22"/>
        </w:rPr>
        <w:t xml:space="preserve">3-4 and 44% </w:t>
      </w:r>
      <w:r>
        <w:rPr>
          <w:rFonts w:asciiTheme="minorHAnsi" w:hAnsiTheme="minorHAnsi" w:cstheme="minorHAnsi"/>
          <w:sz w:val="22"/>
        </w:rPr>
        <w:t xml:space="preserve">aged </w:t>
      </w:r>
      <w:r w:rsidRPr="00EB7F41">
        <w:rPr>
          <w:rFonts w:asciiTheme="minorHAnsi" w:hAnsiTheme="minorHAnsi" w:cstheme="minorHAnsi"/>
          <w:sz w:val="22"/>
        </w:rPr>
        <w:t>0-2</w:t>
      </w:r>
      <w:r>
        <w:rPr>
          <w:rFonts w:asciiTheme="minorHAnsi" w:hAnsiTheme="minorHAnsi" w:cstheme="minorHAnsi"/>
          <w:sz w:val="22"/>
        </w:rPr>
        <w:t>. Parents of girls were also more likely than parents of boys to play music or sing songs with their children daily (83% compared with 74%).</w:t>
      </w:r>
    </w:p>
    <w:p w:rsidR="00940DAB" w:rsidRDefault="00940DAB" w:rsidP="00940DAB">
      <w:pPr>
        <w:pStyle w:val="NormalWeb"/>
        <w:rPr>
          <w:rFonts w:asciiTheme="minorHAnsi" w:eastAsia="Calibri" w:hAnsiTheme="minorHAnsi" w:cstheme="minorHAnsi"/>
          <w:sz w:val="22"/>
        </w:rPr>
      </w:pPr>
      <w:r w:rsidRPr="008E158C">
        <w:rPr>
          <w:rFonts w:asciiTheme="minorHAnsi" w:hAnsiTheme="minorHAnsi" w:cstheme="minorHAnsi"/>
          <w:sz w:val="22"/>
        </w:rPr>
        <w:t xml:space="preserve">Comparable national data from GUS shows </w:t>
      </w:r>
      <w:r w:rsidRPr="008E158C">
        <w:rPr>
          <w:rFonts w:asciiTheme="minorHAnsi" w:eastAsia="Calibri" w:hAnsiTheme="minorHAnsi" w:cstheme="minorHAnsi"/>
          <w:sz w:val="22"/>
        </w:rPr>
        <w:t xml:space="preserve">that the majority of parent respondents of children aged 10 months old read or looked at books with their child ‘most days’ or a ‘few days a week’ (90%), while almost everyone recited nursery rhymes or sang songs most days or a ‘few days a week’ (97%). Data from GUS gathered when the children were aged 3 years showed 98% read </w:t>
      </w:r>
      <w:r w:rsidRPr="008E158C">
        <w:rPr>
          <w:rFonts w:asciiTheme="minorHAnsi" w:eastAsia="Calibri" w:hAnsiTheme="minorHAnsi" w:cstheme="minorHAnsi"/>
          <w:sz w:val="22"/>
        </w:rPr>
        <w:lastRenderedPageBreak/>
        <w:t>books with their children every day or a few days a week and 95% sang songs or nursery rhymes with them this frequently).</w:t>
      </w:r>
      <w:r w:rsidRPr="008E158C">
        <w:rPr>
          <w:rStyle w:val="EndnoteReference"/>
          <w:rFonts w:asciiTheme="minorHAnsi" w:eastAsia="Calibri" w:hAnsiTheme="minorHAnsi" w:cstheme="minorHAnsi"/>
          <w:sz w:val="22"/>
        </w:rPr>
        <w:endnoteReference w:id="67"/>
      </w:r>
      <w:r>
        <w:rPr>
          <w:rFonts w:asciiTheme="minorHAnsi" w:eastAsia="Calibri" w:hAnsiTheme="minorHAnsi" w:cstheme="minorHAnsi"/>
          <w:sz w:val="22"/>
        </w:rPr>
        <w:t xml:space="preserve"> </w:t>
      </w:r>
    </w:p>
    <w:p w:rsidR="00940DAB" w:rsidRDefault="00940DAB" w:rsidP="00940DAB">
      <w:pPr>
        <w:pStyle w:val="NormalWeb"/>
        <w:rPr>
          <w:rFonts w:asciiTheme="minorHAnsi" w:eastAsia="Calibri" w:hAnsiTheme="minorHAnsi" w:cstheme="minorHAnsi"/>
          <w:sz w:val="22"/>
        </w:rPr>
      </w:pPr>
      <w:r>
        <w:rPr>
          <w:rFonts w:asciiTheme="minorHAnsi" w:eastAsia="Calibri" w:hAnsiTheme="minorHAnsi" w:cstheme="minorHAnsi"/>
          <w:sz w:val="22"/>
        </w:rPr>
        <w:t>Around</w:t>
      </w:r>
      <w:r w:rsidRPr="002B1DD6">
        <w:rPr>
          <w:rFonts w:asciiTheme="minorHAnsi" w:eastAsia="Calibri" w:hAnsiTheme="minorHAnsi" w:cstheme="minorHAnsi"/>
          <w:sz w:val="22"/>
        </w:rPr>
        <w:t xml:space="preserve"> three quarters (</w:t>
      </w:r>
      <w:r>
        <w:rPr>
          <w:rFonts w:asciiTheme="minorHAnsi" w:eastAsia="Calibri" w:hAnsiTheme="minorHAnsi" w:cstheme="minorHAnsi"/>
          <w:sz w:val="22"/>
        </w:rPr>
        <w:t>74</w:t>
      </w:r>
      <w:r w:rsidRPr="002B1DD6">
        <w:rPr>
          <w:rFonts w:asciiTheme="minorHAnsi" w:eastAsia="Calibri" w:hAnsiTheme="minorHAnsi" w:cstheme="minorHAnsi"/>
          <w:sz w:val="22"/>
        </w:rPr>
        <w:t xml:space="preserve">%) of those with a child aged </w:t>
      </w:r>
      <w:r>
        <w:rPr>
          <w:rFonts w:asciiTheme="minorHAnsi" w:eastAsia="Calibri" w:hAnsiTheme="minorHAnsi" w:cstheme="minorHAnsi"/>
          <w:sz w:val="22"/>
        </w:rPr>
        <w:t>5-</w:t>
      </w:r>
      <w:r w:rsidRPr="002B1DD6">
        <w:rPr>
          <w:rFonts w:asciiTheme="minorHAnsi" w:eastAsia="Calibri" w:hAnsiTheme="minorHAnsi" w:cstheme="minorHAnsi"/>
          <w:sz w:val="22"/>
        </w:rPr>
        <w:t xml:space="preserve">8 years reported helping their child every time they get homework, with a further </w:t>
      </w:r>
      <w:r>
        <w:rPr>
          <w:rFonts w:asciiTheme="minorHAnsi" w:eastAsia="Calibri" w:hAnsiTheme="minorHAnsi" w:cstheme="minorHAnsi"/>
          <w:sz w:val="22"/>
        </w:rPr>
        <w:t>16</w:t>
      </w:r>
      <w:r w:rsidRPr="002B1DD6">
        <w:rPr>
          <w:rFonts w:asciiTheme="minorHAnsi" w:eastAsia="Calibri" w:hAnsiTheme="minorHAnsi" w:cstheme="minorHAnsi"/>
          <w:sz w:val="22"/>
        </w:rPr>
        <w:t>% stating that they help</w:t>
      </w:r>
      <w:r>
        <w:rPr>
          <w:rFonts w:asciiTheme="minorHAnsi" w:eastAsia="Calibri" w:hAnsiTheme="minorHAnsi" w:cstheme="minorHAnsi"/>
          <w:sz w:val="22"/>
        </w:rPr>
        <w:t>ed</w:t>
      </w:r>
      <w:r w:rsidRPr="002B1DD6">
        <w:rPr>
          <w:rFonts w:asciiTheme="minorHAnsi" w:eastAsia="Calibri" w:hAnsiTheme="minorHAnsi" w:cstheme="minorHAnsi"/>
          <w:sz w:val="22"/>
        </w:rPr>
        <w:t xml:space="preserve"> their child ‘most of the time’ and </w:t>
      </w:r>
      <w:r>
        <w:rPr>
          <w:rFonts w:asciiTheme="minorHAnsi" w:eastAsia="Calibri" w:hAnsiTheme="minorHAnsi" w:cstheme="minorHAnsi"/>
          <w:sz w:val="22"/>
        </w:rPr>
        <w:t>5</w:t>
      </w:r>
      <w:r w:rsidRPr="002B1DD6">
        <w:rPr>
          <w:rFonts w:asciiTheme="minorHAnsi" w:eastAsia="Calibri" w:hAnsiTheme="minorHAnsi" w:cstheme="minorHAnsi"/>
          <w:sz w:val="22"/>
        </w:rPr>
        <w:t>% stating that they help</w:t>
      </w:r>
      <w:r>
        <w:rPr>
          <w:rFonts w:asciiTheme="minorHAnsi" w:eastAsia="Calibri" w:hAnsiTheme="minorHAnsi" w:cstheme="minorHAnsi"/>
          <w:sz w:val="22"/>
        </w:rPr>
        <w:t>ed</w:t>
      </w:r>
      <w:r w:rsidRPr="002B1DD6">
        <w:rPr>
          <w:rFonts w:asciiTheme="minorHAnsi" w:eastAsia="Calibri" w:hAnsiTheme="minorHAnsi" w:cstheme="minorHAnsi"/>
          <w:sz w:val="22"/>
        </w:rPr>
        <w:t xml:space="preserve"> their child ‘sometimes’. </w:t>
      </w:r>
      <w:r>
        <w:rPr>
          <w:rFonts w:asciiTheme="minorHAnsi" w:eastAsia="Calibri" w:hAnsiTheme="minorHAnsi" w:cstheme="minorHAnsi"/>
          <w:sz w:val="22"/>
        </w:rPr>
        <w:t>Only 3</w:t>
      </w:r>
      <w:r w:rsidRPr="002B1DD6">
        <w:rPr>
          <w:rFonts w:asciiTheme="minorHAnsi" w:eastAsia="Calibri" w:hAnsiTheme="minorHAnsi" w:cstheme="minorHAnsi"/>
          <w:sz w:val="22"/>
        </w:rPr>
        <w:t>% ‘hardly ever’ help</w:t>
      </w:r>
      <w:r>
        <w:rPr>
          <w:rFonts w:asciiTheme="minorHAnsi" w:eastAsia="Calibri" w:hAnsiTheme="minorHAnsi" w:cstheme="minorHAnsi"/>
          <w:sz w:val="22"/>
        </w:rPr>
        <w:t>ed</w:t>
      </w:r>
      <w:r w:rsidRPr="002B1DD6">
        <w:rPr>
          <w:rFonts w:asciiTheme="minorHAnsi" w:eastAsia="Calibri" w:hAnsiTheme="minorHAnsi" w:cstheme="minorHAnsi"/>
          <w:sz w:val="22"/>
        </w:rPr>
        <w:t xml:space="preserve"> their child with homework, and </w:t>
      </w:r>
      <w:r>
        <w:rPr>
          <w:rFonts w:asciiTheme="minorHAnsi" w:eastAsia="Calibri" w:hAnsiTheme="minorHAnsi" w:cstheme="minorHAnsi"/>
          <w:sz w:val="22"/>
        </w:rPr>
        <w:t>2% of parents that said they</w:t>
      </w:r>
      <w:r w:rsidRPr="002B1DD6">
        <w:rPr>
          <w:rFonts w:asciiTheme="minorHAnsi" w:eastAsia="Calibri" w:hAnsiTheme="minorHAnsi" w:cstheme="minorHAnsi"/>
          <w:sz w:val="22"/>
        </w:rPr>
        <w:t xml:space="preserve"> ‘never’ help</w:t>
      </w:r>
      <w:r>
        <w:rPr>
          <w:rFonts w:asciiTheme="minorHAnsi" w:eastAsia="Calibri" w:hAnsiTheme="minorHAnsi" w:cstheme="minorHAnsi"/>
          <w:sz w:val="22"/>
        </w:rPr>
        <w:t>ed</w:t>
      </w:r>
      <w:r w:rsidRPr="002B1DD6">
        <w:rPr>
          <w:rFonts w:asciiTheme="minorHAnsi" w:eastAsia="Calibri" w:hAnsiTheme="minorHAnsi" w:cstheme="minorHAnsi"/>
          <w:sz w:val="22"/>
        </w:rPr>
        <w:t xml:space="preserve"> their child with homework.</w:t>
      </w:r>
    </w:p>
    <w:p w:rsidR="00940DAB" w:rsidRPr="00724949" w:rsidRDefault="00940DAB" w:rsidP="00940DAB">
      <w:pPr>
        <w:pStyle w:val="Heading3"/>
        <w:numPr>
          <w:ilvl w:val="0"/>
          <w:numId w:val="0"/>
        </w:numPr>
        <w:spacing w:line="276" w:lineRule="auto"/>
        <w:ind w:left="851" w:hanging="851"/>
      </w:pPr>
      <w:bookmarkStart w:id="215" w:name="_Toc492045529"/>
      <w:bookmarkStart w:id="216" w:name="_Toc494182120"/>
      <w:r w:rsidRPr="00D3179B">
        <w:rPr>
          <w:color w:val="auto"/>
        </w:rPr>
        <w:t>Ad</w:t>
      </w:r>
      <w:r w:rsidRPr="00D3179B">
        <w:t>ditional support needs (Healthy, Included)</w:t>
      </w:r>
      <w:bookmarkEnd w:id="215"/>
      <w:bookmarkEnd w:id="216"/>
    </w:p>
    <w:p w:rsidR="00940DAB" w:rsidRDefault="00940DAB" w:rsidP="00940DAB">
      <w:pPr>
        <w:autoSpaceDE w:val="0"/>
        <w:autoSpaceDN w:val="0"/>
        <w:adjustRightInd w:val="0"/>
        <w:spacing w:before="240"/>
      </w:pPr>
      <w:r>
        <w:t>Around one in seven (15%) parents or carers of children aged 3-8 years indicated that their child has been identified by their pre-school or primary school as having additional support needs (ASN) – 13% doing so in relation to children at pre-school and 16% in relation to children at primary school</w:t>
      </w:r>
      <w:r w:rsidRPr="002D11FD">
        <w:t xml:space="preserve">. </w:t>
      </w:r>
      <w:r w:rsidR="002D11FD" w:rsidRPr="002D11FD">
        <w:t>These figures appear slightly high for children in early primary school compared with national figures from GUS which showed that 8% of children in the first year of primary school were reported as being identified with ASN by their main carer</w:t>
      </w:r>
      <w:r w:rsidR="002D11FD">
        <w:t>.</w:t>
      </w:r>
      <w:r w:rsidRPr="002D11FD">
        <w:rPr>
          <w:rStyle w:val="EndnoteReference"/>
        </w:rPr>
        <w:endnoteReference w:id="68"/>
      </w:r>
      <w:r w:rsidRPr="008E158C">
        <w:t xml:space="preserve"> </w:t>
      </w:r>
      <w:r w:rsidR="002D11FD">
        <w:t xml:space="preserve">However, </w:t>
      </w:r>
      <w:r w:rsidRPr="008E158C">
        <w:t xml:space="preserve">it is worth noting that </w:t>
      </w:r>
      <w:r w:rsidR="002D11FD">
        <w:t>a government report published in 2011</w:t>
      </w:r>
      <w:r w:rsidRPr="008E158C">
        <w:t xml:space="preserve"> suggests that </w:t>
      </w:r>
      <w:r w:rsidRPr="008E158C">
        <w:rPr>
          <w:rFonts w:eastAsia="Calibri" w:cstheme="minorHAnsi"/>
          <w:szCs w:val="24"/>
          <w:lang w:eastAsia="en-GB"/>
        </w:rPr>
        <w:t xml:space="preserve">ASN prevalence increases </w:t>
      </w:r>
      <w:r w:rsidR="002D11FD">
        <w:rPr>
          <w:rFonts w:eastAsia="Calibri" w:cstheme="minorHAnsi"/>
          <w:szCs w:val="24"/>
          <w:lang w:eastAsia="en-GB"/>
        </w:rPr>
        <w:t>steadily with age until around</w:t>
      </w:r>
      <w:r w:rsidRPr="008E158C">
        <w:rPr>
          <w:rFonts w:eastAsia="Calibri" w:cstheme="minorHAnsi"/>
          <w:szCs w:val="24"/>
          <w:lang w:eastAsia="en-GB"/>
        </w:rPr>
        <w:t xml:space="preserve"> 9 years old.</w:t>
      </w:r>
      <w:r w:rsidRPr="008E158C">
        <w:rPr>
          <w:rStyle w:val="EndnoteReference"/>
          <w:rFonts w:eastAsia="Calibri" w:cstheme="minorHAnsi"/>
          <w:szCs w:val="24"/>
          <w:lang w:eastAsia="en-GB"/>
        </w:rPr>
        <w:endnoteReference w:id="69"/>
      </w:r>
    </w:p>
    <w:p w:rsidR="00940DAB" w:rsidRDefault="00940DAB" w:rsidP="00940DAB">
      <w:pPr>
        <w:spacing w:before="240"/>
      </w:pPr>
      <w:r w:rsidRPr="00B91E1C">
        <w:t>Chart 4.3.2c shows</w:t>
      </w:r>
      <w:r>
        <w:t xml:space="preserve"> the most common types of additional support needs that parents reported their child to be receiving support for. It should also be noted that some children may have more than one ASN.</w:t>
      </w:r>
    </w:p>
    <w:p w:rsidR="00940DAB" w:rsidRDefault="004C7091" w:rsidP="00940DAB">
      <w:pPr>
        <w:spacing w:before="240"/>
      </w:pPr>
      <w:r>
        <w:rPr>
          <w:noProof/>
          <w:lang w:eastAsia="en-GB"/>
        </w:rPr>
        <w:drawing>
          <wp:inline distT="0" distB="0" distL="0" distR="0" wp14:anchorId="16D36301" wp14:editId="4689EB4A">
            <wp:extent cx="4953000" cy="32385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40DAB" w:rsidRDefault="00940DAB" w:rsidP="00940DAB">
      <w:pPr>
        <w:rPr>
          <w:b/>
          <w:i/>
        </w:rPr>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986C3F" w:rsidRDefault="00940DAB" w:rsidP="00940DAB">
      <w:pPr>
        <w:spacing w:before="240"/>
      </w:pPr>
      <w:r w:rsidRPr="004F5C3D">
        <w:t>The most common types of additional support needs related to speech and language (</w:t>
      </w:r>
      <w:r>
        <w:t>5</w:t>
      </w:r>
      <w:r w:rsidRPr="004F5C3D">
        <w:t>%), social, emotional and/</w:t>
      </w:r>
      <w:r>
        <w:t>or behavioural problems (5%),</w:t>
      </w:r>
      <w:r w:rsidRPr="004F5C3D">
        <w:t xml:space="preserve"> learning disability</w:t>
      </w:r>
      <w:r>
        <w:t xml:space="preserve"> (4%)</w:t>
      </w:r>
      <w:r w:rsidRPr="004F5C3D">
        <w:t xml:space="preserve"> </w:t>
      </w:r>
      <w:r>
        <w:t xml:space="preserve">and autistic </w:t>
      </w:r>
      <w:r w:rsidRPr="00986C3F">
        <w:t>spectrum disorder (</w:t>
      </w:r>
      <w:r>
        <w:t>3</w:t>
      </w:r>
      <w:r w:rsidRPr="00986C3F">
        <w:t>%).</w:t>
      </w:r>
    </w:p>
    <w:p w:rsidR="00940DAB" w:rsidRDefault="00940DAB" w:rsidP="00940DAB">
      <w:pPr>
        <w:spacing w:before="240"/>
      </w:pPr>
      <w:r w:rsidRPr="00986C3F">
        <w:lastRenderedPageBreak/>
        <w:t xml:space="preserve">Parents and carers were asked if their child had any other additional support needs not being met by the school. Overall, </w:t>
      </w:r>
      <w:r>
        <w:t>5</w:t>
      </w:r>
      <w:r w:rsidRPr="00986C3F">
        <w:t>% said this was the case;</w:t>
      </w:r>
      <w:r>
        <w:t xml:space="preserve"> relating to</w:t>
      </w:r>
      <w:r w:rsidRPr="00986C3F">
        <w:t xml:space="preserve"> </w:t>
      </w:r>
      <w:r>
        <w:t>5</w:t>
      </w:r>
      <w:r w:rsidRPr="00986C3F">
        <w:t xml:space="preserve">% </w:t>
      </w:r>
      <w:r>
        <w:t>of</w:t>
      </w:r>
      <w:r w:rsidRPr="00986C3F">
        <w:t xml:space="preserve"> </w:t>
      </w:r>
      <w:r w:rsidR="00573D33">
        <w:t xml:space="preserve">both </w:t>
      </w:r>
      <w:r w:rsidRPr="00986C3F">
        <w:t xml:space="preserve">pre-school age children and </w:t>
      </w:r>
      <w:r>
        <w:t>5</w:t>
      </w:r>
      <w:r w:rsidRPr="00986C3F">
        <w:t xml:space="preserve">% </w:t>
      </w:r>
      <w:r>
        <w:t>of</w:t>
      </w:r>
      <w:r w:rsidRPr="00986C3F">
        <w:t xml:space="preserve"> primary school age children.</w:t>
      </w:r>
    </w:p>
    <w:p w:rsidR="00940DAB" w:rsidRPr="00B91E1C" w:rsidRDefault="00940DAB" w:rsidP="00940DAB">
      <w:pPr>
        <w:pStyle w:val="Heading2"/>
        <w:tabs>
          <w:tab w:val="clear" w:pos="0"/>
          <w:tab w:val="num" w:pos="900"/>
        </w:tabs>
        <w:spacing w:line="276" w:lineRule="auto"/>
        <w:ind w:left="900" w:hanging="900"/>
      </w:pPr>
      <w:bookmarkStart w:id="217" w:name="_Toc492045530"/>
      <w:bookmarkStart w:id="218" w:name="_Toc494182121"/>
      <w:r w:rsidRPr="00B91E1C">
        <w:t>Place and wellbeing</w:t>
      </w:r>
      <w:bookmarkEnd w:id="217"/>
      <w:bookmarkEnd w:id="218"/>
    </w:p>
    <w:p w:rsidR="00940DAB" w:rsidRPr="00A0676D" w:rsidRDefault="00940DAB" w:rsidP="00940DAB">
      <w:r>
        <w:t>For the parent survey issues of place and wellbeing were explored via a range of measures including: community participation; neighbourhood, perceptions of safety and community; and use of and satisfaction with local services. Some of these relate directly to the child, while others concern parental views and experiences.</w:t>
      </w:r>
    </w:p>
    <w:p w:rsidR="00940DAB" w:rsidRDefault="00940DAB" w:rsidP="00940DAB">
      <w:pPr>
        <w:pStyle w:val="Heading3"/>
        <w:keepNext w:val="0"/>
        <w:tabs>
          <w:tab w:val="clear" w:pos="0"/>
          <w:tab w:val="num" w:pos="900"/>
        </w:tabs>
        <w:spacing w:line="276" w:lineRule="auto"/>
        <w:ind w:left="902" w:hanging="902"/>
      </w:pPr>
      <w:bookmarkStart w:id="219" w:name="_Toc492045531"/>
      <w:bookmarkStart w:id="220" w:name="_Toc494182122"/>
      <w:r>
        <w:t>Community</w:t>
      </w:r>
      <w:bookmarkEnd w:id="219"/>
      <w:bookmarkEnd w:id="220"/>
    </w:p>
    <w:p w:rsidR="00940DAB" w:rsidRPr="00905220" w:rsidRDefault="00940DAB" w:rsidP="00940DAB">
      <w:pPr>
        <w:pStyle w:val="BodyCopy"/>
        <w:spacing w:before="360" w:after="100" w:line="276" w:lineRule="auto"/>
        <w:rPr>
          <w:sz w:val="32"/>
          <w:szCs w:val="32"/>
        </w:rPr>
      </w:pPr>
      <w:r w:rsidRPr="000E6077">
        <w:rPr>
          <w:rFonts w:asciiTheme="majorHAnsi" w:hAnsiTheme="majorHAnsi" w:cstheme="majorHAnsi"/>
          <w:sz w:val="32"/>
          <w:szCs w:val="32"/>
        </w:rPr>
        <w:t>Pa</w:t>
      </w:r>
      <w:r w:rsidRPr="00905220">
        <w:rPr>
          <w:rFonts w:asciiTheme="majorHAnsi" w:hAnsiTheme="majorHAnsi" w:cstheme="majorHAnsi"/>
          <w:sz w:val="32"/>
          <w:szCs w:val="32"/>
        </w:rPr>
        <w:t>rticipation</w:t>
      </w:r>
      <w:r>
        <w:rPr>
          <w:rFonts w:asciiTheme="majorHAnsi" w:hAnsiTheme="majorHAnsi" w:cstheme="majorHAnsi"/>
          <w:sz w:val="32"/>
          <w:szCs w:val="32"/>
        </w:rPr>
        <w:t xml:space="preserve"> (Included, Active)</w:t>
      </w:r>
    </w:p>
    <w:p w:rsidR="00940DAB" w:rsidRDefault="00940DAB" w:rsidP="00940DAB">
      <w:pPr>
        <w:spacing w:before="240"/>
      </w:pPr>
      <w:r>
        <w:t>Scottish Government analysis of the impact of the arts and culture has shown that participating in cultural activities at a younger age leads to increased economic capital when older (independent of social background) and, among other findings, that arts participation makes a greater difference to students from lower socio-economic groups.</w:t>
      </w:r>
      <w:r>
        <w:rPr>
          <w:rStyle w:val="EndnoteReference"/>
        </w:rPr>
        <w:endnoteReference w:id="70"/>
      </w:r>
    </w:p>
    <w:p w:rsidR="00940DAB" w:rsidRDefault="00940DAB" w:rsidP="00940DAB">
      <w:pPr>
        <w:spacing w:before="240"/>
      </w:pPr>
      <w:r>
        <w:t>Almost all parents and carers of children aged 5-8 (99</w:t>
      </w:r>
      <w:r w:rsidRPr="00A13608">
        <w:t>%</w:t>
      </w:r>
      <w:r>
        <w:t>)</w:t>
      </w:r>
      <w:r w:rsidRPr="00A13608">
        <w:t xml:space="preserve"> </w:t>
      </w:r>
      <w:r>
        <w:t>said</w:t>
      </w:r>
      <w:r w:rsidRPr="00A13608">
        <w:t xml:space="preserve"> their child had visited at least one of </w:t>
      </w:r>
      <w:r>
        <w:t>a range of</w:t>
      </w:r>
      <w:r w:rsidRPr="00A13608">
        <w:t xml:space="preserve"> places or events </w:t>
      </w:r>
      <w:r>
        <w:t>asked about</w:t>
      </w:r>
      <w:r w:rsidRPr="00A13608">
        <w:t xml:space="preserve"> during the previous 12 months</w:t>
      </w:r>
      <w:r>
        <w:t xml:space="preserve"> – most commonly,</w:t>
      </w:r>
      <w:r w:rsidRPr="00A13608">
        <w:t xml:space="preserve"> a swimming pool (</w:t>
      </w:r>
      <w:r>
        <w:t>93</w:t>
      </w:r>
      <w:r w:rsidRPr="00A13608">
        <w:t>%), a cinema (</w:t>
      </w:r>
      <w:r>
        <w:t>84</w:t>
      </w:r>
      <w:r w:rsidRPr="00A13608">
        <w:t>%)</w:t>
      </w:r>
      <w:r>
        <w:t>, or a zoo, aquarium or farm (73%).</w:t>
      </w:r>
    </w:p>
    <w:p w:rsidR="00940DAB" w:rsidRDefault="00940DAB" w:rsidP="00940DAB">
      <w:pPr>
        <w:spacing w:before="240"/>
      </w:pPr>
      <w:r>
        <w:rPr>
          <w:noProof/>
          <w:lang w:eastAsia="en-GB"/>
        </w:rPr>
        <w:drawing>
          <wp:inline distT="0" distB="0" distL="0" distR="0" wp14:anchorId="34144C20" wp14:editId="09B94417">
            <wp:extent cx="5386389" cy="3600451"/>
            <wp:effectExtent l="0" t="0" r="508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40DAB" w:rsidRDefault="00940DAB" w:rsidP="00940DAB">
      <w:pPr>
        <w:rPr>
          <w:b/>
          <w:i/>
        </w:rPr>
      </w:pPr>
      <w:r w:rsidRPr="00A018E9">
        <w:rPr>
          <w:i/>
          <w:sz w:val="18"/>
          <w:szCs w:val="18"/>
        </w:rPr>
        <w:lastRenderedPageBreak/>
        <w:t xml:space="preserve">Source: RCS </w:t>
      </w:r>
      <w:r>
        <w:rPr>
          <w:i/>
          <w:sz w:val="18"/>
          <w:szCs w:val="18"/>
        </w:rPr>
        <w:t>parent survey, Falkirk 20</w:t>
      </w:r>
      <w:r w:rsidRPr="00A018E9">
        <w:rPr>
          <w:i/>
          <w:sz w:val="18"/>
          <w:szCs w:val="18"/>
        </w:rPr>
        <w:t>1</w:t>
      </w:r>
      <w:r>
        <w:rPr>
          <w:i/>
          <w:sz w:val="18"/>
          <w:szCs w:val="18"/>
        </w:rPr>
        <w:t>7</w:t>
      </w:r>
    </w:p>
    <w:p w:rsidR="00940DAB" w:rsidRPr="00D84905" w:rsidRDefault="00940DAB" w:rsidP="00940DAB">
      <w:pPr>
        <w:spacing w:before="240"/>
      </w:pPr>
      <w:r w:rsidRPr="00546BD9">
        <w:t xml:space="preserve">Those living in the three least deprived quintiles were </w:t>
      </w:r>
      <w:r w:rsidR="002144EA">
        <w:t xml:space="preserve">much </w:t>
      </w:r>
      <w:r w:rsidRPr="00546BD9">
        <w:t xml:space="preserve">more likely than those living in the two most deprived to have visited </w:t>
      </w:r>
      <w:r>
        <w:t>many</w:t>
      </w:r>
      <w:r w:rsidRPr="00546BD9">
        <w:t xml:space="preserve"> of the places or events asked about</w:t>
      </w:r>
      <w:r>
        <w:t xml:space="preserve">, including </w:t>
      </w:r>
      <w:r w:rsidRPr="00546BD9">
        <w:t>visit</w:t>
      </w:r>
      <w:r>
        <w:t>ing</w:t>
      </w:r>
      <w:r w:rsidRPr="00546BD9">
        <w:t xml:space="preserve"> a swimming pool (96% compared with 88%), visit</w:t>
      </w:r>
      <w:r>
        <w:t>ing</w:t>
      </w:r>
      <w:r w:rsidRPr="00546BD9">
        <w:t xml:space="preserve"> the cinema</w:t>
      </w:r>
      <w:r w:rsidRPr="00546BD9" w:rsidDel="00767D55">
        <w:t xml:space="preserve"> </w:t>
      </w:r>
      <w:r w:rsidRPr="00546BD9">
        <w:t>(90% compared with 76%),</w:t>
      </w:r>
      <w:r>
        <w:t xml:space="preserve"> </w:t>
      </w:r>
      <w:r w:rsidRPr="00DE4153">
        <w:t>attend</w:t>
      </w:r>
      <w:r>
        <w:t>ing</w:t>
      </w:r>
      <w:r w:rsidRPr="00DE4153">
        <w:t xml:space="preserve"> a live perf</w:t>
      </w:r>
      <w:r>
        <w:t>ormance (75% compared with 59%),</w:t>
      </w:r>
      <w:r w:rsidRPr="00546BD9">
        <w:t xml:space="preserve"> and attend</w:t>
      </w:r>
      <w:r>
        <w:t>ing</w:t>
      </w:r>
      <w:r w:rsidRPr="00546BD9">
        <w:t xml:space="preserve"> a religious service (55% compared with 32%).</w:t>
      </w:r>
      <w:r w:rsidRPr="00D84905">
        <w:t xml:space="preserve"> </w:t>
      </w:r>
    </w:p>
    <w:p w:rsidR="00940DAB" w:rsidRDefault="00940DAB" w:rsidP="00940DAB">
      <w:pPr>
        <w:spacing w:before="240"/>
        <w:rPr>
          <w:rFonts w:cs="Arial"/>
        </w:rPr>
      </w:pPr>
      <w:r>
        <w:t>Parents and carers</w:t>
      </w:r>
      <w:r w:rsidRPr="00A13608">
        <w:t xml:space="preserve"> with a child aged 5</w:t>
      </w:r>
      <w:r>
        <w:t>-</w:t>
      </w:r>
      <w:r w:rsidRPr="00A13608">
        <w:t>8 years were also asked whether their child takes part in any of a list of specific activities on a regular basis:</w:t>
      </w:r>
    </w:p>
    <w:p w:rsidR="00940DAB" w:rsidRPr="00A13608" w:rsidRDefault="00940DAB" w:rsidP="00940DAB">
      <w:pPr>
        <w:pStyle w:val="Bullet1"/>
        <w:numPr>
          <w:ilvl w:val="0"/>
          <w:numId w:val="14"/>
        </w:numPr>
        <w:ind w:left="357" w:hanging="357"/>
      </w:pPr>
      <w:r w:rsidRPr="00A13608">
        <w:t>Community group or club</w:t>
      </w:r>
      <w:r>
        <w:t xml:space="preserve"> </w:t>
      </w:r>
      <w:r w:rsidRPr="00806DF5">
        <w:rPr>
          <w:rFonts w:cs="Arial"/>
        </w:rPr>
        <w:t>(e.g. cubs/beavers, rainbows/brownies, anchor boys, or cultural group)</w:t>
      </w:r>
    </w:p>
    <w:p w:rsidR="00940DAB" w:rsidRPr="00A13608" w:rsidRDefault="00940DAB" w:rsidP="00940DAB">
      <w:pPr>
        <w:pStyle w:val="Bullet1"/>
        <w:numPr>
          <w:ilvl w:val="0"/>
          <w:numId w:val="14"/>
        </w:numPr>
        <w:ind w:left="357" w:hanging="357"/>
      </w:pPr>
      <w:r w:rsidRPr="00A13608">
        <w:t>Team sport, sports coaching or sports lessons</w:t>
      </w:r>
      <w:r>
        <w:t xml:space="preserve"> </w:t>
      </w:r>
      <w:r w:rsidRPr="00806DF5">
        <w:rPr>
          <w:rFonts w:cs="Arial"/>
        </w:rPr>
        <w:t>(e.g. football, cricket or netball)</w:t>
      </w:r>
    </w:p>
    <w:p w:rsidR="00940DAB" w:rsidRPr="00A13608" w:rsidRDefault="00940DAB" w:rsidP="00940DAB">
      <w:pPr>
        <w:pStyle w:val="Bullet1"/>
        <w:numPr>
          <w:ilvl w:val="0"/>
          <w:numId w:val="14"/>
        </w:numPr>
        <w:ind w:left="357" w:hanging="357"/>
      </w:pPr>
      <w:r w:rsidRPr="00A13608">
        <w:t>Individual sport, sports coaching or sports lessons</w:t>
      </w:r>
      <w:r>
        <w:t xml:space="preserve"> </w:t>
      </w:r>
      <w:r w:rsidRPr="00806DF5">
        <w:rPr>
          <w:rFonts w:cs="Arial"/>
        </w:rPr>
        <w:t>(e.g. swimming, tennis, karate or gymnastics)</w:t>
      </w:r>
    </w:p>
    <w:p w:rsidR="00940DAB" w:rsidRPr="00A13608" w:rsidRDefault="00940DAB" w:rsidP="00940DAB">
      <w:pPr>
        <w:pStyle w:val="Bullet1"/>
        <w:numPr>
          <w:ilvl w:val="0"/>
          <w:numId w:val="14"/>
        </w:numPr>
        <w:ind w:left="357" w:hanging="357"/>
      </w:pPr>
      <w:r w:rsidRPr="00A13608">
        <w:t>Art, music, or performance lessons</w:t>
      </w:r>
      <w:r>
        <w:t xml:space="preserve"> </w:t>
      </w:r>
      <w:r w:rsidRPr="00806DF5">
        <w:rPr>
          <w:rFonts w:cs="Arial"/>
        </w:rPr>
        <w:t>(e.g. piano, dance, choir or drama)</w:t>
      </w:r>
    </w:p>
    <w:p w:rsidR="00940DAB" w:rsidRPr="00A13608" w:rsidRDefault="00940DAB" w:rsidP="00940DAB">
      <w:pPr>
        <w:pStyle w:val="Bullet1"/>
        <w:numPr>
          <w:ilvl w:val="0"/>
          <w:numId w:val="14"/>
        </w:numPr>
      </w:pPr>
      <w:r w:rsidRPr="00A13608">
        <w:t>Classes or extra lessons to improve academic skills</w:t>
      </w:r>
      <w:r>
        <w:t xml:space="preserve"> </w:t>
      </w:r>
      <w:r w:rsidRPr="00806DF5">
        <w:rPr>
          <w:rFonts w:cs="Arial"/>
        </w:rPr>
        <w:t>(e.g. remedial reading or extra tutoring)</w:t>
      </w:r>
    </w:p>
    <w:p w:rsidR="00940DAB" w:rsidRPr="00A13608" w:rsidRDefault="00940DAB" w:rsidP="00940DAB">
      <w:pPr>
        <w:pStyle w:val="Bullet1"/>
        <w:numPr>
          <w:ilvl w:val="0"/>
          <w:numId w:val="14"/>
        </w:numPr>
      </w:pPr>
      <w:r w:rsidRPr="00A13608">
        <w:t>Classes to learn new skills</w:t>
      </w:r>
      <w:r>
        <w:t xml:space="preserve"> (e.g. computing or learning another language)</w:t>
      </w:r>
    </w:p>
    <w:p w:rsidR="00940DAB" w:rsidRPr="00A13608" w:rsidRDefault="00940DAB" w:rsidP="00940DAB">
      <w:pPr>
        <w:pStyle w:val="Bullet1"/>
        <w:numPr>
          <w:ilvl w:val="0"/>
          <w:numId w:val="14"/>
        </w:numPr>
      </w:pPr>
      <w:r w:rsidRPr="00A13608">
        <w:t>Religious services or classes</w:t>
      </w:r>
    </w:p>
    <w:p w:rsidR="00940DAB" w:rsidRDefault="00940DAB" w:rsidP="00940DAB">
      <w:pPr>
        <w:spacing w:before="240"/>
      </w:pPr>
      <w:r>
        <w:t>The majority (85%) of children in this age group</w:t>
      </w:r>
      <w:r w:rsidRPr="00A13608">
        <w:t xml:space="preserve"> engaged in</w:t>
      </w:r>
      <w:r>
        <w:t xml:space="preserve"> at least one such regular activity</w:t>
      </w:r>
      <w:r w:rsidRPr="00A13608">
        <w:t xml:space="preserve">. The most common </w:t>
      </w:r>
      <w:r>
        <w:t>of these were</w:t>
      </w:r>
      <w:r w:rsidRPr="00A13608">
        <w:t xml:space="preserve"> </w:t>
      </w:r>
      <w:r>
        <w:t>individual and team sport</w:t>
      </w:r>
      <w:r w:rsidR="00573D33">
        <w:t>s</w:t>
      </w:r>
      <w:r>
        <w:t xml:space="preserve"> (66% and 47% respectively), followed by community groups or clubs (42%) and art, music or performance lessons (30%). A smaller proportion were said to take part regularly in religious services or classes (18%), classes or extra lessons to improve academic skills (3%) and classes to learn new skills (5%).</w:t>
      </w:r>
    </w:p>
    <w:p w:rsidR="00940DAB" w:rsidRPr="00C71241" w:rsidRDefault="00940DAB" w:rsidP="00940DAB">
      <w:pPr>
        <w:jc w:val="both"/>
      </w:pPr>
      <w:r w:rsidRPr="00AF24FD">
        <w:t>Children living in the three le</w:t>
      </w:r>
      <w:r>
        <w:t>ast</w:t>
      </w:r>
      <w:r w:rsidRPr="00AF24FD">
        <w:t xml:space="preserve"> deprived quintiles were more likely to engage in individual sports (74%) than </w:t>
      </w:r>
      <w:r w:rsidR="002144EA">
        <w:t xml:space="preserve">were </w:t>
      </w:r>
      <w:r w:rsidRPr="00AF24FD">
        <w:t>those in the two mo</w:t>
      </w:r>
      <w:r>
        <w:t>st</w:t>
      </w:r>
      <w:r w:rsidRPr="00AF24FD">
        <w:t xml:space="preserve"> deprived (55%)</w:t>
      </w:r>
      <w:r>
        <w:t>, whilst</w:t>
      </w:r>
      <w:r w:rsidRPr="00AF24FD">
        <w:t xml:space="preserve"> </w:t>
      </w:r>
      <w:r>
        <w:t>b</w:t>
      </w:r>
      <w:r w:rsidRPr="00AF24FD">
        <w:t>oys were more likely to participate in team sports than girls (54% compared with 39%)</w:t>
      </w:r>
      <w:r>
        <w:t>.</w:t>
      </w:r>
    </w:p>
    <w:p w:rsidR="00940DAB" w:rsidRDefault="00940DAB" w:rsidP="00940DAB">
      <w:pPr>
        <w:spacing w:before="240"/>
      </w:pPr>
      <w:r>
        <w:t>Those</w:t>
      </w:r>
      <w:r w:rsidRPr="00A13608">
        <w:t xml:space="preserve"> with a child aged between 7 and 8 years were asked whether their child is allowed to go to a range of specific places either on his or her own or with friends of his or her own age without adult supervision. </w:t>
      </w:r>
      <w:r>
        <w:t xml:space="preserve">Almost all </w:t>
      </w:r>
      <w:r w:rsidRPr="00A13608">
        <w:t xml:space="preserve">children </w:t>
      </w:r>
      <w:r w:rsidR="0039798C">
        <w:t>of this age (</w:t>
      </w:r>
      <w:r>
        <w:t>91</w:t>
      </w:r>
      <w:r w:rsidRPr="00A13608">
        <w:t>%</w:t>
      </w:r>
      <w:r>
        <w:t>)</w:t>
      </w:r>
      <w:r w:rsidRPr="00A13608">
        <w:t xml:space="preserve"> </w:t>
      </w:r>
      <w:r>
        <w:t>we</w:t>
      </w:r>
      <w:r w:rsidRPr="00A13608">
        <w:t xml:space="preserve">re allowed to go out in their own backyard or garden, whilst </w:t>
      </w:r>
      <w:r>
        <w:t>79</w:t>
      </w:r>
      <w:r w:rsidRPr="00A13608">
        <w:t xml:space="preserve">% </w:t>
      </w:r>
      <w:r>
        <w:t>we</w:t>
      </w:r>
      <w:r w:rsidRPr="00A13608">
        <w:t xml:space="preserve">re allowed to go out onto a pavement or area in front of the home and </w:t>
      </w:r>
      <w:r>
        <w:t>64</w:t>
      </w:r>
      <w:r w:rsidRPr="00A13608">
        <w:t>% to see a friend without crossing a road (</w:t>
      </w:r>
      <w:r>
        <w:t>53</w:t>
      </w:r>
      <w:r w:rsidRPr="00A13608">
        <w:t xml:space="preserve">% are allowed to cross a road to see a friend). </w:t>
      </w:r>
      <w:r>
        <w:t>Just 5</w:t>
      </w:r>
      <w:r w:rsidRPr="00A13608">
        <w:t>% of children aged between 7 and 8 years were not allowed anywhere outdoors without constant adult supervision.</w:t>
      </w:r>
    </w:p>
    <w:p w:rsidR="00940DAB" w:rsidRDefault="00940DAB" w:rsidP="00940DAB">
      <w:pPr>
        <w:pStyle w:val="Heading3"/>
        <w:numPr>
          <w:ilvl w:val="0"/>
          <w:numId w:val="0"/>
        </w:numPr>
        <w:spacing w:line="276" w:lineRule="auto"/>
        <w:ind w:left="851" w:hanging="851"/>
      </w:pPr>
      <w:bookmarkStart w:id="221" w:name="_Toc492045532"/>
      <w:bookmarkStart w:id="222" w:name="_Toc494182123"/>
      <w:r w:rsidRPr="002144EA">
        <w:rPr>
          <w:color w:val="auto"/>
        </w:rPr>
        <w:lastRenderedPageBreak/>
        <w:t>Nei</w:t>
      </w:r>
      <w:r w:rsidRPr="002144EA">
        <w:t>ghbourhood, safety and community (Safe)</w:t>
      </w:r>
      <w:bookmarkEnd w:id="221"/>
      <w:bookmarkEnd w:id="222"/>
    </w:p>
    <w:p w:rsidR="00940DAB" w:rsidRDefault="00940DAB" w:rsidP="00940DAB">
      <w:pPr>
        <w:spacing w:before="240"/>
      </w:pPr>
      <w:r>
        <w:t>There are well established links between children and young people’s mental and emotional wellbeing and how they feel about the area they live in</w:t>
      </w:r>
      <w:r w:rsidRPr="00A13608">
        <w:t>.</w:t>
      </w:r>
      <w:r>
        <w:t xml:space="preserve"> Although the latter issue could not be addressed directly by the survey, it was possible to obtain contextual and attitudinal information from parents.</w:t>
      </w:r>
    </w:p>
    <w:p w:rsidR="00940DAB" w:rsidRDefault="00940DAB" w:rsidP="00940DAB">
      <w:pPr>
        <w:spacing w:before="240"/>
      </w:pPr>
      <w:r>
        <w:t xml:space="preserve">Many children in this age group </w:t>
      </w:r>
      <w:r w:rsidRPr="00986C3F">
        <w:t xml:space="preserve">live in households that are well established in the local area: </w:t>
      </w:r>
      <w:r>
        <w:t>around</w:t>
      </w:r>
      <w:r w:rsidRPr="00986C3F">
        <w:t xml:space="preserve"> half (</w:t>
      </w:r>
      <w:r>
        <w:t>46</w:t>
      </w:r>
      <w:r w:rsidRPr="00986C3F">
        <w:t>%) of the parents and carers interviewed had lived in their area for more than ten years (</w:t>
      </w:r>
      <w:r>
        <w:t>19</w:t>
      </w:r>
      <w:r w:rsidRPr="00986C3F">
        <w:t xml:space="preserve">% between 11 and 20 years, </w:t>
      </w:r>
      <w:r>
        <w:t>9</w:t>
      </w:r>
      <w:r w:rsidRPr="00986C3F">
        <w:t xml:space="preserve">% between 21 and 30 years, and </w:t>
      </w:r>
      <w:r>
        <w:t>18</w:t>
      </w:r>
      <w:r w:rsidRPr="00986C3F">
        <w:t xml:space="preserve">% for more than 30 years). </w:t>
      </w:r>
      <w:r w:rsidR="0039798C">
        <w:t>Of t</w:t>
      </w:r>
      <w:r w:rsidRPr="00986C3F">
        <w:t xml:space="preserve">he </w:t>
      </w:r>
      <w:r>
        <w:t>54</w:t>
      </w:r>
      <w:r w:rsidRPr="00986C3F">
        <w:t>%</w:t>
      </w:r>
      <w:r w:rsidR="0039798C">
        <w:t xml:space="preserve"> who had been</w:t>
      </w:r>
      <w:r w:rsidRPr="00986C3F">
        <w:t xml:space="preserve"> resident in the area for ten years or less</w:t>
      </w:r>
      <w:r w:rsidR="0039798C">
        <w:t xml:space="preserve">, </w:t>
      </w:r>
      <w:r>
        <w:t>15</w:t>
      </w:r>
      <w:r w:rsidRPr="00986C3F">
        <w:t xml:space="preserve">% had lived there for less than two years, and a further </w:t>
      </w:r>
      <w:r>
        <w:t>15</w:t>
      </w:r>
      <w:r w:rsidRPr="00986C3F">
        <w:t>% had lived there between two and four years.</w:t>
      </w:r>
    </w:p>
    <w:p w:rsidR="00940DAB" w:rsidRPr="00A13608" w:rsidRDefault="00940DAB" w:rsidP="00940DAB">
      <w:pPr>
        <w:spacing w:before="240"/>
      </w:pPr>
      <w:r>
        <w:rPr>
          <w:rFonts w:eastAsia="Calibri" w:cstheme="minorHAnsi"/>
        </w:rPr>
        <w:t xml:space="preserve">Perhaps not surprisingly, then, most parents said they felt </w:t>
      </w:r>
      <w:r>
        <w:rPr>
          <w:rFonts w:cstheme="minorHAnsi"/>
          <w:szCs w:val="20"/>
        </w:rPr>
        <w:t>they were</w:t>
      </w:r>
      <w:r w:rsidRPr="00E45AC0">
        <w:rPr>
          <w:rFonts w:cstheme="minorHAnsi"/>
          <w:szCs w:val="20"/>
        </w:rPr>
        <w:t xml:space="preserve"> settled in and </w:t>
      </w:r>
      <w:r>
        <w:rPr>
          <w:rFonts w:cstheme="minorHAnsi"/>
          <w:szCs w:val="20"/>
        </w:rPr>
        <w:t>part of the</w:t>
      </w:r>
      <w:r w:rsidRPr="00E45AC0">
        <w:rPr>
          <w:rFonts w:cstheme="minorHAnsi"/>
          <w:szCs w:val="20"/>
        </w:rPr>
        <w:t xml:space="preserve"> community</w:t>
      </w:r>
      <w:r w:rsidR="00FA7C47">
        <w:rPr>
          <w:rFonts w:cstheme="minorHAnsi"/>
          <w:szCs w:val="20"/>
        </w:rPr>
        <w:t xml:space="preserve"> in their area (85</w:t>
      </w:r>
      <w:r>
        <w:rPr>
          <w:rFonts w:cstheme="minorHAnsi"/>
          <w:szCs w:val="20"/>
        </w:rPr>
        <w:t>%). A majority also agreed that people in the community are willing to help their neighbours (73%).</w:t>
      </w:r>
    </w:p>
    <w:p w:rsidR="00940DAB" w:rsidRDefault="00940DAB" w:rsidP="00940DAB">
      <w:pPr>
        <w:tabs>
          <w:tab w:val="left" w:pos="426"/>
          <w:tab w:val="left" w:pos="851"/>
          <w:tab w:val="left" w:pos="1276"/>
        </w:tabs>
        <w:spacing w:before="240"/>
        <w:rPr>
          <w:rFonts w:cstheme="minorHAnsi"/>
          <w:szCs w:val="20"/>
        </w:rPr>
      </w:pPr>
      <w:r w:rsidRPr="0033571B">
        <w:t xml:space="preserve">Most (74%) also agreed that it is safe to walk in their local area in the dark – a higher proportion to the 61% found nationally among </w:t>
      </w:r>
      <w:r w:rsidRPr="0033571B">
        <w:rPr>
          <w:rFonts w:eastAsia="Calibri" w:cstheme="minorHAnsi"/>
        </w:rPr>
        <w:t>parents of children aged 3 in</w:t>
      </w:r>
      <w:r w:rsidRPr="0033571B">
        <w:t xml:space="preserve"> GUS.</w:t>
      </w:r>
      <w:r w:rsidRPr="0033571B">
        <w:rPr>
          <w:rStyle w:val="EndnoteReference"/>
          <w:rFonts w:eastAsia="Calibri" w:cstheme="minorHAnsi"/>
        </w:rPr>
        <w:endnoteReference w:id="71"/>
      </w:r>
      <w:r w:rsidRPr="0033571B">
        <w:rPr>
          <w:rFonts w:eastAsia="Calibri" w:cstheme="minorHAnsi"/>
        </w:rPr>
        <w:t xml:space="preserve"> (In</w:t>
      </w:r>
      <w:r>
        <w:rPr>
          <w:rFonts w:eastAsia="Calibri" w:cstheme="minorHAnsi"/>
        </w:rPr>
        <w:t xml:space="preserve"> both cases, however, it needs to be remembered that the majority of interviewees were female and that this may have had an influence on responses to the question.) A similar proportion agreed that there are safe parks, play grounds and play spaces in the area (74%), and that it is safe for children to play outside in their area during the day (73%). </w:t>
      </w:r>
    </w:p>
    <w:p w:rsidR="00940DAB" w:rsidRDefault="00940DAB" w:rsidP="00940DAB">
      <w:pPr>
        <w:spacing w:before="240"/>
      </w:pPr>
      <w:r>
        <w:t>Combining data from the above questions</w:t>
      </w:r>
      <w:r>
        <w:rPr>
          <w:rStyle w:val="EndnoteReference"/>
        </w:rPr>
        <w:endnoteReference w:id="72"/>
      </w:r>
      <w:r>
        <w:t xml:space="preserve"> resulted in 30% of respondents being classified as having a higher level, 53% as having a medium level and 16% as having a lower level of feeling safe/part of a community.</w:t>
      </w:r>
      <w:r w:rsidRPr="00CF60A7">
        <w:t xml:space="preserve"> </w:t>
      </w:r>
      <w:r w:rsidRPr="00AF24FD">
        <w:t>Area deprivation was a factor here, with those in the three least deprived quintiles more likely than those in the two most deprived quintiles to perceive high levels of feeling safe / being part of the community (37% compared with 22%).</w:t>
      </w:r>
    </w:p>
    <w:p w:rsidR="00940DAB" w:rsidRPr="00B1543A" w:rsidRDefault="00940DAB" w:rsidP="00940DAB">
      <w:pPr>
        <w:spacing w:before="240"/>
      </w:pPr>
      <w:r>
        <w:rPr>
          <w:noProof/>
          <w:lang w:eastAsia="en-GB"/>
        </w:rPr>
        <w:lastRenderedPageBreak/>
        <w:drawing>
          <wp:inline distT="0" distB="0" distL="0" distR="0" wp14:anchorId="2375DF61" wp14:editId="7C07487A">
            <wp:extent cx="5124450" cy="3667125"/>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534EC7" w:rsidRDefault="00940DAB" w:rsidP="00940DAB">
      <w:pPr>
        <w:pStyle w:val="Heading2"/>
        <w:tabs>
          <w:tab w:val="clear" w:pos="0"/>
          <w:tab w:val="num" w:pos="900"/>
        </w:tabs>
        <w:spacing w:line="276" w:lineRule="auto"/>
        <w:ind w:left="900" w:hanging="900"/>
      </w:pPr>
      <w:bookmarkStart w:id="223" w:name="_Toc492045533"/>
      <w:bookmarkStart w:id="224" w:name="_Toc494182124"/>
      <w:r w:rsidRPr="00534EC7">
        <w:t>Broader parental views and experiences</w:t>
      </w:r>
      <w:bookmarkEnd w:id="223"/>
      <w:bookmarkEnd w:id="224"/>
    </w:p>
    <w:p w:rsidR="00940DAB" w:rsidRDefault="00940DAB" w:rsidP="00940DAB">
      <w:pPr>
        <w:rPr>
          <w:rFonts w:cstheme="minorHAnsi"/>
          <w:color w:val="000000"/>
        </w:rPr>
      </w:pPr>
      <w:r w:rsidRPr="00A97412">
        <w:rPr>
          <w:rFonts w:cstheme="minorHAnsi"/>
        </w:rPr>
        <w:t xml:space="preserve">This </w:t>
      </w:r>
      <w:r>
        <w:rPr>
          <w:rFonts w:cstheme="minorHAnsi"/>
        </w:rPr>
        <w:t xml:space="preserve">final </w:t>
      </w:r>
      <w:r w:rsidRPr="00A97412">
        <w:rPr>
          <w:rFonts w:cstheme="minorHAnsi"/>
        </w:rPr>
        <w:t xml:space="preserve">section </w:t>
      </w:r>
      <w:r>
        <w:rPr>
          <w:rFonts w:cstheme="minorHAnsi"/>
        </w:rPr>
        <w:t>considers some broader</w:t>
      </w:r>
      <w:r w:rsidRPr="00A97412">
        <w:rPr>
          <w:rFonts w:cstheme="minorHAnsi"/>
        </w:rPr>
        <w:t xml:space="preserve"> parental views and experiences </w:t>
      </w:r>
      <w:r>
        <w:rPr>
          <w:rFonts w:cstheme="minorHAnsi"/>
        </w:rPr>
        <w:t>which may be indirectly relevant to child wellbeing or to the ability of services to support parents and carers appropriately. These include measures of</w:t>
      </w:r>
      <w:r w:rsidRPr="00A97412">
        <w:rPr>
          <w:rFonts w:cstheme="minorHAnsi"/>
        </w:rPr>
        <w:t xml:space="preserve"> </w:t>
      </w:r>
      <w:r>
        <w:rPr>
          <w:rFonts w:cstheme="minorHAnsi"/>
        </w:rPr>
        <w:t xml:space="preserve">use of and satisfaction with local services; </w:t>
      </w:r>
      <w:r w:rsidRPr="00A97412">
        <w:rPr>
          <w:rFonts w:cstheme="minorHAnsi"/>
        </w:rPr>
        <w:t>social support (family support and social networks</w:t>
      </w:r>
      <w:r>
        <w:rPr>
          <w:rFonts w:cstheme="minorHAnsi"/>
        </w:rPr>
        <w:t>)</w:t>
      </w:r>
      <w:r w:rsidRPr="00A97412">
        <w:rPr>
          <w:rFonts w:cstheme="minorHAnsi"/>
        </w:rPr>
        <w:t>; quality of parental relationships;</w:t>
      </w:r>
      <w:r>
        <w:rPr>
          <w:rFonts w:cstheme="minorHAnsi"/>
        </w:rPr>
        <w:t xml:space="preserve"> use of childcare</w:t>
      </w:r>
      <w:r w:rsidRPr="00A97412">
        <w:rPr>
          <w:rFonts w:cstheme="minorHAnsi"/>
        </w:rPr>
        <w:t xml:space="preserve"> </w:t>
      </w:r>
      <w:r w:rsidRPr="008D6DB1">
        <w:rPr>
          <w:rFonts w:cstheme="minorHAnsi"/>
        </w:rPr>
        <w:t>and use of and access to parenting support services).</w:t>
      </w:r>
      <w:r w:rsidRPr="00C36FDF">
        <w:rPr>
          <w:rFonts w:cstheme="minorHAnsi"/>
          <w:color w:val="000000"/>
        </w:rPr>
        <w:t xml:space="preserve"> </w:t>
      </w:r>
    </w:p>
    <w:p w:rsidR="00940DAB" w:rsidRPr="00724949" w:rsidRDefault="00940DAB" w:rsidP="00940DAB">
      <w:pPr>
        <w:pStyle w:val="Heading3"/>
        <w:tabs>
          <w:tab w:val="clear" w:pos="0"/>
          <w:tab w:val="num" w:pos="900"/>
        </w:tabs>
        <w:spacing w:after="200" w:line="276" w:lineRule="auto"/>
        <w:ind w:left="902" w:hanging="902"/>
      </w:pPr>
      <w:bookmarkStart w:id="225" w:name="_Toc492045534"/>
      <w:bookmarkStart w:id="226" w:name="_Toc494182125"/>
      <w:r>
        <w:t>Use of and satisfaction with local services</w:t>
      </w:r>
      <w:bookmarkEnd w:id="225"/>
      <w:bookmarkEnd w:id="226"/>
      <w:r>
        <w:t xml:space="preserve"> </w:t>
      </w:r>
    </w:p>
    <w:p w:rsidR="00940DAB" w:rsidRPr="000F4549" w:rsidRDefault="00940DAB" w:rsidP="00940DAB">
      <w:pPr>
        <w:pStyle w:val="Heading3"/>
        <w:numPr>
          <w:ilvl w:val="0"/>
          <w:numId w:val="0"/>
        </w:numPr>
        <w:spacing w:line="276" w:lineRule="auto"/>
        <w:ind w:left="851" w:hanging="851"/>
      </w:pPr>
      <w:bookmarkStart w:id="227" w:name="_Toc492045535"/>
      <w:bookmarkStart w:id="228" w:name="_Toc494182126"/>
      <w:r w:rsidRPr="000E6077">
        <w:rPr>
          <w:color w:val="auto"/>
        </w:rPr>
        <w:t>A</w:t>
      </w:r>
      <w:r w:rsidRPr="000F4549">
        <w:t>vailability of services and amenities</w:t>
      </w:r>
      <w:bookmarkEnd w:id="227"/>
      <w:bookmarkEnd w:id="228"/>
      <w:r w:rsidRPr="000F4549">
        <w:t xml:space="preserve"> </w:t>
      </w:r>
    </w:p>
    <w:p w:rsidR="00940DAB" w:rsidRDefault="00940DAB" w:rsidP="00940DAB">
      <w:pPr>
        <w:spacing w:before="240"/>
      </w:pPr>
      <w:r w:rsidRPr="00B91E1C">
        <w:t>As Chart 4.5.1a shows,</w:t>
      </w:r>
      <w:r w:rsidRPr="00994490">
        <w:t xml:space="preserve"> </w:t>
      </w:r>
      <w:r>
        <w:t>most or almost all</w:t>
      </w:r>
      <w:r w:rsidRPr="00994490">
        <w:t xml:space="preserve"> parents </w:t>
      </w:r>
      <w:r>
        <w:t xml:space="preserve">and carers </w:t>
      </w:r>
      <w:r w:rsidRPr="00994490">
        <w:t xml:space="preserve">in </w:t>
      </w:r>
      <w:r>
        <w:t>Falkirk</w:t>
      </w:r>
      <w:r w:rsidRPr="00994490">
        <w:t xml:space="preserve"> said they had easy access to a range of key services and amenities. The </w:t>
      </w:r>
      <w:r>
        <w:t>main</w:t>
      </w:r>
      <w:r w:rsidRPr="00994490">
        <w:t xml:space="preserve"> exceptions to this were access to </w:t>
      </w:r>
      <w:r>
        <w:t xml:space="preserve">a </w:t>
      </w:r>
      <w:r w:rsidRPr="00994490">
        <w:t>social welfare office</w:t>
      </w:r>
      <w:r>
        <w:t>.</w:t>
      </w:r>
    </w:p>
    <w:p w:rsidR="00940DAB" w:rsidRPr="00DC68D9" w:rsidRDefault="00940DAB" w:rsidP="00940DAB">
      <w:pPr>
        <w:spacing w:before="240"/>
      </w:pPr>
      <w:r>
        <w:rPr>
          <w:noProof/>
          <w:lang w:eastAsia="en-GB"/>
        </w:rPr>
        <w:lastRenderedPageBreak/>
        <w:drawing>
          <wp:inline distT="0" distB="0" distL="0" distR="0" wp14:anchorId="3E747206" wp14:editId="144713D8">
            <wp:extent cx="5386389" cy="3248025"/>
            <wp:effectExtent l="0" t="0" r="508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Pr="00994490" w:rsidRDefault="00940DAB" w:rsidP="00940DAB">
      <w:pPr>
        <w:spacing w:before="240"/>
      </w:pPr>
      <w:r w:rsidRPr="00994490">
        <w:t xml:space="preserve">Although </w:t>
      </w:r>
      <w:r>
        <w:t>71% of</w:t>
      </w:r>
      <w:r w:rsidRPr="00994490">
        <w:t xml:space="preserve"> parents said they had easy access to ‘groups, clubs and activities’, only </w:t>
      </w:r>
      <w:r>
        <w:t>31%</w:t>
      </w:r>
      <w:r w:rsidRPr="00994490">
        <w:t xml:space="preserve"> reported actually being involved in local clubs and groups.</w:t>
      </w:r>
    </w:p>
    <w:p w:rsidR="00940DAB" w:rsidRDefault="00940DAB" w:rsidP="00940DAB">
      <w:pPr>
        <w:spacing w:before="240"/>
      </w:pPr>
      <w:r w:rsidRPr="00994490">
        <w:t>A</w:t>
      </w:r>
      <w:r>
        <w:t>lthough a</w:t>
      </w:r>
      <w:r w:rsidRPr="00994490">
        <w:t xml:space="preserve"> majority of parents felt that the overall quality and availability of services for children and families in their area was either ‘very good’ (</w:t>
      </w:r>
      <w:r>
        <w:t>20</w:t>
      </w:r>
      <w:r w:rsidRPr="00994490">
        <w:t>%) or ‘fairly good’ (</w:t>
      </w:r>
      <w:r>
        <w:t>44%)</w:t>
      </w:r>
      <w:r w:rsidRPr="00994490">
        <w:t xml:space="preserve">, </w:t>
      </w:r>
      <w:r>
        <w:t>13</w:t>
      </w:r>
      <w:r w:rsidRPr="00994490">
        <w:t xml:space="preserve">% felt services were ‘fairly poor’ and </w:t>
      </w:r>
      <w:r>
        <w:t>5</w:t>
      </w:r>
      <w:r w:rsidRPr="00994490">
        <w:t>% ‘very poor’</w:t>
      </w:r>
      <w:r>
        <w:t>. This suggests there is considerable scope to improve local services based on these parental assessments.</w:t>
      </w:r>
    </w:p>
    <w:p w:rsidR="00940DAB" w:rsidRPr="000F4549" w:rsidRDefault="00940DAB" w:rsidP="00940DAB">
      <w:pPr>
        <w:pStyle w:val="Heading3"/>
        <w:numPr>
          <w:ilvl w:val="0"/>
          <w:numId w:val="0"/>
        </w:numPr>
        <w:spacing w:line="276" w:lineRule="auto"/>
        <w:ind w:left="851" w:hanging="851"/>
      </w:pPr>
      <w:bookmarkStart w:id="229" w:name="_Toc492045536"/>
      <w:bookmarkStart w:id="230" w:name="_Toc494182127"/>
      <w:r w:rsidRPr="000E6077">
        <w:rPr>
          <w:color w:val="auto"/>
        </w:rPr>
        <w:t>C</w:t>
      </w:r>
      <w:r w:rsidRPr="000F4549">
        <w:t>ontact with professionals</w:t>
      </w:r>
      <w:bookmarkEnd w:id="229"/>
      <w:bookmarkEnd w:id="230"/>
    </w:p>
    <w:p w:rsidR="00940DAB" w:rsidRPr="00994490" w:rsidRDefault="00940DAB" w:rsidP="00940DAB">
      <w:pPr>
        <w:spacing w:before="240"/>
      </w:pPr>
      <w:r>
        <w:t>P</w:t>
      </w:r>
      <w:r w:rsidRPr="00994490">
        <w:t xml:space="preserve">arents were </w:t>
      </w:r>
      <w:r>
        <w:t>more</w:t>
      </w:r>
      <w:r w:rsidRPr="00994490">
        <w:t xml:space="preserve"> likely to have been in contact </w:t>
      </w:r>
      <w:r>
        <w:t>with a GP/Doctor</w:t>
      </w:r>
      <w:r w:rsidRPr="00994490">
        <w:t xml:space="preserve"> over the last 12 months </w:t>
      </w:r>
      <w:r>
        <w:t>than a health visitor or teacher (excluding normal classroom teaching</w:t>
      </w:r>
      <w:r w:rsidRPr="00B91E1C">
        <w:t>) (Chart 4.5.1b), with</w:t>
      </w:r>
      <w:r>
        <w:t xml:space="preserve"> 80% having had contact with a</w:t>
      </w:r>
      <w:r w:rsidRPr="00994490">
        <w:t xml:space="preserve"> GP/Doctor</w:t>
      </w:r>
      <w:r>
        <w:t xml:space="preserve"> compared with 38% who had been in contact with a health visitor and 25% a teacher. </w:t>
      </w:r>
    </w:p>
    <w:p w:rsidR="00940DAB" w:rsidRDefault="00940DAB" w:rsidP="00940DAB">
      <w:pPr>
        <w:spacing w:before="240"/>
      </w:pPr>
      <w:r w:rsidRPr="00994490">
        <w:t xml:space="preserve">Contact with a health visitor </w:t>
      </w:r>
      <w:r>
        <w:t xml:space="preserve">and with a GP </w:t>
      </w:r>
      <w:r w:rsidRPr="00994490">
        <w:t>is more common among parents of younger children</w:t>
      </w:r>
      <w:r>
        <w:t>. Almost nine out of ten (88%) parents of children aged 0-2 had contact with a GP compared with around eight out of ten parents of children aged 3-4 years (84%) and seven out of ten parents of children aged 5-8 years (73%).</w:t>
      </w:r>
      <w:r w:rsidRPr="00994490">
        <w:t xml:space="preserve"> </w:t>
      </w:r>
      <w:r>
        <w:t xml:space="preserve">In contrast, and as may be expected, contact with a teacher was higher amongst parents of children aged 5-8 years – 42% had done so compared with 23% of parents of 3-4 year olds. </w:t>
      </w:r>
      <w:r w:rsidRPr="00994490">
        <w:t>O</w:t>
      </w:r>
      <w:r>
        <w:t>verall, 88</w:t>
      </w:r>
      <w:r w:rsidRPr="00994490">
        <w:t>% of parents had come into contact with at least one of these services in the last 12 months.</w:t>
      </w:r>
    </w:p>
    <w:p w:rsidR="00940DAB" w:rsidRPr="007137BA" w:rsidRDefault="00940DAB" w:rsidP="00940DAB">
      <w:pPr>
        <w:spacing w:before="240"/>
      </w:pPr>
      <w:r>
        <w:rPr>
          <w:noProof/>
          <w:lang w:eastAsia="en-GB"/>
        </w:rPr>
        <w:lastRenderedPageBreak/>
        <w:drawing>
          <wp:inline distT="0" distB="0" distL="0" distR="0" wp14:anchorId="05D0F9C6" wp14:editId="3D0ACC2A">
            <wp:extent cx="5386389" cy="3600451"/>
            <wp:effectExtent l="0" t="0" r="508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A018E9">
        <w:rPr>
          <w:i/>
          <w:sz w:val="18"/>
          <w:szCs w:val="18"/>
        </w:rPr>
        <w:t xml:space="preserve">Source: RCS </w:t>
      </w:r>
      <w:r>
        <w:rPr>
          <w:i/>
          <w:sz w:val="18"/>
          <w:szCs w:val="18"/>
        </w:rPr>
        <w:t>parent survey, Falkirk 20</w:t>
      </w:r>
      <w:r w:rsidRPr="00A018E9">
        <w:rPr>
          <w:i/>
          <w:sz w:val="18"/>
          <w:szCs w:val="18"/>
        </w:rPr>
        <w:t>16</w:t>
      </w:r>
    </w:p>
    <w:p w:rsidR="00940DAB" w:rsidRPr="00CD4E79" w:rsidRDefault="00940DAB" w:rsidP="00940DAB">
      <w:pPr>
        <w:pStyle w:val="Heading3"/>
        <w:tabs>
          <w:tab w:val="clear" w:pos="0"/>
          <w:tab w:val="num" w:pos="900"/>
        </w:tabs>
        <w:spacing w:after="200" w:line="276" w:lineRule="auto"/>
        <w:ind w:left="902" w:hanging="902"/>
      </w:pPr>
      <w:bookmarkStart w:id="231" w:name="_Toc492045537"/>
      <w:bookmarkStart w:id="232" w:name="_Toc494182128"/>
      <w:r w:rsidRPr="00CD4E79">
        <w:t>Social support</w:t>
      </w:r>
      <w:bookmarkEnd w:id="231"/>
      <w:bookmarkEnd w:id="232"/>
    </w:p>
    <w:p w:rsidR="00940DAB" w:rsidRPr="00EE6B81" w:rsidRDefault="00940DAB" w:rsidP="00940DAB">
      <w:pPr>
        <w:pStyle w:val="Heading3"/>
        <w:numPr>
          <w:ilvl w:val="0"/>
          <w:numId w:val="0"/>
        </w:numPr>
        <w:spacing w:line="276" w:lineRule="auto"/>
        <w:ind w:left="851" w:hanging="851"/>
      </w:pPr>
      <w:bookmarkStart w:id="233" w:name="_Toc492045538"/>
      <w:bookmarkStart w:id="234" w:name="_Toc494182129"/>
      <w:r w:rsidRPr="000E6077">
        <w:rPr>
          <w:color w:val="auto"/>
        </w:rPr>
        <w:t>F</w:t>
      </w:r>
      <w:r>
        <w:t>amily support and social networks</w:t>
      </w:r>
      <w:bookmarkEnd w:id="233"/>
      <w:bookmarkEnd w:id="234"/>
    </w:p>
    <w:p w:rsidR="00940DAB" w:rsidRPr="00FA4400" w:rsidRDefault="00940DAB" w:rsidP="00940DAB">
      <w:pPr>
        <w:autoSpaceDE w:val="0"/>
        <w:autoSpaceDN w:val="0"/>
        <w:adjustRightInd w:val="0"/>
        <w:rPr>
          <w:rFonts w:cstheme="minorHAnsi"/>
          <w:sz w:val="20"/>
        </w:rPr>
      </w:pPr>
      <w:r>
        <w:rPr>
          <w:rFonts w:eastAsia="Calibri" w:cstheme="minorHAnsi"/>
          <w:szCs w:val="24"/>
          <w:lang w:eastAsia="en-GB"/>
        </w:rPr>
        <w:t>I</w:t>
      </w:r>
      <w:r w:rsidRPr="00FA4400">
        <w:rPr>
          <w:rFonts w:eastAsia="Calibri" w:cstheme="minorHAnsi"/>
          <w:szCs w:val="24"/>
          <w:lang w:eastAsia="en-GB"/>
        </w:rPr>
        <w:t xml:space="preserve">nformal social support networks </w:t>
      </w:r>
      <w:r>
        <w:rPr>
          <w:rFonts w:eastAsia="Calibri" w:cstheme="minorHAnsi"/>
          <w:szCs w:val="24"/>
          <w:lang w:eastAsia="en-GB"/>
        </w:rPr>
        <w:t xml:space="preserve">have been found to </w:t>
      </w:r>
      <w:r w:rsidRPr="00FA4400">
        <w:rPr>
          <w:rFonts w:eastAsia="Calibri" w:cstheme="minorHAnsi"/>
          <w:szCs w:val="24"/>
          <w:lang w:eastAsia="en-GB"/>
        </w:rPr>
        <w:t>play a significant part in helping parents in their role. The importance of informal support for families with multiple disadvantages, but particular</w:t>
      </w:r>
      <w:r>
        <w:rPr>
          <w:rFonts w:eastAsia="Calibri" w:cstheme="minorHAnsi"/>
          <w:szCs w:val="24"/>
          <w:lang w:eastAsia="en-GB"/>
        </w:rPr>
        <w:t>ly with low incomes, has</w:t>
      </w:r>
      <w:r w:rsidRPr="00FA4400">
        <w:rPr>
          <w:rFonts w:eastAsia="Calibri" w:cstheme="minorHAnsi"/>
          <w:szCs w:val="24"/>
          <w:lang w:eastAsia="en-GB"/>
        </w:rPr>
        <w:t xml:space="preserve"> been</w:t>
      </w:r>
      <w:r>
        <w:rPr>
          <w:rFonts w:eastAsia="Calibri" w:cstheme="minorHAnsi"/>
          <w:szCs w:val="24"/>
          <w:lang w:eastAsia="en-GB"/>
        </w:rPr>
        <w:t xml:space="preserve"> highlighted </w:t>
      </w:r>
      <w:r w:rsidRPr="00FA4400">
        <w:rPr>
          <w:rFonts w:eastAsia="Calibri" w:cstheme="minorHAnsi"/>
          <w:szCs w:val="24"/>
          <w:lang w:eastAsia="en-GB"/>
        </w:rPr>
        <w:t>in previous GUS research</w:t>
      </w:r>
      <w:r>
        <w:rPr>
          <w:rFonts w:eastAsia="Calibri" w:cstheme="minorHAnsi"/>
          <w:szCs w:val="24"/>
          <w:lang w:eastAsia="en-GB"/>
        </w:rPr>
        <w:t>.</w:t>
      </w:r>
      <w:r>
        <w:rPr>
          <w:rStyle w:val="EndnoteReference"/>
          <w:rFonts w:eastAsia="Calibri" w:cstheme="minorHAnsi"/>
          <w:szCs w:val="24"/>
          <w:lang w:eastAsia="en-GB"/>
        </w:rPr>
        <w:endnoteReference w:id="73"/>
      </w:r>
      <w:r>
        <w:rPr>
          <w:rFonts w:eastAsia="Calibri" w:cstheme="minorHAnsi"/>
          <w:szCs w:val="24"/>
          <w:vertAlign w:val="superscript"/>
          <w:lang w:eastAsia="en-GB"/>
        </w:rPr>
        <w:t>,</w:t>
      </w:r>
      <w:r>
        <w:rPr>
          <w:rStyle w:val="EndnoteReference"/>
          <w:rFonts w:eastAsia="Calibri" w:cstheme="minorHAnsi"/>
          <w:szCs w:val="24"/>
          <w:lang w:eastAsia="en-GB"/>
        </w:rPr>
        <w:endnoteReference w:id="74"/>
      </w:r>
      <w:r w:rsidRPr="00FA4400">
        <w:rPr>
          <w:rFonts w:eastAsia="Calibri" w:cstheme="minorHAnsi"/>
          <w:szCs w:val="24"/>
          <w:lang w:eastAsia="en-GB"/>
        </w:rPr>
        <w:t xml:space="preserve"> Low social support has been associated with poor maternal mental health, a factor linked to poorer child outcomes</w:t>
      </w:r>
      <w:r>
        <w:rPr>
          <w:rFonts w:eastAsia="Calibri" w:cstheme="minorHAnsi"/>
          <w:szCs w:val="24"/>
          <w:lang w:eastAsia="en-GB"/>
        </w:rPr>
        <w:t>.</w:t>
      </w:r>
      <w:r>
        <w:rPr>
          <w:rStyle w:val="EndnoteReference"/>
          <w:rFonts w:eastAsia="Calibri" w:cstheme="minorHAnsi"/>
          <w:szCs w:val="24"/>
          <w:lang w:eastAsia="en-GB"/>
        </w:rPr>
        <w:endnoteReference w:id="75"/>
      </w:r>
      <w:r w:rsidRPr="00FA4400">
        <w:rPr>
          <w:rFonts w:eastAsia="Calibri" w:cstheme="minorHAnsi"/>
          <w:szCs w:val="24"/>
          <w:lang w:eastAsia="en-GB"/>
        </w:rPr>
        <w:t xml:space="preserve"> In addition, strong maternal social networks have been shown to protect children living </w:t>
      </w:r>
      <w:r>
        <w:rPr>
          <w:rFonts w:eastAsia="Calibri" w:cstheme="minorHAnsi"/>
          <w:szCs w:val="24"/>
          <w:lang w:eastAsia="en-GB"/>
        </w:rPr>
        <w:t>on</w:t>
      </w:r>
      <w:r w:rsidRPr="00FA4400">
        <w:rPr>
          <w:rFonts w:eastAsia="Calibri" w:cstheme="minorHAnsi"/>
          <w:szCs w:val="24"/>
          <w:lang w:eastAsia="en-GB"/>
        </w:rPr>
        <w:t xml:space="preserve"> persistently low incomes from poorer wellbeing</w:t>
      </w:r>
      <w:r>
        <w:rPr>
          <w:rFonts w:eastAsia="Calibri" w:cstheme="minorHAnsi"/>
          <w:szCs w:val="24"/>
          <w:lang w:eastAsia="en-GB"/>
        </w:rPr>
        <w:t>.</w:t>
      </w:r>
      <w:r>
        <w:rPr>
          <w:rStyle w:val="EndnoteReference"/>
          <w:rFonts w:eastAsia="Calibri" w:cstheme="minorHAnsi"/>
          <w:szCs w:val="24"/>
          <w:lang w:eastAsia="en-GB"/>
        </w:rPr>
        <w:endnoteReference w:id="76"/>
      </w:r>
    </w:p>
    <w:p w:rsidR="00940DAB" w:rsidRPr="00AE2B86" w:rsidRDefault="00940DAB" w:rsidP="00940DAB">
      <w:pPr>
        <w:spacing w:before="240"/>
      </w:pPr>
      <w:r w:rsidRPr="00AE2B86">
        <w:t>In this context, the first thing to note is that most parents (</w:t>
      </w:r>
      <w:r>
        <w:t>73</w:t>
      </w:r>
      <w:r w:rsidRPr="00AE2B86">
        <w:t>%) have family living in the local area, and feel that they get enough help and support from family and friends</w:t>
      </w:r>
      <w:r>
        <w:t xml:space="preserve"> (78</w:t>
      </w:r>
      <w:r w:rsidRPr="00CD4E79">
        <w:t>%). That said, 10% felt they do not get enough help and 8% that they receive no help at all. A further 5% felt they didn’t need any help. These findings are broadly comparable with national data from GUS showed that 74% of respondents with children aged 22 months said they get enough help (75% for parents of children aged 46 months.</w:t>
      </w:r>
      <w:r w:rsidRPr="00CD4E79">
        <w:rPr>
          <w:vertAlign w:val="superscript"/>
        </w:rPr>
        <w:endnoteReference w:id="77"/>
      </w:r>
      <w:r w:rsidRPr="00CD4E79">
        <w:t xml:space="preserve"> The differences in age ranges of children limit direct comparability, however.</w:t>
      </w:r>
    </w:p>
    <w:p w:rsidR="00940DAB" w:rsidRDefault="00940DAB" w:rsidP="00940DAB">
      <w:pPr>
        <w:spacing w:before="240"/>
      </w:pPr>
      <w:r w:rsidRPr="00AE2B86">
        <w:t xml:space="preserve">Not surprisingly, those with family nearby </w:t>
      </w:r>
      <w:r>
        <w:t xml:space="preserve">were more likely than those without </w:t>
      </w:r>
      <w:r w:rsidRPr="00AE2B86">
        <w:t>to report that they get enough help.</w:t>
      </w:r>
    </w:p>
    <w:tbl>
      <w:tblPr>
        <w:tblW w:w="5000" w:type="pct"/>
        <w:tblBorders>
          <w:top w:val="single" w:sz="4" w:space="0" w:color="auto"/>
          <w:bottom w:val="single" w:sz="4" w:space="0" w:color="auto"/>
        </w:tblBorders>
        <w:tblLayout w:type="fixed"/>
        <w:tblCellMar>
          <w:left w:w="28" w:type="dxa"/>
          <w:right w:w="28" w:type="dxa"/>
        </w:tblCellMar>
        <w:tblLook w:val="01E0" w:firstRow="1" w:lastRow="1" w:firstColumn="1" w:lastColumn="1" w:noHBand="0" w:noVBand="0"/>
      </w:tblPr>
      <w:tblGrid>
        <w:gridCol w:w="2106"/>
        <w:gridCol w:w="1959"/>
        <w:gridCol w:w="1812"/>
        <w:gridCol w:w="1976"/>
      </w:tblGrid>
      <w:tr w:rsidR="008B6453" w:rsidRPr="00E863E5" w:rsidTr="008B6453">
        <w:trPr>
          <w:trHeight w:val="340"/>
        </w:trPr>
        <w:tc>
          <w:tcPr>
            <w:tcW w:w="5000" w:type="pct"/>
            <w:gridSpan w:val="4"/>
            <w:tcBorders>
              <w:top w:val="single" w:sz="12" w:space="0" w:color="auto"/>
              <w:bottom w:val="nil"/>
            </w:tcBorders>
          </w:tcPr>
          <w:p w:rsidR="008B6453" w:rsidRPr="004022F0" w:rsidRDefault="008B6453" w:rsidP="008B6453">
            <w:pPr>
              <w:pStyle w:val="BSATableHeading"/>
              <w:spacing w:before="0" w:after="0"/>
              <w:rPr>
                <w:rFonts w:asciiTheme="minorHAnsi" w:hAnsiTheme="minorHAnsi" w:cstheme="minorHAnsi"/>
                <w:sz w:val="22"/>
                <w:szCs w:val="22"/>
              </w:rPr>
            </w:pPr>
            <w:r w:rsidRPr="00CD4E79">
              <w:rPr>
                <w:rFonts w:asciiTheme="minorHAnsi" w:hAnsiTheme="minorHAnsi" w:cstheme="minorHAnsi"/>
                <w:sz w:val="20"/>
              </w:rPr>
              <w:lastRenderedPageBreak/>
              <w:t xml:space="preserve">Table </w:t>
            </w:r>
            <w:r w:rsidRPr="00CD4E79">
              <w:rPr>
                <w:rFonts w:cstheme="minorHAnsi"/>
                <w:sz w:val="20"/>
              </w:rPr>
              <w:t>4.5.2a Frequency of help from family and friends</w:t>
            </w:r>
            <w:r w:rsidRPr="00CD4E79">
              <w:rPr>
                <w:rFonts w:eastAsia="Tahoma" w:cstheme="minorHAnsi"/>
                <w:bCs/>
                <w:sz w:val="20"/>
                <w:lang w:eastAsia="en-GB"/>
              </w:rPr>
              <w:t xml:space="preserve"> </w:t>
            </w:r>
          </w:p>
        </w:tc>
      </w:tr>
      <w:tr w:rsidR="00940DAB" w:rsidRPr="00E863E5" w:rsidTr="008B6453">
        <w:trPr>
          <w:trHeight w:val="737"/>
        </w:trPr>
        <w:tc>
          <w:tcPr>
            <w:tcW w:w="1341" w:type="pct"/>
            <w:tcBorders>
              <w:top w:val="nil"/>
              <w:bottom w:val="single" w:sz="12" w:space="0" w:color="auto"/>
            </w:tcBorders>
          </w:tcPr>
          <w:p w:rsidR="00940DAB" w:rsidRPr="00DE207E" w:rsidRDefault="00940DAB" w:rsidP="008B6453">
            <w:pPr>
              <w:pStyle w:val="BSATableText"/>
              <w:spacing w:after="0" w:line="240" w:lineRule="auto"/>
              <w:ind w:left="0" w:firstLine="0"/>
              <w:jc w:val="left"/>
              <w:rPr>
                <w:rFonts w:asciiTheme="minorHAnsi" w:hAnsiTheme="minorHAnsi" w:cstheme="minorHAnsi"/>
                <w:sz w:val="20"/>
              </w:rPr>
            </w:pPr>
          </w:p>
        </w:tc>
        <w:tc>
          <w:tcPr>
            <w:tcW w:w="1247" w:type="pct"/>
            <w:tcBorders>
              <w:top w:val="nil"/>
              <w:bottom w:val="single" w:sz="12" w:space="0" w:color="auto"/>
            </w:tcBorders>
            <w:vAlign w:val="center"/>
          </w:tcPr>
          <w:p w:rsidR="00940DAB" w:rsidRPr="00DE207E" w:rsidRDefault="00940DAB" w:rsidP="008B6453">
            <w:pPr>
              <w:pStyle w:val="BSATableNumber"/>
              <w:jc w:val="center"/>
              <w:rPr>
                <w:rFonts w:asciiTheme="minorHAnsi" w:hAnsiTheme="minorHAnsi" w:cstheme="minorHAnsi"/>
                <w:sz w:val="20"/>
              </w:rPr>
            </w:pPr>
            <w:r>
              <w:rPr>
                <w:rFonts w:asciiTheme="minorHAnsi" w:hAnsiTheme="minorHAnsi" w:cstheme="minorHAnsi"/>
                <w:sz w:val="20"/>
              </w:rPr>
              <w:t>Falkirk</w:t>
            </w:r>
          </w:p>
          <w:p w:rsidR="00940DAB" w:rsidRPr="00DE207E" w:rsidRDefault="00940DAB" w:rsidP="008B6453">
            <w:pPr>
              <w:pStyle w:val="BSATableNumber"/>
              <w:jc w:val="center"/>
              <w:rPr>
                <w:rFonts w:asciiTheme="minorHAnsi" w:hAnsiTheme="minorHAnsi" w:cstheme="minorHAnsi"/>
                <w:sz w:val="20"/>
              </w:rPr>
            </w:pPr>
            <w:r w:rsidRPr="00DE207E">
              <w:rPr>
                <w:rFonts w:asciiTheme="minorHAnsi" w:hAnsiTheme="minorHAnsi" w:cstheme="minorHAnsi"/>
                <w:sz w:val="20"/>
              </w:rPr>
              <w:t>Parents of children aged 0-8)</w:t>
            </w:r>
          </w:p>
        </w:tc>
        <w:tc>
          <w:tcPr>
            <w:tcW w:w="1154" w:type="pct"/>
            <w:tcBorders>
              <w:top w:val="nil"/>
              <w:bottom w:val="single" w:sz="12" w:space="0" w:color="auto"/>
            </w:tcBorders>
            <w:vAlign w:val="center"/>
          </w:tcPr>
          <w:p w:rsidR="00940DAB" w:rsidRPr="00DE207E" w:rsidRDefault="00940DAB" w:rsidP="008B6453">
            <w:pPr>
              <w:pStyle w:val="BSATableNumber"/>
              <w:jc w:val="center"/>
              <w:rPr>
                <w:rFonts w:asciiTheme="minorHAnsi" w:hAnsiTheme="minorHAnsi" w:cstheme="minorHAnsi"/>
                <w:sz w:val="20"/>
              </w:rPr>
            </w:pPr>
            <w:r w:rsidRPr="00DE207E">
              <w:rPr>
                <w:rFonts w:asciiTheme="minorHAnsi" w:hAnsiTheme="minorHAnsi" w:cstheme="minorHAnsi"/>
                <w:sz w:val="20"/>
              </w:rPr>
              <w:t>National data (parents of child aged 22 months)</w:t>
            </w:r>
          </w:p>
        </w:tc>
        <w:tc>
          <w:tcPr>
            <w:tcW w:w="1258" w:type="pct"/>
            <w:tcBorders>
              <w:top w:val="nil"/>
              <w:bottom w:val="single" w:sz="12" w:space="0" w:color="auto"/>
            </w:tcBorders>
            <w:vAlign w:val="center"/>
          </w:tcPr>
          <w:p w:rsidR="00940DAB" w:rsidRPr="00DE207E" w:rsidRDefault="00940DAB" w:rsidP="008B6453">
            <w:pPr>
              <w:pStyle w:val="BSATableNumber"/>
              <w:jc w:val="center"/>
              <w:rPr>
                <w:rFonts w:asciiTheme="minorHAnsi" w:hAnsiTheme="minorHAnsi" w:cstheme="minorHAnsi"/>
                <w:sz w:val="20"/>
              </w:rPr>
            </w:pPr>
            <w:r w:rsidRPr="00DE207E">
              <w:rPr>
                <w:rFonts w:asciiTheme="minorHAnsi" w:hAnsiTheme="minorHAnsi" w:cstheme="minorHAnsi"/>
                <w:sz w:val="20"/>
              </w:rPr>
              <w:t>National data (parents of child aged 46 months)</w:t>
            </w:r>
          </w:p>
        </w:tc>
      </w:tr>
      <w:tr w:rsidR="00940DAB" w:rsidRPr="00E863E5" w:rsidTr="008B6453">
        <w:trPr>
          <w:trHeight w:val="283"/>
        </w:trPr>
        <w:tc>
          <w:tcPr>
            <w:tcW w:w="5000" w:type="pct"/>
            <w:gridSpan w:val="4"/>
            <w:tcBorders>
              <w:top w:val="single" w:sz="12" w:space="0" w:color="auto"/>
              <w:bottom w:val="single" w:sz="6" w:space="0" w:color="auto"/>
            </w:tcBorders>
            <w:vAlign w:val="center"/>
          </w:tcPr>
          <w:p w:rsidR="00940DAB" w:rsidRPr="00DE207E" w:rsidRDefault="00940DAB" w:rsidP="008B6453">
            <w:pPr>
              <w:pStyle w:val="BSATableNumber"/>
              <w:rPr>
                <w:rFonts w:asciiTheme="minorHAnsi" w:hAnsiTheme="minorHAnsi" w:cstheme="minorHAnsi"/>
                <w:i/>
                <w:sz w:val="20"/>
              </w:rPr>
            </w:pPr>
            <w:r w:rsidRPr="00DE207E">
              <w:rPr>
                <w:rFonts w:asciiTheme="minorHAnsi" w:hAnsiTheme="minorHAnsi" w:cstheme="minorHAnsi"/>
                <w:i/>
                <w:sz w:val="20"/>
              </w:rPr>
              <w:t>Column percentages</w:t>
            </w:r>
          </w:p>
        </w:tc>
      </w:tr>
      <w:tr w:rsidR="00940DAB" w:rsidRPr="00E863E5" w:rsidTr="008B6453">
        <w:trPr>
          <w:trHeight w:val="300"/>
        </w:trPr>
        <w:tc>
          <w:tcPr>
            <w:tcW w:w="1341" w:type="pct"/>
            <w:vAlign w:val="center"/>
          </w:tcPr>
          <w:p w:rsidR="00940DAB" w:rsidRPr="00DE207E" w:rsidRDefault="00940DAB" w:rsidP="008B6453">
            <w:pPr>
              <w:pStyle w:val="Default"/>
              <w:rPr>
                <w:rFonts w:asciiTheme="minorHAnsi" w:hAnsiTheme="minorHAnsi" w:cstheme="minorHAnsi"/>
                <w:sz w:val="20"/>
                <w:szCs w:val="20"/>
              </w:rPr>
            </w:pPr>
            <w:r w:rsidRPr="00DE207E">
              <w:rPr>
                <w:rFonts w:asciiTheme="minorHAnsi" w:hAnsiTheme="minorHAnsi" w:cstheme="minorHAnsi"/>
                <w:sz w:val="20"/>
                <w:szCs w:val="20"/>
              </w:rPr>
              <w:t>Get enough help</w:t>
            </w:r>
          </w:p>
        </w:tc>
        <w:tc>
          <w:tcPr>
            <w:tcW w:w="1247" w:type="pct"/>
            <w:vAlign w:val="center"/>
          </w:tcPr>
          <w:p w:rsidR="00940DAB" w:rsidRPr="00DE207E" w:rsidRDefault="00940DAB" w:rsidP="008B6453">
            <w:pPr>
              <w:pStyle w:val="BSATableNumber"/>
              <w:rPr>
                <w:rFonts w:asciiTheme="minorHAnsi" w:hAnsiTheme="minorHAnsi" w:cstheme="minorHAnsi"/>
                <w:sz w:val="20"/>
              </w:rPr>
            </w:pPr>
            <w:r>
              <w:rPr>
                <w:rFonts w:asciiTheme="minorHAnsi" w:hAnsiTheme="minorHAnsi" w:cstheme="minorHAnsi"/>
                <w:sz w:val="20"/>
              </w:rPr>
              <w:t>78</w:t>
            </w:r>
          </w:p>
        </w:tc>
        <w:tc>
          <w:tcPr>
            <w:tcW w:w="1154" w:type="pct"/>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74</w:t>
            </w:r>
          </w:p>
        </w:tc>
        <w:tc>
          <w:tcPr>
            <w:tcW w:w="1258" w:type="pct"/>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75</w:t>
            </w:r>
          </w:p>
        </w:tc>
      </w:tr>
      <w:tr w:rsidR="00940DAB" w:rsidRPr="00E863E5" w:rsidTr="008B6453">
        <w:trPr>
          <w:trHeight w:val="300"/>
        </w:trPr>
        <w:tc>
          <w:tcPr>
            <w:tcW w:w="1341" w:type="pct"/>
            <w:vAlign w:val="center"/>
          </w:tcPr>
          <w:p w:rsidR="00940DAB" w:rsidRPr="00DE207E" w:rsidRDefault="00940DAB" w:rsidP="008B6453">
            <w:pPr>
              <w:spacing w:after="0" w:line="240" w:lineRule="auto"/>
              <w:rPr>
                <w:rFonts w:cstheme="minorHAnsi"/>
                <w:sz w:val="20"/>
                <w:szCs w:val="20"/>
              </w:rPr>
            </w:pPr>
            <w:r w:rsidRPr="00DE207E">
              <w:rPr>
                <w:rFonts w:cstheme="minorHAnsi"/>
                <w:color w:val="000000"/>
                <w:sz w:val="20"/>
                <w:szCs w:val="20"/>
              </w:rPr>
              <w:t>Don’t get enough help</w:t>
            </w:r>
          </w:p>
        </w:tc>
        <w:tc>
          <w:tcPr>
            <w:tcW w:w="1247" w:type="pct"/>
            <w:vAlign w:val="center"/>
          </w:tcPr>
          <w:p w:rsidR="00940DAB" w:rsidRPr="00DE207E" w:rsidRDefault="00940DAB" w:rsidP="008B6453">
            <w:pPr>
              <w:pStyle w:val="BSATableNumber"/>
              <w:rPr>
                <w:rFonts w:asciiTheme="minorHAnsi" w:hAnsiTheme="minorHAnsi" w:cstheme="minorHAnsi"/>
                <w:sz w:val="20"/>
              </w:rPr>
            </w:pPr>
            <w:r>
              <w:rPr>
                <w:rFonts w:asciiTheme="minorHAnsi" w:hAnsiTheme="minorHAnsi" w:cstheme="minorHAnsi"/>
                <w:sz w:val="20"/>
              </w:rPr>
              <w:t>10</w:t>
            </w:r>
          </w:p>
        </w:tc>
        <w:tc>
          <w:tcPr>
            <w:tcW w:w="1154" w:type="pct"/>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16</w:t>
            </w:r>
          </w:p>
        </w:tc>
        <w:tc>
          <w:tcPr>
            <w:tcW w:w="1258" w:type="pct"/>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16</w:t>
            </w:r>
          </w:p>
        </w:tc>
      </w:tr>
      <w:tr w:rsidR="00940DAB" w:rsidRPr="00E863E5" w:rsidTr="008B6453">
        <w:trPr>
          <w:trHeight w:val="300"/>
        </w:trPr>
        <w:tc>
          <w:tcPr>
            <w:tcW w:w="1341" w:type="pct"/>
            <w:tcBorders>
              <w:bottom w:val="nil"/>
            </w:tcBorders>
            <w:vAlign w:val="center"/>
          </w:tcPr>
          <w:p w:rsidR="00940DAB" w:rsidRPr="00DE207E" w:rsidRDefault="00940DAB" w:rsidP="008B6453">
            <w:pPr>
              <w:spacing w:after="0" w:line="240" w:lineRule="auto"/>
              <w:rPr>
                <w:rFonts w:cstheme="minorHAnsi"/>
                <w:color w:val="000000"/>
                <w:sz w:val="20"/>
                <w:szCs w:val="20"/>
              </w:rPr>
            </w:pPr>
            <w:r w:rsidRPr="00DE207E">
              <w:rPr>
                <w:rFonts w:cstheme="minorHAnsi"/>
                <w:color w:val="000000"/>
                <w:sz w:val="20"/>
                <w:szCs w:val="20"/>
              </w:rPr>
              <w:t>Get no help at all</w:t>
            </w:r>
          </w:p>
        </w:tc>
        <w:tc>
          <w:tcPr>
            <w:tcW w:w="1247" w:type="pct"/>
            <w:tcBorders>
              <w:bottom w:val="nil"/>
            </w:tcBorders>
            <w:vAlign w:val="center"/>
          </w:tcPr>
          <w:p w:rsidR="00940DAB" w:rsidRPr="00DE207E" w:rsidRDefault="00940DAB" w:rsidP="008B6453">
            <w:pPr>
              <w:pStyle w:val="BSATableNumber"/>
              <w:rPr>
                <w:rFonts w:asciiTheme="minorHAnsi" w:hAnsiTheme="minorHAnsi" w:cstheme="minorHAnsi"/>
                <w:sz w:val="20"/>
              </w:rPr>
            </w:pPr>
            <w:r>
              <w:rPr>
                <w:rFonts w:asciiTheme="minorHAnsi" w:hAnsiTheme="minorHAnsi" w:cstheme="minorHAnsi"/>
                <w:sz w:val="20"/>
              </w:rPr>
              <w:t>8</w:t>
            </w:r>
          </w:p>
        </w:tc>
        <w:tc>
          <w:tcPr>
            <w:tcW w:w="1154" w:type="pct"/>
            <w:tcBorders>
              <w:bottom w:val="nil"/>
            </w:tcBorders>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6</w:t>
            </w:r>
          </w:p>
        </w:tc>
        <w:tc>
          <w:tcPr>
            <w:tcW w:w="1258" w:type="pct"/>
            <w:tcBorders>
              <w:bottom w:val="nil"/>
            </w:tcBorders>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6</w:t>
            </w:r>
          </w:p>
        </w:tc>
      </w:tr>
      <w:tr w:rsidR="00940DAB" w:rsidRPr="00E863E5" w:rsidTr="008B6453">
        <w:trPr>
          <w:trHeight w:val="300"/>
        </w:trPr>
        <w:tc>
          <w:tcPr>
            <w:tcW w:w="1341" w:type="pct"/>
            <w:tcBorders>
              <w:top w:val="nil"/>
              <w:bottom w:val="single" w:sz="8" w:space="0" w:color="auto"/>
            </w:tcBorders>
            <w:vAlign w:val="center"/>
          </w:tcPr>
          <w:p w:rsidR="00940DAB" w:rsidRPr="00DE207E" w:rsidRDefault="00940DAB" w:rsidP="008B6453">
            <w:pPr>
              <w:spacing w:after="0" w:line="240" w:lineRule="auto"/>
              <w:rPr>
                <w:rFonts w:cstheme="minorHAnsi"/>
                <w:color w:val="000000"/>
                <w:sz w:val="20"/>
                <w:szCs w:val="20"/>
              </w:rPr>
            </w:pPr>
            <w:r w:rsidRPr="00DE207E">
              <w:rPr>
                <w:rFonts w:cstheme="minorHAnsi"/>
                <w:color w:val="000000"/>
                <w:sz w:val="20"/>
                <w:szCs w:val="20"/>
              </w:rPr>
              <w:t>Do not need help</w:t>
            </w:r>
          </w:p>
        </w:tc>
        <w:tc>
          <w:tcPr>
            <w:tcW w:w="1247" w:type="pct"/>
            <w:tcBorders>
              <w:top w:val="nil"/>
              <w:bottom w:val="single" w:sz="8" w:space="0" w:color="auto"/>
            </w:tcBorders>
            <w:vAlign w:val="center"/>
          </w:tcPr>
          <w:p w:rsidR="00940DAB" w:rsidRPr="00DE207E" w:rsidRDefault="00940DAB" w:rsidP="008B6453">
            <w:pPr>
              <w:pStyle w:val="BSATableNumber"/>
              <w:rPr>
                <w:rFonts w:asciiTheme="minorHAnsi" w:hAnsiTheme="minorHAnsi" w:cstheme="minorHAnsi"/>
                <w:sz w:val="20"/>
              </w:rPr>
            </w:pPr>
            <w:r>
              <w:rPr>
                <w:rFonts w:asciiTheme="minorHAnsi" w:hAnsiTheme="minorHAnsi" w:cstheme="minorHAnsi"/>
                <w:sz w:val="20"/>
              </w:rPr>
              <w:t>5</w:t>
            </w:r>
          </w:p>
        </w:tc>
        <w:tc>
          <w:tcPr>
            <w:tcW w:w="1154" w:type="pct"/>
            <w:tcBorders>
              <w:top w:val="nil"/>
              <w:bottom w:val="single" w:sz="8" w:space="0" w:color="auto"/>
            </w:tcBorders>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4</w:t>
            </w:r>
          </w:p>
        </w:tc>
        <w:tc>
          <w:tcPr>
            <w:tcW w:w="1258" w:type="pct"/>
            <w:tcBorders>
              <w:top w:val="nil"/>
              <w:bottom w:val="single" w:sz="8" w:space="0" w:color="auto"/>
            </w:tcBorders>
            <w:vAlign w:val="center"/>
          </w:tcPr>
          <w:p w:rsidR="00940DAB" w:rsidRPr="00DE207E" w:rsidRDefault="00940DAB" w:rsidP="008B6453">
            <w:pPr>
              <w:pStyle w:val="BSATableNumber"/>
              <w:rPr>
                <w:rFonts w:asciiTheme="minorHAnsi" w:hAnsiTheme="minorHAnsi" w:cstheme="minorHAnsi"/>
                <w:sz w:val="20"/>
              </w:rPr>
            </w:pPr>
            <w:r w:rsidRPr="00DE207E">
              <w:rPr>
                <w:rFonts w:asciiTheme="minorHAnsi" w:hAnsiTheme="minorHAnsi" w:cstheme="minorHAnsi"/>
                <w:sz w:val="20"/>
              </w:rPr>
              <w:t>4</w:t>
            </w:r>
          </w:p>
        </w:tc>
      </w:tr>
      <w:tr w:rsidR="00940DAB" w:rsidRPr="00E863E5" w:rsidTr="008B6453">
        <w:trPr>
          <w:trHeight w:val="300"/>
        </w:trPr>
        <w:tc>
          <w:tcPr>
            <w:tcW w:w="1341" w:type="pct"/>
            <w:tcBorders>
              <w:top w:val="single" w:sz="8" w:space="0" w:color="auto"/>
              <w:bottom w:val="nil"/>
            </w:tcBorders>
            <w:vAlign w:val="center"/>
          </w:tcPr>
          <w:p w:rsidR="00940DAB" w:rsidRPr="00DE207E" w:rsidRDefault="00940DAB" w:rsidP="008B6453">
            <w:pPr>
              <w:spacing w:after="0" w:line="240" w:lineRule="auto"/>
              <w:rPr>
                <w:rFonts w:cstheme="minorHAnsi"/>
                <w:i/>
                <w:color w:val="000000"/>
                <w:sz w:val="20"/>
                <w:szCs w:val="20"/>
              </w:rPr>
            </w:pPr>
            <w:r w:rsidRPr="00DE207E">
              <w:rPr>
                <w:rFonts w:cstheme="minorHAnsi"/>
                <w:i/>
                <w:color w:val="000000"/>
                <w:sz w:val="20"/>
                <w:szCs w:val="20"/>
              </w:rPr>
              <w:t>Weighted base</w:t>
            </w:r>
            <w:r>
              <w:rPr>
                <w:rFonts w:cstheme="minorHAnsi"/>
                <w:i/>
                <w:color w:val="000000"/>
                <w:sz w:val="20"/>
                <w:szCs w:val="20"/>
              </w:rPr>
              <w:t>s</w:t>
            </w:r>
          </w:p>
        </w:tc>
        <w:tc>
          <w:tcPr>
            <w:tcW w:w="1247" w:type="pct"/>
            <w:tcBorders>
              <w:top w:val="single" w:sz="8" w:space="0" w:color="auto"/>
              <w:bottom w:val="nil"/>
            </w:tcBorders>
            <w:vAlign w:val="center"/>
          </w:tcPr>
          <w:p w:rsidR="00940DAB" w:rsidRPr="00DE207E" w:rsidRDefault="00940DAB" w:rsidP="008B6453">
            <w:pPr>
              <w:pStyle w:val="BSATableNumber"/>
              <w:rPr>
                <w:rFonts w:asciiTheme="minorHAnsi" w:hAnsiTheme="minorHAnsi" w:cstheme="minorHAnsi"/>
                <w:i/>
                <w:sz w:val="20"/>
              </w:rPr>
            </w:pPr>
            <w:r>
              <w:rPr>
                <w:rFonts w:asciiTheme="minorHAnsi" w:hAnsiTheme="minorHAnsi" w:cstheme="minorHAnsi"/>
                <w:i/>
                <w:sz w:val="20"/>
              </w:rPr>
              <w:t>502</w:t>
            </w:r>
          </w:p>
        </w:tc>
        <w:tc>
          <w:tcPr>
            <w:tcW w:w="1154" w:type="pct"/>
            <w:tcBorders>
              <w:top w:val="single" w:sz="8" w:space="0" w:color="auto"/>
              <w:bottom w:val="nil"/>
            </w:tcBorders>
            <w:vAlign w:val="center"/>
          </w:tcPr>
          <w:p w:rsidR="00940DAB" w:rsidRPr="00986C3F" w:rsidRDefault="00940DAB" w:rsidP="008B6453">
            <w:pPr>
              <w:pStyle w:val="BSATableNumber"/>
              <w:rPr>
                <w:rFonts w:cs="Arial"/>
                <w:i/>
                <w:sz w:val="20"/>
              </w:rPr>
            </w:pPr>
            <w:r w:rsidRPr="00986C3F">
              <w:rPr>
                <w:rFonts w:cs="Arial"/>
                <w:i/>
                <w:iCs/>
                <w:color w:val="000000"/>
                <w:sz w:val="20"/>
                <w:lang w:eastAsia="en-GB"/>
              </w:rPr>
              <w:t>4469</w:t>
            </w:r>
          </w:p>
        </w:tc>
        <w:tc>
          <w:tcPr>
            <w:tcW w:w="1258" w:type="pct"/>
            <w:tcBorders>
              <w:top w:val="single" w:sz="8" w:space="0" w:color="auto"/>
              <w:bottom w:val="nil"/>
            </w:tcBorders>
            <w:vAlign w:val="center"/>
          </w:tcPr>
          <w:p w:rsidR="00940DAB" w:rsidRPr="00986C3F" w:rsidRDefault="00940DAB" w:rsidP="008B6453">
            <w:pPr>
              <w:pStyle w:val="BSATableNumber"/>
              <w:rPr>
                <w:rFonts w:cs="Arial"/>
                <w:i/>
                <w:sz w:val="20"/>
              </w:rPr>
            </w:pPr>
            <w:r w:rsidRPr="00986C3F">
              <w:rPr>
                <w:rFonts w:cs="Arial"/>
                <w:i/>
                <w:iCs/>
                <w:color w:val="000000"/>
                <w:sz w:val="20"/>
                <w:lang w:eastAsia="en-GB"/>
              </w:rPr>
              <w:t>2486</w:t>
            </w:r>
          </w:p>
        </w:tc>
      </w:tr>
      <w:tr w:rsidR="00940DAB" w:rsidRPr="00E863E5" w:rsidTr="008B6453">
        <w:trPr>
          <w:trHeight w:val="300"/>
        </w:trPr>
        <w:tc>
          <w:tcPr>
            <w:tcW w:w="1341" w:type="pct"/>
            <w:tcBorders>
              <w:top w:val="nil"/>
              <w:bottom w:val="single" w:sz="12" w:space="0" w:color="auto"/>
            </w:tcBorders>
            <w:vAlign w:val="center"/>
          </w:tcPr>
          <w:p w:rsidR="00940DAB" w:rsidRPr="00DE207E" w:rsidRDefault="00940DAB" w:rsidP="008B6453">
            <w:pPr>
              <w:spacing w:after="0" w:line="240" w:lineRule="auto"/>
              <w:rPr>
                <w:rFonts w:cstheme="minorHAnsi"/>
                <w:i/>
                <w:color w:val="000000"/>
                <w:sz w:val="20"/>
                <w:szCs w:val="20"/>
              </w:rPr>
            </w:pPr>
            <w:r>
              <w:rPr>
                <w:rFonts w:cstheme="minorHAnsi"/>
                <w:i/>
                <w:color w:val="000000"/>
                <w:sz w:val="20"/>
                <w:szCs w:val="20"/>
              </w:rPr>
              <w:t>Unweighted bases</w:t>
            </w:r>
          </w:p>
        </w:tc>
        <w:tc>
          <w:tcPr>
            <w:tcW w:w="1247" w:type="pct"/>
            <w:tcBorders>
              <w:top w:val="nil"/>
              <w:bottom w:val="single" w:sz="12" w:space="0" w:color="auto"/>
            </w:tcBorders>
            <w:vAlign w:val="center"/>
          </w:tcPr>
          <w:p w:rsidR="00940DAB" w:rsidRPr="00DE207E" w:rsidRDefault="00940DAB" w:rsidP="008B6453">
            <w:pPr>
              <w:pStyle w:val="BSATableNumber"/>
              <w:rPr>
                <w:rFonts w:asciiTheme="minorHAnsi" w:hAnsiTheme="minorHAnsi" w:cstheme="minorHAnsi"/>
                <w:i/>
                <w:sz w:val="20"/>
              </w:rPr>
            </w:pPr>
            <w:r>
              <w:rPr>
                <w:rFonts w:asciiTheme="minorHAnsi" w:hAnsiTheme="minorHAnsi" w:cstheme="minorHAnsi"/>
                <w:i/>
                <w:sz w:val="20"/>
              </w:rPr>
              <w:t>502</w:t>
            </w:r>
          </w:p>
        </w:tc>
        <w:tc>
          <w:tcPr>
            <w:tcW w:w="1154" w:type="pct"/>
            <w:tcBorders>
              <w:top w:val="nil"/>
              <w:bottom w:val="single" w:sz="12" w:space="0" w:color="auto"/>
            </w:tcBorders>
            <w:vAlign w:val="center"/>
          </w:tcPr>
          <w:p w:rsidR="00940DAB" w:rsidRPr="00986C3F" w:rsidRDefault="00940DAB" w:rsidP="008B6453">
            <w:pPr>
              <w:pStyle w:val="BSATableNumber"/>
              <w:rPr>
                <w:rFonts w:cs="Arial"/>
                <w:i/>
                <w:sz w:val="20"/>
              </w:rPr>
            </w:pPr>
            <w:r w:rsidRPr="00986C3F">
              <w:rPr>
                <w:rFonts w:cs="Arial"/>
                <w:i/>
                <w:iCs/>
                <w:color w:val="000000"/>
                <w:sz w:val="20"/>
                <w:lang w:eastAsia="en-GB"/>
              </w:rPr>
              <w:t>4476</w:t>
            </w:r>
          </w:p>
        </w:tc>
        <w:tc>
          <w:tcPr>
            <w:tcW w:w="1258" w:type="pct"/>
            <w:tcBorders>
              <w:top w:val="nil"/>
              <w:bottom w:val="single" w:sz="12" w:space="0" w:color="auto"/>
            </w:tcBorders>
            <w:vAlign w:val="center"/>
          </w:tcPr>
          <w:p w:rsidR="00940DAB" w:rsidRPr="00986C3F" w:rsidRDefault="00940DAB" w:rsidP="008B6453">
            <w:pPr>
              <w:pStyle w:val="BSATableNumber"/>
              <w:rPr>
                <w:rFonts w:cs="Arial"/>
                <w:i/>
                <w:sz w:val="20"/>
              </w:rPr>
            </w:pPr>
            <w:r w:rsidRPr="00986C3F">
              <w:rPr>
                <w:rFonts w:cs="Arial"/>
                <w:i/>
                <w:iCs/>
                <w:color w:val="000000"/>
                <w:sz w:val="20"/>
                <w:lang w:eastAsia="en-GB"/>
              </w:rPr>
              <w:t>2485</w:t>
            </w:r>
          </w:p>
        </w:tc>
      </w:tr>
    </w:tbl>
    <w:p w:rsidR="00940DAB" w:rsidRDefault="00940DAB" w:rsidP="00940DAB">
      <w:pPr>
        <w:rPr>
          <w:b/>
          <w:i/>
        </w:rPr>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 Growing Up in Scotland 2012 and 2014</w:t>
      </w:r>
    </w:p>
    <w:p w:rsidR="00940DAB" w:rsidRDefault="00940DAB" w:rsidP="00940DAB">
      <w:pPr>
        <w:spacing w:before="240"/>
      </w:pPr>
      <w:r>
        <w:t xml:space="preserve">Around one in five (19%) parents </w:t>
      </w:r>
      <w:r w:rsidRPr="00AE2B86">
        <w:t xml:space="preserve">indicated that family and friends look after their child </w:t>
      </w:r>
      <w:r>
        <w:t xml:space="preserve">every day or almost every day, with a further 37% relying on family and friends to look after their child </w:t>
      </w:r>
      <w:r w:rsidRPr="00AE2B86">
        <w:t xml:space="preserve">for an hour or more during the day at least once a week. </w:t>
      </w:r>
    </w:p>
    <w:p w:rsidR="00940DAB" w:rsidRPr="00205BF1" w:rsidRDefault="00940DAB" w:rsidP="00940DAB">
      <w:r>
        <w:rPr>
          <w:noProof/>
          <w:lang w:eastAsia="en-GB"/>
        </w:rPr>
        <w:drawing>
          <wp:inline distT="0" distB="0" distL="0" distR="0" wp14:anchorId="624739AD" wp14:editId="617C9A8E">
            <wp:extent cx="5214938" cy="3071814"/>
            <wp:effectExtent l="0" t="0" r="5080" b="0"/>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spacing w:before="240"/>
      </w:pPr>
      <w:r w:rsidRPr="00233D54">
        <w:t>Single parents were more likely to report that family or friends look after their child in the evenings (35% doing so at least once a week, compared with 13% of those living in a couple).</w:t>
      </w:r>
    </w:p>
    <w:p w:rsidR="00940DAB" w:rsidRDefault="00940DAB" w:rsidP="00940DAB">
      <w:pPr>
        <w:spacing w:before="240"/>
      </w:pPr>
      <w:r>
        <w:t>As shown below, p</w:t>
      </w:r>
      <w:r w:rsidRPr="00103747">
        <w:t>arents</w:t>
      </w:r>
      <w:r>
        <w:t xml:space="preserve"> also </w:t>
      </w:r>
      <w:r w:rsidRPr="00103747">
        <w:t xml:space="preserve">reported </w:t>
      </w:r>
      <w:r>
        <w:t>various other forms of</w:t>
      </w:r>
      <w:r w:rsidRPr="00103747">
        <w:t xml:space="preserve"> help and support from family members, friends and neighbours</w:t>
      </w:r>
      <w:r>
        <w:t xml:space="preserve"> – most commonly, gifts or practical help, but also advice or support, and financial assistance</w:t>
      </w:r>
      <w:r w:rsidRPr="00103747">
        <w:t>.</w:t>
      </w:r>
      <w:r>
        <w:t xml:space="preserve"> Only 7% of those interviewed had received no such support, with those without family living in the area more likely than those with family in the area to have received no support (14% compared with 4%). </w:t>
      </w:r>
    </w:p>
    <w:p w:rsidR="00940DAB" w:rsidRDefault="00940DAB" w:rsidP="00940DAB">
      <w:pPr>
        <w:spacing w:before="240"/>
      </w:pPr>
      <w:r>
        <w:rPr>
          <w:noProof/>
          <w:lang w:eastAsia="en-GB"/>
        </w:rPr>
        <w:lastRenderedPageBreak/>
        <w:drawing>
          <wp:inline distT="0" distB="0" distL="0" distR="0" wp14:anchorId="04422B55" wp14:editId="79850503">
            <wp:extent cx="5400675" cy="3361608"/>
            <wp:effectExtent l="0" t="0" r="0" b="0"/>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40DAB" w:rsidRPr="00E9087F" w:rsidRDefault="00940DAB" w:rsidP="00940DAB">
      <w:pPr>
        <w:spacing w:before="240"/>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spacing w:before="240"/>
        <w:jc w:val="both"/>
      </w:pPr>
      <w:r w:rsidRPr="00E001FF">
        <w:t>Those with family living locally were more likely than those with no family nearby to have had family/friends or neighbours take their child on outings/day trips (80% compared with 57%</w:t>
      </w:r>
      <w:r>
        <w:t xml:space="preserve"> respectively</w:t>
      </w:r>
      <w:r w:rsidRPr="00E001FF">
        <w:t>)</w:t>
      </w:r>
      <w:r>
        <w:t>,</w:t>
      </w:r>
      <w:r w:rsidRPr="00E001FF">
        <w:t xml:space="preserve"> </w:t>
      </w:r>
      <w:r>
        <w:t xml:space="preserve">and to </w:t>
      </w:r>
      <w:r w:rsidRPr="00E001FF">
        <w:t xml:space="preserve">have </w:t>
      </w:r>
      <w:r w:rsidR="003D1C20">
        <w:t>bought them toys, clothes or equipment (86% compared with 77</w:t>
      </w:r>
      <w:r w:rsidRPr="00E001FF">
        <w:t>%)</w:t>
      </w:r>
      <w:r>
        <w:t>.</w:t>
      </w:r>
    </w:p>
    <w:p w:rsidR="00940DAB" w:rsidRPr="0024550D" w:rsidRDefault="00940DAB" w:rsidP="00940DAB">
      <w:pPr>
        <w:pStyle w:val="Heading3"/>
        <w:tabs>
          <w:tab w:val="clear" w:pos="0"/>
          <w:tab w:val="num" w:pos="900"/>
        </w:tabs>
        <w:spacing w:line="276" w:lineRule="auto"/>
        <w:ind w:left="900" w:hanging="900"/>
      </w:pPr>
      <w:bookmarkStart w:id="235" w:name="_Toc492045539"/>
      <w:bookmarkStart w:id="236" w:name="_Toc494182130"/>
      <w:r w:rsidRPr="0024550D">
        <w:rPr>
          <w:color w:val="auto"/>
        </w:rPr>
        <w:t>Qu</w:t>
      </w:r>
      <w:r w:rsidRPr="0024550D">
        <w:t>ality of parental relationships</w:t>
      </w:r>
      <w:bookmarkEnd w:id="235"/>
      <w:bookmarkEnd w:id="236"/>
    </w:p>
    <w:p w:rsidR="00940DAB" w:rsidRPr="003519DA" w:rsidRDefault="00940DAB" w:rsidP="00940DAB">
      <w:pPr>
        <w:spacing w:before="240"/>
        <w:rPr>
          <w:rFonts w:cstheme="minorHAnsi"/>
          <w:sz w:val="32"/>
        </w:rPr>
      </w:pPr>
      <w:r w:rsidRPr="0012492F">
        <w:rPr>
          <w:rFonts w:cstheme="minorHAnsi"/>
          <w:color w:val="000000"/>
          <w:szCs w:val="18"/>
        </w:rPr>
        <w:t xml:space="preserve">The </w:t>
      </w:r>
      <w:r>
        <w:rPr>
          <w:rFonts w:cstheme="minorHAnsi"/>
          <w:color w:val="000000"/>
          <w:szCs w:val="18"/>
        </w:rPr>
        <w:t>most immediate</w:t>
      </w:r>
      <w:r w:rsidRPr="0012492F">
        <w:rPr>
          <w:rFonts w:cstheme="minorHAnsi"/>
          <w:color w:val="000000"/>
          <w:szCs w:val="18"/>
        </w:rPr>
        <w:t xml:space="preserve"> influence on children in the early years is</w:t>
      </w:r>
      <w:r>
        <w:rPr>
          <w:rFonts w:cstheme="minorHAnsi"/>
          <w:color w:val="000000"/>
          <w:szCs w:val="18"/>
        </w:rPr>
        <w:t>, of course,</w:t>
      </w:r>
      <w:r w:rsidRPr="0012492F">
        <w:rPr>
          <w:rFonts w:cstheme="minorHAnsi"/>
          <w:color w:val="000000"/>
          <w:szCs w:val="18"/>
        </w:rPr>
        <w:t xml:space="preserve"> their parents - and parents undergoing the stress which often accompanies relationship difficulties can have </w:t>
      </w:r>
      <w:r>
        <w:rPr>
          <w:rFonts w:cstheme="minorHAnsi"/>
          <w:color w:val="000000"/>
          <w:szCs w:val="18"/>
        </w:rPr>
        <w:t>an</w:t>
      </w:r>
      <w:r w:rsidRPr="0012492F">
        <w:rPr>
          <w:rFonts w:cstheme="minorHAnsi"/>
          <w:color w:val="000000"/>
          <w:szCs w:val="18"/>
        </w:rPr>
        <w:t xml:space="preserve"> effect on </w:t>
      </w:r>
      <w:r>
        <w:rPr>
          <w:rFonts w:cstheme="minorHAnsi"/>
          <w:color w:val="000000"/>
          <w:szCs w:val="18"/>
        </w:rPr>
        <w:t xml:space="preserve">wellbeing </w:t>
      </w:r>
      <w:r w:rsidRPr="003519DA">
        <w:rPr>
          <w:rFonts w:cstheme="minorHAnsi"/>
          <w:color w:val="000000"/>
          <w:szCs w:val="18"/>
        </w:rPr>
        <w:t>outcomes for children</w:t>
      </w:r>
      <w:r>
        <w:rPr>
          <w:rFonts w:cstheme="minorHAnsi"/>
          <w:color w:val="000000"/>
          <w:szCs w:val="18"/>
        </w:rPr>
        <w:t>.</w:t>
      </w:r>
      <w:r w:rsidRPr="003519DA">
        <w:rPr>
          <w:rStyle w:val="EndnoteReference"/>
          <w:rFonts w:cstheme="minorHAnsi"/>
          <w:color w:val="000000"/>
          <w:szCs w:val="18"/>
        </w:rPr>
        <w:endnoteReference w:id="78"/>
      </w:r>
    </w:p>
    <w:p w:rsidR="00940DAB" w:rsidRPr="006D3052" w:rsidRDefault="00940DAB" w:rsidP="00940DAB">
      <w:pPr>
        <w:spacing w:before="240"/>
      </w:pPr>
      <w:r w:rsidRPr="003519DA">
        <w:t>Over half of those who had a partner had lived with their current partner for more than 10 years (</w:t>
      </w:r>
      <w:r>
        <w:t>60</w:t>
      </w:r>
      <w:r w:rsidRPr="003519DA">
        <w:t xml:space="preserve">%); a further </w:t>
      </w:r>
      <w:r>
        <w:t>37</w:t>
      </w:r>
      <w:r w:rsidRPr="003519DA">
        <w:t xml:space="preserve">% had lived with their partner for between 2 and 10 years and </w:t>
      </w:r>
      <w:r>
        <w:t>3</w:t>
      </w:r>
      <w:r w:rsidRPr="003519DA">
        <w:t>% had done so for less than 2 years.</w:t>
      </w:r>
    </w:p>
    <w:p w:rsidR="00940DAB" w:rsidRDefault="00940DAB" w:rsidP="00940DAB">
      <w:pPr>
        <w:spacing w:before="240"/>
      </w:pPr>
      <w:r>
        <w:t>Those with a partner were presented with four statements relating to the quality of their relationship and asked to state how much they agree or disagree with each. Data from these were combined to produce a summary measure indicating the overall quality of the relationship between the respondent and their partner. Overall, 43% of respondents were categorised as having a higher than average-quality relationship with their partner, 39% as having a medium-quality relationship, and 18% as having a lower than average-quality relationship.</w:t>
      </w:r>
    </w:p>
    <w:p w:rsidR="00940DAB" w:rsidRDefault="00940DAB" w:rsidP="00940DAB">
      <w:pPr>
        <w:spacing w:before="240"/>
      </w:pPr>
      <w:r>
        <w:t>Relationship quality was significantly associated with overall life satisfaction: those with a higher than average quality relationship were more likely to be satisfied with life (93%) than were those with a medium (86%) or lower than average quality of relationship (63%).</w:t>
      </w:r>
    </w:p>
    <w:p w:rsidR="00940DAB" w:rsidRPr="00B91E1C" w:rsidRDefault="00940DAB" w:rsidP="00940DAB">
      <w:pPr>
        <w:pStyle w:val="Heading3"/>
        <w:tabs>
          <w:tab w:val="clear" w:pos="0"/>
          <w:tab w:val="num" w:pos="900"/>
        </w:tabs>
        <w:spacing w:line="276" w:lineRule="auto"/>
        <w:ind w:left="900" w:hanging="900"/>
      </w:pPr>
      <w:bookmarkStart w:id="237" w:name="_Toc492045540"/>
      <w:bookmarkStart w:id="238" w:name="_Toc494182131"/>
      <w:r w:rsidRPr="00B91E1C">
        <w:rPr>
          <w:color w:val="auto"/>
        </w:rPr>
        <w:lastRenderedPageBreak/>
        <w:t>Us</w:t>
      </w:r>
      <w:r w:rsidRPr="00B91E1C">
        <w:t>e of and access to parenting support services</w:t>
      </w:r>
      <w:bookmarkEnd w:id="237"/>
      <w:bookmarkEnd w:id="238"/>
    </w:p>
    <w:p w:rsidR="00940DAB" w:rsidRPr="00254BAB" w:rsidRDefault="00940DAB" w:rsidP="00940DAB">
      <w:pPr>
        <w:autoSpaceDE w:val="0"/>
        <w:autoSpaceDN w:val="0"/>
        <w:adjustRightInd w:val="0"/>
        <w:spacing w:before="240"/>
        <w:rPr>
          <w:rFonts w:ascii="Arial" w:hAnsi="Arial" w:cs="Arial"/>
          <w:sz w:val="20"/>
        </w:rPr>
      </w:pPr>
      <w:r w:rsidRPr="002F5FDA">
        <w:rPr>
          <w:rFonts w:ascii="Arial" w:eastAsia="Calibri" w:hAnsi="Arial" w:cs="Arial"/>
          <w:szCs w:val="24"/>
          <w:lang w:eastAsia="en-GB"/>
        </w:rPr>
        <w:t>The National Parenting Strategy was put in place to encourage agencies to work together to ensure that all families get the help they need.</w:t>
      </w:r>
      <w:r w:rsidRPr="002F5FDA">
        <w:rPr>
          <w:rStyle w:val="EndnoteReference"/>
          <w:rFonts w:ascii="Arial" w:eastAsia="Calibri" w:hAnsi="Arial" w:cs="Arial"/>
          <w:szCs w:val="24"/>
          <w:lang w:eastAsia="en-GB"/>
        </w:rPr>
        <w:endnoteReference w:id="79"/>
      </w:r>
      <w:r w:rsidRPr="002F5FDA">
        <w:rPr>
          <w:rFonts w:ascii="Arial" w:eastAsia="Calibri" w:hAnsi="Arial" w:cs="Arial"/>
          <w:szCs w:val="24"/>
          <w:lang w:eastAsia="en-GB"/>
        </w:rPr>
        <w:t xml:space="preserve"> The Strategy recognises the importance of parenting in giving children the best possible start in life</w:t>
      </w:r>
      <w:r w:rsidRPr="00E179CA">
        <w:rPr>
          <w:rFonts w:ascii="Arial" w:eastAsia="Calibri" w:hAnsi="Arial" w:cs="Arial"/>
          <w:szCs w:val="24"/>
          <w:lang w:eastAsia="en-GB"/>
        </w:rPr>
        <w:t>. It aims to strengthen the support on offer to parents and make it easier f</w:t>
      </w:r>
      <w:r w:rsidRPr="00254BAB">
        <w:rPr>
          <w:rFonts w:ascii="Arial" w:eastAsia="Calibri" w:hAnsi="Arial" w:cs="Arial"/>
          <w:szCs w:val="24"/>
          <w:lang w:eastAsia="en-GB"/>
        </w:rPr>
        <w:t>or them to access.</w:t>
      </w:r>
    </w:p>
    <w:p w:rsidR="00940DAB" w:rsidRPr="002F5FDA" w:rsidRDefault="00940DAB" w:rsidP="00940DAB">
      <w:pPr>
        <w:spacing w:before="240"/>
      </w:pPr>
      <w:r w:rsidRPr="00F64603">
        <w:t xml:space="preserve">Of course, for parents to access and use services, they first need to be aware of them. Overall, </w:t>
      </w:r>
      <w:r w:rsidRPr="0024550D">
        <w:t>44% of those interviewed were aware of groups and services in their local area aimed at helping or supporting parents. But awareness was hig</w:t>
      </w:r>
      <w:r w:rsidRPr="00732688">
        <w:t xml:space="preserve">her among parents of younger children: </w:t>
      </w:r>
      <w:r w:rsidRPr="00220491">
        <w:t>54</w:t>
      </w:r>
      <w:r w:rsidRPr="008A3E7B">
        <w:t xml:space="preserve">% among parents of children aged 0-2 years compared with </w:t>
      </w:r>
      <w:r w:rsidRPr="002F5FDA">
        <w:t xml:space="preserve">45% of those with children aged 3-4 and 37% of those with children aged 5-8. </w:t>
      </w:r>
    </w:p>
    <w:p w:rsidR="00940DAB" w:rsidRDefault="00940DAB" w:rsidP="00940DAB">
      <w:pPr>
        <w:spacing w:before="240"/>
      </w:pPr>
      <w:r w:rsidRPr="002F5FDA">
        <w:t>Of those with a child 0-3 years, 54% had attended a parent and baby or parent and toddler group with their child. In national data from GUS exactly half of parents of children aged 22 months old reported having attended a baby/toddler group during the last year.</w:t>
      </w:r>
      <w:r w:rsidRPr="002F5FDA">
        <w:rPr>
          <w:rStyle w:val="EndnoteReference"/>
        </w:rPr>
        <w:endnoteReference w:id="80"/>
      </w:r>
      <w:r>
        <w:t xml:space="preserve"> Regular attendance at</w:t>
      </w:r>
      <w:r w:rsidRPr="00C47AAD">
        <w:t xml:space="preserve"> a parent and baby or parent and toddler group</w:t>
      </w:r>
      <w:r>
        <w:t>s</w:t>
      </w:r>
      <w:r w:rsidRPr="00C47AAD">
        <w:t xml:space="preserve"> </w:t>
      </w:r>
      <w:r>
        <w:t>was less likely</w:t>
      </w:r>
      <w:r w:rsidRPr="00C47AAD">
        <w:t xml:space="preserve"> </w:t>
      </w:r>
      <w:r>
        <w:t xml:space="preserve">among those with lower levels of educational attainment: 64% of parents educated to degree level had attended a group compared with 38% of those with no formal qualifications. </w:t>
      </w:r>
    </w:p>
    <w:p w:rsidR="00940DAB" w:rsidRPr="00B257F3" w:rsidRDefault="00940DAB" w:rsidP="00940DAB">
      <w:pPr>
        <w:spacing w:before="240"/>
      </w:pPr>
      <w:r w:rsidRPr="00B257F3">
        <w:t xml:space="preserve">The most common reasons given for </w:t>
      </w:r>
      <w:r w:rsidRPr="002F5FDA">
        <w:t>not</w:t>
      </w:r>
      <w:r w:rsidRPr="00B257F3">
        <w:t xml:space="preserve"> attending parent and baby or parent and toddler groups in </w:t>
      </w:r>
      <w:r>
        <w:t>Falkirk</w:t>
      </w:r>
      <w:r w:rsidRPr="00B257F3">
        <w:t xml:space="preserve"> inc</w:t>
      </w:r>
      <w:r>
        <w:t xml:space="preserve">lude having ‘no time to do so’, </w:t>
      </w:r>
      <w:r w:rsidR="00D958D1">
        <w:t xml:space="preserve">‘nobody told me about them’, </w:t>
      </w:r>
      <w:r w:rsidRPr="00835A21">
        <w:t>having ‘no suitable groups available or accessible’</w:t>
      </w:r>
      <w:r>
        <w:t xml:space="preserve"> and feeling ‘</w:t>
      </w:r>
      <w:r w:rsidRPr="006A2CD7">
        <w:t>shy or awkward about attending</w:t>
      </w:r>
      <w:r>
        <w:t>’</w:t>
      </w:r>
      <w:r w:rsidRPr="00B257F3">
        <w:t xml:space="preserve">. </w:t>
      </w:r>
    </w:p>
    <w:p w:rsidR="00940DAB" w:rsidRPr="00724949" w:rsidRDefault="00940DAB" w:rsidP="00940DAB">
      <w:pPr>
        <w:spacing w:before="240"/>
      </w:pPr>
      <w:r w:rsidRPr="00B257F3">
        <w:t xml:space="preserve">Parents with a child aged </w:t>
      </w:r>
      <w:r>
        <w:t>0-</w:t>
      </w:r>
      <w:r w:rsidRPr="00B257F3">
        <w:t xml:space="preserve">3 years were also asked whether they had participated in one or more of a list of specific programmes, group or courses for parents and their children, or on child development or behaviour, over the past 12 months. </w:t>
      </w:r>
      <w:r>
        <w:t>Overall, 24%</w:t>
      </w:r>
      <w:r w:rsidRPr="00B257F3">
        <w:t xml:space="preserve"> </w:t>
      </w:r>
      <w:r>
        <w:t>reported participating in at least one group, the most common being</w:t>
      </w:r>
      <w:r w:rsidRPr="00B257F3">
        <w:t xml:space="preserve"> a breastfeeding group </w:t>
      </w:r>
      <w:r>
        <w:t xml:space="preserve">(7%) and a </w:t>
      </w:r>
      <w:r w:rsidRPr="00B257F3">
        <w:t>weaning group</w:t>
      </w:r>
      <w:r>
        <w:t xml:space="preserve"> (3%)</w:t>
      </w:r>
      <w:r w:rsidRPr="00B257F3">
        <w:t xml:space="preserve">. </w:t>
      </w:r>
    </w:p>
    <w:p w:rsidR="00940DAB" w:rsidRDefault="00940DAB" w:rsidP="00940DAB">
      <w:pPr>
        <w:spacing w:before="240"/>
        <w:jc w:val="both"/>
      </w:pPr>
      <w:r>
        <w:t>Pare</w:t>
      </w:r>
      <w:r w:rsidRPr="00724949">
        <w:t xml:space="preserve">nts </w:t>
      </w:r>
      <w:r w:rsidRPr="00B257F3">
        <w:t xml:space="preserve">with a </w:t>
      </w:r>
      <w:r>
        <w:t>child aged 0-3</w:t>
      </w:r>
      <w:r w:rsidRPr="00B257F3">
        <w:t xml:space="preserve"> </w:t>
      </w:r>
      <w:r>
        <w:t xml:space="preserve">years were also asked whether they had </w:t>
      </w:r>
      <w:r w:rsidRPr="00724949">
        <w:t>participated in any organised activities with their chi</w:t>
      </w:r>
      <w:r>
        <w:t>ld over the past 12 months. Overall, 65</w:t>
      </w:r>
      <w:r w:rsidRPr="00724949">
        <w:t>% of respondents reported having participated in at least one organised activity with their child</w:t>
      </w:r>
      <w:r>
        <w:t xml:space="preserve"> – </w:t>
      </w:r>
      <w:r w:rsidRPr="00724949">
        <w:t>most commonly</w:t>
      </w:r>
      <w:r>
        <w:t>,</w:t>
      </w:r>
      <w:r w:rsidRPr="00724949">
        <w:t xml:space="preserve"> </w:t>
      </w:r>
      <w:r>
        <w:t xml:space="preserve">swimming classes (35%) and </w:t>
      </w:r>
      <w:r w:rsidRPr="00724949">
        <w:t>library grou</w:t>
      </w:r>
      <w:r>
        <w:t>ps (27%) – but just over three in ten (35%) had attended none</w:t>
      </w:r>
      <w:r w:rsidRPr="00724949">
        <w:t>.</w:t>
      </w:r>
      <w:r>
        <w:t xml:space="preserve"> T</w:t>
      </w:r>
      <w:r w:rsidRPr="003D46AD">
        <w:t xml:space="preserve">hose living in the </w:t>
      </w:r>
      <w:r>
        <w:t>most</w:t>
      </w:r>
      <w:r w:rsidRPr="003D46AD">
        <w:t xml:space="preserve"> deprived quintiles were </w:t>
      </w:r>
      <w:r>
        <w:t>less</w:t>
      </w:r>
      <w:r w:rsidRPr="003D46AD">
        <w:t xml:space="preserve"> likely </w:t>
      </w:r>
      <w:r>
        <w:t xml:space="preserve">than those in the least deprived quintiles </w:t>
      </w:r>
      <w:r w:rsidRPr="003D46AD">
        <w:t xml:space="preserve">to have </w:t>
      </w:r>
      <w:r>
        <w:t xml:space="preserve">been to </w:t>
      </w:r>
      <w:r w:rsidRPr="003D46AD">
        <w:t>library group</w:t>
      </w:r>
      <w:r>
        <w:t>s such as book bug (20% compared with 35%).</w:t>
      </w:r>
    </w:p>
    <w:p w:rsidR="00940DAB" w:rsidRDefault="00940DAB" w:rsidP="00940DAB">
      <w:pPr>
        <w:spacing w:before="240"/>
      </w:pPr>
      <w:r>
        <w:rPr>
          <w:noProof/>
          <w:lang w:eastAsia="en-GB"/>
        </w:rPr>
        <w:lastRenderedPageBreak/>
        <w:drawing>
          <wp:inline distT="0" distB="0" distL="0" distR="0" wp14:anchorId="7F1E3993" wp14:editId="4593B569">
            <wp:extent cx="5400675" cy="3090435"/>
            <wp:effectExtent l="0" t="0" r="0" b="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40DAB" w:rsidRPr="00082F04" w:rsidRDefault="00940DAB" w:rsidP="00940DAB">
      <w:pPr>
        <w:spacing w:before="240"/>
      </w:pPr>
      <w:r w:rsidRPr="00A018E9">
        <w:rPr>
          <w:i/>
          <w:sz w:val="18"/>
          <w:szCs w:val="18"/>
        </w:rPr>
        <w:t xml:space="preserve">Source: RCS </w:t>
      </w:r>
      <w:r>
        <w:rPr>
          <w:i/>
          <w:sz w:val="18"/>
          <w:szCs w:val="18"/>
        </w:rPr>
        <w:t>parent survey, Falkirk 20</w:t>
      </w:r>
      <w:r w:rsidRPr="00A018E9">
        <w:rPr>
          <w:i/>
          <w:sz w:val="18"/>
          <w:szCs w:val="18"/>
        </w:rPr>
        <w:t>16</w:t>
      </w:r>
    </w:p>
    <w:p w:rsidR="00940DAB" w:rsidRPr="00B257F3" w:rsidRDefault="00940DAB" w:rsidP="00940DAB">
      <w:pPr>
        <w:spacing w:before="240"/>
      </w:pPr>
      <w:r>
        <w:t>Almost</w:t>
      </w:r>
      <w:r w:rsidRPr="00B257F3">
        <w:t xml:space="preserve"> half </w:t>
      </w:r>
      <w:r>
        <w:t xml:space="preserve">of </w:t>
      </w:r>
      <w:r w:rsidRPr="00B257F3">
        <w:t>those who attended parenting groups did so after hearing about them through friends</w:t>
      </w:r>
      <w:r>
        <w:t xml:space="preserve"> or </w:t>
      </w:r>
      <w:r w:rsidRPr="00B257F3">
        <w:t xml:space="preserve">family members </w:t>
      </w:r>
      <w:r>
        <w:t xml:space="preserve">(47%) or through </w:t>
      </w:r>
      <w:r w:rsidRPr="00B257F3">
        <w:t>a health visitor or midwife</w:t>
      </w:r>
      <w:r>
        <w:t xml:space="preserve"> (45%) with</w:t>
      </w:r>
      <w:r w:rsidRPr="00B257F3">
        <w:t xml:space="preserve"> </w:t>
      </w:r>
      <w:r w:rsidR="00B813A3">
        <w:t>25</w:t>
      </w:r>
      <w:r w:rsidRPr="00B257F3">
        <w:t xml:space="preserve">% </w:t>
      </w:r>
      <w:r>
        <w:t>hearing about the groups through</w:t>
      </w:r>
      <w:r w:rsidRPr="00B257F3">
        <w:t xml:space="preserve"> the internet.</w:t>
      </w:r>
    </w:p>
    <w:p w:rsidR="00940DAB" w:rsidRPr="00B257F3" w:rsidRDefault="00940DAB" w:rsidP="00940DAB">
      <w:pPr>
        <w:spacing w:before="240"/>
      </w:pPr>
      <w:r>
        <w:t>Over half of parents</w:t>
      </w:r>
      <w:r w:rsidRPr="00B257F3">
        <w:t xml:space="preserve"> </w:t>
      </w:r>
      <w:r>
        <w:t>said</w:t>
      </w:r>
      <w:r w:rsidRPr="00B257F3">
        <w:t xml:space="preserve"> that they were unlikely to consider attending parenting programmes and groups in the future (</w:t>
      </w:r>
      <w:r>
        <w:t>26</w:t>
      </w:r>
      <w:r w:rsidRPr="00B257F3">
        <w:t xml:space="preserve">% </w:t>
      </w:r>
      <w:r>
        <w:t xml:space="preserve">being </w:t>
      </w:r>
      <w:r w:rsidRPr="00B257F3">
        <w:t>‘not very</w:t>
      </w:r>
      <w:r>
        <w:t xml:space="preserve">’ and 32% </w:t>
      </w:r>
      <w:r w:rsidRPr="00B257F3">
        <w:t xml:space="preserve">‘not at all likely’ to do so). </w:t>
      </w:r>
      <w:r>
        <w:t xml:space="preserve">Only 10% indicated that they </w:t>
      </w:r>
      <w:r w:rsidRPr="00B257F3">
        <w:t>were ‘very likely’ to do so</w:t>
      </w:r>
      <w:r>
        <w:t xml:space="preserve"> (with the remaining 32% ‘fairly likely’ to do so)</w:t>
      </w:r>
      <w:r w:rsidRPr="00B257F3">
        <w:t xml:space="preserve">. </w:t>
      </w:r>
    </w:p>
    <w:p w:rsidR="00940DAB" w:rsidRPr="00C2479D" w:rsidRDefault="00940DAB" w:rsidP="00940DAB">
      <w:pPr>
        <w:spacing w:before="240"/>
        <w:jc w:val="both"/>
        <w:rPr>
          <w:b/>
          <w:i/>
          <w:sz w:val="24"/>
        </w:rPr>
      </w:pPr>
      <w:r w:rsidRPr="003D39A2">
        <w:rPr>
          <w:b/>
          <w:i/>
          <w:sz w:val="24"/>
        </w:rPr>
        <w:t>Perceptions of parenting support</w:t>
      </w:r>
    </w:p>
    <w:p w:rsidR="00940DAB" w:rsidRDefault="00940DAB" w:rsidP="00940DAB">
      <w:pPr>
        <w:spacing w:before="240"/>
      </w:pPr>
      <w:r>
        <w:t xml:space="preserve">The survey also provided an opportunity to explore general attitudes to parenting advice and professional support. Levels of knowledge about how to get such support appeared reasonably high, with around three in five (62%) </w:t>
      </w:r>
      <w:r w:rsidRPr="00021FA2">
        <w:t>agree</w:t>
      </w:r>
      <w:r>
        <w:t>ing</w:t>
      </w:r>
      <w:r w:rsidR="00CB59A6">
        <w:t xml:space="preserve"> that ‘i</w:t>
      </w:r>
      <w:r w:rsidRPr="00021FA2">
        <w:t>f I need advice or help with parenting I would know whom to ask/where to go in my local area</w:t>
      </w:r>
      <w:r w:rsidR="00CB59A6">
        <w:t>’.</w:t>
      </w:r>
      <w:r>
        <w:t xml:space="preserve"> </w:t>
      </w:r>
      <w:r w:rsidR="00CB59A6">
        <w:t>T</w:t>
      </w:r>
      <w:r>
        <w:t xml:space="preserve">hose with younger children </w:t>
      </w:r>
      <w:r w:rsidR="00CB59A6">
        <w:t xml:space="preserve">were </w:t>
      </w:r>
      <w:r>
        <w:t xml:space="preserve">more likely to say they knew where to go (71% of parents with children aged 0-2 compared with 64% of those with children aged 3-4 and 55% of those with children aged 5-8). </w:t>
      </w:r>
    </w:p>
    <w:p w:rsidR="00940DAB" w:rsidRDefault="00CB59A6" w:rsidP="00CB59A6">
      <w:pPr>
        <w:spacing w:before="240" w:after="0"/>
      </w:pPr>
      <w:r>
        <w:t>H</w:t>
      </w:r>
      <w:r w:rsidR="00940DAB">
        <w:t xml:space="preserve">owever, </w:t>
      </w:r>
      <w:r>
        <w:t>there was</w:t>
      </w:r>
      <w:r w:rsidR="00940DAB">
        <w:t xml:space="preserve"> some evidence of wariness or suspicion of professional support:</w:t>
      </w:r>
      <w:r w:rsidR="00940DAB" w:rsidRPr="00021FA2">
        <w:t xml:space="preserve"> </w:t>
      </w:r>
      <w:r w:rsidR="00940DAB">
        <w:t>around a quarter (26</w:t>
      </w:r>
      <w:r w:rsidR="00940DAB" w:rsidRPr="00021FA2">
        <w:t>%</w:t>
      </w:r>
      <w:r w:rsidR="00940DAB">
        <w:t>)</w:t>
      </w:r>
      <w:r>
        <w:t xml:space="preserve"> agreed that ‘i</w:t>
      </w:r>
      <w:r w:rsidR="00940DAB" w:rsidRPr="00021FA2">
        <w:t>f other people knew you were getting professional advice or support with parenting, they would probably think you were a bad parent’</w:t>
      </w:r>
      <w:r w:rsidR="0039798C">
        <w:t>,</w:t>
      </w:r>
      <w:r w:rsidR="00940DAB">
        <w:t xml:space="preserve"> with s</w:t>
      </w:r>
      <w:r w:rsidR="00940DAB" w:rsidRPr="004D437D">
        <w:t>ingle parents</w:t>
      </w:r>
      <w:r w:rsidR="00940DAB">
        <w:t xml:space="preserve"> (37%)</w:t>
      </w:r>
      <w:r w:rsidR="00940DAB" w:rsidRPr="004D437D">
        <w:t xml:space="preserve"> more likely than those in couples</w:t>
      </w:r>
      <w:r w:rsidR="00940DAB">
        <w:t xml:space="preserve"> (24%)</w:t>
      </w:r>
      <w:r w:rsidR="0039798C">
        <w:t xml:space="preserve"> to agree with this statement.</w:t>
      </w:r>
      <w:r w:rsidR="00940DAB">
        <w:t xml:space="preserve"> One in five (20</w:t>
      </w:r>
      <w:r w:rsidR="00940DAB" w:rsidRPr="00021FA2">
        <w:t>%</w:t>
      </w:r>
      <w:r w:rsidR="00940DAB">
        <w:t>) agreed</w:t>
      </w:r>
      <w:r>
        <w:t xml:space="preserve"> that ‘p</w:t>
      </w:r>
      <w:r w:rsidR="00940DAB" w:rsidRPr="00021FA2">
        <w:t>rofessionals like health visitors and social workers do not offer parents enough advice and support with bringing up their children’</w:t>
      </w:r>
      <w:r w:rsidR="00940DAB">
        <w:t>, with those who had some concerns about their child’s development more likely to agree with this statement (32%) than those who had no concerns (18%). And 13% agreed</w:t>
      </w:r>
      <w:r w:rsidR="00940DAB" w:rsidRPr="00021FA2">
        <w:t xml:space="preserve"> that ‘If you ask for help or advice on parenting from professionals like doctors or </w:t>
      </w:r>
      <w:r w:rsidR="00940DAB" w:rsidRPr="00021FA2">
        <w:lastRenderedPageBreak/>
        <w:t>social workers, they start interfering or trying to take over’</w:t>
      </w:r>
      <w:r w:rsidR="00940DAB">
        <w:t xml:space="preserve">, with those living in the most deprived </w:t>
      </w:r>
      <w:r>
        <w:t>areas</w:t>
      </w:r>
      <w:r w:rsidR="00940DAB">
        <w:t xml:space="preserve"> more likely to agree with this statement (17%) compared with those in the least deprived </w:t>
      </w:r>
      <w:r>
        <w:t>areas</w:t>
      </w:r>
      <w:r w:rsidR="00940DAB">
        <w:t xml:space="preserve"> (10%)</w:t>
      </w:r>
      <w:r w:rsidR="00940DAB" w:rsidRPr="00021FA2">
        <w:t xml:space="preserve">. </w:t>
      </w:r>
      <w:r>
        <w:rPr>
          <w:noProof/>
          <w:lang w:eastAsia="en-GB"/>
        </w:rPr>
        <w:drawing>
          <wp:inline distT="0" distB="0" distL="0" distR="0" wp14:anchorId="4C32C7E2" wp14:editId="532B185F">
            <wp:extent cx="5110164" cy="3114675"/>
            <wp:effectExtent l="0" t="0" r="0" b="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40DAB" w:rsidRPr="00A407F3" w:rsidRDefault="00940DAB" w:rsidP="00CB59A6">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CB59A6">
      <w:pPr>
        <w:spacing w:before="240" w:after="0"/>
      </w:pPr>
      <w:r>
        <w:t>Respondents were asked if they had used or contacted one or more of a set of specif</w:t>
      </w:r>
      <w:r w:rsidR="0039798C">
        <w:t>ic public resources or services and s</w:t>
      </w:r>
      <w:r>
        <w:t>even in ten (70%) had used at least one of the services listed</w:t>
      </w:r>
      <w:r w:rsidR="0039798C">
        <w:t>.</w:t>
      </w:r>
      <w:r>
        <w:t xml:space="preserve"> </w:t>
      </w:r>
      <w:r w:rsidR="0039798C">
        <w:t>T</w:t>
      </w:r>
      <w:r>
        <w:t xml:space="preserve">he most commonly used services including Child Smile dental services (47%), Ready Steady Baby/Toddler (45%), and NHS Healthy Start (32%) </w:t>
      </w:r>
      <w:r w:rsidRPr="00937562">
        <w:t>and the Play, Talk, Read website (26%).</w:t>
      </w:r>
    </w:p>
    <w:p w:rsidR="00940DAB" w:rsidRDefault="00940DAB" w:rsidP="00940DAB">
      <w:pPr>
        <w:spacing w:before="240"/>
      </w:pPr>
      <w:r>
        <w:rPr>
          <w:noProof/>
          <w:lang w:eastAsia="en-GB"/>
        </w:rPr>
        <w:drawing>
          <wp:inline distT="0" distB="0" distL="0" distR="0" wp14:anchorId="06D2590E" wp14:editId="4EAF3318">
            <wp:extent cx="5600700" cy="3611880"/>
            <wp:effectExtent l="0" t="0" r="0" b="762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40DAB" w:rsidRDefault="00940DAB" w:rsidP="00940DAB">
      <w:pPr>
        <w:spacing w:before="240"/>
      </w:pPr>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pStyle w:val="Heading3"/>
        <w:tabs>
          <w:tab w:val="clear" w:pos="0"/>
          <w:tab w:val="num" w:pos="900"/>
        </w:tabs>
        <w:spacing w:line="276" w:lineRule="auto"/>
        <w:ind w:left="900" w:hanging="900"/>
      </w:pPr>
      <w:bookmarkStart w:id="239" w:name="_Toc492045541"/>
      <w:bookmarkStart w:id="240" w:name="_Toc494182132"/>
      <w:r w:rsidRPr="000E6077">
        <w:rPr>
          <w:color w:val="auto"/>
        </w:rPr>
        <w:lastRenderedPageBreak/>
        <w:t>Chi</w:t>
      </w:r>
      <w:r>
        <w:t>ldcare</w:t>
      </w:r>
      <w:bookmarkEnd w:id="239"/>
      <w:bookmarkEnd w:id="240"/>
    </w:p>
    <w:p w:rsidR="00940DAB" w:rsidRPr="008D6DB1" w:rsidRDefault="00940DAB" w:rsidP="00940DAB">
      <w:pPr>
        <w:spacing w:before="240"/>
        <w:rPr>
          <w:rFonts w:cstheme="minorHAnsi"/>
        </w:rPr>
      </w:pPr>
      <w:r w:rsidRPr="001C7986">
        <w:rPr>
          <w:rFonts w:cstheme="minorHAnsi"/>
          <w:color w:val="000000"/>
        </w:rPr>
        <w:t>Providing universally accessible and high quality early learning and childcare enriches children with skills and confidence to carry into and further develop throughout school, and is seen as a cornerstone for closing the attainment and inequality gaps</w:t>
      </w:r>
      <w:r>
        <w:rPr>
          <w:rFonts w:cstheme="minorHAnsi"/>
          <w:color w:val="000000"/>
        </w:rPr>
        <w:t>.</w:t>
      </w:r>
      <w:r w:rsidRPr="001C7986">
        <w:rPr>
          <w:rStyle w:val="EndnoteReference"/>
          <w:rFonts w:cstheme="minorHAnsi"/>
          <w:color w:val="000000"/>
        </w:rPr>
        <w:endnoteReference w:id="81"/>
      </w:r>
    </w:p>
    <w:p w:rsidR="00940DAB" w:rsidRDefault="00940DAB" w:rsidP="00940DAB">
      <w:pPr>
        <w:spacing w:before="240"/>
      </w:pPr>
      <w:r>
        <w:t>Overall, 76</w:t>
      </w:r>
      <w:r w:rsidRPr="00724949">
        <w:t xml:space="preserve">% of </w:t>
      </w:r>
      <w:r>
        <w:t>parents</w:t>
      </w:r>
      <w:r w:rsidRPr="00724949">
        <w:t xml:space="preserve"> report</w:t>
      </w:r>
      <w:r>
        <w:t>ed</w:t>
      </w:r>
      <w:r w:rsidRPr="00724949">
        <w:t xml:space="preserve"> </w:t>
      </w:r>
      <w:r>
        <w:t>using some form of childcare (in GUS, 52% of parents of 10 month old children were using non-parental childcare). This included; 15</w:t>
      </w:r>
      <w:r w:rsidRPr="00724949">
        <w:t>% receiv</w:t>
      </w:r>
      <w:r>
        <w:t>ing</w:t>
      </w:r>
      <w:r w:rsidRPr="00724949">
        <w:t xml:space="preserve"> childcare from a nursery attached to a school or</w:t>
      </w:r>
      <w:r>
        <w:t xml:space="preserve"> an out-of-school club</w:t>
      </w:r>
      <w:r w:rsidR="0039798C">
        <w:t>;</w:t>
      </w:r>
      <w:r>
        <w:t xml:space="preserve"> 10% using a childminder, carer, nanny or babysitter, 8</w:t>
      </w:r>
      <w:r w:rsidRPr="00724949">
        <w:t xml:space="preserve">% </w:t>
      </w:r>
      <w:r>
        <w:t>using</w:t>
      </w:r>
      <w:r w:rsidRPr="00724949">
        <w:t xml:space="preserve"> a private cr</w:t>
      </w:r>
      <w:r w:rsidR="0039798C">
        <w:t>èche, nursery or playgroup;</w:t>
      </w:r>
      <w:r>
        <w:t xml:space="preserve"> and 7% making use of </w:t>
      </w:r>
      <w:r w:rsidRPr="00724949">
        <w:t>local authority provided care</w:t>
      </w:r>
      <w:r>
        <w:t xml:space="preserve"> (in combination, these figures fit approximately with the 29% of parents in GUS that reported their child was looked after in a nursery or crèche of some description). </w:t>
      </w:r>
      <w:r w:rsidR="0039798C">
        <w:t>Around a third (35%)</w:t>
      </w:r>
      <w:r>
        <w:t xml:space="preserve"> of respondents</w:t>
      </w:r>
      <w:r w:rsidRPr="00724949">
        <w:t xml:space="preserve"> report</w:t>
      </w:r>
      <w:r>
        <w:t>ed</w:t>
      </w:r>
      <w:r w:rsidRPr="00724949">
        <w:t xml:space="preserve"> that their child </w:t>
      </w:r>
      <w:r>
        <w:t>wa</w:t>
      </w:r>
      <w:r w:rsidRPr="00724949">
        <w:t>s looked after by their spouse, a family</w:t>
      </w:r>
      <w:r>
        <w:t xml:space="preserve"> member or a friend, and around a quarter (24</w:t>
      </w:r>
      <w:r w:rsidRPr="00724949">
        <w:t>%</w:t>
      </w:r>
      <w:r>
        <w:t>)</w:t>
      </w:r>
      <w:r w:rsidRPr="00724949">
        <w:t xml:space="preserve"> report not requiring childcare</w:t>
      </w:r>
      <w:r>
        <w:t xml:space="preserve"> (48% of GUS respondents reported not using childcare for children aged 10 months)</w:t>
      </w:r>
      <w:r w:rsidRPr="00724949">
        <w:t>.</w:t>
      </w:r>
    </w:p>
    <w:p w:rsidR="00940DAB" w:rsidRDefault="00940DAB" w:rsidP="00940DAB">
      <w:pPr>
        <w:spacing w:before="240"/>
      </w:pPr>
      <w:r>
        <w:t>Of those using childcare, 39</w:t>
      </w:r>
      <w:r w:rsidRPr="00724949">
        <w:t>% pa</w:t>
      </w:r>
      <w:r>
        <w:t>id</w:t>
      </w:r>
      <w:r w:rsidRPr="00724949">
        <w:t xml:space="preserve"> for this childcare</w:t>
      </w:r>
      <w:r>
        <w:t>, with t</w:t>
      </w:r>
      <w:r w:rsidRPr="00724949">
        <w:t xml:space="preserve">hose in the </w:t>
      </w:r>
      <w:r>
        <w:t>three</w:t>
      </w:r>
      <w:r w:rsidRPr="00724949">
        <w:t xml:space="preserve"> </w:t>
      </w:r>
      <w:r>
        <w:t>least</w:t>
      </w:r>
      <w:r w:rsidRPr="00724949">
        <w:t xml:space="preserve"> deprived quintile</w:t>
      </w:r>
      <w:r>
        <w:t>s being more likely than those in the two most</w:t>
      </w:r>
      <w:r w:rsidRPr="00724949">
        <w:t xml:space="preserve"> deprived </w:t>
      </w:r>
      <w:r>
        <w:t>to have done so (47% compared with 28%</w:t>
      </w:r>
      <w:r w:rsidR="0039798C">
        <w:t xml:space="preserve"> respectively</w:t>
      </w:r>
      <w:r>
        <w:t>)</w:t>
      </w:r>
      <w:r w:rsidRPr="00724949">
        <w:t>.</w:t>
      </w:r>
    </w:p>
    <w:p w:rsidR="00940DAB" w:rsidRDefault="00940DAB" w:rsidP="00940DAB">
      <w:pPr>
        <w:spacing w:before="240"/>
      </w:pPr>
      <w:r>
        <w:t>W</w:t>
      </w:r>
      <w:r w:rsidRPr="00724949">
        <w:t xml:space="preserve">hen asked to consider the affordable and available childcare options open to them at the time, </w:t>
      </w:r>
      <w:r>
        <w:t>50</w:t>
      </w:r>
      <w:r w:rsidRPr="00724949">
        <w:t>% of respondents felt that they had ‘not very much’ choice within their financial const</w:t>
      </w:r>
      <w:r>
        <w:t>raints, with a further 12</w:t>
      </w:r>
      <w:r w:rsidRPr="00724949">
        <w:t xml:space="preserve">% stating that they had ‘none at </w:t>
      </w:r>
      <w:r>
        <w:t>all’; 31</w:t>
      </w:r>
      <w:r w:rsidRPr="00724949">
        <w:t xml:space="preserve">% of respondents stated that they had ‘quite a lot of choice, whilst </w:t>
      </w:r>
      <w:r>
        <w:t>7</w:t>
      </w:r>
      <w:r w:rsidRPr="00724949">
        <w:t>% reported having ‘a great deal of choice’.</w:t>
      </w:r>
    </w:p>
    <w:p w:rsidR="00940DAB" w:rsidRDefault="00940DAB" w:rsidP="00940DAB">
      <w:r>
        <w:rPr>
          <w:noProof/>
          <w:lang w:eastAsia="en-GB"/>
        </w:rPr>
        <w:drawing>
          <wp:inline distT="0" distB="0" distL="0" distR="0" wp14:anchorId="324804B9" wp14:editId="0FEA015B">
            <wp:extent cx="5386388" cy="3290888"/>
            <wp:effectExtent l="0" t="0" r="5080" b="508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40DAB" w:rsidRPr="00037A77" w:rsidRDefault="00940DAB" w:rsidP="00940DAB">
      <w:r w:rsidRPr="00A018E9">
        <w:rPr>
          <w:i/>
          <w:sz w:val="18"/>
          <w:szCs w:val="18"/>
        </w:rPr>
        <w:t xml:space="preserve">Source: RCS </w:t>
      </w:r>
      <w:r>
        <w:rPr>
          <w:i/>
          <w:sz w:val="18"/>
          <w:szCs w:val="18"/>
        </w:rPr>
        <w:t>parent survey, Falkirk 20</w:t>
      </w:r>
      <w:r w:rsidRPr="00A018E9">
        <w:rPr>
          <w:i/>
          <w:sz w:val="18"/>
          <w:szCs w:val="18"/>
        </w:rPr>
        <w:t>1</w:t>
      </w:r>
      <w:r>
        <w:rPr>
          <w:i/>
          <w:sz w:val="18"/>
          <w:szCs w:val="18"/>
        </w:rPr>
        <w:t>7</w:t>
      </w:r>
    </w:p>
    <w:p w:rsidR="00940DAB" w:rsidRDefault="00940DAB" w:rsidP="00940DAB">
      <w:pPr>
        <w:spacing w:before="240"/>
      </w:pPr>
      <w:r w:rsidRPr="00724949">
        <w:lastRenderedPageBreak/>
        <w:t xml:space="preserve">Although </w:t>
      </w:r>
      <w:r>
        <w:t>most parents found it either ‘very’ (38</w:t>
      </w:r>
      <w:r w:rsidRPr="00724949">
        <w:t>%) or ‘fairly easy’ (</w:t>
      </w:r>
      <w:r>
        <w:t>36%) to arrange childcare, 10</w:t>
      </w:r>
      <w:r w:rsidRPr="00724949">
        <w:t xml:space="preserve">% of </w:t>
      </w:r>
      <w:r>
        <w:t>found it</w:t>
      </w:r>
      <w:r w:rsidRPr="00724949">
        <w:t xml:space="preserve"> ‘fairl</w:t>
      </w:r>
      <w:r>
        <w:t>y’ and 5</w:t>
      </w:r>
      <w:r w:rsidRPr="00724949">
        <w:t>% ‘very difficult’.</w:t>
      </w:r>
      <w:r>
        <w:t xml:space="preserve"> </w:t>
      </w:r>
      <w:r w:rsidRPr="00724949">
        <w:t xml:space="preserve">Of those who found arranging childcare </w:t>
      </w:r>
      <w:r>
        <w:t>difficult, 47% mentioned the cost</w:t>
      </w:r>
      <w:r w:rsidDel="003A3B08">
        <w:t xml:space="preserve"> </w:t>
      </w:r>
      <w:r>
        <w:t>as a reason for this; 36%</w:t>
      </w:r>
      <w:r w:rsidRPr="00724949">
        <w:t xml:space="preserve"> </w:t>
      </w:r>
      <w:r>
        <w:t xml:space="preserve">mentioned a </w:t>
      </w:r>
      <w:r w:rsidRPr="00724949">
        <w:t>lack of childcare places</w:t>
      </w:r>
      <w:r>
        <w:t>; 22</w:t>
      </w:r>
      <w:r w:rsidRPr="00724949">
        <w:t>% working unusua</w:t>
      </w:r>
      <w:r>
        <w:t>l, long or irregular hours; 13</w:t>
      </w:r>
      <w:r w:rsidRPr="00724949">
        <w:t xml:space="preserve">% </w:t>
      </w:r>
      <w:r>
        <w:t xml:space="preserve">their </w:t>
      </w:r>
      <w:r w:rsidRPr="00724949">
        <w:t xml:space="preserve">dislike or distrust </w:t>
      </w:r>
      <w:r>
        <w:t>of</w:t>
      </w:r>
      <w:r w:rsidRPr="00724949">
        <w:t xml:space="preserve"> childcare prov</w:t>
      </w:r>
      <w:r>
        <w:t>iders; 9</w:t>
      </w:r>
      <w:r w:rsidRPr="00724949">
        <w:t xml:space="preserve">% </w:t>
      </w:r>
      <w:r>
        <w:t>that</w:t>
      </w:r>
      <w:r w:rsidRPr="00724949">
        <w:t xml:space="preserve"> their child </w:t>
      </w:r>
      <w:r>
        <w:t>was</w:t>
      </w:r>
      <w:r w:rsidRPr="00724949">
        <w:t xml:space="preserve"> too young or unwilling to be </w:t>
      </w:r>
      <w:r>
        <w:t>separated from their main carer; and 37% mentioned that it was due to another reason.</w:t>
      </w:r>
    </w:p>
    <w:p w:rsidR="00940DAB" w:rsidRDefault="00940DAB" w:rsidP="00940DAB">
      <w:pPr>
        <w:pStyle w:val="Heading2"/>
        <w:spacing w:line="276" w:lineRule="auto"/>
        <w:ind w:left="902" w:hanging="902"/>
      </w:pPr>
      <w:bookmarkStart w:id="241" w:name="_Toc492045542"/>
      <w:bookmarkStart w:id="242" w:name="_Toc494182133"/>
      <w:r>
        <w:t>Summary of key findings from the parent survey</w:t>
      </w:r>
      <w:bookmarkEnd w:id="241"/>
      <w:bookmarkEnd w:id="242"/>
    </w:p>
    <w:p w:rsidR="00940DAB" w:rsidRDefault="00940DAB" w:rsidP="00940DAB">
      <w:r w:rsidRPr="009D041C">
        <w:t>The findings described in this chapter demonstrate the significant relationship between disadvantage and children’s experiences and outcomes</w:t>
      </w:r>
      <w:r>
        <w:t xml:space="preserve">. </w:t>
      </w:r>
      <w:r w:rsidRPr="009D041C">
        <w:t xml:space="preserve">It is notable that across a number of domains, parents and children living in more </w:t>
      </w:r>
      <w:r>
        <w:t>deprived</w:t>
      </w:r>
      <w:r w:rsidRPr="009D041C">
        <w:t xml:space="preserve"> areas had poorer outcomes and experiences than those living in less advantaged areas. </w:t>
      </w:r>
      <w:r w:rsidRPr="006F71E2">
        <w:t xml:space="preserve">Socio-economic deprivation was </w:t>
      </w:r>
      <w:r>
        <w:t>related to</w:t>
      </w:r>
      <w:r w:rsidRPr="006F71E2">
        <w:t xml:space="preserve"> parental mental health, </w:t>
      </w:r>
      <w:r w:rsidRPr="006F71E2">
        <w:rPr>
          <w:rFonts w:ascii="Arial" w:eastAsia="Times New Roman" w:hAnsi="Arial" w:cs="Times New Roman"/>
          <w:szCs w:val="20"/>
          <w:lang w:eastAsia="en-GB"/>
        </w:rPr>
        <w:t>as well as whether a child had their own room, had a garden to play in, how often the child ate fruit, the child’s sleep patterns, reluctance to go to primary school, involvement in local groups, and feelings about safety and whether the family was part of the community.</w:t>
      </w:r>
      <w:r>
        <w:rPr>
          <w:rFonts w:ascii="Arial" w:eastAsia="Times New Roman" w:hAnsi="Arial" w:cs="Times New Roman"/>
          <w:szCs w:val="20"/>
          <w:lang w:eastAsia="en-GB"/>
        </w:rPr>
        <w:t xml:space="preserve"> In addition, a</w:t>
      </w:r>
      <w:r>
        <w:t>round a fifth of parents interviewed reported that they were current smokers, with those in the two most deprived quintiles three times more likely to smoke than those in the least deprived quintiles.</w:t>
      </w:r>
    </w:p>
    <w:p w:rsidR="00940DAB" w:rsidRDefault="00940DAB" w:rsidP="00940DAB">
      <w:r>
        <w:t>Poorer parental mental health was associated with lower child scores on the total difficulties scale of the parent-reported SDQ. When parental mental wellbeing was ‘above average’, 90% of children scored close to average on that scale but when parental wellbeing was ‘below average’ only 56% of children did so. The direction of that relationship is not, however, clear.</w:t>
      </w:r>
    </w:p>
    <w:p w:rsidR="00940DAB" w:rsidRPr="0093036E" w:rsidRDefault="00940DAB" w:rsidP="00940DAB">
      <w:pPr>
        <w:rPr>
          <w:rFonts w:ascii="Arial" w:eastAsia="Times New Roman" w:hAnsi="Arial" w:cs="Times New Roman"/>
          <w:szCs w:val="20"/>
          <w:lang w:eastAsia="en-GB"/>
        </w:rPr>
      </w:pPr>
      <w:r>
        <w:rPr>
          <w:rFonts w:ascii="Arial" w:eastAsia="Times New Roman" w:hAnsi="Arial" w:cs="Times New Roman"/>
          <w:szCs w:val="20"/>
          <w:lang w:eastAsia="en-GB"/>
        </w:rPr>
        <w:t xml:space="preserve">Family composition was also associated with experience of local services. </w:t>
      </w:r>
      <w:r w:rsidRPr="006F71E2">
        <w:rPr>
          <w:rFonts w:ascii="Arial" w:eastAsia="Times New Roman" w:hAnsi="Arial" w:cs="Times New Roman"/>
          <w:szCs w:val="20"/>
          <w:lang w:eastAsia="en-GB"/>
        </w:rPr>
        <w:t xml:space="preserve">Children from </w:t>
      </w:r>
      <w:r>
        <w:rPr>
          <w:rFonts w:ascii="Arial" w:eastAsia="Times New Roman" w:hAnsi="Arial" w:cs="Times New Roman"/>
          <w:szCs w:val="20"/>
          <w:lang w:eastAsia="en-GB"/>
        </w:rPr>
        <w:t>single parent households</w:t>
      </w:r>
      <w:r w:rsidRPr="006F71E2">
        <w:rPr>
          <w:rFonts w:ascii="Arial" w:eastAsia="Times New Roman" w:hAnsi="Arial" w:cs="Times New Roman"/>
          <w:szCs w:val="20"/>
          <w:lang w:eastAsia="en-GB"/>
        </w:rPr>
        <w:t xml:space="preserve"> tended to show much greater reluctance to go to primary school than those from couple families. Although family composition had no impact on awareness of available services, parents who were single were three times as likely to feel that professionals would act in a way which was interfering/trying to take over.</w:t>
      </w:r>
    </w:p>
    <w:p w:rsidR="005134F6" w:rsidRPr="00BF5CA3" w:rsidRDefault="005134F6" w:rsidP="005134F6">
      <w:pPr>
        <w:pStyle w:val="Heading1"/>
        <w:spacing w:line="276" w:lineRule="auto"/>
      </w:pPr>
      <w:bookmarkStart w:id="243" w:name="_Toc479457015"/>
      <w:bookmarkStart w:id="244" w:name="_Toc494182134"/>
      <w:bookmarkEnd w:id="166"/>
      <w:r w:rsidRPr="00BF5CA3">
        <w:lastRenderedPageBreak/>
        <w:t>Discussion</w:t>
      </w:r>
      <w:bookmarkEnd w:id="243"/>
      <w:bookmarkEnd w:id="244"/>
    </w:p>
    <w:bookmarkEnd w:id="13"/>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The three surveys conducted as part of the Realigning Children’s Services programme provide a new, population-level perspective on the health and wellbeing of children in </w:t>
      </w:r>
      <w:r>
        <w:rPr>
          <w:rFonts w:asciiTheme="minorHAnsi" w:hAnsiTheme="minorHAnsi" w:cstheme="minorHAnsi"/>
          <w:szCs w:val="22"/>
        </w:rPr>
        <w:t>Falkirk</w:t>
      </w:r>
      <w:r w:rsidRPr="007462C5">
        <w:rPr>
          <w:rFonts w:asciiTheme="minorHAnsi" w:hAnsiTheme="minorHAnsi" w:cstheme="minorHAnsi"/>
          <w:szCs w:val="22"/>
        </w:rPr>
        <w:t>, as well as insights into the views and experiences of parents with young children.</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In this final chapter, we try to summarise some of the most important findings emerging from these exercises and to highlight recurring or cross-cutting themes. The broad aims here are to begin to identify issues that the CPP may wish to address or prioritise but also to establish where additional evidence may be needed.</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 xml:space="preserve">Most children in </w:t>
      </w:r>
      <w:r>
        <w:rPr>
          <w:rFonts w:asciiTheme="minorHAnsi" w:hAnsiTheme="minorHAnsi" w:cstheme="minorHAnsi"/>
          <w:b/>
          <w:szCs w:val="22"/>
        </w:rPr>
        <w:t>Falkirk</w:t>
      </w:r>
      <w:r w:rsidRPr="007462C5">
        <w:rPr>
          <w:rFonts w:asciiTheme="minorHAnsi" w:hAnsiTheme="minorHAnsi" w:cstheme="minorHAnsi"/>
          <w:b/>
          <w:szCs w:val="22"/>
        </w:rPr>
        <w:t xml:space="preserve"> appear happy, consider themselves healthy, like the areas they live in and have good relationships with family, peers and teachers</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Despite the challenges of contemporary childhood and adolescence, it is important to keep in mind that wellbeing outcomes for a majority of children in </w:t>
      </w:r>
      <w:r>
        <w:rPr>
          <w:rFonts w:asciiTheme="minorHAnsi" w:hAnsiTheme="minorHAnsi" w:cstheme="minorHAnsi"/>
          <w:szCs w:val="22"/>
        </w:rPr>
        <w:t>Falkirk</w:t>
      </w:r>
      <w:r w:rsidRPr="007462C5">
        <w:rPr>
          <w:rFonts w:asciiTheme="minorHAnsi" w:hAnsiTheme="minorHAnsi" w:cstheme="minorHAnsi"/>
          <w:szCs w:val="22"/>
        </w:rPr>
        <w:t xml:space="preserve"> appear to be </w:t>
      </w:r>
      <w:r>
        <w:rPr>
          <w:rFonts w:asciiTheme="minorHAnsi" w:hAnsiTheme="minorHAnsi" w:cstheme="minorHAnsi"/>
          <w:szCs w:val="22"/>
        </w:rPr>
        <w:t>positive</w:t>
      </w:r>
      <w:r w:rsidRPr="007462C5">
        <w:rPr>
          <w:rFonts w:asciiTheme="minorHAnsi" w:hAnsiTheme="minorHAnsi" w:cstheme="minorHAnsi"/>
          <w:szCs w:val="22"/>
        </w:rPr>
        <w:t xml:space="preserve"> across the domains of personal, social and place</w:t>
      </w:r>
      <w:r>
        <w:rPr>
          <w:rFonts w:asciiTheme="minorHAnsi" w:hAnsiTheme="minorHAnsi" w:cstheme="minorHAnsi"/>
          <w:szCs w:val="22"/>
        </w:rPr>
        <w:t xml:space="preserve">.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By way of illustration, here are some examples of indicators where the overall picture is broadly very positive. For instance, 8</w:t>
      </w:r>
      <w:r>
        <w:rPr>
          <w:rFonts w:asciiTheme="minorHAnsi" w:hAnsiTheme="minorHAnsi" w:cstheme="minorHAnsi"/>
          <w:szCs w:val="22"/>
        </w:rPr>
        <w:t>0</w:t>
      </w:r>
      <w:r w:rsidRPr="007462C5">
        <w:rPr>
          <w:rFonts w:asciiTheme="minorHAnsi" w:hAnsiTheme="minorHAnsi" w:cstheme="minorHAnsi"/>
          <w:szCs w:val="22"/>
        </w:rPr>
        <w:t xml:space="preserve">% of pupils in primary </w:t>
      </w:r>
      <w:r>
        <w:rPr>
          <w:rFonts w:asciiTheme="minorHAnsi" w:hAnsiTheme="minorHAnsi" w:cstheme="minorHAnsi"/>
          <w:szCs w:val="22"/>
        </w:rPr>
        <w:t xml:space="preserve">school </w:t>
      </w:r>
      <w:r w:rsidRPr="007462C5">
        <w:rPr>
          <w:rFonts w:asciiTheme="minorHAnsi" w:hAnsiTheme="minorHAnsi" w:cstheme="minorHAnsi"/>
          <w:szCs w:val="22"/>
        </w:rPr>
        <w:t xml:space="preserve">and </w:t>
      </w:r>
      <w:r>
        <w:rPr>
          <w:rFonts w:asciiTheme="minorHAnsi" w:hAnsiTheme="minorHAnsi" w:cstheme="minorHAnsi"/>
          <w:szCs w:val="22"/>
        </w:rPr>
        <w:t xml:space="preserve">81% in </w:t>
      </w:r>
      <w:r w:rsidRPr="007462C5">
        <w:rPr>
          <w:rFonts w:asciiTheme="minorHAnsi" w:hAnsiTheme="minorHAnsi" w:cstheme="minorHAnsi"/>
          <w:szCs w:val="22"/>
        </w:rPr>
        <w:t xml:space="preserve">secondary </w:t>
      </w:r>
      <w:r>
        <w:rPr>
          <w:rFonts w:asciiTheme="minorHAnsi" w:hAnsiTheme="minorHAnsi" w:cstheme="minorHAnsi"/>
          <w:szCs w:val="22"/>
        </w:rPr>
        <w:t xml:space="preserve">school </w:t>
      </w:r>
      <w:r w:rsidRPr="007462C5">
        <w:rPr>
          <w:rFonts w:asciiTheme="minorHAnsi" w:hAnsiTheme="minorHAnsi" w:cstheme="minorHAnsi"/>
          <w:szCs w:val="22"/>
        </w:rPr>
        <w:t>rate their own health as being either very good or good. Meanwhile 7</w:t>
      </w:r>
      <w:r>
        <w:rPr>
          <w:rFonts w:asciiTheme="minorHAnsi" w:hAnsiTheme="minorHAnsi" w:cstheme="minorHAnsi"/>
          <w:szCs w:val="22"/>
        </w:rPr>
        <w:t>6</w:t>
      </w:r>
      <w:r w:rsidRPr="007462C5">
        <w:rPr>
          <w:rFonts w:asciiTheme="minorHAnsi" w:hAnsiTheme="minorHAnsi" w:cstheme="minorHAnsi"/>
          <w:szCs w:val="22"/>
        </w:rPr>
        <w:t xml:space="preserve">% of parents of children aged 8 or under rate their child’s health as very good. In primary school, </w:t>
      </w:r>
      <w:r>
        <w:rPr>
          <w:rFonts w:asciiTheme="minorHAnsi" w:hAnsiTheme="minorHAnsi" w:cstheme="minorHAnsi"/>
          <w:szCs w:val="22"/>
        </w:rPr>
        <w:t>75</w:t>
      </w:r>
      <w:r w:rsidRPr="007462C5">
        <w:rPr>
          <w:rFonts w:asciiTheme="minorHAnsi" w:hAnsiTheme="minorHAnsi" w:cstheme="minorHAnsi"/>
          <w:szCs w:val="22"/>
        </w:rPr>
        <w:t xml:space="preserve">% of pupils in P5 to P7 always or often feel that </w:t>
      </w:r>
      <w:r>
        <w:rPr>
          <w:rFonts w:asciiTheme="minorHAnsi" w:hAnsiTheme="minorHAnsi" w:cstheme="minorHAnsi"/>
          <w:szCs w:val="22"/>
        </w:rPr>
        <w:t>their life is going well</w:t>
      </w:r>
      <w:r w:rsidRPr="007462C5">
        <w:rPr>
          <w:rFonts w:asciiTheme="minorHAnsi" w:hAnsiTheme="minorHAnsi" w:cstheme="minorHAnsi"/>
          <w:szCs w:val="22"/>
        </w:rPr>
        <w:t xml:space="preserve">. </w:t>
      </w:r>
      <w:r>
        <w:rPr>
          <w:rFonts w:asciiTheme="minorHAnsi" w:hAnsiTheme="minorHAnsi" w:cstheme="minorHAnsi"/>
          <w:szCs w:val="22"/>
        </w:rPr>
        <w:t xml:space="preserve">Around three-quarters of </w:t>
      </w:r>
      <w:r w:rsidRPr="007462C5">
        <w:rPr>
          <w:rFonts w:asciiTheme="minorHAnsi" w:hAnsiTheme="minorHAnsi" w:cstheme="minorHAnsi"/>
          <w:szCs w:val="22"/>
        </w:rPr>
        <w:t>pupils in primary school (</w:t>
      </w:r>
      <w:r>
        <w:rPr>
          <w:rFonts w:asciiTheme="minorHAnsi" w:hAnsiTheme="minorHAnsi" w:cstheme="minorHAnsi"/>
          <w:szCs w:val="22"/>
        </w:rPr>
        <w:t>77</w:t>
      </w:r>
      <w:r w:rsidRPr="007462C5">
        <w:rPr>
          <w:rFonts w:asciiTheme="minorHAnsi" w:hAnsiTheme="minorHAnsi" w:cstheme="minorHAnsi"/>
          <w:szCs w:val="22"/>
        </w:rPr>
        <w:t>%) and secondary school (</w:t>
      </w:r>
      <w:r>
        <w:rPr>
          <w:rFonts w:asciiTheme="minorHAnsi" w:hAnsiTheme="minorHAnsi" w:cstheme="minorHAnsi"/>
          <w:szCs w:val="22"/>
        </w:rPr>
        <w:t>72</w:t>
      </w:r>
      <w:r w:rsidRPr="007462C5">
        <w:rPr>
          <w:rFonts w:asciiTheme="minorHAnsi" w:hAnsiTheme="minorHAnsi" w:cstheme="minorHAnsi"/>
          <w:szCs w:val="22"/>
        </w:rPr>
        <w:t xml:space="preserve">%) say that they like school a lot or a bit. </w:t>
      </w:r>
      <w:r>
        <w:rPr>
          <w:rFonts w:asciiTheme="minorHAnsi" w:hAnsiTheme="minorHAnsi" w:cstheme="minorHAnsi"/>
          <w:szCs w:val="22"/>
        </w:rPr>
        <w:t>Nearly all children</w:t>
      </w:r>
      <w:r w:rsidRPr="007462C5">
        <w:rPr>
          <w:rFonts w:asciiTheme="minorHAnsi" w:hAnsiTheme="minorHAnsi" w:cstheme="minorHAnsi"/>
          <w:szCs w:val="22"/>
        </w:rPr>
        <w:t xml:space="preserve"> (</w:t>
      </w:r>
      <w:r>
        <w:rPr>
          <w:rFonts w:asciiTheme="minorHAnsi" w:hAnsiTheme="minorHAnsi" w:cstheme="minorHAnsi"/>
          <w:szCs w:val="22"/>
        </w:rPr>
        <w:t>97</w:t>
      </w:r>
      <w:r w:rsidRPr="007462C5">
        <w:rPr>
          <w:rFonts w:asciiTheme="minorHAnsi" w:hAnsiTheme="minorHAnsi" w:cstheme="minorHAnsi"/>
          <w:szCs w:val="22"/>
        </w:rPr>
        <w:t>%</w:t>
      </w:r>
      <w:r>
        <w:rPr>
          <w:rFonts w:asciiTheme="minorHAnsi" w:hAnsiTheme="minorHAnsi" w:cstheme="minorHAnsi"/>
          <w:szCs w:val="22"/>
        </w:rPr>
        <w:t xml:space="preserve"> at primary, 98% at secondary</w:t>
      </w:r>
      <w:r w:rsidRPr="007462C5">
        <w:rPr>
          <w:rFonts w:asciiTheme="minorHAnsi" w:hAnsiTheme="minorHAnsi" w:cstheme="minorHAnsi"/>
          <w:szCs w:val="22"/>
        </w:rPr>
        <w:t xml:space="preserve">) say they </w:t>
      </w:r>
      <w:r>
        <w:rPr>
          <w:rFonts w:asciiTheme="minorHAnsi" w:hAnsiTheme="minorHAnsi" w:cstheme="minorHAnsi"/>
          <w:szCs w:val="22"/>
        </w:rPr>
        <w:t>have at least one close friend</w:t>
      </w:r>
      <w:r w:rsidRPr="007462C5">
        <w:rPr>
          <w:rFonts w:asciiTheme="minorHAnsi" w:hAnsiTheme="minorHAnsi" w:cstheme="minorHAnsi"/>
          <w:szCs w:val="22"/>
        </w:rPr>
        <w:t xml:space="preserve">. </w:t>
      </w:r>
      <w:r>
        <w:rPr>
          <w:rFonts w:asciiTheme="minorHAnsi" w:hAnsiTheme="minorHAnsi" w:cstheme="minorHAnsi"/>
          <w:szCs w:val="22"/>
        </w:rPr>
        <w:t>Nearly</w:t>
      </w:r>
      <w:r w:rsidRPr="007462C5">
        <w:rPr>
          <w:rFonts w:asciiTheme="minorHAnsi" w:hAnsiTheme="minorHAnsi" w:cstheme="minorHAnsi"/>
          <w:szCs w:val="22"/>
        </w:rPr>
        <w:t xml:space="preserve"> </w:t>
      </w:r>
      <w:r>
        <w:rPr>
          <w:rFonts w:asciiTheme="minorHAnsi" w:hAnsiTheme="minorHAnsi" w:cstheme="minorHAnsi"/>
          <w:szCs w:val="22"/>
        </w:rPr>
        <w:t>three-quarters of</w:t>
      </w:r>
      <w:r w:rsidRPr="007462C5">
        <w:rPr>
          <w:rFonts w:asciiTheme="minorHAnsi" w:hAnsiTheme="minorHAnsi" w:cstheme="minorHAnsi"/>
          <w:szCs w:val="22"/>
        </w:rPr>
        <w:t xml:space="preserve"> S1 to S4 pupils (</w:t>
      </w:r>
      <w:r>
        <w:rPr>
          <w:rFonts w:asciiTheme="minorHAnsi" w:hAnsiTheme="minorHAnsi" w:cstheme="minorHAnsi"/>
          <w:szCs w:val="22"/>
        </w:rPr>
        <w:t>72</w:t>
      </w:r>
      <w:r w:rsidRPr="007462C5">
        <w:rPr>
          <w:rFonts w:asciiTheme="minorHAnsi" w:hAnsiTheme="minorHAnsi" w:cstheme="minorHAnsi"/>
          <w:szCs w:val="22"/>
        </w:rPr>
        <w:t xml:space="preserve">%) </w:t>
      </w:r>
      <w:r>
        <w:rPr>
          <w:rFonts w:asciiTheme="minorHAnsi" w:hAnsiTheme="minorHAnsi" w:cstheme="minorHAnsi"/>
          <w:szCs w:val="22"/>
        </w:rPr>
        <w:t>agree that the area they live in is a good place to live</w:t>
      </w:r>
      <w:r w:rsidRPr="007462C5">
        <w:rPr>
          <w:rFonts w:asciiTheme="minorHAnsi" w:hAnsiTheme="minorHAnsi" w:cstheme="minorHAnsi"/>
          <w:szCs w:val="22"/>
        </w:rPr>
        <w:t>. On a range of other indicators, too, wellbeing outcomes appear to be positive for a majority or most children.</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But there are always children who do less well and there are some important specific areas of concern</w:t>
      </w:r>
    </w:p>
    <w:p w:rsidR="00CB59A6" w:rsidRPr="007462C5" w:rsidRDefault="00CB59A6" w:rsidP="00CB59A6">
      <w:pPr>
        <w:pStyle w:val="BodyCopy"/>
        <w:spacing w:before="240" w:after="200" w:line="276" w:lineRule="auto"/>
        <w:rPr>
          <w:rFonts w:asciiTheme="minorHAnsi" w:hAnsiTheme="minorHAnsi" w:cstheme="minorHAnsi"/>
          <w:szCs w:val="22"/>
        </w:rPr>
      </w:pPr>
      <w:r w:rsidRPr="00CB59A6">
        <w:rPr>
          <w:rFonts w:asciiTheme="minorHAnsi" w:hAnsiTheme="minorHAnsi" w:cstheme="minorHAnsi"/>
          <w:szCs w:val="22"/>
        </w:rPr>
        <w:t xml:space="preserve">The overall picture is positive –and </w:t>
      </w:r>
      <w:r>
        <w:rPr>
          <w:rFonts w:asciiTheme="minorHAnsi" w:hAnsiTheme="minorHAnsi" w:cstheme="minorHAnsi"/>
          <w:szCs w:val="22"/>
        </w:rPr>
        <w:t>Falkirk</w:t>
      </w:r>
      <w:r w:rsidRPr="00CB59A6">
        <w:rPr>
          <w:rFonts w:asciiTheme="minorHAnsi" w:hAnsiTheme="minorHAnsi" w:cstheme="minorHAnsi"/>
          <w:szCs w:val="22"/>
        </w:rPr>
        <w:t xml:space="preserve"> should be encouraged by the findings. However, it is important to keep in mind that there are children with key vulnerabilities that should continue being prioritised by practitioners. These children include those from the most deprived areas and those with additional support needs.</w:t>
      </w:r>
      <w:r w:rsidRPr="007462C5">
        <w:rPr>
          <w:rFonts w:asciiTheme="minorHAnsi" w:hAnsiTheme="minorHAnsi" w:cstheme="minorHAnsi"/>
          <w:szCs w:val="22"/>
        </w:rPr>
        <w:t xml:space="preserve">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Although we are limited in terms of the measures for which we can make direct comparisons with the rest of Scotland, SALSUS provides fairly robust comparisons for health-related behaviours at secondary schoo</w:t>
      </w:r>
      <w:r>
        <w:rPr>
          <w:rFonts w:asciiTheme="minorHAnsi" w:hAnsiTheme="minorHAnsi" w:cstheme="minorHAnsi"/>
          <w:szCs w:val="22"/>
        </w:rPr>
        <w:t>l, albeit from 2015. For most of these</w:t>
      </w:r>
      <w:r w:rsidRPr="007462C5">
        <w:rPr>
          <w:rFonts w:asciiTheme="minorHAnsi" w:hAnsiTheme="minorHAnsi" w:cstheme="minorHAnsi"/>
          <w:szCs w:val="22"/>
        </w:rPr>
        <w:t xml:space="preserve">, the picture in </w:t>
      </w:r>
      <w:r>
        <w:rPr>
          <w:rFonts w:asciiTheme="minorHAnsi" w:hAnsiTheme="minorHAnsi" w:cstheme="minorHAnsi"/>
          <w:szCs w:val="22"/>
        </w:rPr>
        <w:t>Falkirk</w:t>
      </w:r>
      <w:r w:rsidRPr="007462C5">
        <w:rPr>
          <w:rFonts w:asciiTheme="minorHAnsi" w:hAnsiTheme="minorHAnsi" w:cstheme="minorHAnsi"/>
          <w:szCs w:val="22"/>
        </w:rPr>
        <w:t xml:space="preserve"> appears </w:t>
      </w:r>
      <w:r>
        <w:rPr>
          <w:rFonts w:asciiTheme="minorHAnsi" w:hAnsiTheme="minorHAnsi" w:cstheme="minorHAnsi"/>
          <w:szCs w:val="22"/>
        </w:rPr>
        <w:t xml:space="preserve">similar to or better </w:t>
      </w:r>
      <w:r w:rsidRPr="007462C5">
        <w:rPr>
          <w:rFonts w:asciiTheme="minorHAnsi" w:hAnsiTheme="minorHAnsi" w:cstheme="minorHAnsi"/>
          <w:szCs w:val="22"/>
        </w:rPr>
        <w:t xml:space="preserve">than in Scotland as a whole. </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lastRenderedPageBreak/>
        <w:t xml:space="preserve">For example, rates of </w:t>
      </w:r>
      <w:r w:rsidRPr="007462C5">
        <w:rPr>
          <w:rFonts w:asciiTheme="minorHAnsi" w:hAnsiTheme="minorHAnsi" w:cstheme="minorHAnsi"/>
          <w:b/>
          <w:szCs w:val="22"/>
        </w:rPr>
        <w:t>smoking</w:t>
      </w:r>
      <w:r w:rsidRPr="007462C5">
        <w:rPr>
          <w:rFonts w:asciiTheme="minorHAnsi" w:hAnsiTheme="minorHAnsi" w:cstheme="minorHAnsi"/>
          <w:szCs w:val="22"/>
        </w:rPr>
        <w:t xml:space="preserve"> among S2 pupils in </w:t>
      </w:r>
      <w:r>
        <w:rPr>
          <w:rFonts w:asciiTheme="minorHAnsi" w:hAnsiTheme="minorHAnsi" w:cstheme="minorHAnsi"/>
          <w:szCs w:val="22"/>
        </w:rPr>
        <w:t>Falkirk</w:t>
      </w:r>
      <w:r w:rsidRPr="007462C5">
        <w:rPr>
          <w:rFonts w:asciiTheme="minorHAnsi" w:hAnsiTheme="minorHAnsi" w:cstheme="minorHAnsi"/>
          <w:szCs w:val="22"/>
        </w:rPr>
        <w:t xml:space="preserve"> </w:t>
      </w:r>
      <w:r>
        <w:rPr>
          <w:rFonts w:asciiTheme="minorHAnsi" w:hAnsiTheme="minorHAnsi" w:cstheme="minorHAnsi"/>
          <w:szCs w:val="22"/>
        </w:rPr>
        <w:t>are similar to those i</w:t>
      </w:r>
      <w:r w:rsidRPr="007462C5">
        <w:rPr>
          <w:rFonts w:asciiTheme="minorHAnsi" w:hAnsiTheme="minorHAnsi" w:cstheme="minorHAnsi"/>
          <w:szCs w:val="22"/>
        </w:rPr>
        <w:t>n Scotland as a whole</w:t>
      </w:r>
      <w:r>
        <w:rPr>
          <w:rFonts w:asciiTheme="minorHAnsi" w:hAnsiTheme="minorHAnsi" w:cstheme="minorHAnsi"/>
          <w:szCs w:val="22"/>
        </w:rPr>
        <w:t xml:space="preserve">, and slightly lower than the national figure in S4. Rates of </w:t>
      </w:r>
      <w:r w:rsidRPr="00F66CDB">
        <w:rPr>
          <w:rFonts w:asciiTheme="minorHAnsi" w:hAnsiTheme="minorHAnsi" w:cstheme="minorHAnsi"/>
          <w:b/>
          <w:szCs w:val="22"/>
        </w:rPr>
        <w:t xml:space="preserve">alcohol consumption </w:t>
      </w:r>
      <w:r>
        <w:rPr>
          <w:rFonts w:asciiTheme="minorHAnsi" w:hAnsiTheme="minorHAnsi" w:cstheme="minorHAnsi"/>
          <w:szCs w:val="22"/>
        </w:rPr>
        <w:t xml:space="preserve">and </w:t>
      </w:r>
      <w:r w:rsidRPr="007462C5">
        <w:rPr>
          <w:rFonts w:asciiTheme="minorHAnsi" w:hAnsiTheme="minorHAnsi" w:cstheme="minorHAnsi"/>
          <w:b/>
          <w:szCs w:val="22"/>
        </w:rPr>
        <w:t>drug use</w:t>
      </w:r>
      <w:r w:rsidRPr="007462C5">
        <w:rPr>
          <w:rFonts w:asciiTheme="minorHAnsi" w:hAnsiTheme="minorHAnsi" w:cstheme="minorHAnsi"/>
          <w:szCs w:val="22"/>
        </w:rPr>
        <w:t xml:space="preserve"> are </w:t>
      </w:r>
      <w:r>
        <w:rPr>
          <w:rFonts w:asciiTheme="minorHAnsi" w:hAnsiTheme="minorHAnsi" w:cstheme="minorHAnsi"/>
          <w:szCs w:val="22"/>
        </w:rPr>
        <w:t>both similar to the national picture.</w:t>
      </w:r>
      <w:r w:rsidRPr="007462C5">
        <w:rPr>
          <w:rFonts w:asciiTheme="minorHAnsi" w:hAnsiTheme="minorHAnsi" w:cstheme="minorHAnsi"/>
          <w:szCs w:val="22"/>
        </w:rPr>
        <w:t xml:space="preserve"> </w:t>
      </w:r>
      <w:r>
        <w:rPr>
          <w:rFonts w:asciiTheme="minorHAnsi" w:hAnsiTheme="minorHAnsi" w:cstheme="minorHAnsi"/>
          <w:szCs w:val="22"/>
        </w:rPr>
        <w:t xml:space="preserve">While these are positive findings in themselves, there is still room for improvement. </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These behaviours are, of course, not only potentially harmful in their own right, but tend to cluster together and </w:t>
      </w:r>
      <w:r w:rsidR="00CB59A6">
        <w:rPr>
          <w:rFonts w:asciiTheme="minorHAnsi" w:hAnsiTheme="minorHAnsi" w:cstheme="minorHAnsi"/>
          <w:szCs w:val="22"/>
        </w:rPr>
        <w:t>may</w:t>
      </w:r>
      <w:r w:rsidRPr="007462C5">
        <w:rPr>
          <w:rFonts w:asciiTheme="minorHAnsi" w:hAnsiTheme="minorHAnsi" w:cstheme="minorHAnsi"/>
          <w:szCs w:val="22"/>
        </w:rPr>
        <w:t xml:space="preserve"> be associated with other forms of risk-taking</w:t>
      </w:r>
      <w:r>
        <w:rPr>
          <w:rFonts w:asciiTheme="minorHAnsi" w:hAnsiTheme="minorHAnsi" w:cstheme="minorHAnsi"/>
          <w:szCs w:val="22"/>
        </w:rPr>
        <w:t xml:space="preserve">. </w:t>
      </w:r>
      <w:r w:rsidR="00C63AE1">
        <w:rPr>
          <w:rFonts w:asciiTheme="minorHAnsi" w:hAnsiTheme="minorHAnsi" w:cstheme="minorHAnsi"/>
          <w:szCs w:val="22"/>
        </w:rPr>
        <w:t>For example, t</w:t>
      </w:r>
      <w:r>
        <w:rPr>
          <w:rFonts w:asciiTheme="minorHAnsi" w:hAnsiTheme="minorHAnsi" w:cstheme="minorHAnsi"/>
          <w:szCs w:val="22"/>
        </w:rPr>
        <w:t xml:space="preserve">hose who participated in each of these activities were more likely than those who did not to feel pressured to have sex. They also cluster in that individual pupils exhibiting such behaviours are more likely to associate with others doing the same. For example, more than half (59%) of those who said that most of their friends smoke also smoke, </w:t>
      </w:r>
      <w:r w:rsidR="00C63AE1">
        <w:rPr>
          <w:rFonts w:asciiTheme="minorHAnsi" w:hAnsiTheme="minorHAnsi" w:cstheme="minorHAnsi"/>
          <w:szCs w:val="22"/>
        </w:rPr>
        <w:t xml:space="preserve">and </w:t>
      </w:r>
      <w:r>
        <w:rPr>
          <w:rFonts w:asciiTheme="minorHAnsi" w:hAnsiTheme="minorHAnsi" w:cstheme="minorHAnsi"/>
          <w:szCs w:val="22"/>
        </w:rPr>
        <w:t>there were very few smokers (</w:t>
      </w:r>
      <w:r w:rsidR="00C63AE1">
        <w:rPr>
          <w:rFonts w:asciiTheme="minorHAnsi" w:hAnsiTheme="minorHAnsi" w:cstheme="minorHAnsi"/>
          <w:szCs w:val="22"/>
        </w:rPr>
        <w:t xml:space="preserve">fewer </w:t>
      </w:r>
      <w:r>
        <w:rPr>
          <w:rFonts w:asciiTheme="minorHAnsi" w:hAnsiTheme="minorHAnsi" w:cstheme="minorHAnsi"/>
          <w:szCs w:val="22"/>
        </w:rPr>
        <w:t>than 0.5%) among those who said none of their friends smoke.</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b/>
          <w:szCs w:val="22"/>
        </w:rPr>
        <w:t>Exposure to second-hand smoke</w:t>
      </w:r>
      <w:r w:rsidRPr="007462C5">
        <w:rPr>
          <w:rFonts w:asciiTheme="minorHAnsi" w:hAnsiTheme="minorHAnsi" w:cstheme="minorHAnsi"/>
          <w:szCs w:val="22"/>
        </w:rPr>
        <w:t xml:space="preserve"> in the home remains a significant problem too, affecting around </w:t>
      </w:r>
      <w:r>
        <w:rPr>
          <w:rFonts w:asciiTheme="minorHAnsi" w:hAnsiTheme="minorHAnsi" w:cstheme="minorHAnsi"/>
          <w:szCs w:val="22"/>
        </w:rPr>
        <w:t>15% of</w:t>
      </w:r>
      <w:r w:rsidRPr="007462C5">
        <w:rPr>
          <w:rFonts w:asciiTheme="minorHAnsi" w:hAnsiTheme="minorHAnsi" w:cstheme="minorHAnsi"/>
          <w:szCs w:val="22"/>
        </w:rPr>
        <w:t xml:space="preserve"> S1 to S4 pupils every day or almost every day and a further 1</w:t>
      </w:r>
      <w:r>
        <w:rPr>
          <w:rFonts w:asciiTheme="minorHAnsi" w:hAnsiTheme="minorHAnsi" w:cstheme="minorHAnsi"/>
          <w:szCs w:val="22"/>
        </w:rPr>
        <w:t>3</w:t>
      </w:r>
      <w:r w:rsidRPr="007462C5">
        <w:rPr>
          <w:rFonts w:asciiTheme="minorHAnsi" w:hAnsiTheme="minorHAnsi" w:cstheme="minorHAnsi"/>
          <w:szCs w:val="22"/>
        </w:rPr>
        <w:t xml:space="preserve">% at least sometimes. This also impacts disproportionately on those from poorer households (see below). </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In the context of rising obesity levels, the findings on </w:t>
      </w:r>
      <w:r w:rsidRPr="007462C5">
        <w:rPr>
          <w:rFonts w:asciiTheme="minorHAnsi" w:hAnsiTheme="minorHAnsi" w:cstheme="minorHAnsi"/>
          <w:b/>
          <w:szCs w:val="22"/>
        </w:rPr>
        <w:t>diet</w:t>
      </w:r>
      <w:r w:rsidRPr="007462C5">
        <w:rPr>
          <w:rFonts w:asciiTheme="minorHAnsi" w:hAnsiTheme="minorHAnsi" w:cstheme="minorHAnsi"/>
          <w:szCs w:val="22"/>
        </w:rPr>
        <w:t xml:space="preserve"> and </w:t>
      </w:r>
      <w:r w:rsidRPr="007462C5">
        <w:rPr>
          <w:rFonts w:asciiTheme="minorHAnsi" w:hAnsiTheme="minorHAnsi" w:cstheme="minorHAnsi"/>
          <w:b/>
          <w:szCs w:val="22"/>
        </w:rPr>
        <w:t>physical activity</w:t>
      </w:r>
      <w:r w:rsidRPr="007462C5">
        <w:rPr>
          <w:rFonts w:asciiTheme="minorHAnsi" w:hAnsiTheme="minorHAnsi" w:cstheme="minorHAnsi"/>
          <w:szCs w:val="22"/>
        </w:rPr>
        <w:t xml:space="preserve"> should also give pause for thought. Daily consumption of fruit or vegetables is far from being the norm in </w:t>
      </w:r>
      <w:r>
        <w:rPr>
          <w:rFonts w:asciiTheme="minorHAnsi" w:hAnsiTheme="minorHAnsi" w:cstheme="minorHAnsi"/>
          <w:szCs w:val="22"/>
        </w:rPr>
        <w:t>Falkirk</w:t>
      </w:r>
      <w:r w:rsidRPr="007462C5">
        <w:rPr>
          <w:rFonts w:asciiTheme="minorHAnsi" w:hAnsiTheme="minorHAnsi" w:cstheme="minorHAnsi"/>
          <w:szCs w:val="22"/>
        </w:rPr>
        <w:t xml:space="preserve"> - </w:t>
      </w:r>
      <w:r>
        <w:rPr>
          <w:rFonts w:asciiTheme="minorHAnsi" w:hAnsiTheme="minorHAnsi" w:cstheme="minorHAnsi"/>
          <w:szCs w:val="22"/>
        </w:rPr>
        <w:t>each</w:t>
      </w:r>
      <w:r w:rsidRPr="007462C5">
        <w:rPr>
          <w:rFonts w:asciiTheme="minorHAnsi" w:hAnsiTheme="minorHAnsi" w:cstheme="minorHAnsi"/>
          <w:szCs w:val="22"/>
        </w:rPr>
        <w:t xml:space="preserve"> being reported by around a third of secondary school pupils, for example. </w:t>
      </w:r>
      <w:r>
        <w:rPr>
          <w:rFonts w:asciiTheme="minorHAnsi" w:hAnsiTheme="minorHAnsi" w:cstheme="minorHAnsi"/>
          <w:szCs w:val="22"/>
        </w:rPr>
        <w:t>Only half (49%) of secondary school pupils ate breakfast every day, and around one in five (18%) never ate breakfast. Un</w:t>
      </w:r>
      <w:r w:rsidRPr="007462C5">
        <w:rPr>
          <w:rFonts w:asciiTheme="minorHAnsi" w:hAnsiTheme="minorHAnsi" w:cstheme="minorHAnsi"/>
          <w:szCs w:val="22"/>
        </w:rPr>
        <w:t xml:space="preserve">healthy choices, such as consumption of fizzy or sugary drinks, </w:t>
      </w:r>
      <w:r>
        <w:rPr>
          <w:rFonts w:asciiTheme="minorHAnsi" w:hAnsiTheme="minorHAnsi" w:cstheme="minorHAnsi"/>
          <w:szCs w:val="22"/>
        </w:rPr>
        <w:t>were</w:t>
      </w:r>
      <w:r w:rsidRPr="007462C5">
        <w:rPr>
          <w:rFonts w:asciiTheme="minorHAnsi" w:hAnsiTheme="minorHAnsi" w:cstheme="minorHAnsi"/>
          <w:szCs w:val="22"/>
        </w:rPr>
        <w:t xml:space="preserve"> </w:t>
      </w:r>
      <w:r>
        <w:rPr>
          <w:rFonts w:asciiTheme="minorHAnsi" w:hAnsiTheme="minorHAnsi" w:cstheme="minorHAnsi"/>
          <w:szCs w:val="22"/>
        </w:rPr>
        <w:t xml:space="preserve">also </w:t>
      </w:r>
      <w:r w:rsidRPr="007462C5">
        <w:rPr>
          <w:rFonts w:asciiTheme="minorHAnsi" w:hAnsiTheme="minorHAnsi" w:cstheme="minorHAnsi"/>
          <w:szCs w:val="22"/>
        </w:rPr>
        <w:t xml:space="preserve">common. Compounding such dietary choices is the relatively sedentary lifestyle of many children, especially as they progress through the school system. </w:t>
      </w:r>
      <w:r>
        <w:rPr>
          <w:rFonts w:asciiTheme="minorHAnsi" w:hAnsiTheme="minorHAnsi" w:cstheme="minorHAnsi"/>
          <w:szCs w:val="22"/>
        </w:rPr>
        <w:t>Half</w:t>
      </w:r>
      <w:r w:rsidRPr="007462C5">
        <w:rPr>
          <w:rFonts w:asciiTheme="minorHAnsi" w:hAnsiTheme="minorHAnsi" w:cstheme="minorHAnsi"/>
          <w:szCs w:val="22"/>
        </w:rPr>
        <w:t xml:space="preserve"> of S1 to S4 pupils in </w:t>
      </w:r>
      <w:r>
        <w:rPr>
          <w:rFonts w:asciiTheme="minorHAnsi" w:hAnsiTheme="minorHAnsi" w:cstheme="minorHAnsi"/>
          <w:szCs w:val="22"/>
        </w:rPr>
        <w:t>Falkirk</w:t>
      </w:r>
      <w:r w:rsidRPr="007462C5">
        <w:rPr>
          <w:rFonts w:asciiTheme="minorHAnsi" w:hAnsiTheme="minorHAnsi" w:cstheme="minorHAnsi"/>
          <w:szCs w:val="22"/>
        </w:rPr>
        <w:t xml:space="preserve"> (5</w:t>
      </w:r>
      <w:r>
        <w:rPr>
          <w:rFonts w:asciiTheme="minorHAnsi" w:hAnsiTheme="minorHAnsi" w:cstheme="minorHAnsi"/>
          <w:szCs w:val="22"/>
        </w:rPr>
        <w:t>0</w:t>
      </w:r>
      <w:r w:rsidRPr="007462C5">
        <w:rPr>
          <w:rFonts w:asciiTheme="minorHAnsi" w:hAnsiTheme="minorHAnsi" w:cstheme="minorHAnsi"/>
          <w:szCs w:val="22"/>
        </w:rPr>
        <w:t xml:space="preserve">%), for example, are physically active on </w:t>
      </w:r>
      <w:r w:rsidR="00C63AE1">
        <w:rPr>
          <w:rFonts w:asciiTheme="minorHAnsi" w:hAnsiTheme="minorHAnsi" w:cstheme="minorHAnsi"/>
          <w:szCs w:val="22"/>
        </w:rPr>
        <w:t>fewer</w:t>
      </w:r>
      <w:r w:rsidR="00C63AE1" w:rsidRPr="007462C5">
        <w:rPr>
          <w:rFonts w:asciiTheme="minorHAnsi" w:hAnsiTheme="minorHAnsi" w:cstheme="minorHAnsi"/>
          <w:szCs w:val="22"/>
        </w:rPr>
        <w:t xml:space="preserve"> </w:t>
      </w:r>
      <w:r w:rsidRPr="007462C5">
        <w:rPr>
          <w:rFonts w:asciiTheme="minorHAnsi" w:hAnsiTheme="minorHAnsi" w:cstheme="minorHAnsi"/>
          <w:szCs w:val="22"/>
        </w:rPr>
        <w:t xml:space="preserve">than five days a week. Indeed, one in </w:t>
      </w:r>
      <w:r>
        <w:rPr>
          <w:rFonts w:asciiTheme="minorHAnsi" w:hAnsiTheme="minorHAnsi" w:cstheme="minorHAnsi"/>
          <w:szCs w:val="22"/>
        </w:rPr>
        <w:t>nine</w:t>
      </w:r>
      <w:r w:rsidRPr="007462C5">
        <w:rPr>
          <w:rFonts w:asciiTheme="minorHAnsi" w:hAnsiTheme="minorHAnsi" w:cstheme="minorHAnsi"/>
          <w:szCs w:val="22"/>
        </w:rPr>
        <w:t xml:space="preserve"> (1</w:t>
      </w:r>
      <w:r>
        <w:rPr>
          <w:rFonts w:asciiTheme="minorHAnsi" w:hAnsiTheme="minorHAnsi" w:cstheme="minorHAnsi"/>
          <w:szCs w:val="22"/>
        </w:rPr>
        <w:t>1</w:t>
      </w:r>
      <w:r w:rsidRPr="007462C5">
        <w:rPr>
          <w:rFonts w:asciiTheme="minorHAnsi" w:hAnsiTheme="minorHAnsi" w:cstheme="minorHAnsi"/>
          <w:szCs w:val="22"/>
        </w:rPr>
        <w:t>%) say they are active on just one day or less.</w:t>
      </w:r>
    </w:p>
    <w:p w:rsidR="00DD381D" w:rsidRPr="004E4832"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These figures contrast with those from the primary school survey, suggesting again that the good behaviours learned throughout primary school </w:t>
      </w:r>
      <w:r w:rsidR="00C63AE1">
        <w:rPr>
          <w:rFonts w:asciiTheme="minorHAnsi" w:hAnsiTheme="minorHAnsi" w:cstheme="minorHAnsi"/>
          <w:szCs w:val="22"/>
        </w:rPr>
        <w:t>are not sustained</w:t>
      </w:r>
      <w:r>
        <w:rPr>
          <w:rFonts w:asciiTheme="minorHAnsi" w:hAnsiTheme="minorHAnsi" w:cstheme="minorHAnsi"/>
          <w:szCs w:val="22"/>
        </w:rPr>
        <w:t xml:space="preserve"> as children get older. Around half the pupils in P5 to P7 (47%) were physically active every day, with a further third (33%) active on most days. Daily consumption of fruit </w:t>
      </w:r>
      <w:r w:rsidRPr="004E4832">
        <w:rPr>
          <w:rFonts w:asciiTheme="minorHAnsi" w:hAnsiTheme="minorHAnsi" w:cstheme="minorHAnsi"/>
          <w:szCs w:val="22"/>
        </w:rPr>
        <w:t>was also more common at primary school level.</w:t>
      </w:r>
    </w:p>
    <w:p w:rsidR="00DD381D" w:rsidRPr="007462C5" w:rsidRDefault="00DD381D" w:rsidP="00DD381D">
      <w:pPr>
        <w:pStyle w:val="BodyCopy"/>
        <w:spacing w:before="240" w:after="200" w:line="276" w:lineRule="auto"/>
        <w:rPr>
          <w:rFonts w:asciiTheme="minorHAnsi" w:hAnsiTheme="minorHAnsi" w:cstheme="minorHAnsi"/>
          <w:szCs w:val="22"/>
        </w:rPr>
      </w:pPr>
      <w:r w:rsidRPr="004E4832">
        <w:rPr>
          <w:rFonts w:asciiTheme="minorHAnsi" w:hAnsiTheme="minorHAnsi" w:cstheme="minorHAnsi"/>
          <w:szCs w:val="22"/>
        </w:rPr>
        <w:t xml:space="preserve">In terms of </w:t>
      </w:r>
      <w:r w:rsidRPr="004E4832">
        <w:rPr>
          <w:rFonts w:asciiTheme="minorHAnsi" w:hAnsiTheme="minorHAnsi" w:cstheme="minorHAnsi"/>
          <w:b/>
          <w:szCs w:val="22"/>
        </w:rPr>
        <w:t>mental and emotional wellbeing</w:t>
      </w:r>
      <w:r w:rsidRPr="004E4832">
        <w:rPr>
          <w:rFonts w:asciiTheme="minorHAnsi" w:hAnsiTheme="minorHAnsi" w:cstheme="minorHAnsi"/>
          <w:szCs w:val="22"/>
        </w:rPr>
        <w:t xml:space="preserve">, there are indications that the picture in </w:t>
      </w:r>
      <w:r>
        <w:rPr>
          <w:rFonts w:asciiTheme="minorHAnsi" w:hAnsiTheme="minorHAnsi" w:cstheme="minorHAnsi"/>
          <w:szCs w:val="22"/>
        </w:rPr>
        <w:t>Falkirk</w:t>
      </w:r>
      <w:r w:rsidRPr="004E4832">
        <w:rPr>
          <w:rFonts w:asciiTheme="minorHAnsi" w:hAnsiTheme="minorHAnsi" w:cstheme="minorHAnsi"/>
          <w:szCs w:val="22"/>
        </w:rPr>
        <w:t xml:space="preserve"> </w:t>
      </w:r>
      <w:r>
        <w:rPr>
          <w:rFonts w:asciiTheme="minorHAnsi" w:hAnsiTheme="minorHAnsi" w:cstheme="minorHAnsi"/>
          <w:szCs w:val="22"/>
        </w:rPr>
        <w:t>is also similar to that</w:t>
      </w:r>
      <w:r w:rsidRPr="004E4832">
        <w:rPr>
          <w:rFonts w:asciiTheme="minorHAnsi" w:hAnsiTheme="minorHAnsi" w:cstheme="minorHAnsi"/>
          <w:szCs w:val="22"/>
        </w:rPr>
        <w:t xml:space="preserve"> across Scotland as a whole. In </w:t>
      </w:r>
      <w:r w:rsidR="007C1F4A" w:rsidRPr="004E4832">
        <w:rPr>
          <w:rFonts w:asciiTheme="minorHAnsi" w:hAnsiTheme="minorHAnsi" w:cstheme="minorHAnsi"/>
          <w:szCs w:val="22"/>
        </w:rPr>
        <w:t>201</w:t>
      </w:r>
      <w:r w:rsidR="007C1F4A">
        <w:rPr>
          <w:rFonts w:asciiTheme="minorHAnsi" w:hAnsiTheme="minorHAnsi" w:cstheme="minorHAnsi"/>
          <w:szCs w:val="22"/>
        </w:rPr>
        <w:t>7</w:t>
      </w:r>
      <w:r w:rsidRPr="004E4832">
        <w:rPr>
          <w:rFonts w:asciiTheme="minorHAnsi" w:hAnsiTheme="minorHAnsi" w:cstheme="minorHAnsi"/>
          <w:szCs w:val="22"/>
        </w:rPr>
        <w:t xml:space="preserve">, for example, the proportion of </w:t>
      </w:r>
      <w:r>
        <w:rPr>
          <w:rFonts w:asciiTheme="minorHAnsi" w:hAnsiTheme="minorHAnsi" w:cstheme="minorHAnsi"/>
          <w:szCs w:val="22"/>
        </w:rPr>
        <w:t>S2 and</w:t>
      </w:r>
      <w:r w:rsidRPr="004E4832">
        <w:rPr>
          <w:rFonts w:asciiTheme="minorHAnsi" w:hAnsiTheme="minorHAnsi" w:cstheme="minorHAnsi"/>
          <w:szCs w:val="22"/>
        </w:rPr>
        <w:t xml:space="preserve"> S4 pupils in </w:t>
      </w:r>
      <w:r>
        <w:rPr>
          <w:rFonts w:asciiTheme="minorHAnsi" w:hAnsiTheme="minorHAnsi" w:cstheme="minorHAnsi"/>
          <w:szCs w:val="22"/>
        </w:rPr>
        <w:t>Falkirk</w:t>
      </w:r>
      <w:r w:rsidRPr="004E4832">
        <w:rPr>
          <w:rFonts w:asciiTheme="minorHAnsi" w:hAnsiTheme="minorHAnsi" w:cstheme="minorHAnsi"/>
          <w:szCs w:val="22"/>
        </w:rPr>
        <w:t xml:space="preserve"> within the ‘normal’ range for the total difficulties SDQ score was </w:t>
      </w:r>
      <w:r w:rsidR="007C1F4A">
        <w:rPr>
          <w:rFonts w:asciiTheme="minorHAnsi" w:hAnsiTheme="minorHAnsi" w:cstheme="minorHAnsi"/>
          <w:szCs w:val="22"/>
        </w:rPr>
        <w:t>the same as</w:t>
      </w:r>
      <w:r w:rsidRPr="004E4832">
        <w:rPr>
          <w:rFonts w:asciiTheme="minorHAnsi" w:hAnsiTheme="minorHAnsi" w:cstheme="minorHAnsi"/>
          <w:szCs w:val="22"/>
        </w:rPr>
        <w:t xml:space="preserve"> the Scotland average</w:t>
      </w:r>
      <w:r>
        <w:rPr>
          <w:rFonts w:asciiTheme="minorHAnsi" w:hAnsiTheme="minorHAnsi" w:cstheme="minorHAnsi"/>
          <w:szCs w:val="22"/>
        </w:rPr>
        <w:t xml:space="preserve"> for 2015</w:t>
      </w:r>
      <w:r w:rsidRPr="004E4832">
        <w:rPr>
          <w:rFonts w:asciiTheme="minorHAnsi" w:hAnsiTheme="minorHAnsi" w:cstheme="minorHAnsi"/>
          <w:szCs w:val="22"/>
        </w:rPr>
        <w:t>. However, it is also worth noting that, both locally and nationally, there are signs that the proportion of pupils with ‘very high’ scores may be increasing. This issue undoubtedly merits further investigation as, if confirmed, such a trend would have significant implications for the type and capacity of service provision required.</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lastRenderedPageBreak/>
        <w:t xml:space="preserve">Although we are not in a position to compare experiences of </w:t>
      </w:r>
      <w:r w:rsidRPr="007462C5">
        <w:rPr>
          <w:rFonts w:asciiTheme="minorHAnsi" w:hAnsiTheme="minorHAnsi" w:cstheme="minorHAnsi"/>
          <w:b/>
          <w:szCs w:val="22"/>
        </w:rPr>
        <w:t>bullying</w:t>
      </w:r>
      <w:r w:rsidRPr="007462C5">
        <w:rPr>
          <w:rFonts w:asciiTheme="minorHAnsi" w:hAnsiTheme="minorHAnsi" w:cstheme="minorHAnsi"/>
          <w:szCs w:val="22"/>
        </w:rPr>
        <w:t xml:space="preserve"> in </w:t>
      </w:r>
      <w:r>
        <w:rPr>
          <w:rFonts w:asciiTheme="minorHAnsi" w:hAnsiTheme="minorHAnsi" w:cstheme="minorHAnsi"/>
          <w:szCs w:val="22"/>
        </w:rPr>
        <w:t>Falkirk</w:t>
      </w:r>
      <w:r w:rsidRPr="007462C5">
        <w:rPr>
          <w:rFonts w:asciiTheme="minorHAnsi" w:hAnsiTheme="minorHAnsi" w:cstheme="minorHAnsi"/>
          <w:szCs w:val="22"/>
        </w:rPr>
        <w:t xml:space="preserve"> with the position nationally, in absolute terms, the proportion of children affected </w:t>
      </w:r>
      <w:r w:rsidR="00C63AE1">
        <w:rPr>
          <w:rFonts w:asciiTheme="minorHAnsi" w:hAnsiTheme="minorHAnsi" w:cstheme="minorHAnsi"/>
          <w:szCs w:val="22"/>
        </w:rPr>
        <w:t>remain</w:t>
      </w:r>
      <w:r w:rsidR="00C63AE1" w:rsidRPr="007462C5">
        <w:rPr>
          <w:rFonts w:asciiTheme="minorHAnsi" w:hAnsiTheme="minorHAnsi" w:cstheme="minorHAnsi"/>
          <w:szCs w:val="22"/>
        </w:rPr>
        <w:t xml:space="preserve">s </w:t>
      </w:r>
      <w:r w:rsidR="00012C50">
        <w:rPr>
          <w:rFonts w:asciiTheme="minorHAnsi" w:hAnsiTheme="minorHAnsi" w:cstheme="minorHAnsi"/>
          <w:szCs w:val="22"/>
        </w:rPr>
        <w:t>somewhat</w:t>
      </w:r>
      <w:r w:rsidRPr="007462C5">
        <w:rPr>
          <w:rFonts w:asciiTheme="minorHAnsi" w:hAnsiTheme="minorHAnsi" w:cstheme="minorHAnsi"/>
          <w:szCs w:val="22"/>
        </w:rPr>
        <w:t xml:space="preserve"> high. </w:t>
      </w:r>
      <w:r w:rsidR="009F2CC1">
        <w:rPr>
          <w:rFonts w:asciiTheme="minorHAnsi" w:hAnsiTheme="minorHAnsi" w:cstheme="minorHAnsi"/>
          <w:szCs w:val="22"/>
        </w:rPr>
        <w:t>Cy</w:t>
      </w:r>
      <w:r w:rsidRPr="007462C5">
        <w:rPr>
          <w:rFonts w:asciiTheme="minorHAnsi" w:hAnsiTheme="minorHAnsi" w:cstheme="minorHAnsi"/>
          <w:szCs w:val="22"/>
        </w:rPr>
        <w:t>berbullying appear</w:t>
      </w:r>
      <w:r w:rsidR="009F2CC1">
        <w:rPr>
          <w:rFonts w:asciiTheme="minorHAnsi" w:hAnsiTheme="minorHAnsi" w:cstheme="minorHAnsi"/>
          <w:szCs w:val="22"/>
        </w:rPr>
        <w:t>s</w:t>
      </w:r>
      <w:r w:rsidRPr="007462C5">
        <w:rPr>
          <w:rFonts w:asciiTheme="minorHAnsi" w:hAnsiTheme="minorHAnsi" w:cstheme="minorHAnsi"/>
          <w:szCs w:val="22"/>
        </w:rPr>
        <w:t xml:space="preserve"> to be a presence in the lives of a significant minority of young people. For example, 1</w:t>
      </w:r>
      <w:r>
        <w:rPr>
          <w:rFonts w:asciiTheme="minorHAnsi" w:hAnsiTheme="minorHAnsi" w:cstheme="minorHAnsi"/>
          <w:szCs w:val="22"/>
        </w:rPr>
        <w:t>6</w:t>
      </w:r>
      <w:r w:rsidRPr="007462C5">
        <w:rPr>
          <w:rFonts w:asciiTheme="minorHAnsi" w:hAnsiTheme="minorHAnsi" w:cstheme="minorHAnsi"/>
          <w:szCs w:val="22"/>
        </w:rPr>
        <w:t xml:space="preserve">% of pupils in primary school said that they had been bullied by other children ‘sending emails, text messages or posting something online’. </w:t>
      </w:r>
      <w:r w:rsidR="009F2CC1">
        <w:rPr>
          <w:rFonts w:asciiTheme="minorHAnsi" w:hAnsiTheme="minorHAnsi" w:cstheme="minorHAnsi"/>
          <w:szCs w:val="22"/>
        </w:rPr>
        <w:t>However,</w:t>
      </w:r>
      <w:r w:rsidRPr="007462C5">
        <w:rPr>
          <w:rFonts w:asciiTheme="minorHAnsi" w:hAnsiTheme="minorHAnsi" w:cstheme="minorHAnsi"/>
          <w:szCs w:val="22"/>
        </w:rPr>
        <w:t xml:space="preserve"> the proportions reporting experience of some form of offline victimisation were considerably greater. For instance, 3</w:t>
      </w:r>
      <w:r>
        <w:rPr>
          <w:rFonts w:asciiTheme="minorHAnsi" w:hAnsiTheme="minorHAnsi" w:cstheme="minorHAnsi"/>
          <w:szCs w:val="22"/>
        </w:rPr>
        <w:t>9</w:t>
      </w:r>
      <w:r w:rsidRPr="007462C5">
        <w:rPr>
          <w:rFonts w:asciiTheme="minorHAnsi" w:hAnsiTheme="minorHAnsi" w:cstheme="minorHAnsi"/>
          <w:szCs w:val="22"/>
        </w:rPr>
        <w:t xml:space="preserve">% of primary pupils had experienced some form of physical bullying; </w:t>
      </w:r>
      <w:r>
        <w:rPr>
          <w:rFonts w:asciiTheme="minorHAnsi" w:hAnsiTheme="minorHAnsi" w:cstheme="minorHAnsi"/>
          <w:szCs w:val="22"/>
        </w:rPr>
        <w:t>49</w:t>
      </w:r>
      <w:r w:rsidRPr="007462C5">
        <w:rPr>
          <w:rFonts w:asciiTheme="minorHAnsi" w:hAnsiTheme="minorHAnsi" w:cstheme="minorHAnsi"/>
          <w:szCs w:val="22"/>
        </w:rPr>
        <w:t xml:space="preserve">% had been left out of games and chats; and </w:t>
      </w:r>
      <w:r>
        <w:rPr>
          <w:rFonts w:asciiTheme="minorHAnsi" w:hAnsiTheme="minorHAnsi" w:cstheme="minorHAnsi"/>
          <w:szCs w:val="22"/>
        </w:rPr>
        <w:t>56</w:t>
      </w:r>
      <w:r w:rsidRPr="007462C5">
        <w:rPr>
          <w:rFonts w:asciiTheme="minorHAnsi" w:hAnsiTheme="minorHAnsi" w:cstheme="minorHAnsi"/>
          <w:szCs w:val="22"/>
        </w:rPr>
        <w:t xml:space="preserve">% had been called names or made fun of.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The precise definition and measurement of bullying is, of course, open to debate - and it is possible (and even likely) that different questions would have produced different prevalence rates. What is clear, however, is that experience of being bullied is an effective predictor of two other things: having a lower level of mental or emotional wellbeing and bullying other children. For both these reasons, the survey findings around bullying merit further investigation, to help to identify those especially at risk and how and when appropriate interventions might be targeted.</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The surveys provide powerful evidence of persistent inequalities in health and wellbeing..</w:t>
      </w:r>
      <w:r>
        <w:rPr>
          <w:rFonts w:asciiTheme="minorHAnsi" w:hAnsiTheme="minorHAnsi" w:cstheme="minorHAnsi"/>
          <w:b/>
          <w:szCs w:val="22"/>
        </w:rPr>
        <w:t xml:space="preserve">. </w:t>
      </w:r>
    </w:p>
    <w:p w:rsidR="00DD381D" w:rsidRPr="007462C5" w:rsidRDefault="009F2CC1"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It</w:t>
      </w:r>
      <w:r w:rsidR="00DD381D" w:rsidRPr="007462C5">
        <w:rPr>
          <w:rFonts w:asciiTheme="minorHAnsi" w:hAnsiTheme="minorHAnsi" w:cstheme="minorHAnsi"/>
          <w:szCs w:val="22"/>
        </w:rPr>
        <w:t xml:space="preserve"> is perhaps not surprising to find that poverty and deprivation are key predictors on many measures. However, the extent of some of those differences - and the fact that they can be demonstrated using data that are specific to the local context of </w:t>
      </w:r>
      <w:r w:rsidR="00DD381D">
        <w:rPr>
          <w:rFonts w:asciiTheme="minorHAnsi" w:hAnsiTheme="minorHAnsi" w:cstheme="minorHAnsi"/>
          <w:szCs w:val="22"/>
        </w:rPr>
        <w:t>Falkirk</w:t>
      </w:r>
      <w:r w:rsidR="00DD381D" w:rsidRPr="007462C5">
        <w:rPr>
          <w:rFonts w:asciiTheme="minorHAnsi" w:hAnsiTheme="minorHAnsi" w:cstheme="minorHAnsi"/>
          <w:szCs w:val="22"/>
        </w:rPr>
        <w:t xml:space="preserve"> - should serve as a reminder of the work that remains to be done. Such inequalities are not necessarily consistent. On some measures - such as </w:t>
      </w:r>
      <w:r w:rsidR="00DD381D">
        <w:rPr>
          <w:rFonts w:asciiTheme="minorHAnsi" w:hAnsiTheme="minorHAnsi" w:cstheme="minorHAnsi"/>
          <w:szCs w:val="22"/>
        </w:rPr>
        <w:t>enjoyment of school or physical activity</w:t>
      </w:r>
      <w:r w:rsidR="00DD381D" w:rsidRPr="007462C5">
        <w:rPr>
          <w:rFonts w:asciiTheme="minorHAnsi" w:hAnsiTheme="minorHAnsi" w:cstheme="minorHAnsi"/>
          <w:szCs w:val="22"/>
        </w:rPr>
        <w:t xml:space="preserve"> - there is little variation across socio-economic backgrounds. On others, however, the differences remain stark. In the least deprived quintile, for example, </w:t>
      </w:r>
      <w:r w:rsidR="00DD381D">
        <w:rPr>
          <w:rFonts w:asciiTheme="minorHAnsi" w:hAnsiTheme="minorHAnsi" w:cstheme="minorHAnsi"/>
          <w:szCs w:val="22"/>
        </w:rPr>
        <w:t>13</w:t>
      </w:r>
      <w:r w:rsidR="00DD381D" w:rsidRPr="007462C5">
        <w:rPr>
          <w:rFonts w:asciiTheme="minorHAnsi" w:hAnsiTheme="minorHAnsi" w:cstheme="minorHAnsi"/>
          <w:szCs w:val="22"/>
        </w:rPr>
        <w:t xml:space="preserve">% of S1 to S4 pupils were exposed to second-hand smoke; in the most deprived areas, by contrast, the figure was </w:t>
      </w:r>
      <w:r w:rsidR="00DD381D">
        <w:rPr>
          <w:rFonts w:asciiTheme="minorHAnsi" w:hAnsiTheme="minorHAnsi" w:cstheme="minorHAnsi"/>
          <w:szCs w:val="22"/>
        </w:rPr>
        <w:t>44</w:t>
      </w:r>
      <w:r w:rsidR="00DD381D" w:rsidRPr="007462C5">
        <w:rPr>
          <w:rFonts w:asciiTheme="minorHAnsi" w:hAnsiTheme="minorHAnsi" w:cstheme="minorHAnsi"/>
          <w:szCs w:val="22"/>
        </w:rPr>
        <w:t xml:space="preserve">%. Similar patterns were evident in relation to </w:t>
      </w:r>
      <w:r w:rsidR="00DD381D">
        <w:rPr>
          <w:rFonts w:asciiTheme="minorHAnsi" w:hAnsiTheme="minorHAnsi" w:cstheme="minorHAnsi"/>
          <w:szCs w:val="22"/>
        </w:rPr>
        <w:t>caring responsibilities</w:t>
      </w:r>
      <w:r w:rsidR="00C63AE1">
        <w:rPr>
          <w:rFonts w:asciiTheme="minorHAnsi" w:hAnsiTheme="minorHAnsi" w:cstheme="minorHAnsi"/>
          <w:szCs w:val="22"/>
        </w:rPr>
        <w:t xml:space="preserve"> and concern about family members</w:t>
      </w:r>
      <w:r>
        <w:rPr>
          <w:rFonts w:asciiTheme="minorHAnsi" w:hAnsiTheme="minorHAnsi" w:cstheme="minorHAnsi"/>
          <w:szCs w:val="22"/>
        </w:rPr>
        <w:t>.</w:t>
      </w:r>
      <w:r w:rsidR="00DD381D" w:rsidRPr="007462C5">
        <w:rPr>
          <w:rFonts w:asciiTheme="minorHAnsi" w:hAnsiTheme="minorHAnsi" w:cstheme="minorHAnsi"/>
          <w:szCs w:val="22"/>
        </w:rPr>
        <w:t xml:space="preserve"> </w:t>
      </w:r>
      <w:r>
        <w:rPr>
          <w:rFonts w:asciiTheme="minorHAnsi" w:hAnsiTheme="minorHAnsi" w:cstheme="minorHAnsi"/>
          <w:szCs w:val="22"/>
        </w:rPr>
        <w:t>F</w:t>
      </w:r>
      <w:r w:rsidR="00DD381D" w:rsidRPr="007462C5">
        <w:rPr>
          <w:rFonts w:asciiTheme="minorHAnsi" w:hAnsiTheme="minorHAnsi" w:cstheme="minorHAnsi"/>
          <w:szCs w:val="22"/>
        </w:rPr>
        <w:t xml:space="preserve">or instance, </w:t>
      </w:r>
      <w:r w:rsidR="00DD381D">
        <w:rPr>
          <w:rFonts w:asciiTheme="minorHAnsi" w:hAnsiTheme="minorHAnsi" w:cstheme="minorHAnsi"/>
          <w:szCs w:val="22"/>
        </w:rPr>
        <w:t>45</w:t>
      </w:r>
      <w:r w:rsidR="00DD381D" w:rsidRPr="007462C5">
        <w:rPr>
          <w:rFonts w:asciiTheme="minorHAnsi" w:hAnsiTheme="minorHAnsi" w:cstheme="minorHAnsi"/>
          <w:szCs w:val="22"/>
        </w:rPr>
        <w:t xml:space="preserve">% of primary </w:t>
      </w:r>
      <w:r w:rsidR="00DD381D">
        <w:rPr>
          <w:rFonts w:asciiTheme="minorHAnsi" w:hAnsiTheme="minorHAnsi" w:cstheme="minorHAnsi"/>
          <w:szCs w:val="22"/>
        </w:rPr>
        <w:t xml:space="preserve">school </w:t>
      </w:r>
      <w:r w:rsidR="00DD381D" w:rsidRPr="007462C5">
        <w:rPr>
          <w:rFonts w:asciiTheme="minorHAnsi" w:hAnsiTheme="minorHAnsi" w:cstheme="minorHAnsi"/>
          <w:szCs w:val="22"/>
        </w:rPr>
        <w:t xml:space="preserve">pupils </w:t>
      </w:r>
      <w:r w:rsidR="00DD381D">
        <w:rPr>
          <w:rFonts w:asciiTheme="minorHAnsi" w:hAnsiTheme="minorHAnsi" w:cstheme="minorHAnsi"/>
          <w:szCs w:val="22"/>
        </w:rPr>
        <w:t>in the most deprived areas</w:t>
      </w:r>
      <w:r w:rsidR="00DD381D" w:rsidRPr="007462C5">
        <w:rPr>
          <w:rFonts w:asciiTheme="minorHAnsi" w:hAnsiTheme="minorHAnsi" w:cstheme="minorHAnsi"/>
          <w:szCs w:val="22"/>
        </w:rPr>
        <w:t xml:space="preserve"> </w:t>
      </w:r>
      <w:r w:rsidR="00DD381D">
        <w:rPr>
          <w:rFonts w:asciiTheme="minorHAnsi" w:hAnsiTheme="minorHAnsi" w:cstheme="minorHAnsi"/>
          <w:szCs w:val="22"/>
        </w:rPr>
        <w:t>worried a lot about a family member’s health</w:t>
      </w:r>
      <w:r w:rsidR="00DD381D" w:rsidRPr="007462C5">
        <w:rPr>
          <w:rFonts w:asciiTheme="minorHAnsi" w:hAnsiTheme="minorHAnsi" w:cstheme="minorHAnsi"/>
          <w:szCs w:val="22"/>
        </w:rPr>
        <w:t xml:space="preserve"> compared with </w:t>
      </w:r>
      <w:r w:rsidR="00DD381D">
        <w:rPr>
          <w:rFonts w:asciiTheme="minorHAnsi" w:hAnsiTheme="minorHAnsi" w:cstheme="minorHAnsi"/>
          <w:szCs w:val="22"/>
        </w:rPr>
        <w:t>29-30</w:t>
      </w:r>
      <w:r w:rsidR="00DD381D" w:rsidRPr="007462C5">
        <w:rPr>
          <w:rFonts w:asciiTheme="minorHAnsi" w:hAnsiTheme="minorHAnsi" w:cstheme="minorHAnsi"/>
          <w:szCs w:val="22"/>
        </w:rPr>
        <w:t xml:space="preserve">% </w:t>
      </w:r>
      <w:r w:rsidR="00DD381D">
        <w:rPr>
          <w:rFonts w:asciiTheme="minorHAnsi" w:hAnsiTheme="minorHAnsi" w:cstheme="minorHAnsi"/>
          <w:szCs w:val="22"/>
        </w:rPr>
        <w:t>in the two least deprived quintiles; and 30% of secondary school pupils eligible for free school meals described themselves as young carers compared with 10% of others.</w:t>
      </w:r>
    </w:p>
    <w:p w:rsidR="009F2CC1"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At primary school level, </w:t>
      </w:r>
      <w:r>
        <w:rPr>
          <w:rFonts w:asciiTheme="minorHAnsi" w:hAnsiTheme="minorHAnsi" w:cstheme="minorHAnsi"/>
          <w:szCs w:val="22"/>
        </w:rPr>
        <w:t xml:space="preserve">differences in health behaviours were noticeable, with </w:t>
      </w:r>
      <w:r w:rsidRPr="007462C5">
        <w:rPr>
          <w:rFonts w:asciiTheme="minorHAnsi" w:hAnsiTheme="minorHAnsi" w:cstheme="minorHAnsi"/>
          <w:szCs w:val="22"/>
        </w:rPr>
        <w:t>children eligible for free school meals</w:t>
      </w:r>
      <w:r>
        <w:rPr>
          <w:rFonts w:asciiTheme="minorHAnsi" w:hAnsiTheme="minorHAnsi" w:cstheme="minorHAnsi"/>
          <w:szCs w:val="22"/>
        </w:rPr>
        <w:t xml:space="preserve"> and children living in the most deprived areas</w:t>
      </w:r>
      <w:r w:rsidRPr="007462C5">
        <w:rPr>
          <w:rFonts w:asciiTheme="minorHAnsi" w:hAnsiTheme="minorHAnsi" w:cstheme="minorHAnsi"/>
          <w:szCs w:val="22"/>
        </w:rPr>
        <w:t xml:space="preserve"> </w:t>
      </w:r>
      <w:r>
        <w:rPr>
          <w:rFonts w:asciiTheme="minorHAnsi" w:hAnsiTheme="minorHAnsi" w:cstheme="minorHAnsi"/>
          <w:szCs w:val="22"/>
        </w:rPr>
        <w:t xml:space="preserve">being more likely to drink fizzy drinks every day and less likely to brush their teeth at least twice a day. By secondary school, </w:t>
      </w:r>
      <w:r w:rsidRPr="007462C5">
        <w:rPr>
          <w:rFonts w:asciiTheme="minorHAnsi" w:hAnsiTheme="minorHAnsi" w:cstheme="minorHAnsi"/>
          <w:szCs w:val="22"/>
        </w:rPr>
        <w:t xml:space="preserve">the same groups of children </w:t>
      </w:r>
      <w:r>
        <w:rPr>
          <w:rFonts w:asciiTheme="minorHAnsi" w:hAnsiTheme="minorHAnsi" w:cstheme="minorHAnsi"/>
          <w:szCs w:val="22"/>
        </w:rPr>
        <w:t>also</w:t>
      </w:r>
      <w:r w:rsidRPr="007462C5">
        <w:rPr>
          <w:rFonts w:asciiTheme="minorHAnsi" w:hAnsiTheme="minorHAnsi" w:cstheme="minorHAnsi"/>
          <w:szCs w:val="22"/>
        </w:rPr>
        <w:t xml:space="preserve"> reported lower levels of positive mental wellbeing (on the WEMWBS scale)</w:t>
      </w:r>
      <w:r>
        <w:rPr>
          <w:rFonts w:asciiTheme="minorHAnsi" w:hAnsiTheme="minorHAnsi" w:cstheme="minorHAnsi"/>
          <w:szCs w:val="22"/>
        </w:rPr>
        <w:t xml:space="preserve"> and more social, emotional and behavioural problems (on the Strengths and Difficulties Questionnaire)</w:t>
      </w:r>
      <w:r w:rsidRPr="007462C5">
        <w:rPr>
          <w:rFonts w:asciiTheme="minorHAnsi" w:hAnsiTheme="minorHAnsi" w:cstheme="minorHAnsi"/>
          <w:szCs w:val="22"/>
        </w:rPr>
        <w:t xml:space="preserve">. </w:t>
      </w:r>
    </w:p>
    <w:p w:rsidR="00DD381D" w:rsidRPr="007462C5"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But </w:t>
      </w:r>
      <w:r w:rsidRPr="007462C5">
        <w:rPr>
          <w:rFonts w:asciiTheme="minorHAnsi" w:hAnsiTheme="minorHAnsi" w:cstheme="minorHAnsi"/>
          <w:szCs w:val="22"/>
        </w:rPr>
        <w:t xml:space="preserve">there were </w:t>
      </w:r>
      <w:r>
        <w:rPr>
          <w:rFonts w:asciiTheme="minorHAnsi" w:hAnsiTheme="minorHAnsi" w:cstheme="minorHAnsi"/>
          <w:szCs w:val="22"/>
        </w:rPr>
        <w:t xml:space="preserve">also </w:t>
      </w:r>
      <w:r w:rsidRPr="007462C5">
        <w:rPr>
          <w:rFonts w:asciiTheme="minorHAnsi" w:hAnsiTheme="minorHAnsi" w:cstheme="minorHAnsi"/>
          <w:szCs w:val="22"/>
        </w:rPr>
        <w:t xml:space="preserve">differences in mental wellbeing </w:t>
      </w:r>
      <w:r>
        <w:rPr>
          <w:rFonts w:asciiTheme="minorHAnsi" w:hAnsiTheme="minorHAnsi" w:cstheme="minorHAnsi"/>
          <w:szCs w:val="22"/>
        </w:rPr>
        <w:t xml:space="preserve">and health behaviours for other disadvantaged groups </w:t>
      </w:r>
      <w:r w:rsidRPr="007462C5">
        <w:rPr>
          <w:rFonts w:asciiTheme="minorHAnsi" w:hAnsiTheme="minorHAnsi" w:cstheme="minorHAnsi"/>
          <w:szCs w:val="22"/>
        </w:rPr>
        <w:t xml:space="preserve">at </w:t>
      </w:r>
      <w:r>
        <w:rPr>
          <w:rFonts w:asciiTheme="minorHAnsi" w:hAnsiTheme="minorHAnsi" w:cstheme="minorHAnsi"/>
          <w:szCs w:val="22"/>
        </w:rPr>
        <w:t xml:space="preserve">both </w:t>
      </w:r>
      <w:r w:rsidRPr="007462C5">
        <w:rPr>
          <w:rFonts w:asciiTheme="minorHAnsi" w:hAnsiTheme="minorHAnsi" w:cstheme="minorHAnsi"/>
          <w:szCs w:val="22"/>
        </w:rPr>
        <w:t xml:space="preserve">primary </w:t>
      </w:r>
      <w:r>
        <w:rPr>
          <w:rFonts w:asciiTheme="minorHAnsi" w:hAnsiTheme="minorHAnsi" w:cstheme="minorHAnsi"/>
          <w:szCs w:val="22"/>
        </w:rPr>
        <w:t xml:space="preserve">and secondary </w:t>
      </w:r>
      <w:r w:rsidRPr="007462C5">
        <w:rPr>
          <w:rFonts w:asciiTheme="minorHAnsi" w:hAnsiTheme="minorHAnsi" w:cstheme="minorHAnsi"/>
          <w:szCs w:val="22"/>
        </w:rPr>
        <w:t>level</w:t>
      </w:r>
      <w:r>
        <w:rPr>
          <w:rFonts w:asciiTheme="minorHAnsi" w:hAnsiTheme="minorHAnsi" w:cstheme="minorHAnsi"/>
          <w:szCs w:val="22"/>
        </w:rPr>
        <w:t xml:space="preserve">, which in some </w:t>
      </w:r>
      <w:r>
        <w:rPr>
          <w:rFonts w:asciiTheme="minorHAnsi" w:hAnsiTheme="minorHAnsi" w:cstheme="minorHAnsi"/>
          <w:szCs w:val="22"/>
        </w:rPr>
        <w:lastRenderedPageBreak/>
        <w:t>cases showed stronger associations with poorer outcomes</w:t>
      </w:r>
      <w:r w:rsidRPr="007462C5">
        <w:rPr>
          <w:rFonts w:asciiTheme="minorHAnsi" w:hAnsiTheme="minorHAnsi" w:cstheme="minorHAnsi"/>
          <w:szCs w:val="22"/>
        </w:rPr>
        <w:t>. For example, child</w:t>
      </w:r>
      <w:r>
        <w:rPr>
          <w:rFonts w:asciiTheme="minorHAnsi" w:hAnsiTheme="minorHAnsi" w:cstheme="minorHAnsi"/>
          <w:szCs w:val="22"/>
        </w:rPr>
        <w:t>ren from single parent households and</w:t>
      </w:r>
      <w:r w:rsidRPr="007462C5">
        <w:rPr>
          <w:rFonts w:asciiTheme="minorHAnsi" w:hAnsiTheme="minorHAnsi" w:cstheme="minorHAnsi"/>
          <w:szCs w:val="22"/>
        </w:rPr>
        <w:t xml:space="preserve"> step-families were worse off (than those in two parent </w:t>
      </w:r>
      <w:r>
        <w:rPr>
          <w:rFonts w:asciiTheme="minorHAnsi" w:hAnsiTheme="minorHAnsi" w:cstheme="minorHAnsi"/>
          <w:szCs w:val="22"/>
        </w:rPr>
        <w:t>households</w:t>
      </w:r>
      <w:r w:rsidRPr="007462C5">
        <w:rPr>
          <w:rFonts w:asciiTheme="minorHAnsi" w:hAnsiTheme="minorHAnsi" w:cstheme="minorHAnsi"/>
          <w:szCs w:val="22"/>
        </w:rPr>
        <w:t>) in terms of total SDQ scores, emotional symptoms</w:t>
      </w:r>
      <w:r>
        <w:rPr>
          <w:rFonts w:asciiTheme="minorHAnsi" w:hAnsiTheme="minorHAnsi" w:cstheme="minorHAnsi"/>
          <w:szCs w:val="22"/>
        </w:rPr>
        <w:t>,</w:t>
      </w:r>
      <w:r w:rsidRPr="007462C5">
        <w:rPr>
          <w:rFonts w:asciiTheme="minorHAnsi" w:hAnsiTheme="minorHAnsi" w:cstheme="minorHAnsi"/>
          <w:szCs w:val="22"/>
        </w:rPr>
        <w:t xml:space="preserve"> conduct problems</w:t>
      </w:r>
      <w:r>
        <w:rPr>
          <w:rFonts w:asciiTheme="minorHAnsi" w:hAnsiTheme="minorHAnsi" w:cstheme="minorHAnsi"/>
          <w:szCs w:val="22"/>
        </w:rPr>
        <w:t>, hyperactivity and peer problems</w:t>
      </w:r>
      <w:r w:rsidRPr="007462C5">
        <w:rPr>
          <w:rFonts w:asciiTheme="minorHAnsi" w:hAnsiTheme="minorHAnsi" w:cstheme="minorHAnsi"/>
          <w:szCs w:val="22"/>
        </w:rPr>
        <w:t>.</w:t>
      </w:r>
      <w:r>
        <w:rPr>
          <w:rFonts w:asciiTheme="minorHAnsi" w:hAnsiTheme="minorHAnsi" w:cstheme="minorHAnsi"/>
          <w:szCs w:val="22"/>
        </w:rPr>
        <w:t xml:space="preserve"> The same groups of children also had </w:t>
      </w:r>
      <w:r w:rsidR="00A91C56">
        <w:rPr>
          <w:rFonts w:asciiTheme="minorHAnsi" w:hAnsiTheme="minorHAnsi" w:cstheme="minorHAnsi"/>
          <w:szCs w:val="22"/>
        </w:rPr>
        <w:t xml:space="preserve">poorer </w:t>
      </w:r>
      <w:r>
        <w:rPr>
          <w:rFonts w:asciiTheme="minorHAnsi" w:hAnsiTheme="minorHAnsi" w:cstheme="minorHAnsi"/>
          <w:szCs w:val="22"/>
        </w:rPr>
        <w:t xml:space="preserve">diet and were more likely to drink alcohol, and exhibited more problems at school, for example in relationships with teachers.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In general, inequalities in health and wellbeing outcomes appear to become more pronounced as children move through the school system. The broader issue of how different aspects of wellbeing are patterned by age group is addressed below.</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...and of the compounding effects of poor health and wellbeing outcomes across different domains</w:t>
      </w:r>
    </w:p>
    <w:p w:rsidR="00DD381D" w:rsidRPr="007462C5" w:rsidRDefault="009F2CC1"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O</w:t>
      </w:r>
      <w:r w:rsidR="00DD381D" w:rsidRPr="007462C5">
        <w:rPr>
          <w:rFonts w:asciiTheme="minorHAnsi" w:hAnsiTheme="minorHAnsi" w:cstheme="minorHAnsi"/>
          <w:szCs w:val="22"/>
        </w:rPr>
        <w:t>f course,</w:t>
      </w:r>
      <w:r>
        <w:rPr>
          <w:rFonts w:asciiTheme="minorHAnsi" w:hAnsiTheme="minorHAnsi" w:cstheme="minorHAnsi"/>
          <w:szCs w:val="22"/>
        </w:rPr>
        <w:t xml:space="preserve"> it is</w:t>
      </w:r>
      <w:r w:rsidR="00DD381D" w:rsidRPr="007462C5">
        <w:rPr>
          <w:rFonts w:asciiTheme="minorHAnsi" w:hAnsiTheme="minorHAnsi" w:cstheme="minorHAnsi"/>
          <w:szCs w:val="22"/>
        </w:rPr>
        <w:t xml:space="preserve"> possible for children to be doing well in some health and wellbeing domains and poorly in others, </w:t>
      </w:r>
      <w:r>
        <w:rPr>
          <w:rFonts w:asciiTheme="minorHAnsi" w:hAnsiTheme="minorHAnsi" w:cstheme="minorHAnsi"/>
          <w:szCs w:val="22"/>
        </w:rPr>
        <w:t>however</w:t>
      </w:r>
      <w:r w:rsidR="00DD381D" w:rsidRPr="007462C5">
        <w:rPr>
          <w:rFonts w:asciiTheme="minorHAnsi" w:hAnsiTheme="minorHAnsi" w:cstheme="minorHAnsi"/>
          <w:szCs w:val="22"/>
        </w:rPr>
        <w:t xml:space="preserve">, poor outcomes in one area are often accompanied by poor outcomes in others. </w:t>
      </w:r>
      <w:r>
        <w:rPr>
          <w:rFonts w:asciiTheme="minorHAnsi" w:hAnsiTheme="minorHAnsi" w:cstheme="minorHAnsi"/>
          <w:szCs w:val="22"/>
        </w:rPr>
        <w:t>T</w:t>
      </w:r>
      <w:r w:rsidR="00DD381D" w:rsidRPr="007462C5">
        <w:rPr>
          <w:rFonts w:asciiTheme="minorHAnsi" w:hAnsiTheme="minorHAnsi" w:cstheme="minorHAnsi"/>
          <w:szCs w:val="22"/>
        </w:rPr>
        <w:t xml:space="preserve">hese are often likely to reinforce and amplify each other. For example, in </w:t>
      </w:r>
      <w:r w:rsidR="00DD381D">
        <w:rPr>
          <w:rFonts w:asciiTheme="minorHAnsi" w:hAnsiTheme="minorHAnsi" w:cstheme="minorHAnsi"/>
          <w:szCs w:val="22"/>
        </w:rPr>
        <w:t>Falkirk</w:t>
      </w:r>
      <w:r w:rsidR="00DD381D" w:rsidRPr="007462C5">
        <w:rPr>
          <w:rFonts w:asciiTheme="minorHAnsi" w:hAnsiTheme="minorHAnsi" w:cstheme="minorHAnsi"/>
          <w:szCs w:val="22"/>
        </w:rPr>
        <w:t xml:space="preserve">, it is apparent that those most likely to drink </w:t>
      </w:r>
      <w:r w:rsidR="00DD381D">
        <w:rPr>
          <w:rFonts w:asciiTheme="minorHAnsi" w:hAnsiTheme="minorHAnsi" w:cstheme="minorHAnsi"/>
          <w:szCs w:val="22"/>
        </w:rPr>
        <w:t>sugar</w:t>
      </w:r>
      <w:r w:rsidR="00DD381D" w:rsidRPr="007462C5">
        <w:rPr>
          <w:rFonts w:asciiTheme="minorHAnsi" w:hAnsiTheme="minorHAnsi" w:cstheme="minorHAnsi"/>
          <w:szCs w:val="22"/>
        </w:rPr>
        <w:t>y drinks are also least likely to brush their teeth regularly, with obvious implications for dental health</w:t>
      </w:r>
      <w:r>
        <w:rPr>
          <w:rFonts w:asciiTheme="minorHAnsi" w:hAnsiTheme="minorHAnsi" w:cstheme="minorHAnsi"/>
          <w:szCs w:val="22"/>
        </w:rPr>
        <w:t>. Among</w:t>
      </w:r>
      <w:r w:rsidR="00DD381D" w:rsidRPr="007462C5">
        <w:rPr>
          <w:rFonts w:asciiTheme="minorHAnsi" w:hAnsiTheme="minorHAnsi" w:cstheme="minorHAnsi"/>
          <w:szCs w:val="22"/>
        </w:rPr>
        <w:t xml:space="preserve"> those </w:t>
      </w:r>
      <w:r w:rsidR="00DD381D">
        <w:rPr>
          <w:rFonts w:asciiTheme="minorHAnsi" w:hAnsiTheme="minorHAnsi" w:cstheme="minorHAnsi"/>
          <w:szCs w:val="22"/>
        </w:rPr>
        <w:t xml:space="preserve">in P5 to P7 </w:t>
      </w:r>
      <w:r w:rsidR="00DD381D" w:rsidRPr="007462C5">
        <w:rPr>
          <w:rFonts w:asciiTheme="minorHAnsi" w:hAnsiTheme="minorHAnsi" w:cstheme="minorHAnsi"/>
          <w:szCs w:val="22"/>
        </w:rPr>
        <w:t xml:space="preserve">who drink fizzy drinks every day </w:t>
      </w:r>
      <w:r>
        <w:rPr>
          <w:rFonts w:asciiTheme="minorHAnsi" w:hAnsiTheme="minorHAnsi" w:cstheme="minorHAnsi"/>
          <w:szCs w:val="22"/>
        </w:rPr>
        <w:t xml:space="preserve">56% </w:t>
      </w:r>
      <w:r w:rsidR="00DD381D" w:rsidRPr="007462C5">
        <w:rPr>
          <w:rFonts w:asciiTheme="minorHAnsi" w:hAnsiTheme="minorHAnsi" w:cstheme="minorHAnsi"/>
          <w:szCs w:val="22"/>
        </w:rPr>
        <w:t>brush t</w:t>
      </w:r>
      <w:r w:rsidR="00DD381D">
        <w:rPr>
          <w:rFonts w:asciiTheme="minorHAnsi" w:hAnsiTheme="minorHAnsi" w:cstheme="minorHAnsi"/>
          <w:szCs w:val="22"/>
        </w:rPr>
        <w:t>heir teeth at least twice a day</w:t>
      </w:r>
      <w:r w:rsidR="00DD381D" w:rsidRPr="007462C5">
        <w:rPr>
          <w:rFonts w:asciiTheme="minorHAnsi" w:hAnsiTheme="minorHAnsi" w:cstheme="minorHAnsi"/>
          <w:szCs w:val="22"/>
        </w:rPr>
        <w:t xml:space="preserve"> compared with 8</w:t>
      </w:r>
      <w:r w:rsidR="00DD381D">
        <w:rPr>
          <w:rFonts w:asciiTheme="minorHAnsi" w:hAnsiTheme="minorHAnsi" w:cstheme="minorHAnsi"/>
          <w:szCs w:val="22"/>
        </w:rPr>
        <w:t>0-83</w:t>
      </w:r>
      <w:r w:rsidR="00DD381D" w:rsidRPr="007462C5">
        <w:rPr>
          <w:rFonts w:asciiTheme="minorHAnsi" w:hAnsiTheme="minorHAnsi" w:cstheme="minorHAnsi"/>
          <w:szCs w:val="22"/>
        </w:rPr>
        <w:t xml:space="preserve">% of those who </w:t>
      </w:r>
      <w:r w:rsidR="00DD381D">
        <w:rPr>
          <w:rFonts w:asciiTheme="minorHAnsi" w:hAnsiTheme="minorHAnsi" w:cstheme="minorHAnsi"/>
          <w:szCs w:val="22"/>
        </w:rPr>
        <w:t xml:space="preserve">rarely or </w:t>
      </w:r>
      <w:r w:rsidR="00DD381D" w:rsidRPr="007462C5">
        <w:rPr>
          <w:rFonts w:asciiTheme="minorHAnsi" w:hAnsiTheme="minorHAnsi" w:cstheme="minorHAnsi"/>
          <w:szCs w:val="22"/>
        </w:rPr>
        <w:t xml:space="preserve">never drink fizzy drinks. The same children are also less likely to eat fruit and vegetables or to be physically active, with compounding consequences for obesity levels.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Other ways in which poorer outcomes tend to cluster across different kinds of indicators are also apparent. For example, there was a link between parental mental health </w:t>
      </w:r>
      <w:r>
        <w:rPr>
          <w:rFonts w:asciiTheme="minorHAnsi" w:hAnsiTheme="minorHAnsi" w:cstheme="minorHAnsi"/>
          <w:szCs w:val="22"/>
        </w:rPr>
        <w:t xml:space="preserve">and </w:t>
      </w:r>
      <w:r w:rsidRPr="007462C5">
        <w:rPr>
          <w:rFonts w:asciiTheme="minorHAnsi" w:hAnsiTheme="minorHAnsi" w:cstheme="minorHAnsi"/>
          <w:szCs w:val="22"/>
        </w:rPr>
        <w:t>SDQ scores for 3-8 year-olds</w:t>
      </w:r>
      <w:r w:rsidR="009F2CC1">
        <w:rPr>
          <w:rFonts w:asciiTheme="minorHAnsi" w:hAnsiTheme="minorHAnsi" w:cstheme="minorHAnsi"/>
          <w:szCs w:val="22"/>
        </w:rPr>
        <w:t>.</w:t>
      </w:r>
      <w:r w:rsidRPr="007462C5">
        <w:rPr>
          <w:rFonts w:asciiTheme="minorHAnsi" w:hAnsiTheme="minorHAnsi" w:cstheme="minorHAnsi"/>
          <w:szCs w:val="22"/>
        </w:rPr>
        <w:t xml:space="preserve"> </w:t>
      </w:r>
      <w:r w:rsidR="009F2CC1">
        <w:rPr>
          <w:rFonts w:asciiTheme="minorHAnsi" w:hAnsiTheme="minorHAnsi" w:cstheme="minorHAnsi"/>
          <w:szCs w:val="22"/>
        </w:rPr>
        <w:t>P</w:t>
      </w:r>
      <w:r w:rsidRPr="007462C5">
        <w:rPr>
          <w:rFonts w:asciiTheme="minorHAnsi" w:hAnsiTheme="minorHAnsi" w:cstheme="minorHAnsi"/>
          <w:szCs w:val="22"/>
        </w:rPr>
        <w:t xml:space="preserve">arents who had ‘poorer’ mental health were </w:t>
      </w:r>
      <w:r>
        <w:rPr>
          <w:rFonts w:asciiTheme="minorHAnsi" w:hAnsiTheme="minorHAnsi" w:cstheme="minorHAnsi"/>
          <w:szCs w:val="22"/>
        </w:rPr>
        <w:t>around four to five times as likely as</w:t>
      </w:r>
      <w:r w:rsidRPr="007462C5">
        <w:rPr>
          <w:rFonts w:asciiTheme="minorHAnsi" w:hAnsiTheme="minorHAnsi" w:cstheme="minorHAnsi"/>
          <w:szCs w:val="22"/>
        </w:rPr>
        <w:t xml:space="preserve"> those with ‘average or better’ mental health to have a child with a </w:t>
      </w:r>
      <w:r>
        <w:rPr>
          <w:rFonts w:asciiTheme="minorHAnsi" w:hAnsiTheme="minorHAnsi" w:cstheme="minorHAnsi"/>
          <w:szCs w:val="22"/>
        </w:rPr>
        <w:t>‘raised</w:t>
      </w:r>
      <w:r w:rsidRPr="007462C5">
        <w:rPr>
          <w:rFonts w:asciiTheme="minorHAnsi" w:hAnsiTheme="minorHAnsi" w:cstheme="minorHAnsi"/>
          <w:szCs w:val="22"/>
        </w:rPr>
        <w:t xml:space="preserve">’ ( </w:t>
      </w:r>
      <w:r>
        <w:rPr>
          <w:rFonts w:asciiTheme="minorHAnsi" w:hAnsiTheme="minorHAnsi" w:cstheme="minorHAnsi"/>
          <w:szCs w:val="22"/>
        </w:rPr>
        <w:t>problematic</w:t>
      </w:r>
      <w:r w:rsidRPr="007462C5">
        <w:rPr>
          <w:rFonts w:asciiTheme="minorHAnsi" w:hAnsiTheme="minorHAnsi" w:cstheme="minorHAnsi"/>
          <w:szCs w:val="22"/>
        </w:rPr>
        <w:t>) total SDQ score.</w:t>
      </w:r>
      <w:r>
        <w:rPr>
          <w:rFonts w:asciiTheme="minorHAnsi" w:hAnsiTheme="minorHAnsi" w:cstheme="minorHAnsi"/>
          <w:szCs w:val="22"/>
        </w:rPr>
        <w:t xml:space="preserve"> Those with ‘poorer’ physical health were also more likely to have a child with a raised score.</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Although we have begun the work of exploring the relationship between these different aspects of wellbeing, there is more that can be done. This might help to identify potentially productive strategies for addressing clusters of poor outcomes, such as those relating to dietary choice, physical activity and dental health. These findings also </w:t>
      </w:r>
      <w:r>
        <w:rPr>
          <w:rFonts w:asciiTheme="minorHAnsi" w:hAnsiTheme="minorHAnsi" w:cstheme="minorHAnsi"/>
          <w:szCs w:val="22"/>
        </w:rPr>
        <w:t>highlight</w:t>
      </w:r>
      <w:r w:rsidRPr="007462C5">
        <w:rPr>
          <w:rFonts w:asciiTheme="minorHAnsi" w:hAnsiTheme="minorHAnsi" w:cstheme="minorHAnsi"/>
          <w:szCs w:val="22"/>
        </w:rPr>
        <w:t xml:space="preserve"> the importance of taking a multidisciplinary approach to tackling issues such as the ones discussed above.</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Gender and age are also powerful predictors - separately and in c</w:t>
      </w:r>
      <w:r>
        <w:rPr>
          <w:rFonts w:asciiTheme="minorHAnsi" w:hAnsiTheme="minorHAnsi" w:cstheme="minorHAnsi"/>
          <w:b/>
          <w:szCs w:val="22"/>
        </w:rPr>
        <w:t>ombination - of</w:t>
      </w:r>
      <w:r w:rsidRPr="007462C5">
        <w:rPr>
          <w:rFonts w:asciiTheme="minorHAnsi" w:hAnsiTheme="minorHAnsi" w:cstheme="minorHAnsi"/>
          <w:b/>
          <w:szCs w:val="22"/>
        </w:rPr>
        <w:t xml:space="preserve"> health-related behaviours and wellbeing outcomes</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While deprivation, poverty and family structure are strongly linked to certain wellbeing indicators, so too are gender and age. Indeed, these often interact to produce particular concentrations of positive or negative outcomes</w:t>
      </w:r>
      <w:r w:rsidR="009F2CC1">
        <w:rPr>
          <w:rFonts w:asciiTheme="minorHAnsi" w:hAnsiTheme="minorHAnsi" w:cstheme="minorHAnsi"/>
          <w:szCs w:val="22"/>
        </w:rPr>
        <w:t>, f</w:t>
      </w:r>
      <w:r w:rsidRPr="007462C5">
        <w:rPr>
          <w:rFonts w:asciiTheme="minorHAnsi" w:hAnsiTheme="minorHAnsi" w:cstheme="minorHAnsi"/>
          <w:szCs w:val="22"/>
        </w:rPr>
        <w:t xml:space="preserve">or example, </w:t>
      </w:r>
      <w:r w:rsidR="009F2CC1">
        <w:rPr>
          <w:rFonts w:asciiTheme="minorHAnsi" w:hAnsiTheme="minorHAnsi" w:cstheme="minorHAnsi"/>
          <w:szCs w:val="22"/>
        </w:rPr>
        <w:t xml:space="preserve">among </w:t>
      </w:r>
      <w:r w:rsidRPr="007462C5">
        <w:rPr>
          <w:rFonts w:asciiTheme="minorHAnsi" w:hAnsiTheme="minorHAnsi" w:cstheme="minorHAnsi"/>
          <w:szCs w:val="22"/>
        </w:rPr>
        <w:t xml:space="preserve">S4 girls or P5 boys. Understanding how these associations </w:t>
      </w:r>
      <w:r w:rsidRPr="007462C5">
        <w:rPr>
          <w:rFonts w:asciiTheme="minorHAnsi" w:hAnsiTheme="minorHAnsi" w:cstheme="minorHAnsi"/>
          <w:szCs w:val="22"/>
        </w:rPr>
        <w:lastRenderedPageBreak/>
        <w:t xml:space="preserve">play out may help schools and other services in </w:t>
      </w:r>
      <w:r>
        <w:rPr>
          <w:rFonts w:asciiTheme="minorHAnsi" w:hAnsiTheme="minorHAnsi" w:cstheme="minorHAnsi"/>
          <w:szCs w:val="22"/>
        </w:rPr>
        <w:t>Falkirk</w:t>
      </w:r>
      <w:r w:rsidRPr="007462C5">
        <w:rPr>
          <w:rFonts w:asciiTheme="minorHAnsi" w:hAnsiTheme="minorHAnsi" w:cstheme="minorHAnsi"/>
          <w:szCs w:val="22"/>
        </w:rPr>
        <w:t xml:space="preserve"> to target and time interventions more effectively.</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 xml:space="preserve">Dietary behaviour, for example, is generally poorer among boys than girls </w:t>
      </w:r>
    </w:p>
    <w:p w:rsidR="00DD381D" w:rsidRPr="007462C5"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Differences in dietary behaviour between boys and girls are evident from a young age in Falkirk, with more frequent consumption of fruit and vegetables among 0-8 year old girls than boys of the same age. F</w:t>
      </w:r>
      <w:r w:rsidRPr="007462C5">
        <w:rPr>
          <w:rFonts w:asciiTheme="minorHAnsi" w:hAnsiTheme="minorHAnsi" w:cstheme="minorHAnsi"/>
          <w:szCs w:val="22"/>
        </w:rPr>
        <w:t xml:space="preserve">rom P5 onwards, boys tended to make poorer dietary choices. For example, among P5 to P7 pupils, </w:t>
      </w:r>
      <w:r>
        <w:rPr>
          <w:rFonts w:asciiTheme="minorHAnsi" w:hAnsiTheme="minorHAnsi" w:cstheme="minorHAnsi"/>
          <w:szCs w:val="22"/>
        </w:rPr>
        <w:t>69</w:t>
      </w:r>
      <w:r w:rsidRPr="007462C5">
        <w:rPr>
          <w:rFonts w:asciiTheme="minorHAnsi" w:hAnsiTheme="minorHAnsi" w:cstheme="minorHAnsi"/>
          <w:szCs w:val="22"/>
        </w:rPr>
        <w:t>% of boys said they a</w:t>
      </w:r>
      <w:r>
        <w:rPr>
          <w:rFonts w:asciiTheme="minorHAnsi" w:hAnsiTheme="minorHAnsi" w:cstheme="minorHAnsi"/>
          <w:szCs w:val="22"/>
        </w:rPr>
        <w:t>te fruit every day or most days</w:t>
      </w:r>
      <w:r w:rsidRPr="007462C5">
        <w:rPr>
          <w:rFonts w:asciiTheme="minorHAnsi" w:hAnsiTheme="minorHAnsi" w:cstheme="minorHAnsi"/>
          <w:szCs w:val="22"/>
        </w:rPr>
        <w:t xml:space="preserve"> compared with </w:t>
      </w:r>
      <w:r>
        <w:rPr>
          <w:rFonts w:asciiTheme="minorHAnsi" w:hAnsiTheme="minorHAnsi" w:cstheme="minorHAnsi"/>
          <w:szCs w:val="22"/>
        </w:rPr>
        <w:t>79</w:t>
      </w:r>
      <w:r w:rsidRPr="007462C5">
        <w:rPr>
          <w:rFonts w:asciiTheme="minorHAnsi" w:hAnsiTheme="minorHAnsi" w:cstheme="minorHAnsi"/>
          <w:szCs w:val="22"/>
        </w:rPr>
        <w:t xml:space="preserve">% of girls; by contrast, </w:t>
      </w:r>
      <w:r>
        <w:rPr>
          <w:rFonts w:asciiTheme="minorHAnsi" w:hAnsiTheme="minorHAnsi" w:cstheme="minorHAnsi"/>
          <w:szCs w:val="22"/>
        </w:rPr>
        <w:t>34</w:t>
      </w:r>
      <w:r w:rsidRPr="007462C5">
        <w:rPr>
          <w:rFonts w:asciiTheme="minorHAnsi" w:hAnsiTheme="minorHAnsi" w:cstheme="minorHAnsi"/>
          <w:szCs w:val="22"/>
        </w:rPr>
        <w:t xml:space="preserve">% of boys drank fizzy drinks with the same frequency compared with </w:t>
      </w:r>
      <w:r>
        <w:rPr>
          <w:rFonts w:asciiTheme="minorHAnsi" w:hAnsiTheme="minorHAnsi" w:cstheme="minorHAnsi"/>
          <w:szCs w:val="22"/>
        </w:rPr>
        <w:t>22</w:t>
      </w:r>
      <w:r w:rsidRPr="007462C5">
        <w:rPr>
          <w:rFonts w:asciiTheme="minorHAnsi" w:hAnsiTheme="minorHAnsi" w:cstheme="minorHAnsi"/>
          <w:szCs w:val="22"/>
        </w:rPr>
        <w:t>% of girls. In secondary school, 4</w:t>
      </w:r>
      <w:r>
        <w:rPr>
          <w:rFonts w:asciiTheme="minorHAnsi" w:hAnsiTheme="minorHAnsi" w:cstheme="minorHAnsi"/>
          <w:szCs w:val="22"/>
        </w:rPr>
        <w:t>2</w:t>
      </w:r>
      <w:r w:rsidRPr="007462C5">
        <w:rPr>
          <w:rFonts w:asciiTheme="minorHAnsi" w:hAnsiTheme="minorHAnsi" w:cstheme="minorHAnsi"/>
          <w:szCs w:val="22"/>
        </w:rPr>
        <w:t xml:space="preserve">% of </w:t>
      </w:r>
      <w:r>
        <w:rPr>
          <w:rFonts w:asciiTheme="minorHAnsi" w:hAnsiTheme="minorHAnsi" w:cstheme="minorHAnsi"/>
          <w:szCs w:val="22"/>
        </w:rPr>
        <w:t>S1 to S4</w:t>
      </w:r>
      <w:r w:rsidRPr="007462C5">
        <w:rPr>
          <w:rFonts w:asciiTheme="minorHAnsi" w:hAnsiTheme="minorHAnsi" w:cstheme="minorHAnsi"/>
          <w:szCs w:val="22"/>
        </w:rPr>
        <w:t xml:space="preserve"> boys consumed sugary drinks </w:t>
      </w:r>
      <w:r>
        <w:rPr>
          <w:rFonts w:asciiTheme="minorHAnsi" w:hAnsiTheme="minorHAnsi" w:cstheme="minorHAnsi"/>
          <w:szCs w:val="22"/>
        </w:rPr>
        <w:t>every day or most days</w:t>
      </w:r>
      <w:r w:rsidRPr="007462C5">
        <w:rPr>
          <w:rFonts w:asciiTheme="minorHAnsi" w:hAnsiTheme="minorHAnsi" w:cstheme="minorHAnsi"/>
          <w:szCs w:val="22"/>
        </w:rPr>
        <w:t xml:space="preserve"> compared with </w:t>
      </w:r>
      <w:r>
        <w:rPr>
          <w:rFonts w:asciiTheme="minorHAnsi" w:hAnsiTheme="minorHAnsi" w:cstheme="minorHAnsi"/>
          <w:szCs w:val="22"/>
        </w:rPr>
        <w:t>32</w:t>
      </w:r>
      <w:r w:rsidRPr="007462C5">
        <w:rPr>
          <w:rFonts w:asciiTheme="minorHAnsi" w:hAnsiTheme="minorHAnsi" w:cstheme="minorHAnsi"/>
          <w:szCs w:val="22"/>
        </w:rPr>
        <w:t>% of girls of the same age.</w:t>
      </w:r>
    </w:p>
    <w:p w:rsidR="00DD381D" w:rsidRPr="007462C5" w:rsidRDefault="00DD381D" w:rsidP="00DD381D">
      <w:pPr>
        <w:pStyle w:val="BodyCopy"/>
        <w:spacing w:before="240" w:after="200" w:line="276" w:lineRule="auto"/>
        <w:rPr>
          <w:rFonts w:asciiTheme="minorHAnsi" w:hAnsiTheme="minorHAnsi" w:cstheme="minorHAnsi"/>
          <w:b/>
          <w:szCs w:val="22"/>
        </w:rPr>
      </w:pPr>
      <w:r w:rsidRPr="00A03002">
        <w:rPr>
          <w:rFonts w:asciiTheme="minorHAnsi" w:hAnsiTheme="minorHAnsi" w:cstheme="minorHAnsi"/>
          <w:b/>
          <w:szCs w:val="22"/>
        </w:rPr>
        <w:t>But older girls appear to have poorer mental and emotional wellbeing, and are less likely to engage in physical activity</w:t>
      </w:r>
    </w:p>
    <w:p w:rsidR="00DD381D" w:rsidRPr="007462C5"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In P5 to P7, girls tended to be more positive than boys about their mood and emotions. However, this pattern reversed in secondary school, with some quite large differences, particularly for older children.</w:t>
      </w:r>
      <w:r w:rsidRPr="007462C5">
        <w:rPr>
          <w:rFonts w:asciiTheme="minorHAnsi" w:hAnsiTheme="minorHAnsi" w:cstheme="minorHAnsi"/>
          <w:szCs w:val="22"/>
        </w:rPr>
        <w:t xml:space="preserve"> For example, girls in S1 to </w:t>
      </w:r>
      <w:r>
        <w:rPr>
          <w:rFonts w:asciiTheme="minorHAnsi" w:hAnsiTheme="minorHAnsi" w:cstheme="minorHAnsi"/>
          <w:szCs w:val="22"/>
        </w:rPr>
        <w:t xml:space="preserve">S4 were more likely than boys </w:t>
      </w:r>
      <w:r w:rsidRPr="007462C5">
        <w:rPr>
          <w:rFonts w:asciiTheme="minorHAnsi" w:hAnsiTheme="minorHAnsi" w:cstheme="minorHAnsi"/>
          <w:szCs w:val="22"/>
        </w:rPr>
        <w:t xml:space="preserve">to have a </w:t>
      </w:r>
      <w:r>
        <w:rPr>
          <w:rFonts w:asciiTheme="minorHAnsi" w:hAnsiTheme="minorHAnsi" w:cstheme="minorHAnsi"/>
          <w:szCs w:val="22"/>
        </w:rPr>
        <w:t>‘very high’</w:t>
      </w:r>
      <w:r w:rsidRPr="007462C5">
        <w:rPr>
          <w:rFonts w:asciiTheme="minorHAnsi" w:hAnsiTheme="minorHAnsi" w:cstheme="minorHAnsi"/>
          <w:szCs w:val="22"/>
        </w:rPr>
        <w:t xml:space="preserve"> </w:t>
      </w:r>
      <w:r>
        <w:rPr>
          <w:rFonts w:asciiTheme="minorHAnsi" w:hAnsiTheme="minorHAnsi" w:cstheme="minorHAnsi"/>
          <w:szCs w:val="22"/>
        </w:rPr>
        <w:t>emotional symptoms</w:t>
      </w:r>
      <w:r w:rsidRPr="007462C5">
        <w:rPr>
          <w:rFonts w:asciiTheme="minorHAnsi" w:hAnsiTheme="minorHAnsi" w:cstheme="minorHAnsi"/>
          <w:szCs w:val="22"/>
        </w:rPr>
        <w:t xml:space="preserve"> score in the SDQ (</w:t>
      </w:r>
      <w:r>
        <w:rPr>
          <w:rFonts w:asciiTheme="minorHAnsi" w:hAnsiTheme="minorHAnsi" w:cstheme="minorHAnsi"/>
          <w:szCs w:val="22"/>
        </w:rPr>
        <w:t>25</w:t>
      </w:r>
      <w:r w:rsidRPr="007462C5">
        <w:rPr>
          <w:rFonts w:asciiTheme="minorHAnsi" w:hAnsiTheme="minorHAnsi" w:cstheme="minorHAnsi"/>
          <w:szCs w:val="22"/>
        </w:rPr>
        <w:t xml:space="preserve">% compared with </w:t>
      </w:r>
      <w:r>
        <w:rPr>
          <w:rFonts w:asciiTheme="minorHAnsi" w:hAnsiTheme="minorHAnsi" w:cstheme="minorHAnsi"/>
          <w:szCs w:val="22"/>
        </w:rPr>
        <w:t>9</w:t>
      </w:r>
      <w:r w:rsidRPr="007462C5">
        <w:rPr>
          <w:rFonts w:asciiTheme="minorHAnsi" w:hAnsiTheme="minorHAnsi" w:cstheme="minorHAnsi"/>
          <w:szCs w:val="22"/>
        </w:rPr>
        <w:t>%) and to have a lower WEMWBS score (</w:t>
      </w:r>
      <w:r>
        <w:rPr>
          <w:rFonts w:asciiTheme="minorHAnsi" w:hAnsiTheme="minorHAnsi" w:cstheme="minorHAnsi"/>
          <w:szCs w:val="22"/>
        </w:rPr>
        <w:t>a mean of 47.6</w:t>
      </w:r>
      <w:r w:rsidRPr="007462C5">
        <w:rPr>
          <w:rFonts w:asciiTheme="minorHAnsi" w:hAnsiTheme="minorHAnsi" w:cstheme="minorHAnsi"/>
          <w:szCs w:val="22"/>
        </w:rPr>
        <w:t xml:space="preserve"> compared with </w:t>
      </w:r>
      <w:r>
        <w:rPr>
          <w:rFonts w:asciiTheme="minorHAnsi" w:hAnsiTheme="minorHAnsi" w:cstheme="minorHAnsi"/>
          <w:szCs w:val="22"/>
        </w:rPr>
        <w:t>51.3</w:t>
      </w:r>
      <w:r w:rsidRPr="007462C5">
        <w:rPr>
          <w:rFonts w:asciiTheme="minorHAnsi" w:hAnsiTheme="minorHAnsi" w:cstheme="minorHAnsi"/>
          <w:szCs w:val="22"/>
        </w:rPr>
        <w:t xml:space="preserve">). The interaction with age means that S4 girls exhibit </w:t>
      </w:r>
      <w:r>
        <w:rPr>
          <w:rFonts w:asciiTheme="minorHAnsi" w:hAnsiTheme="minorHAnsi" w:cstheme="minorHAnsi"/>
          <w:szCs w:val="22"/>
        </w:rPr>
        <w:t>particularly</w:t>
      </w:r>
      <w:r w:rsidRPr="007462C5">
        <w:rPr>
          <w:rFonts w:asciiTheme="minorHAnsi" w:hAnsiTheme="minorHAnsi" w:cstheme="minorHAnsi"/>
          <w:szCs w:val="22"/>
        </w:rPr>
        <w:t xml:space="preserve"> low levels of positive mental wellbeing, with an average WEMWBS score of just </w:t>
      </w:r>
      <w:r>
        <w:rPr>
          <w:rFonts w:asciiTheme="minorHAnsi" w:hAnsiTheme="minorHAnsi" w:cstheme="minorHAnsi"/>
          <w:szCs w:val="22"/>
        </w:rPr>
        <w:t>44.9, and 37% having a ‘very high’ SDQ emotional symptoms score</w:t>
      </w:r>
      <w:r w:rsidRPr="007462C5">
        <w:rPr>
          <w:rFonts w:asciiTheme="minorHAnsi" w:hAnsiTheme="minorHAnsi" w:cstheme="minorHAnsi"/>
          <w:szCs w:val="22"/>
        </w:rPr>
        <w:t xml:space="preserve">. Other recent studies </w:t>
      </w:r>
      <w:r w:rsidR="009F2CC1">
        <w:rPr>
          <w:rFonts w:asciiTheme="minorHAnsi" w:hAnsiTheme="minorHAnsi" w:cstheme="minorHAnsi"/>
          <w:szCs w:val="22"/>
        </w:rPr>
        <w:t>such as the</w:t>
      </w:r>
      <w:r w:rsidRPr="007462C5">
        <w:rPr>
          <w:rFonts w:asciiTheme="minorHAnsi" w:hAnsiTheme="minorHAnsi" w:cstheme="minorHAnsi"/>
          <w:szCs w:val="22"/>
        </w:rPr>
        <w:t xml:space="preserve"> </w:t>
      </w:r>
      <w:r w:rsidRPr="00F74A24">
        <w:rPr>
          <w:rFonts w:asciiTheme="minorHAnsi" w:hAnsiTheme="minorHAnsi" w:cstheme="minorHAnsi"/>
          <w:szCs w:val="22"/>
        </w:rPr>
        <w:t>CSN</w:t>
      </w:r>
      <w:r>
        <w:rPr>
          <w:rFonts w:asciiTheme="minorHAnsi" w:hAnsiTheme="minorHAnsi" w:cstheme="minorHAnsi"/>
          <w:szCs w:val="22"/>
        </w:rPr>
        <w:t xml:space="preserve"> Policy Briefing 2016</w:t>
      </w:r>
      <w:r>
        <w:rPr>
          <w:rStyle w:val="EndnoteReference"/>
          <w:rFonts w:asciiTheme="minorHAnsi" w:hAnsiTheme="minorHAnsi" w:cstheme="minorHAnsi"/>
          <w:szCs w:val="22"/>
        </w:rPr>
        <w:endnoteReference w:id="82"/>
      </w:r>
      <w:r w:rsidRPr="007462C5">
        <w:rPr>
          <w:rFonts w:asciiTheme="minorHAnsi" w:hAnsiTheme="minorHAnsi" w:cstheme="minorHAnsi"/>
          <w:szCs w:val="22"/>
        </w:rPr>
        <w:t xml:space="preserve"> suggest that there may be particular pressures on teenage girls</w:t>
      </w:r>
      <w:r w:rsidR="009F2CC1">
        <w:rPr>
          <w:rFonts w:asciiTheme="minorHAnsi" w:hAnsiTheme="minorHAnsi" w:cstheme="minorHAnsi"/>
          <w:szCs w:val="22"/>
        </w:rPr>
        <w:t xml:space="preserve">. These </w:t>
      </w:r>
      <w:r w:rsidRPr="007462C5">
        <w:rPr>
          <w:rFonts w:asciiTheme="minorHAnsi" w:hAnsiTheme="minorHAnsi" w:cstheme="minorHAnsi"/>
          <w:szCs w:val="22"/>
        </w:rPr>
        <w:t>rang</w:t>
      </w:r>
      <w:r w:rsidR="009F2CC1">
        <w:rPr>
          <w:rFonts w:asciiTheme="minorHAnsi" w:hAnsiTheme="minorHAnsi" w:cstheme="minorHAnsi"/>
          <w:szCs w:val="22"/>
        </w:rPr>
        <w:t>ed</w:t>
      </w:r>
      <w:r w:rsidRPr="007462C5">
        <w:rPr>
          <w:rFonts w:asciiTheme="minorHAnsi" w:hAnsiTheme="minorHAnsi" w:cstheme="minorHAnsi"/>
          <w:szCs w:val="22"/>
        </w:rPr>
        <w:t xml:space="preserve"> from anxieties about attainment, to body image issues and higher levels of social media use (all of which are apparent in the data from </w:t>
      </w:r>
      <w:r>
        <w:rPr>
          <w:rFonts w:asciiTheme="minorHAnsi" w:hAnsiTheme="minorHAnsi" w:cstheme="minorHAnsi"/>
          <w:szCs w:val="22"/>
        </w:rPr>
        <w:t>Falkirk</w:t>
      </w:r>
      <w:r w:rsidRPr="007462C5">
        <w:rPr>
          <w:rFonts w:asciiTheme="minorHAnsi" w:hAnsiTheme="minorHAnsi" w:cstheme="minorHAnsi"/>
          <w:szCs w:val="22"/>
        </w:rPr>
        <w:t>)</w:t>
      </w:r>
      <w:r w:rsidR="009F2CC1">
        <w:rPr>
          <w:rFonts w:asciiTheme="minorHAnsi" w:hAnsiTheme="minorHAnsi" w:cstheme="minorHAnsi"/>
          <w:szCs w:val="22"/>
        </w:rPr>
        <w:t>. In particular the surveys note that the</w:t>
      </w:r>
      <w:r w:rsidRPr="007462C5">
        <w:rPr>
          <w:rFonts w:asciiTheme="minorHAnsi" w:hAnsiTheme="minorHAnsi" w:cstheme="minorHAnsi"/>
          <w:szCs w:val="22"/>
        </w:rPr>
        <w:t xml:space="preserve"> gender gap in mental and emotional wellbeing is widening. </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Physical activity is another area where outcomes are very similar for boys and girls in younger age groups but diverge as children age. In </w:t>
      </w:r>
      <w:r>
        <w:rPr>
          <w:rFonts w:asciiTheme="minorHAnsi" w:hAnsiTheme="minorHAnsi" w:cstheme="minorHAnsi"/>
          <w:szCs w:val="22"/>
        </w:rPr>
        <w:t>P5 to P7</w:t>
      </w:r>
      <w:r w:rsidRPr="007462C5">
        <w:rPr>
          <w:rFonts w:asciiTheme="minorHAnsi" w:hAnsiTheme="minorHAnsi" w:cstheme="minorHAnsi"/>
          <w:szCs w:val="22"/>
        </w:rPr>
        <w:t xml:space="preserve">, for example, </w:t>
      </w:r>
      <w:r>
        <w:rPr>
          <w:rFonts w:asciiTheme="minorHAnsi" w:hAnsiTheme="minorHAnsi" w:cstheme="minorHAnsi"/>
          <w:szCs w:val="22"/>
        </w:rPr>
        <w:t>80</w:t>
      </w:r>
      <w:r w:rsidRPr="007462C5">
        <w:rPr>
          <w:rFonts w:asciiTheme="minorHAnsi" w:hAnsiTheme="minorHAnsi" w:cstheme="minorHAnsi"/>
          <w:szCs w:val="22"/>
        </w:rPr>
        <w:t xml:space="preserve">% of </w:t>
      </w:r>
      <w:r>
        <w:rPr>
          <w:rFonts w:asciiTheme="minorHAnsi" w:hAnsiTheme="minorHAnsi" w:cstheme="minorHAnsi"/>
          <w:szCs w:val="22"/>
        </w:rPr>
        <w:t xml:space="preserve">both </w:t>
      </w:r>
      <w:r w:rsidRPr="007462C5">
        <w:rPr>
          <w:rFonts w:asciiTheme="minorHAnsi" w:hAnsiTheme="minorHAnsi" w:cstheme="minorHAnsi"/>
          <w:szCs w:val="22"/>
        </w:rPr>
        <w:t xml:space="preserve">boys </w:t>
      </w:r>
      <w:r>
        <w:rPr>
          <w:rFonts w:asciiTheme="minorHAnsi" w:hAnsiTheme="minorHAnsi" w:cstheme="minorHAnsi"/>
          <w:szCs w:val="22"/>
        </w:rPr>
        <w:t xml:space="preserve">and girls </w:t>
      </w:r>
      <w:r w:rsidRPr="007462C5">
        <w:rPr>
          <w:rFonts w:asciiTheme="minorHAnsi" w:hAnsiTheme="minorHAnsi" w:cstheme="minorHAnsi"/>
          <w:szCs w:val="22"/>
        </w:rPr>
        <w:t xml:space="preserve">report that they were active </w:t>
      </w:r>
      <w:r>
        <w:rPr>
          <w:rFonts w:asciiTheme="minorHAnsi" w:hAnsiTheme="minorHAnsi" w:cstheme="minorHAnsi"/>
          <w:szCs w:val="22"/>
        </w:rPr>
        <w:t>every day or most days</w:t>
      </w:r>
      <w:r w:rsidRPr="007462C5">
        <w:rPr>
          <w:rFonts w:asciiTheme="minorHAnsi" w:hAnsiTheme="minorHAnsi" w:cstheme="minorHAnsi"/>
          <w:szCs w:val="22"/>
        </w:rPr>
        <w:t xml:space="preserve">; by S4, </w:t>
      </w:r>
      <w:r>
        <w:rPr>
          <w:rFonts w:asciiTheme="minorHAnsi" w:hAnsiTheme="minorHAnsi" w:cstheme="minorHAnsi"/>
          <w:szCs w:val="22"/>
        </w:rPr>
        <w:t>49</w:t>
      </w:r>
      <w:r w:rsidRPr="007462C5">
        <w:rPr>
          <w:rFonts w:asciiTheme="minorHAnsi" w:hAnsiTheme="minorHAnsi" w:cstheme="minorHAnsi"/>
          <w:szCs w:val="22"/>
        </w:rPr>
        <w:t xml:space="preserve">% of boys </w:t>
      </w:r>
      <w:r>
        <w:rPr>
          <w:rFonts w:asciiTheme="minorHAnsi" w:hAnsiTheme="minorHAnsi" w:cstheme="minorHAnsi"/>
          <w:szCs w:val="22"/>
        </w:rPr>
        <w:t>and</w:t>
      </w:r>
      <w:r w:rsidRPr="007462C5">
        <w:rPr>
          <w:rFonts w:asciiTheme="minorHAnsi" w:hAnsiTheme="minorHAnsi" w:cstheme="minorHAnsi"/>
          <w:szCs w:val="22"/>
        </w:rPr>
        <w:t xml:space="preserve"> </w:t>
      </w:r>
      <w:r>
        <w:rPr>
          <w:rFonts w:asciiTheme="minorHAnsi" w:hAnsiTheme="minorHAnsi" w:cstheme="minorHAnsi"/>
          <w:szCs w:val="22"/>
        </w:rPr>
        <w:t>just 36</w:t>
      </w:r>
      <w:r w:rsidRPr="007462C5">
        <w:rPr>
          <w:rFonts w:asciiTheme="minorHAnsi" w:hAnsiTheme="minorHAnsi" w:cstheme="minorHAnsi"/>
          <w:szCs w:val="22"/>
        </w:rPr>
        <w:t>% of girls</w:t>
      </w:r>
      <w:r>
        <w:rPr>
          <w:rFonts w:asciiTheme="minorHAnsi" w:hAnsiTheme="minorHAnsi" w:cstheme="minorHAnsi"/>
          <w:szCs w:val="22"/>
        </w:rPr>
        <w:t xml:space="preserve"> report being active on at least five days a week</w:t>
      </w:r>
      <w:r w:rsidRPr="007462C5">
        <w:rPr>
          <w:rFonts w:asciiTheme="minorHAnsi" w:hAnsiTheme="minorHAnsi" w:cstheme="minorHAnsi"/>
          <w:szCs w:val="22"/>
        </w:rPr>
        <w:t xml:space="preserve">. Efforts to maintain levels of physical activity for older pupils, but especially for girls, might have positive consequences not only for obesity, but for maintenance of mental and emotional wellbeing. </w:t>
      </w:r>
    </w:p>
    <w:p w:rsidR="00DD381D" w:rsidRDefault="00DD381D" w:rsidP="00DD381D">
      <w:pPr>
        <w:pStyle w:val="BodyCopy"/>
        <w:spacing w:before="240" w:after="200" w:line="276" w:lineRule="auto"/>
        <w:rPr>
          <w:rFonts w:asciiTheme="minorHAnsi" w:hAnsiTheme="minorHAnsi" w:cstheme="minorHAnsi"/>
          <w:b/>
          <w:szCs w:val="22"/>
        </w:rPr>
      </w:pPr>
      <w:r>
        <w:rPr>
          <w:rFonts w:asciiTheme="minorHAnsi" w:hAnsiTheme="minorHAnsi" w:cstheme="minorHAnsi"/>
          <w:b/>
          <w:szCs w:val="22"/>
        </w:rPr>
        <w:t>And as both boys and girls age, attitudes tend to become more negative</w:t>
      </w:r>
    </w:p>
    <w:p w:rsidR="00DD381D" w:rsidRPr="000310E3"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Between S1 and S4, there is a clear change in the attitudes of children, as well as their behaviour. In S1, 80% of children like school a lot or a bit, but this declines to 60% by S4. Attitudes towards teachers show a similar increase in negativity over the same period. Outside of school, changes can also be seen: for example, 71% of those in S1 strongly agree that they enjoy spending time with their family compared with 48% of those in S4. At the same time, older pupils are less willing to talk to family members about worries than younger </w:t>
      </w:r>
      <w:r>
        <w:rPr>
          <w:rFonts w:asciiTheme="minorHAnsi" w:hAnsiTheme="minorHAnsi" w:cstheme="minorHAnsi"/>
          <w:szCs w:val="22"/>
        </w:rPr>
        <w:lastRenderedPageBreak/>
        <w:t xml:space="preserve">ones. Attitudes towards the local area also change: nearly half (45%) of pupils in S1 strongly agree they can trust people in the area compared with a quarter (25%) of those in S4. And by S4, a third of pupils (34%) say they do nothing </w:t>
      </w:r>
      <w:r w:rsidR="00012C50">
        <w:rPr>
          <w:rFonts w:asciiTheme="minorHAnsi" w:hAnsiTheme="minorHAnsi" w:cstheme="minorHAnsi"/>
          <w:szCs w:val="22"/>
        </w:rPr>
        <w:t xml:space="preserve">in their free time </w:t>
      </w:r>
      <w:r>
        <w:rPr>
          <w:rFonts w:asciiTheme="minorHAnsi" w:hAnsiTheme="minorHAnsi" w:cstheme="minorHAnsi"/>
          <w:szCs w:val="22"/>
        </w:rPr>
        <w:t>most days or every day, compared with one in seven (14%) of those in S1.</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Experience of - and engagement with - school itself is a powerful predictor of wellbeing outcomes</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It is, of course, right to see school as a setting for interventions and programmes that can help to promote wellbeing among children and young people. But the survey findings also emphasise the extent to which the everyday experience of school itself</w:t>
      </w:r>
      <w:r w:rsidR="009F2CC1">
        <w:rPr>
          <w:rFonts w:asciiTheme="minorHAnsi" w:hAnsiTheme="minorHAnsi" w:cstheme="minorHAnsi"/>
          <w:szCs w:val="22"/>
        </w:rPr>
        <w:t xml:space="preserve"> is likely to be </w:t>
      </w:r>
      <w:r w:rsidR="00634A68">
        <w:rPr>
          <w:rFonts w:asciiTheme="minorHAnsi" w:hAnsiTheme="minorHAnsi" w:cstheme="minorHAnsi"/>
          <w:szCs w:val="22"/>
        </w:rPr>
        <w:t>important</w:t>
      </w:r>
      <w:r w:rsidR="009F2CC1">
        <w:rPr>
          <w:rFonts w:asciiTheme="minorHAnsi" w:hAnsiTheme="minorHAnsi" w:cstheme="minorHAnsi"/>
          <w:szCs w:val="22"/>
        </w:rPr>
        <w:t>.</w:t>
      </w:r>
      <w:r w:rsidRPr="007462C5">
        <w:rPr>
          <w:rFonts w:asciiTheme="minorHAnsi" w:hAnsiTheme="minorHAnsi" w:cstheme="minorHAnsi"/>
          <w:szCs w:val="22"/>
        </w:rPr>
        <w:t xml:space="preserve"> </w:t>
      </w:r>
      <w:r w:rsidR="009F2CC1">
        <w:rPr>
          <w:rFonts w:asciiTheme="minorHAnsi" w:hAnsiTheme="minorHAnsi" w:cstheme="minorHAnsi"/>
          <w:szCs w:val="22"/>
        </w:rPr>
        <w:t>F</w:t>
      </w:r>
      <w:r w:rsidRPr="007462C5">
        <w:rPr>
          <w:rFonts w:asciiTheme="minorHAnsi" w:hAnsiTheme="minorHAnsi" w:cstheme="minorHAnsi"/>
          <w:szCs w:val="22"/>
        </w:rPr>
        <w:t>or example, the extent to which children are engaged, and have good relationships with peers and teachers</w:t>
      </w:r>
      <w:r w:rsidR="00634A68">
        <w:rPr>
          <w:rFonts w:asciiTheme="minorHAnsi" w:hAnsiTheme="minorHAnsi" w:cstheme="minorHAnsi"/>
          <w:szCs w:val="22"/>
        </w:rPr>
        <w:t xml:space="preserve"> is likely to be fundamental to mental and emotional wellbeing in particular</w:t>
      </w:r>
      <w:r w:rsidRPr="007462C5">
        <w:rPr>
          <w:rFonts w:asciiTheme="minorHAnsi" w:hAnsiTheme="minorHAnsi" w:cstheme="minorHAnsi"/>
          <w:szCs w:val="22"/>
        </w:rPr>
        <w:t xml:space="preserve">. For instance, the surveys showed that those children who feel that other pupils treat them with respect, </w:t>
      </w:r>
      <w:r>
        <w:rPr>
          <w:rFonts w:asciiTheme="minorHAnsi" w:hAnsiTheme="minorHAnsi" w:cstheme="minorHAnsi"/>
          <w:szCs w:val="22"/>
        </w:rPr>
        <w:t xml:space="preserve">who </w:t>
      </w:r>
      <w:r w:rsidRPr="007462C5">
        <w:rPr>
          <w:rFonts w:asciiTheme="minorHAnsi" w:hAnsiTheme="minorHAnsi" w:cstheme="minorHAnsi"/>
          <w:szCs w:val="22"/>
        </w:rPr>
        <w:t>have lower exposure to bullying, have close friends or friends that are nice to them, and who enjoy school more all tend to enjoy better mental and emotional wellbeing.</w:t>
      </w:r>
    </w:p>
    <w:p w:rsidR="00DD381D" w:rsidRPr="007462C5" w:rsidRDefault="00DD381D" w:rsidP="00DD381D">
      <w:pPr>
        <w:pStyle w:val="BodyCopy"/>
        <w:spacing w:before="240" w:after="200" w:line="276" w:lineRule="auto"/>
        <w:rPr>
          <w:rFonts w:asciiTheme="minorHAnsi" w:hAnsiTheme="minorHAnsi" w:cstheme="minorHAnsi"/>
          <w:b/>
          <w:szCs w:val="22"/>
        </w:rPr>
      </w:pPr>
      <w:r w:rsidRPr="00B07730">
        <w:rPr>
          <w:rFonts w:asciiTheme="minorHAnsi" w:hAnsiTheme="minorHAnsi" w:cstheme="minorHAnsi"/>
          <w:b/>
          <w:szCs w:val="22"/>
        </w:rPr>
        <w:t>Efforts to improve attainment and wellbeing agendas need to remain closely aligned</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There is a well-established and widening gap between the attainment of boys and girls at secondary schools in Scotland. Perhaps not surprisingly, then, as girls progress through secondary school they are progressively more likely than boys to feel pressured or strained by school work</w:t>
      </w:r>
      <w:r w:rsidR="00634A68">
        <w:rPr>
          <w:rFonts w:asciiTheme="minorHAnsi" w:hAnsiTheme="minorHAnsi" w:cstheme="minorHAnsi"/>
          <w:szCs w:val="22"/>
        </w:rPr>
        <w:t>. I</w:t>
      </w:r>
      <w:r w:rsidRPr="007462C5">
        <w:rPr>
          <w:rFonts w:asciiTheme="minorHAnsi" w:hAnsiTheme="minorHAnsi" w:cstheme="minorHAnsi"/>
          <w:szCs w:val="22"/>
        </w:rPr>
        <w:t xml:space="preserve">n S1, </w:t>
      </w:r>
      <w:r>
        <w:rPr>
          <w:rFonts w:asciiTheme="minorHAnsi" w:hAnsiTheme="minorHAnsi" w:cstheme="minorHAnsi"/>
          <w:szCs w:val="22"/>
        </w:rPr>
        <w:t>19% of girls and 14</w:t>
      </w:r>
      <w:r w:rsidRPr="007462C5">
        <w:rPr>
          <w:rFonts w:asciiTheme="minorHAnsi" w:hAnsiTheme="minorHAnsi" w:cstheme="minorHAnsi"/>
          <w:szCs w:val="22"/>
        </w:rPr>
        <w:t xml:space="preserve">% of </w:t>
      </w:r>
      <w:r>
        <w:rPr>
          <w:rFonts w:asciiTheme="minorHAnsi" w:hAnsiTheme="minorHAnsi" w:cstheme="minorHAnsi"/>
          <w:szCs w:val="22"/>
        </w:rPr>
        <w:t xml:space="preserve">boys </w:t>
      </w:r>
      <w:r w:rsidRPr="007462C5">
        <w:rPr>
          <w:rFonts w:asciiTheme="minorHAnsi" w:hAnsiTheme="minorHAnsi" w:cstheme="minorHAnsi"/>
          <w:szCs w:val="22"/>
        </w:rPr>
        <w:t>say they feel like that ‘a lot of the time’</w:t>
      </w:r>
      <w:r w:rsidR="00634A68">
        <w:rPr>
          <w:rFonts w:asciiTheme="minorHAnsi" w:hAnsiTheme="minorHAnsi" w:cstheme="minorHAnsi"/>
          <w:szCs w:val="22"/>
        </w:rPr>
        <w:t>,</w:t>
      </w:r>
      <w:r w:rsidRPr="007462C5">
        <w:rPr>
          <w:rFonts w:asciiTheme="minorHAnsi" w:hAnsiTheme="minorHAnsi" w:cstheme="minorHAnsi"/>
          <w:szCs w:val="22"/>
        </w:rPr>
        <w:t xml:space="preserve"> but by S4, the same is true of </w:t>
      </w:r>
      <w:r>
        <w:rPr>
          <w:rFonts w:asciiTheme="minorHAnsi" w:hAnsiTheme="minorHAnsi" w:cstheme="minorHAnsi"/>
          <w:szCs w:val="22"/>
        </w:rPr>
        <w:t xml:space="preserve">69% of girls and </w:t>
      </w:r>
      <w:r w:rsidRPr="007462C5">
        <w:rPr>
          <w:rFonts w:asciiTheme="minorHAnsi" w:hAnsiTheme="minorHAnsi" w:cstheme="minorHAnsi"/>
          <w:szCs w:val="22"/>
        </w:rPr>
        <w:t>4</w:t>
      </w:r>
      <w:r>
        <w:rPr>
          <w:rFonts w:asciiTheme="minorHAnsi" w:hAnsiTheme="minorHAnsi" w:cstheme="minorHAnsi"/>
          <w:szCs w:val="22"/>
        </w:rPr>
        <w:t>0</w:t>
      </w:r>
      <w:r w:rsidRPr="007462C5">
        <w:rPr>
          <w:rFonts w:asciiTheme="minorHAnsi" w:hAnsiTheme="minorHAnsi" w:cstheme="minorHAnsi"/>
          <w:szCs w:val="22"/>
        </w:rPr>
        <w:t>% of boys. There is also a strong association between feeling pressured by school work and having lower levels of mental and emotional wellbeing</w:t>
      </w:r>
      <w:r>
        <w:rPr>
          <w:rFonts w:asciiTheme="minorHAnsi" w:hAnsiTheme="minorHAnsi" w:cstheme="minorHAnsi"/>
          <w:szCs w:val="22"/>
        </w:rPr>
        <w:t>.</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This reinforces the need to ensure that the goals of improving attainment and children and young people’s health and wellbeing remain closely aligned (as set out in the National Improvement Framework for Scottish Education) – and that an awareness of the potential relationship between them needs to lie at the heart of efforts to address both. In other words, encouraging pupils to do well at school needs to be done without creating excessive concern or anxiety among pupils about their school work - pressure which may have adverse consequences for their mental and emotional wellbeing. </w:t>
      </w:r>
    </w:p>
    <w:p w:rsidR="00DD381D" w:rsidRDefault="00DD381D" w:rsidP="00DD381D">
      <w:pPr>
        <w:pStyle w:val="BodyCopy"/>
        <w:spacing w:before="240" w:after="200" w:line="276" w:lineRule="auto"/>
        <w:rPr>
          <w:rFonts w:asciiTheme="minorHAnsi" w:hAnsiTheme="minorHAnsi" w:cstheme="minorHAnsi"/>
          <w:b/>
          <w:szCs w:val="22"/>
        </w:rPr>
      </w:pPr>
      <w:r>
        <w:rPr>
          <w:rFonts w:asciiTheme="minorHAnsi" w:hAnsiTheme="minorHAnsi" w:cstheme="minorHAnsi"/>
          <w:b/>
          <w:szCs w:val="22"/>
        </w:rPr>
        <w:t>Not everything can be achieved through schools – family life is also important</w:t>
      </w:r>
    </w:p>
    <w:p w:rsidR="00DD381D"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There are a number of strong predictors of wellbeing that it is difficult to tackle through schools</w:t>
      </w:r>
      <w:r w:rsidR="00634A68">
        <w:rPr>
          <w:rFonts w:asciiTheme="minorHAnsi" w:hAnsiTheme="minorHAnsi" w:cstheme="minorHAnsi"/>
          <w:szCs w:val="22"/>
        </w:rPr>
        <w:t>,</w:t>
      </w:r>
      <w:r>
        <w:rPr>
          <w:rFonts w:asciiTheme="minorHAnsi" w:hAnsiTheme="minorHAnsi" w:cstheme="minorHAnsi"/>
          <w:szCs w:val="22"/>
        </w:rPr>
        <w:t xml:space="preserve"> although schools can certainly help mediate some of these factors</w:t>
      </w:r>
      <w:r w:rsidR="00634A68">
        <w:rPr>
          <w:rFonts w:asciiTheme="minorHAnsi" w:hAnsiTheme="minorHAnsi" w:cstheme="minorHAnsi"/>
          <w:szCs w:val="22"/>
        </w:rPr>
        <w:t xml:space="preserve"> to</w:t>
      </w:r>
      <w:r>
        <w:rPr>
          <w:rFonts w:asciiTheme="minorHAnsi" w:hAnsiTheme="minorHAnsi" w:cstheme="minorHAnsi"/>
          <w:szCs w:val="22"/>
        </w:rPr>
        <w:t xml:space="preserve"> tackle them in a roundabout way. For example, wellbeing (as measured by WEMWBS) was particularly low for those who said they would not be at all likely to talk to a family member about worries. There is a</w:t>
      </w:r>
      <w:r w:rsidR="00634A68">
        <w:rPr>
          <w:rFonts w:asciiTheme="minorHAnsi" w:hAnsiTheme="minorHAnsi" w:cstheme="minorHAnsi"/>
          <w:szCs w:val="22"/>
        </w:rPr>
        <w:t>n</w:t>
      </w:r>
      <w:r>
        <w:rPr>
          <w:rFonts w:asciiTheme="minorHAnsi" w:hAnsiTheme="minorHAnsi" w:cstheme="minorHAnsi"/>
          <w:szCs w:val="22"/>
        </w:rPr>
        <w:t xml:space="preserve"> association between being able to talk to family members, and having close friends to talk </w:t>
      </w:r>
      <w:r>
        <w:rPr>
          <w:rFonts w:asciiTheme="minorHAnsi" w:hAnsiTheme="minorHAnsi" w:cstheme="minorHAnsi"/>
          <w:szCs w:val="22"/>
        </w:rPr>
        <w:lastRenderedPageBreak/>
        <w:t>to, suggesting that encouraging supportive relationships with friends can partially make up for, and potentially improve relationships at home.</w:t>
      </w:r>
    </w:p>
    <w:p w:rsidR="00DD381D" w:rsidRPr="00071D74"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Having breakfast every day is another strong predictor of wellbeing. While breakfast clubs can provide food in the mornings for those who would otherwise go without, the eating of breakfast appears to demonstrate something more about home-life than the meal itself, for there is also an association between eating breakfast and other health-related behaviours, such as eating vegetables.</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 xml:space="preserve">Exposure to social media and other online activity may be a factor in wellbeing </w:t>
      </w:r>
      <w:r>
        <w:rPr>
          <w:rFonts w:asciiTheme="minorHAnsi" w:hAnsiTheme="minorHAnsi" w:cstheme="minorHAnsi"/>
          <w:b/>
          <w:szCs w:val="22"/>
        </w:rPr>
        <w:t>but</w:t>
      </w:r>
      <w:r w:rsidRPr="007462C5">
        <w:rPr>
          <w:rFonts w:asciiTheme="minorHAnsi" w:hAnsiTheme="minorHAnsi" w:cstheme="minorHAnsi"/>
          <w:b/>
          <w:szCs w:val="22"/>
        </w:rPr>
        <w:t xml:space="preserve"> needs further investigation and monitoring</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The secondary survey provides evidence – consistent with that emerging from other studies – that young people in </w:t>
      </w:r>
      <w:r>
        <w:rPr>
          <w:rFonts w:asciiTheme="minorHAnsi" w:hAnsiTheme="minorHAnsi" w:cstheme="minorHAnsi"/>
          <w:szCs w:val="22"/>
        </w:rPr>
        <w:t>Falkirk</w:t>
      </w:r>
      <w:r w:rsidRPr="007462C5">
        <w:rPr>
          <w:rFonts w:asciiTheme="minorHAnsi" w:hAnsiTheme="minorHAnsi" w:cstheme="minorHAnsi"/>
          <w:szCs w:val="22"/>
        </w:rPr>
        <w:t xml:space="preserve"> are spending large amounts of time online</w:t>
      </w:r>
      <w:r>
        <w:rPr>
          <w:rFonts w:asciiTheme="minorHAnsi" w:hAnsiTheme="minorHAnsi" w:cstheme="minorHAnsi"/>
          <w:szCs w:val="22"/>
        </w:rPr>
        <w:t>.</w:t>
      </w:r>
      <w:r w:rsidRPr="007462C5">
        <w:rPr>
          <w:rFonts w:asciiTheme="minorHAnsi" w:hAnsiTheme="minorHAnsi" w:cstheme="minorHAnsi"/>
          <w:szCs w:val="22"/>
        </w:rPr>
        <w:t xml:space="preserve"> For instance, </w:t>
      </w:r>
      <w:r>
        <w:rPr>
          <w:rFonts w:asciiTheme="minorHAnsi" w:hAnsiTheme="minorHAnsi" w:cstheme="minorHAnsi"/>
          <w:szCs w:val="22"/>
        </w:rPr>
        <w:t>three-quarters of</w:t>
      </w:r>
      <w:r w:rsidRPr="007462C5">
        <w:rPr>
          <w:rFonts w:asciiTheme="minorHAnsi" w:hAnsiTheme="minorHAnsi" w:cstheme="minorHAnsi"/>
          <w:szCs w:val="22"/>
        </w:rPr>
        <w:t xml:space="preserve"> S1 to S4 pupils (</w:t>
      </w:r>
      <w:r>
        <w:rPr>
          <w:rFonts w:asciiTheme="minorHAnsi" w:hAnsiTheme="minorHAnsi" w:cstheme="minorHAnsi"/>
          <w:szCs w:val="22"/>
        </w:rPr>
        <w:t>73</w:t>
      </w:r>
      <w:r w:rsidRPr="007462C5">
        <w:rPr>
          <w:rFonts w:asciiTheme="minorHAnsi" w:hAnsiTheme="minorHAnsi" w:cstheme="minorHAnsi"/>
          <w:szCs w:val="22"/>
        </w:rPr>
        <w:t>%) indicated that</w:t>
      </w:r>
      <w:r>
        <w:rPr>
          <w:rFonts w:asciiTheme="minorHAnsi" w:hAnsiTheme="minorHAnsi" w:cstheme="minorHAnsi"/>
          <w:szCs w:val="22"/>
        </w:rPr>
        <w:t xml:space="preserve"> they go online and use social media sites every day, while half (50%) said they play computer games every day or most days. Mean wellbeing scores actually vary very little by frequency of use of social media, and </w:t>
      </w:r>
      <w:r w:rsidR="00C7483B">
        <w:rPr>
          <w:rFonts w:asciiTheme="minorHAnsi" w:hAnsiTheme="minorHAnsi" w:cstheme="minorHAnsi"/>
          <w:szCs w:val="22"/>
        </w:rPr>
        <w:t>to some extent</w:t>
      </w:r>
      <w:r>
        <w:rPr>
          <w:rFonts w:asciiTheme="minorHAnsi" w:hAnsiTheme="minorHAnsi" w:cstheme="minorHAnsi"/>
          <w:szCs w:val="22"/>
        </w:rPr>
        <w:t xml:space="preserve"> simply reflect gender differences. However, as well as the online bullying mentioned earlier, the evidence </w:t>
      </w:r>
      <w:r w:rsidR="00012C50">
        <w:rPr>
          <w:rFonts w:asciiTheme="minorHAnsi" w:hAnsiTheme="minorHAnsi" w:cstheme="minorHAnsi"/>
          <w:szCs w:val="22"/>
        </w:rPr>
        <w:t xml:space="preserve">shows </w:t>
      </w:r>
      <w:r>
        <w:rPr>
          <w:rFonts w:asciiTheme="minorHAnsi" w:hAnsiTheme="minorHAnsi" w:cstheme="minorHAnsi"/>
          <w:szCs w:val="22"/>
        </w:rPr>
        <w:t>that daily use of social media is associated with negative body image, which in turn is associated with lower wellbeing.</w:t>
      </w:r>
    </w:p>
    <w:p w:rsidR="00DD381D" w:rsidRPr="007462C5"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A</w:t>
      </w:r>
      <w:r w:rsidRPr="007462C5">
        <w:rPr>
          <w:rFonts w:asciiTheme="minorHAnsi" w:hAnsiTheme="minorHAnsi" w:cstheme="minorHAnsi"/>
          <w:szCs w:val="22"/>
        </w:rPr>
        <w:t>s the online environment continues to evolve</w:t>
      </w:r>
      <w:r>
        <w:rPr>
          <w:rFonts w:asciiTheme="minorHAnsi" w:hAnsiTheme="minorHAnsi" w:cstheme="minorHAnsi"/>
          <w:szCs w:val="22"/>
        </w:rPr>
        <w:t>, the nature of the relationship between wellbeing and the use of social media</w:t>
      </w:r>
      <w:r w:rsidRPr="007462C5">
        <w:rPr>
          <w:rFonts w:asciiTheme="minorHAnsi" w:hAnsiTheme="minorHAnsi" w:cstheme="minorHAnsi"/>
          <w:szCs w:val="22"/>
        </w:rPr>
        <w:t xml:space="preserve"> is an issue that needs closer investig</w:t>
      </w:r>
      <w:r>
        <w:rPr>
          <w:rFonts w:asciiTheme="minorHAnsi" w:hAnsiTheme="minorHAnsi" w:cstheme="minorHAnsi"/>
          <w:szCs w:val="22"/>
        </w:rPr>
        <w:t>ation and monitoring over time.</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There are some other recurring associations with poorer health and wellbeing outcomes that would merit further exploration</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The analyses in this report can be very useful in identifying predictors of poorer outcomes. Many of the relationships reported</w:t>
      </w:r>
      <w:r w:rsidR="00634A68">
        <w:rPr>
          <w:rFonts w:asciiTheme="minorHAnsi" w:hAnsiTheme="minorHAnsi" w:cstheme="minorHAnsi"/>
          <w:szCs w:val="22"/>
        </w:rPr>
        <w:t>,</w:t>
      </w:r>
      <w:r w:rsidRPr="007462C5">
        <w:rPr>
          <w:rFonts w:asciiTheme="minorHAnsi" w:hAnsiTheme="minorHAnsi" w:cstheme="minorHAnsi"/>
          <w:szCs w:val="22"/>
        </w:rPr>
        <w:t xml:space="preserve"> such as that between deprivation and diet</w:t>
      </w:r>
      <w:r w:rsidR="00634A68">
        <w:rPr>
          <w:rFonts w:asciiTheme="minorHAnsi" w:hAnsiTheme="minorHAnsi" w:cstheme="minorHAnsi"/>
          <w:szCs w:val="22"/>
        </w:rPr>
        <w:t>, are</w:t>
      </w:r>
      <w:r w:rsidRPr="007462C5">
        <w:rPr>
          <w:rFonts w:asciiTheme="minorHAnsi" w:hAnsiTheme="minorHAnsi" w:cstheme="minorHAnsi"/>
          <w:szCs w:val="22"/>
        </w:rPr>
        <w:t xml:space="preserve"> expected given what is known from wider research. However, the surveys have also identified some other recurring associations with poorer outcomes that may be worth exploring further: for example, living within a step-family, and being less likely to sit down to eat regularly with an adult family member. </w:t>
      </w:r>
      <w:r>
        <w:rPr>
          <w:rFonts w:asciiTheme="minorHAnsi" w:hAnsiTheme="minorHAnsi" w:cstheme="minorHAnsi"/>
          <w:szCs w:val="22"/>
        </w:rPr>
        <w:t>However</w:t>
      </w:r>
      <w:r w:rsidRPr="007462C5">
        <w:rPr>
          <w:rFonts w:asciiTheme="minorHAnsi" w:hAnsiTheme="minorHAnsi" w:cstheme="minorHAnsi"/>
          <w:szCs w:val="22"/>
        </w:rPr>
        <w:t>, it needs to be kept in mind that the direction of any such relationship is not always clear - for example, a child may have a closer relationship with their parents because they sit down to eat regularly, but the reverse may also be true. And sometimes two separate factors - such as coming from a step-family and having poorer mental wellbeing - may be linked by a third factor, such as poverty, rather than being directly related to one another.</w:t>
      </w:r>
    </w:p>
    <w:p w:rsidR="00DD381D" w:rsidRPr="007462C5" w:rsidRDefault="00634A68"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I</w:t>
      </w:r>
      <w:r w:rsidR="00DD381D" w:rsidRPr="007462C5">
        <w:rPr>
          <w:rFonts w:asciiTheme="minorHAnsi" w:hAnsiTheme="minorHAnsi" w:cstheme="minorHAnsi"/>
          <w:szCs w:val="22"/>
        </w:rPr>
        <w:t xml:space="preserve">t </w:t>
      </w:r>
      <w:r w:rsidR="00DD381D">
        <w:rPr>
          <w:rFonts w:asciiTheme="minorHAnsi" w:hAnsiTheme="minorHAnsi" w:cstheme="minorHAnsi"/>
          <w:szCs w:val="22"/>
        </w:rPr>
        <w:t xml:space="preserve">is </w:t>
      </w:r>
      <w:r w:rsidR="00DD381D" w:rsidRPr="007462C5">
        <w:rPr>
          <w:rFonts w:asciiTheme="minorHAnsi" w:hAnsiTheme="minorHAnsi" w:cstheme="minorHAnsi"/>
          <w:szCs w:val="22"/>
        </w:rPr>
        <w:t xml:space="preserve">worth considering whether these specific aspects of family life and circumstances represent either useful predictors of potential wellbeing issues and/or a potential focus for targeted activity. For example, what can the wider evidence base tell us about initiatives aimed at promoting family meals as part of health promotion and obesity prevention efforts? </w:t>
      </w:r>
      <w:r>
        <w:rPr>
          <w:rFonts w:asciiTheme="minorHAnsi" w:hAnsiTheme="minorHAnsi" w:cstheme="minorHAnsi"/>
          <w:szCs w:val="22"/>
        </w:rPr>
        <w:t>W</w:t>
      </w:r>
      <w:r w:rsidR="00DD381D" w:rsidRPr="007462C5">
        <w:rPr>
          <w:rFonts w:asciiTheme="minorHAnsi" w:hAnsiTheme="minorHAnsi" w:cstheme="minorHAnsi"/>
          <w:szCs w:val="22"/>
        </w:rPr>
        <w:t xml:space="preserve">hile the challenges faced </w:t>
      </w:r>
      <w:r w:rsidR="00DD381D" w:rsidRPr="007462C5">
        <w:rPr>
          <w:rFonts w:asciiTheme="minorHAnsi" w:hAnsiTheme="minorHAnsi" w:cstheme="minorHAnsi"/>
          <w:szCs w:val="22"/>
        </w:rPr>
        <w:lastRenderedPageBreak/>
        <w:t>by single parent families are recognised, is there also a need for support geared towards the needs of both children and parents in step</w:t>
      </w:r>
      <w:r w:rsidR="00DD381D">
        <w:rPr>
          <w:rFonts w:asciiTheme="minorHAnsi" w:hAnsiTheme="minorHAnsi" w:cstheme="minorHAnsi"/>
          <w:szCs w:val="22"/>
        </w:rPr>
        <w:t>-</w:t>
      </w:r>
      <w:r w:rsidR="00DD381D" w:rsidRPr="007462C5">
        <w:rPr>
          <w:rFonts w:asciiTheme="minorHAnsi" w:hAnsiTheme="minorHAnsi" w:cstheme="minorHAnsi"/>
          <w:szCs w:val="22"/>
        </w:rPr>
        <w:t xml:space="preserve">families? </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t>Services are not always reaching the right children</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The findings from the primary and secondary school surveys show an association between various indicators of need and being in receipt of ASN or other children’s services. But this is not necessarily as close as one might expect. For example, S1 to S4 pupils who have a </w:t>
      </w:r>
      <w:r>
        <w:rPr>
          <w:rFonts w:asciiTheme="minorHAnsi" w:hAnsiTheme="minorHAnsi" w:cstheme="minorHAnsi"/>
          <w:szCs w:val="22"/>
        </w:rPr>
        <w:t xml:space="preserve">below average </w:t>
      </w:r>
      <w:r w:rsidR="00634A68">
        <w:rPr>
          <w:rFonts w:asciiTheme="minorHAnsi" w:hAnsiTheme="minorHAnsi" w:cstheme="minorHAnsi"/>
          <w:szCs w:val="22"/>
        </w:rPr>
        <w:t>mental wellbeing</w:t>
      </w:r>
      <w:r>
        <w:rPr>
          <w:rFonts w:asciiTheme="minorHAnsi" w:hAnsiTheme="minorHAnsi" w:cstheme="minorHAnsi"/>
          <w:szCs w:val="22"/>
        </w:rPr>
        <w:t xml:space="preserve"> score</w:t>
      </w:r>
      <w:r w:rsidRPr="007462C5">
        <w:rPr>
          <w:rFonts w:asciiTheme="minorHAnsi" w:hAnsiTheme="minorHAnsi" w:cstheme="minorHAnsi"/>
          <w:szCs w:val="22"/>
        </w:rPr>
        <w:t xml:space="preserve"> are more likely than those </w:t>
      </w:r>
      <w:r>
        <w:rPr>
          <w:rFonts w:asciiTheme="minorHAnsi" w:hAnsiTheme="minorHAnsi" w:cstheme="minorHAnsi"/>
          <w:szCs w:val="22"/>
        </w:rPr>
        <w:t>with an average or above score</w:t>
      </w:r>
      <w:r w:rsidRPr="007462C5">
        <w:rPr>
          <w:rFonts w:asciiTheme="minorHAnsi" w:hAnsiTheme="minorHAnsi" w:cstheme="minorHAnsi"/>
          <w:szCs w:val="22"/>
        </w:rPr>
        <w:t xml:space="preserve"> to have an ASN (</w:t>
      </w:r>
      <w:r>
        <w:rPr>
          <w:rFonts w:asciiTheme="minorHAnsi" w:hAnsiTheme="minorHAnsi" w:cstheme="minorHAnsi"/>
          <w:szCs w:val="22"/>
        </w:rPr>
        <w:t>19</w:t>
      </w:r>
      <w:r w:rsidRPr="007462C5">
        <w:rPr>
          <w:rFonts w:asciiTheme="minorHAnsi" w:hAnsiTheme="minorHAnsi" w:cstheme="minorHAnsi"/>
          <w:szCs w:val="22"/>
        </w:rPr>
        <w:t>% compared with 1</w:t>
      </w:r>
      <w:r>
        <w:rPr>
          <w:rFonts w:asciiTheme="minorHAnsi" w:hAnsiTheme="minorHAnsi" w:cstheme="minorHAnsi"/>
          <w:szCs w:val="22"/>
        </w:rPr>
        <w:t>3-15</w:t>
      </w:r>
      <w:r w:rsidRPr="007462C5">
        <w:rPr>
          <w:rFonts w:asciiTheme="minorHAnsi" w:hAnsiTheme="minorHAnsi" w:cstheme="minorHAnsi"/>
          <w:szCs w:val="22"/>
        </w:rPr>
        <w:t xml:space="preserve">%). But the survey also suggests that there are many other children with </w:t>
      </w:r>
      <w:r>
        <w:rPr>
          <w:rFonts w:asciiTheme="minorHAnsi" w:hAnsiTheme="minorHAnsi" w:cstheme="minorHAnsi"/>
          <w:szCs w:val="22"/>
        </w:rPr>
        <w:t xml:space="preserve">low wellbeing or other forms of </w:t>
      </w:r>
      <w:r w:rsidRPr="007462C5">
        <w:rPr>
          <w:rFonts w:asciiTheme="minorHAnsi" w:hAnsiTheme="minorHAnsi" w:cstheme="minorHAnsi"/>
          <w:szCs w:val="22"/>
        </w:rPr>
        <w:t xml:space="preserve">difficulties who are not receiving services. The fact that around </w:t>
      </w:r>
      <w:r>
        <w:rPr>
          <w:rFonts w:asciiTheme="minorHAnsi" w:hAnsiTheme="minorHAnsi" w:cstheme="minorHAnsi"/>
          <w:szCs w:val="22"/>
        </w:rPr>
        <w:t>four in five</w:t>
      </w:r>
      <w:r w:rsidRPr="007462C5">
        <w:rPr>
          <w:rFonts w:asciiTheme="minorHAnsi" w:hAnsiTheme="minorHAnsi" w:cstheme="minorHAnsi"/>
          <w:szCs w:val="22"/>
        </w:rPr>
        <w:t xml:space="preserve"> of those with a </w:t>
      </w:r>
      <w:r>
        <w:rPr>
          <w:rFonts w:asciiTheme="minorHAnsi" w:hAnsiTheme="minorHAnsi" w:cstheme="minorHAnsi"/>
          <w:szCs w:val="22"/>
        </w:rPr>
        <w:t>low wellbeing</w:t>
      </w:r>
      <w:r w:rsidRPr="007462C5">
        <w:rPr>
          <w:rFonts w:asciiTheme="minorHAnsi" w:hAnsiTheme="minorHAnsi" w:cstheme="minorHAnsi"/>
          <w:szCs w:val="22"/>
        </w:rPr>
        <w:t xml:space="preserve"> score do not have a record of an ASN suggests that there are clear opportunities for earlier intervention. Although we have highlighted patterns of inequality associated with indicators such as area deprivation, eligibility for free school meals and family structure, poorer wellbeing is by no means confined to such groups and approaches that are wholly targeted will not necessarily be capable of reaching this wider population.</w:t>
      </w:r>
    </w:p>
    <w:p w:rsidR="00A9456F" w:rsidRDefault="00DD381D" w:rsidP="00A9456F">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The above findings can also be read as suggesting that some children with an existing ASN or </w:t>
      </w:r>
      <w:r w:rsidRPr="00B75C00">
        <w:rPr>
          <w:rFonts w:asciiTheme="minorHAnsi" w:hAnsiTheme="minorHAnsi" w:cstheme="minorHAnsi"/>
          <w:szCs w:val="22"/>
        </w:rPr>
        <w:t>service provision do show particular evidence of need</w:t>
      </w:r>
      <w:r w:rsidR="00A9456F" w:rsidRPr="00B75C00">
        <w:rPr>
          <w:rFonts w:asciiTheme="minorHAnsi" w:hAnsiTheme="minorHAnsi" w:cstheme="minorHAnsi"/>
          <w:szCs w:val="22"/>
        </w:rPr>
        <w:t xml:space="preserve"> as they are more likely to have low mental wellbeing scores, lower levels of life satisfaction, be bullied and </w:t>
      </w:r>
      <w:r w:rsidR="00B75C00" w:rsidRPr="00B75C00">
        <w:rPr>
          <w:rFonts w:asciiTheme="minorHAnsi" w:hAnsiTheme="minorHAnsi" w:cstheme="minorHAnsi"/>
          <w:szCs w:val="22"/>
        </w:rPr>
        <w:t>be excluded from school</w:t>
      </w:r>
      <w:r w:rsidR="00A9456F" w:rsidRPr="00B75C00">
        <w:rPr>
          <w:rFonts w:asciiTheme="minorHAnsi" w:hAnsiTheme="minorHAnsi" w:cstheme="minorHAnsi"/>
          <w:szCs w:val="22"/>
        </w:rPr>
        <w:t>.</w:t>
      </w:r>
      <w:r w:rsidR="00A9456F" w:rsidRPr="007462C5">
        <w:rPr>
          <w:rFonts w:asciiTheme="minorHAnsi" w:hAnsiTheme="minorHAnsi" w:cstheme="minorHAnsi"/>
          <w:szCs w:val="22"/>
        </w:rPr>
        <w:t xml:space="preserve"> </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Some important caveats need to be mentioned here. The survey does not capture all aspects of need - for example, there are important aspects of wellbeing (such as experience of sexual or domestic violence) that cannot be asked about in the context of </w:t>
      </w:r>
      <w:r>
        <w:rPr>
          <w:rFonts w:asciiTheme="minorHAnsi" w:hAnsiTheme="minorHAnsi" w:cstheme="minorHAnsi"/>
          <w:szCs w:val="22"/>
        </w:rPr>
        <w:t xml:space="preserve">a </w:t>
      </w:r>
      <w:r w:rsidRPr="007462C5">
        <w:rPr>
          <w:rFonts w:asciiTheme="minorHAnsi" w:hAnsiTheme="minorHAnsi" w:cstheme="minorHAnsi"/>
          <w:szCs w:val="22"/>
        </w:rPr>
        <w:t xml:space="preserve">school-based study. Sometimes children will be in receipt of services because of their wider family circumstances (e.g. family breakdown) rather than their individual needs; and sometimes children will exhibit an absence of need precisely because they have received services at the right point and are continuing to benefit from an appropriate level of provision. </w:t>
      </w:r>
    </w:p>
    <w:p w:rsidR="00DD381D"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It is also worth remembering that the data linkage exercise does not capture all aspects of service use - for instance, it does not include any health-based services, such as those associated with child and adolescent mental health or third sector involvement. That said, such analysis - which can be developed further </w:t>
      </w:r>
      <w:r>
        <w:rPr>
          <w:rFonts w:asciiTheme="minorHAnsi" w:hAnsiTheme="minorHAnsi" w:cstheme="minorHAnsi"/>
          <w:szCs w:val="22"/>
        </w:rPr>
        <w:t>beyond</w:t>
      </w:r>
      <w:r w:rsidRPr="007462C5">
        <w:rPr>
          <w:rFonts w:asciiTheme="minorHAnsi" w:hAnsiTheme="minorHAnsi" w:cstheme="minorHAnsi"/>
          <w:szCs w:val="22"/>
        </w:rPr>
        <w:t xml:space="preserve"> the current report - points </w:t>
      </w:r>
      <w:r>
        <w:rPr>
          <w:rFonts w:asciiTheme="minorHAnsi" w:hAnsiTheme="minorHAnsi" w:cstheme="minorHAnsi"/>
          <w:szCs w:val="22"/>
        </w:rPr>
        <w:t>at</w:t>
      </w:r>
      <w:r w:rsidRPr="007462C5">
        <w:rPr>
          <w:rFonts w:asciiTheme="minorHAnsi" w:hAnsiTheme="minorHAnsi" w:cstheme="minorHAnsi"/>
          <w:szCs w:val="22"/>
        </w:rPr>
        <w:t xml:space="preserve"> some potentially important issues in terms of the current targeting of services within education and social work settings. </w:t>
      </w:r>
    </w:p>
    <w:p w:rsidR="00DD381D" w:rsidRPr="007462C5" w:rsidRDefault="00DD381D" w:rsidP="00DD381D">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Evidence from the parent survey also suggests that some of those who recognise a need do not feel they are offered enough support or advice. A third (32%) of parents who said they had concerns about their child’s development agreed with the statement that </w:t>
      </w:r>
      <w:r w:rsidRPr="00725149">
        <w:rPr>
          <w:rFonts w:asciiTheme="minorHAnsi" w:hAnsiTheme="minorHAnsi" w:cstheme="minorHAnsi"/>
          <w:szCs w:val="22"/>
        </w:rPr>
        <w:t>‘</w:t>
      </w:r>
      <w:r w:rsidRPr="00C91B67">
        <w:rPr>
          <w:rFonts w:asciiTheme="minorHAnsi" w:hAnsiTheme="minorHAnsi" w:cstheme="minorHAnsi"/>
          <w:szCs w:val="22"/>
        </w:rPr>
        <w:t>Professionals like health visitors and social workers do not offer parents enough advice and support with bringing up their children</w:t>
      </w:r>
      <w:r>
        <w:rPr>
          <w:rFonts w:asciiTheme="minorHAnsi" w:hAnsiTheme="minorHAnsi" w:cstheme="minorHAnsi"/>
          <w:szCs w:val="22"/>
        </w:rPr>
        <w:t>’ compared with one in six (18%) of other parents.</w:t>
      </w:r>
    </w:p>
    <w:p w:rsidR="00DD381D" w:rsidRPr="007462C5" w:rsidRDefault="00DD381D" w:rsidP="00DD381D">
      <w:pPr>
        <w:pStyle w:val="BodyCopy"/>
        <w:spacing w:before="240" w:after="200" w:line="276" w:lineRule="auto"/>
        <w:rPr>
          <w:rFonts w:asciiTheme="minorHAnsi" w:hAnsiTheme="minorHAnsi" w:cstheme="minorHAnsi"/>
          <w:b/>
          <w:szCs w:val="22"/>
        </w:rPr>
      </w:pPr>
      <w:r w:rsidRPr="007462C5">
        <w:rPr>
          <w:rFonts w:asciiTheme="minorHAnsi" w:hAnsiTheme="minorHAnsi" w:cstheme="minorHAnsi"/>
          <w:b/>
          <w:szCs w:val="22"/>
        </w:rPr>
        <w:lastRenderedPageBreak/>
        <w:t>Attitudes towards professional support</w:t>
      </w:r>
      <w:r>
        <w:rPr>
          <w:rFonts w:asciiTheme="minorHAnsi" w:hAnsiTheme="minorHAnsi" w:cstheme="minorHAnsi"/>
          <w:b/>
          <w:szCs w:val="22"/>
        </w:rPr>
        <w:t xml:space="preserve"> may influence uptake</w:t>
      </w:r>
    </w:p>
    <w:p w:rsidR="00DD381D" w:rsidRPr="007462C5" w:rsidRDefault="00DD381D" w:rsidP="00DD381D">
      <w:pPr>
        <w:pStyle w:val="BodyCopy"/>
        <w:spacing w:before="240" w:after="200" w:line="276" w:lineRule="auto"/>
        <w:rPr>
          <w:rFonts w:asciiTheme="minorHAnsi" w:hAnsiTheme="minorHAnsi" w:cstheme="minorHAnsi"/>
          <w:szCs w:val="22"/>
        </w:rPr>
      </w:pPr>
      <w:r w:rsidRPr="007462C5">
        <w:rPr>
          <w:rFonts w:asciiTheme="minorHAnsi" w:hAnsiTheme="minorHAnsi" w:cstheme="minorHAnsi"/>
          <w:szCs w:val="22"/>
        </w:rPr>
        <w:t xml:space="preserve">Of course, services not only need to be available and accessible: parents also need to feel comfortable and confident in engaging with these services. The </w:t>
      </w:r>
      <w:r>
        <w:rPr>
          <w:rFonts w:asciiTheme="minorHAnsi" w:hAnsiTheme="minorHAnsi" w:cstheme="minorHAnsi"/>
          <w:szCs w:val="22"/>
        </w:rPr>
        <w:t>parent survey</w:t>
      </w:r>
      <w:r w:rsidRPr="007462C5">
        <w:rPr>
          <w:rFonts w:asciiTheme="minorHAnsi" w:hAnsiTheme="minorHAnsi" w:cstheme="minorHAnsi"/>
          <w:szCs w:val="22"/>
        </w:rPr>
        <w:t xml:space="preserve"> provides some useful clues as to why that may not always be the case. In particular, it suggests that there remains deep-rooted anxiety about ‘professional involvement’ - particularly </w:t>
      </w:r>
      <w:r>
        <w:rPr>
          <w:rFonts w:asciiTheme="minorHAnsi" w:hAnsiTheme="minorHAnsi" w:cstheme="minorHAnsi"/>
          <w:szCs w:val="22"/>
        </w:rPr>
        <w:t>in areas of greater deprivation</w:t>
      </w:r>
      <w:r w:rsidRPr="007462C5">
        <w:rPr>
          <w:rFonts w:asciiTheme="minorHAnsi" w:hAnsiTheme="minorHAnsi" w:cstheme="minorHAnsi"/>
          <w:szCs w:val="22"/>
        </w:rPr>
        <w:t xml:space="preserve"> and among single parents. </w:t>
      </w:r>
      <w:r>
        <w:rPr>
          <w:rFonts w:asciiTheme="minorHAnsi" w:hAnsiTheme="minorHAnsi" w:cstheme="minorHAnsi"/>
          <w:szCs w:val="22"/>
        </w:rPr>
        <w:t>For example,</w:t>
      </w:r>
      <w:r w:rsidRPr="007462C5">
        <w:rPr>
          <w:rFonts w:asciiTheme="minorHAnsi" w:hAnsiTheme="minorHAnsi" w:cstheme="minorHAnsi"/>
          <w:szCs w:val="22"/>
        </w:rPr>
        <w:t xml:space="preserve"> </w:t>
      </w:r>
      <w:r>
        <w:rPr>
          <w:rFonts w:asciiTheme="minorHAnsi" w:hAnsiTheme="minorHAnsi" w:cstheme="minorHAnsi"/>
          <w:szCs w:val="22"/>
        </w:rPr>
        <w:t>37</w:t>
      </w:r>
      <w:r w:rsidRPr="007462C5">
        <w:rPr>
          <w:rFonts w:asciiTheme="minorHAnsi" w:hAnsiTheme="minorHAnsi" w:cstheme="minorHAnsi"/>
          <w:szCs w:val="22"/>
        </w:rPr>
        <w:t xml:space="preserve">% of </w:t>
      </w:r>
      <w:r>
        <w:rPr>
          <w:rFonts w:asciiTheme="minorHAnsi" w:hAnsiTheme="minorHAnsi" w:cstheme="minorHAnsi"/>
          <w:szCs w:val="22"/>
        </w:rPr>
        <w:t xml:space="preserve">single </w:t>
      </w:r>
      <w:r w:rsidRPr="007462C5">
        <w:rPr>
          <w:rFonts w:asciiTheme="minorHAnsi" w:hAnsiTheme="minorHAnsi" w:cstheme="minorHAnsi"/>
          <w:szCs w:val="22"/>
        </w:rPr>
        <w:t>parents agreed with the statement, ‘</w:t>
      </w:r>
      <w:r w:rsidRPr="00C91B67">
        <w:rPr>
          <w:rFonts w:asciiTheme="minorHAnsi" w:hAnsiTheme="minorHAnsi" w:cstheme="minorHAnsi"/>
          <w:szCs w:val="22"/>
        </w:rPr>
        <w:t>If other people knew you were getting professional advice or support with parenting, they would probably think you were a bad parent</w:t>
      </w:r>
      <w:r>
        <w:rPr>
          <w:rFonts w:asciiTheme="minorHAnsi" w:hAnsiTheme="minorHAnsi" w:cstheme="minorHAnsi"/>
          <w:szCs w:val="22"/>
        </w:rPr>
        <w:t>’</w:t>
      </w:r>
      <w:r w:rsidRPr="007462C5">
        <w:rPr>
          <w:rFonts w:asciiTheme="minorHAnsi" w:hAnsiTheme="minorHAnsi" w:cstheme="minorHAnsi"/>
          <w:szCs w:val="22"/>
        </w:rPr>
        <w:t xml:space="preserve"> compared with </w:t>
      </w:r>
      <w:r>
        <w:rPr>
          <w:rFonts w:asciiTheme="minorHAnsi" w:hAnsiTheme="minorHAnsi" w:cstheme="minorHAnsi"/>
          <w:szCs w:val="22"/>
        </w:rPr>
        <w:t>24</w:t>
      </w:r>
      <w:r w:rsidRPr="007462C5">
        <w:rPr>
          <w:rFonts w:asciiTheme="minorHAnsi" w:hAnsiTheme="minorHAnsi" w:cstheme="minorHAnsi"/>
          <w:szCs w:val="22"/>
        </w:rPr>
        <w:t xml:space="preserve">% of those in </w:t>
      </w:r>
      <w:r>
        <w:rPr>
          <w:rFonts w:asciiTheme="minorHAnsi" w:hAnsiTheme="minorHAnsi" w:cstheme="minorHAnsi"/>
          <w:szCs w:val="22"/>
        </w:rPr>
        <w:t>couples.</w:t>
      </w:r>
    </w:p>
    <w:p w:rsidR="00F63F29" w:rsidRDefault="00F63F29">
      <w:pPr>
        <w:spacing w:after="0" w:line="240" w:lineRule="auto"/>
      </w:pPr>
      <w:r>
        <w:br w:type="page"/>
      </w:r>
    </w:p>
    <w:p w:rsidR="00F63F29" w:rsidRDefault="00F63F29" w:rsidP="00F63F29">
      <w:pPr>
        <w:pStyle w:val="Heading1"/>
        <w:numPr>
          <w:ilvl w:val="0"/>
          <w:numId w:val="0"/>
        </w:numPr>
        <w:spacing w:line="276" w:lineRule="auto"/>
        <w:ind w:left="567" w:hanging="567"/>
      </w:pPr>
      <w:bookmarkStart w:id="245" w:name="_Toc493669650"/>
      <w:bookmarkStart w:id="246" w:name="_Toc494182135"/>
      <w:r>
        <w:lastRenderedPageBreak/>
        <w:t>Appendix – Explanation of variables used in the report and tables</w:t>
      </w:r>
      <w:bookmarkEnd w:id="245"/>
      <w:bookmarkEnd w:id="246"/>
    </w:p>
    <w:p w:rsidR="00F63F29" w:rsidRDefault="00F63F29" w:rsidP="00F63F29">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The analysis included in this report uses data from the two school surveys and the parent survey. The questionnaires can be used to identify the exact wording of questions as they were asked. Some of the analysis makes use of variables derived from multiple questions. These are described below. </w:t>
      </w:r>
    </w:p>
    <w:p w:rsidR="00F63F29" w:rsidRDefault="00F63F29" w:rsidP="00F63F29">
      <w:pPr>
        <w:pStyle w:val="BodyCopy"/>
        <w:spacing w:before="240" w:after="200" w:line="276" w:lineRule="auto"/>
        <w:rPr>
          <w:rFonts w:asciiTheme="minorHAnsi" w:hAnsiTheme="minorHAnsi" w:cstheme="minorHAnsi"/>
          <w:szCs w:val="22"/>
        </w:rPr>
      </w:pPr>
      <w:r>
        <w:rPr>
          <w:rFonts w:asciiTheme="minorHAnsi" w:hAnsiTheme="minorHAnsi" w:cstheme="minorHAnsi"/>
          <w:szCs w:val="22"/>
        </w:rPr>
        <w:t>To supplement the questionnaire, administrative data received from the CPP was added to data from the two school surveys in a way that ensured no pupil’s identity was disclosed. Details of this process are outlined in the technical report. The administrative variables used in this report are also described below.</w:t>
      </w:r>
    </w:p>
    <w:p w:rsidR="00F63F29" w:rsidRDefault="00F63F29" w:rsidP="00F63F29">
      <w:pPr>
        <w:pStyle w:val="BodyCopy"/>
        <w:spacing w:before="240" w:after="200" w:line="276" w:lineRule="auto"/>
        <w:rPr>
          <w:rFonts w:asciiTheme="minorHAnsi" w:hAnsiTheme="minorHAnsi" w:cstheme="minorHAnsi"/>
          <w:b/>
          <w:szCs w:val="22"/>
        </w:rPr>
      </w:pPr>
      <w:r>
        <w:rPr>
          <w:rFonts w:asciiTheme="minorHAnsi" w:hAnsiTheme="minorHAnsi" w:cstheme="minorHAnsi"/>
          <w:b/>
          <w:szCs w:val="22"/>
        </w:rPr>
        <w:t>Administrative data</w:t>
      </w:r>
    </w:p>
    <w:tbl>
      <w:tblPr>
        <w:tblStyle w:val="TableGrid"/>
        <w:tblW w:w="0" w:type="auto"/>
        <w:tblLook w:val="04A0" w:firstRow="1" w:lastRow="0" w:firstColumn="1" w:lastColumn="0" w:noHBand="0" w:noVBand="1"/>
      </w:tblPr>
      <w:tblGrid>
        <w:gridCol w:w="3628"/>
        <w:gridCol w:w="4385"/>
      </w:tblGrid>
      <w:tr w:rsidR="00F63F29" w:rsidTr="00B822EA">
        <w:tc>
          <w:tcPr>
            <w:tcW w:w="4336"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Scottish Index of Multiple deprivation (SIMD)</w:t>
            </w:r>
          </w:p>
        </w:tc>
        <w:tc>
          <w:tcPr>
            <w:tcW w:w="4385"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Measure of area deprivation for the pupil’s home address. Quintiles are based on a national sample, with quintile 1 being the 20% most deprived areas in Scotland, and quintile 5 the 20% least</w:t>
            </w:r>
            <w:r>
              <w:rPr>
                <w:rFonts w:asciiTheme="minorHAnsi" w:hAnsiTheme="minorHAnsi" w:cstheme="minorHAnsi"/>
                <w:b/>
                <w:szCs w:val="22"/>
              </w:rPr>
              <w:t xml:space="preserve"> </w:t>
            </w:r>
            <w:r>
              <w:rPr>
                <w:rFonts w:asciiTheme="minorHAnsi" w:hAnsiTheme="minorHAnsi" w:cstheme="minorHAnsi"/>
                <w:szCs w:val="22"/>
              </w:rPr>
              <w:t>deprived.</w:t>
            </w:r>
          </w:p>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For the parent survey, because of the lower sample size, quintiles 1 and 2 were combined to give the 40% most deprived areas in Scotland, and quintiles 3, 4 and 5 were combined to give the 60% least deprived.</w:t>
            </w:r>
          </w:p>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More detail on the SIMD can be found at </w:t>
            </w:r>
            <w:hyperlink r:id="rId66" w:history="1">
              <w:r>
                <w:rPr>
                  <w:rStyle w:val="Hyperlink"/>
                  <w:rFonts w:asciiTheme="minorHAnsi" w:hAnsiTheme="minorHAnsi" w:cstheme="minorHAnsi"/>
                  <w:szCs w:val="22"/>
                </w:rPr>
                <w:t>http://www.gov.scot/Topics/Statistics/SIMD</w:t>
              </w:r>
            </w:hyperlink>
          </w:p>
        </w:tc>
      </w:tr>
      <w:tr w:rsidR="00F63F29" w:rsidTr="00B822EA">
        <w:tc>
          <w:tcPr>
            <w:tcW w:w="4336"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cs="Arial"/>
                <w:color w:val="000000"/>
                <w:szCs w:val="22"/>
              </w:rPr>
              <w:t>Free School Meals</w:t>
            </w:r>
          </w:p>
        </w:tc>
        <w:tc>
          <w:tcPr>
            <w:tcW w:w="4385"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Pupil is eligible for free school meals. Taken from the local authority’s </w:t>
            </w:r>
            <w:proofErr w:type="spellStart"/>
            <w:r>
              <w:rPr>
                <w:rFonts w:asciiTheme="minorHAnsi" w:hAnsiTheme="minorHAnsi" w:cstheme="minorHAnsi"/>
                <w:szCs w:val="22"/>
              </w:rPr>
              <w:t>SEEMiS</w:t>
            </w:r>
            <w:proofErr w:type="spellEnd"/>
            <w:r>
              <w:rPr>
                <w:rFonts w:asciiTheme="minorHAnsi" w:hAnsiTheme="minorHAnsi" w:cstheme="minorHAnsi"/>
                <w:szCs w:val="22"/>
              </w:rPr>
              <w:t xml:space="preserve"> database.</w:t>
            </w:r>
          </w:p>
        </w:tc>
      </w:tr>
      <w:tr w:rsidR="00F63F29" w:rsidTr="00B822EA">
        <w:tc>
          <w:tcPr>
            <w:tcW w:w="4336"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Additional Support Needs</w:t>
            </w:r>
          </w:p>
        </w:tc>
        <w:tc>
          <w:tcPr>
            <w:tcW w:w="4385"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Pupil has an identified additional support need at school (with or without a Co-ordinated Support Plan or Individualised Education Plan). Taken from the local authority’s </w:t>
            </w:r>
            <w:proofErr w:type="spellStart"/>
            <w:r>
              <w:rPr>
                <w:rFonts w:asciiTheme="minorHAnsi" w:hAnsiTheme="minorHAnsi" w:cstheme="minorHAnsi"/>
                <w:szCs w:val="22"/>
              </w:rPr>
              <w:t>SEEMiS</w:t>
            </w:r>
            <w:proofErr w:type="spellEnd"/>
            <w:r>
              <w:rPr>
                <w:rFonts w:asciiTheme="minorHAnsi" w:hAnsiTheme="minorHAnsi" w:cstheme="minorHAnsi"/>
                <w:szCs w:val="22"/>
              </w:rPr>
              <w:t xml:space="preserve"> database.</w:t>
            </w:r>
          </w:p>
        </w:tc>
      </w:tr>
      <w:tr w:rsidR="00F63F29" w:rsidTr="00B822EA">
        <w:tc>
          <w:tcPr>
            <w:tcW w:w="4336"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In receipt of children’s services</w:t>
            </w:r>
          </w:p>
        </w:tc>
        <w:tc>
          <w:tcPr>
            <w:tcW w:w="4385" w:type="dxa"/>
            <w:tcBorders>
              <w:top w:val="single" w:sz="4" w:space="0" w:color="auto"/>
              <w:left w:val="single" w:sz="4" w:space="0" w:color="auto"/>
              <w:bottom w:val="single" w:sz="4" w:space="0" w:color="auto"/>
              <w:right w:val="single" w:sz="4" w:space="0" w:color="auto"/>
            </w:tcBorders>
            <w:hideMark/>
          </w:tcPr>
          <w:p w:rsidR="00F63F29" w:rsidRDefault="00F63F29" w:rsidP="00B822EA">
            <w:pPr>
              <w:pStyle w:val="BodyCopy"/>
              <w:spacing w:before="240" w:after="200" w:line="276" w:lineRule="auto"/>
              <w:rPr>
                <w:rFonts w:asciiTheme="minorHAnsi" w:hAnsiTheme="minorHAnsi" w:cstheme="minorHAnsi"/>
                <w:szCs w:val="22"/>
              </w:rPr>
            </w:pPr>
            <w:r>
              <w:rPr>
                <w:rFonts w:asciiTheme="minorHAnsi" w:hAnsiTheme="minorHAnsi" w:cstheme="minorHAnsi"/>
                <w:szCs w:val="22"/>
              </w:rPr>
              <w:t xml:space="preserve">Pupil is in receipt of any children’s social work services. This includes being looked </w:t>
            </w:r>
            <w:r>
              <w:rPr>
                <w:rFonts w:asciiTheme="minorHAnsi" w:hAnsiTheme="minorHAnsi" w:cstheme="minorHAnsi"/>
                <w:szCs w:val="22"/>
              </w:rPr>
              <w:lastRenderedPageBreak/>
              <w:t>after at home or in any form of care, on the child protection register, receiving through care and after care, or looking for prospective adopters. Taken from the local authority SWIFT, SWIS, or in-house social work database.</w:t>
            </w:r>
          </w:p>
        </w:tc>
      </w:tr>
    </w:tbl>
    <w:p w:rsidR="00F63F29" w:rsidRDefault="00F63F29" w:rsidP="00F63F29">
      <w:pPr>
        <w:pStyle w:val="BodyCopy"/>
        <w:spacing w:before="240" w:after="200" w:line="276" w:lineRule="auto"/>
        <w:rPr>
          <w:rFonts w:asciiTheme="minorHAnsi" w:hAnsiTheme="minorHAnsi" w:cstheme="minorHAnsi"/>
          <w:b/>
          <w:szCs w:val="22"/>
        </w:rPr>
      </w:pPr>
    </w:p>
    <w:p w:rsidR="00F63F29" w:rsidRDefault="00F63F29" w:rsidP="00F63F29">
      <w:pPr>
        <w:pStyle w:val="BodyCopy"/>
        <w:spacing w:before="240" w:after="200" w:line="276" w:lineRule="auto"/>
        <w:rPr>
          <w:rFonts w:asciiTheme="minorHAnsi" w:hAnsiTheme="minorHAnsi" w:cstheme="minorHAnsi"/>
          <w:b/>
          <w:szCs w:val="22"/>
        </w:rPr>
      </w:pPr>
      <w:r>
        <w:rPr>
          <w:rFonts w:asciiTheme="minorHAnsi" w:hAnsiTheme="minorHAnsi" w:cstheme="minorHAnsi"/>
          <w:b/>
          <w:szCs w:val="22"/>
        </w:rPr>
        <w:t>Derived variables</w:t>
      </w:r>
    </w:p>
    <w:p w:rsidR="00F63F29" w:rsidRDefault="00F63F29" w:rsidP="00F63F29">
      <w:pPr>
        <w:pStyle w:val="BodyCopy"/>
        <w:spacing w:before="240" w:after="200" w:line="276" w:lineRule="auto"/>
        <w:rPr>
          <w:rFonts w:asciiTheme="minorHAnsi" w:hAnsiTheme="minorHAnsi" w:cstheme="minorHAnsi"/>
          <w:szCs w:val="22"/>
        </w:rPr>
      </w:pPr>
      <w:r>
        <w:rPr>
          <w:rFonts w:asciiTheme="minorHAnsi" w:hAnsiTheme="minorHAnsi" w:cstheme="minorHAnsi"/>
          <w:szCs w:val="22"/>
        </w:rPr>
        <w:t>Note that variables which are created from combining answer categories as provided in the questionnaire are not noted below.</w:t>
      </w:r>
    </w:p>
    <w:tbl>
      <w:tblPr>
        <w:tblStyle w:val="TableGrid"/>
        <w:tblW w:w="0" w:type="auto"/>
        <w:tblLayout w:type="fixed"/>
        <w:tblLook w:val="04A0" w:firstRow="1" w:lastRow="0" w:firstColumn="1" w:lastColumn="0" w:noHBand="0" w:noVBand="1"/>
      </w:tblPr>
      <w:tblGrid>
        <w:gridCol w:w="1668"/>
        <w:gridCol w:w="1842"/>
        <w:gridCol w:w="5211"/>
      </w:tblGrid>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Household type (all surveys)</w:t>
            </w:r>
          </w:p>
        </w:tc>
        <w:tc>
          <w:tcPr>
            <w:tcW w:w="1842" w:type="dxa"/>
            <w:tcBorders>
              <w:top w:val="single" w:sz="4" w:space="0" w:color="auto"/>
              <w:left w:val="single" w:sz="4" w:space="0" w:color="auto"/>
              <w:bottom w:val="single" w:sz="4" w:space="0" w:color="auto"/>
              <w:right w:val="single" w:sz="4" w:space="0" w:color="auto"/>
            </w:tcBorders>
          </w:tcPr>
          <w:p w:rsidR="00F63F29" w:rsidRDefault="00F63F29" w:rsidP="00B822EA">
            <w:pPr>
              <w:spacing w:before="240"/>
            </w:pPr>
            <w:r>
              <w:t>Derived from questions about who the child lived with (secondary school questionnaire Q21a / primary school questionnaire ChHome1)</w:t>
            </w:r>
          </w:p>
          <w:p w:rsidR="00F63F29" w:rsidRDefault="00F63F29" w:rsidP="00B822EA">
            <w:pPr>
              <w:spacing w:before="240"/>
            </w:pPr>
          </w:p>
          <w:p w:rsidR="00F63F29" w:rsidRDefault="00F63F29" w:rsidP="00B822EA">
            <w:pPr>
              <w:spacing w:before="240"/>
            </w:pPr>
            <w:r>
              <w:t>Derived from questions about relationships between household members (parent survey questionnaire Relation)</w:t>
            </w:r>
          </w:p>
          <w:p w:rsidR="00F63F29" w:rsidRDefault="00F63F29" w:rsidP="00B822EA">
            <w:pPr>
              <w:spacing w:before="240"/>
            </w:pP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F63F29">
            <w:pPr>
              <w:pStyle w:val="ListParagraph"/>
              <w:numPr>
                <w:ilvl w:val="0"/>
                <w:numId w:val="24"/>
              </w:numPr>
              <w:spacing w:before="240"/>
              <w:ind w:left="357" w:hanging="357"/>
            </w:pPr>
            <w:r>
              <w:t>Two parent households were defined as those in which the child reported living with both a mother and father</w:t>
            </w:r>
          </w:p>
          <w:p w:rsidR="00F63F29" w:rsidRDefault="00F63F29" w:rsidP="00F63F29">
            <w:pPr>
              <w:pStyle w:val="ListParagraph"/>
              <w:numPr>
                <w:ilvl w:val="0"/>
                <w:numId w:val="24"/>
              </w:numPr>
              <w:spacing w:before="240"/>
              <w:ind w:left="357" w:hanging="357"/>
            </w:pPr>
            <w:r>
              <w:t>One parent households were defined as those in which the child reported living with either a mother or a father, but not both, and not someone described as the mother or father’s partner</w:t>
            </w:r>
          </w:p>
          <w:p w:rsidR="00F63F29" w:rsidRDefault="00F63F29" w:rsidP="00F63F29">
            <w:pPr>
              <w:pStyle w:val="ListParagraph"/>
              <w:numPr>
                <w:ilvl w:val="0"/>
                <w:numId w:val="24"/>
              </w:numPr>
              <w:spacing w:before="240"/>
              <w:ind w:left="357" w:hanging="357"/>
            </w:pPr>
            <w:r>
              <w:t>Step-families were defined as those in which the child reported living with either the mother or father, and the mother or father’s partner</w:t>
            </w:r>
          </w:p>
          <w:p w:rsidR="00F63F29" w:rsidRDefault="00F63F29" w:rsidP="00F63F29">
            <w:pPr>
              <w:pStyle w:val="ListParagraph"/>
              <w:numPr>
                <w:ilvl w:val="0"/>
                <w:numId w:val="24"/>
              </w:numPr>
              <w:spacing w:before="240"/>
              <w:ind w:left="357" w:hanging="357"/>
            </w:pPr>
            <w:r>
              <w:t>Other household types were those in which the child reported living with neither their mother nor father. This could include living with grandparents, in foster care, in a care home, or with someone else.</w:t>
            </w:r>
          </w:p>
          <w:p w:rsidR="00F63F29" w:rsidRDefault="00F63F29" w:rsidP="00B822EA">
            <w:pPr>
              <w:spacing w:before="240"/>
            </w:pPr>
            <w:r>
              <w:t>In some cases, children reported living with both parents and one of their parents’ partners. This was taken to be a step-family, as it was assumed the mother’s partner and the father were the same person, but not the biological father (and similarly for father’s partner).</w:t>
            </w:r>
          </w:p>
          <w:p w:rsidR="00F63F29" w:rsidRDefault="00F63F29" w:rsidP="00B822EA">
            <w:pPr>
              <w:spacing w:before="240"/>
            </w:pPr>
            <w:r>
              <w:t>Similarly, those who reported living with parents and foster parents were assumed to be a foster family (hence ‘other’ household type).</w:t>
            </w:r>
          </w:p>
          <w:p w:rsidR="00F63F29" w:rsidRDefault="00F63F29" w:rsidP="00B822EA">
            <w:pPr>
              <w:spacing w:before="240"/>
            </w:pPr>
            <w:r>
              <w:t>The questionnaire did not allow someone to say they lived with two mothers or two fathers. Such cases are, unfortunately, likely to be misclassified.</w:t>
            </w:r>
          </w:p>
          <w:p w:rsidR="00F63F29" w:rsidRDefault="00F63F29" w:rsidP="00B822EA">
            <w:pPr>
              <w:spacing w:before="240"/>
            </w:pPr>
            <w:r>
              <w:t xml:space="preserve">For the parent survey, because of the smaller </w:t>
            </w:r>
            <w:r>
              <w:lastRenderedPageBreak/>
              <w:t>sample sizes, only two categories were used.</w:t>
            </w:r>
          </w:p>
          <w:p w:rsidR="00F63F29" w:rsidRDefault="00F63F29" w:rsidP="00F63F29">
            <w:pPr>
              <w:pStyle w:val="ListParagraph"/>
              <w:numPr>
                <w:ilvl w:val="0"/>
                <w:numId w:val="25"/>
              </w:numPr>
              <w:spacing w:before="240"/>
            </w:pPr>
            <w:r>
              <w:t>Two parent households were defined as those with two adults responsible for the child, who were married or living together as a couple</w:t>
            </w:r>
            <w:r w:rsidR="006E4A1F">
              <w:t>.</w:t>
            </w:r>
          </w:p>
          <w:p w:rsidR="00F63F29" w:rsidRDefault="00F63F29" w:rsidP="00F63F29">
            <w:pPr>
              <w:pStyle w:val="ListParagraph"/>
              <w:numPr>
                <w:ilvl w:val="0"/>
                <w:numId w:val="25"/>
              </w:numPr>
              <w:spacing w:before="240"/>
            </w:pPr>
            <w:r>
              <w:t>Single parent households were defined as those with one adult responsible for the child, not living with a partner.</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Number of siblings (school surveys)</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who the child lived with (secondary Q21b / primary ChSib1 &amp; ChSib2)</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The number of siblings was taken to be the number reported by the child as living in their home most of the time. They were asked to include half-, step- or foster- brothers and sisters. No guidance was provided on what was meant by ‘most of the time’.</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Fruit and vegetable consumption (secondary school survey and parent survey)</w:t>
            </w:r>
          </w:p>
        </w:tc>
        <w:tc>
          <w:tcPr>
            <w:tcW w:w="1842" w:type="dxa"/>
            <w:tcBorders>
              <w:top w:val="single" w:sz="4" w:space="0" w:color="auto"/>
              <w:left w:val="single" w:sz="4" w:space="0" w:color="auto"/>
              <w:bottom w:val="single" w:sz="4" w:space="0" w:color="auto"/>
              <w:right w:val="single" w:sz="4" w:space="0" w:color="auto"/>
            </w:tcBorders>
          </w:tcPr>
          <w:p w:rsidR="00F63F29" w:rsidRDefault="00F63F29" w:rsidP="00B822EA">
            <w:pPr>
              <w:spacing w:before="240"/>
            </w:pPr>
            <w:r>
              <w:t xml:space="preserve">Derived from questions about the frequency of consuming fruit and the frequency of consuming vegetables (secondary </w:t>
            </w:r>
            <w:proofErr w:type="spellStart"/>
            <w:r>
              <w:t>Q51</w:t>
            </w:r>
            <w:proofErr w:type="spellEnd"/>
            <w:r>
              <w:t xml:space="preserve"> / parent </w:t>
            </w:r>
            <w:proofErr w:type="spellStart"/>
            <w:r>
              <w:t>EatFruit</w:t>
            </w:r>
            <w:proofErr w:type="spellEnd"/>
            <w:r>
              <w:t xml:space="preserve"> / </w:t>
            </w:r>
            <w:proofErr w:type="spellStart"/>
            <w:r>
              <w:t>EatVeg</w:t>
            </w:r>
            <w:proofErr w:type="spellEnd"/>
            <w:r>
              <w:t>)</w:t>
            </w:r>
          </w:p>
          <w:p w:rsidR="00F63F29" w:rsidRDefault="00F63F29" w:rsidP="00B822EA">
            <w:pPr>
              <w:spacing w:before="240"/>
            </w:pP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The combined frequency for the consumption of fruit and vegetables was taken as the most frequent of the consumption of fruit and the consumption of vegetables (secondary school survey).</w:t>
            </w:r>
          </w:p>
          <w:p w:rsidR="00F63F29" w:rsidRDefault="00F63F29" w:rsidP="00B822EA">
            <w:pPr>
              <w:spacing w:before="240"/>
            </w:pPr>
            <w:r>
              <w:t xml:space="preserve">For the parent survey, the two questions were summed to give a scale of 2-12. 2-4 was recorded as ‘high’ consumption, equating to both once a day, or one more than once a day and the other at least most days. 5-8 was recorded as medium consumption and 9-12 low consumption. </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Goodman’s Strengths and Difficulties Questionnaire (SDQ) (secondary school and parent surveys)</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25 questions about the social, emotional and behavioural development of the child (secondary Q48 / parent SDQ1 to SDQ25)</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This is a standard set of screening questions and standard derivations used in many surveys. It is validated for use by parents of younger children, and for self-report by older children. The respondent is asked whether statements about particular behaviours of the child are ‘not true’, ‘somewhat true’, or ‘certainly true’. Responses are combined into five scales of 0-10 by summing* responses to relevant questions for each of the domains, and one scale of 0-40 for the total difficulties score. </w:t>
            </w:r>
          </w:p>
          <w:p w:rsidR="00F63F29" w:rsidRDefault="00F63F29" w:rsidP="00B822EA">
            <w:pPr>
              <w:spacing w:before="240"/>
            </w:pPr>
            <w:r>
              <w:t xml:space="preserve">Banded scores are reported, indicating whether a child is ‘close to average’, ‘slightly raised’ (‘slightly lowered’ for the prosocial scale), ‘high’ (‘low’), or </w:t>
            </w:r>
            <w:r>
              <w:lastRenderedPageBreak/>
              <w:t>‘very high’ (‘very low’). The higher the score (lower for prosocial), the more of an indication of problems for that child in that domain. The scores used to categorise children into these bands are different for each domain and different for the parent and secondary school surveys, but have been determined by the creators of the survey based on UK data.</w:t>
            </w:r>
          </w:p>
          <w:p w:rsidR="00F63F29" w:rsidRDefault="00F63F29" w:rsidP="00B822EA">
            <w:pPr>
              <w:spacing w:before="240"/>
              <w:rPr>
                <w:rStyle w:val="Hyperlink"/>
              </w:rPr>
            </w:pPr>
            <w:r>
              <w:t xml:space="preserve">More detail on the SDQ can be found at </w:t>
            </w:r>
            <w:hyperlink r:id="rId67" w:history="1">
              <w:r>
                <w:rPr>
                  <w:rStyle w:val="Hyperlink"/>
                </w:rPr>
                <w:t>http://www.sdqinfo.org/</w:t>
              </w:r>
            </w:hyperlink>
          </w:p>
          <w:p w:rsidR="00F63F29" w:rsidRDefault="00F63F29" w:rsidP="00B822EA">
            <w:pPr>
              <w:spacing w:before="240"/>
            </w:pPr>
            <w:r>
              <w:t>* When questions are summed to form a scale, answer categories for some questions are reversed so that higher scores for each question indicate similar types of behaviour – i.e. more problematic in the case of the total difficulties score and the four domains representing different types of problematic behaviour. The same applies to most of the scales discussed below.</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Warwick-Edinburgh Mental Well-being Scale (WEMWBS) (secondary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14 questions about wellbeing (secondary Q12)</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This is a standard set of questions and standard derivations used in many surveys. The respondent is asked whether they feel a particular way ‘none of the time’, ‘rarely’, ‘some of the time’, ‘often’, or ‘all of the time’. Responses are combined into a single scale of 14-70, and mean and median scores are reported. Higher scores are indicative of more positive wellbeing.</w:t>
            </w:r>
          </w:p>
          <w:p w:rsidR="00F63F29" w:rsidRDefault="00F63F29" w:rsidP="00B822EA">
            <w:pPr>
              <w:spacing w:before="240"/>
            </w:pPr>
            <w:r>
              <w:t>Where banded scores are used, ‘below average wellbeing’ is defined as one standard deviation below the mean on the 2015 SALSUS dataset. This roughly equates to the bottom one sixth, both nationally and for the local authority. ‘Above average wellbeing’ is one standard deviation above the mean, or the top one sixth.</w:t>
            </w:r>
          </w:p>
          <w:p w:rsidR="00F63F29" w:rsidRDefault="00F63F29" w:rsidP="00B822EA">
            <w:pPr>
              <w:spacing w:before="240"/>
            </w:pPr>
            <w:r>
              <w:t xml:space="preserve">More detail on WEMWBS can be found at </w:t>
            </w:r>
            <w:hyperlink r:id="rId68" w:history="1">
              <w:r>
                <w:rPr>
                  <w:rStyle w:val="Hyperlink"/>
                </w:rPr>
                <w:t>http://www2.warwick.ac.uk/fac/med/research/platform/wemwbs/</w:t>
              </w:r>
            </w:hyperlink>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Huebner’s Student’s Life Satisfaction Scale (school surveys)</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satisfaction with life (secondary Q14 / primary ChLife1 to </w:t>
            </w:r>
            <w:r>
              <w:lastRenderedPageBreak/>
              <w:t>ChLife5)</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 xml:space="preserve">A standard set of questions asking for the level of agreement / disagreement with a series of statements is used for the secondary school survey. Responses are combined into a single scale of 7-42, and mean and median scores are </w:t>
            </w:r>
            <w:r>
              <w:lastRenderedPageBreak/>
              <w:t>reported.</w:t>
            </w:r>
          </w:p>
          <w:p w:rsidR="00F63F29" w:rsidRDefault="00F63F29" w:rsidP="00B822EA">
            <w:pPr>
              <w:spacing w:before="240"/>
              <w:rPr>
                <w:rStyle w:val="Hyperlink"/>
              </w:rPr>
            </w:pPr>
            <w:r>
              <w:t xml:space="preserve">More detail on the Student’s Life Satisfaction Scale can be found at </w:t>
            </w:r>
            <w:hyperlink r:id="rId69" w:history="1">
              <w:r>
                <w:rPr>
                  <w:rStyle w:val="Hyperlink"/>
                </w:rPr>
                <w:t>http://www.midss.org/content/students-life-satisfaction-scale</w:t>
              </w:r>
            </w:hyperlink>
          </w:p>
          <w:p w:rsidR="00F63F29" w:rsidRDefault="00FB417D" w:rsidP="00FB417D">
            <w:r w:rsidRPr="001575ED">
              <w:rPr>
                <w:rFonts w:ascii="Arial" w:eastAsia="Arial" w:hAnsi="Arial" w:cs="Times New Roman"/>
              </w:rPr>
              <w:t>For the primary school survey, five of these questions have been adapted to ask about the frequency of feelings (‘Always’, ‘Often’, ‘Sometimes’ or ‘Never’) as this was determined to fit in better with the questionnaire and be better understood by children of that age. Responses are combined into a single scale of 5-20. Scores of 18-20 were recorded as ‘Higher life satisfaction’, 15-17 ‘Average’ and 5-14 as ‘Lower life satisfaction’. These bandings match those used in the first year of RCS surveys, and were decided upon so that the mean score fell in the middle of the ‘Average’ category, and roughly one third were in each of the bandings, although the clustering of responses meant that considerably more than one third are included in the top band. An ‘Average’ score equates to often experiencing each of the feelings. ‘Higher’ and ‘lower’ are in relation to others who have taken the survey and, unlike the bandings used for the SDQ, are not necessarily indicative of problems existing, but can still be used as an indication of risk, with those in the ‘lower’ category being more at risk of problems relating to lower life satisfaction.</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Any discrimination (secondary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being treated badly (secondary Q60)</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Any discrimination by other children and young people was recorded where a respondent gave any of the 12 reasons (including ‘other’) that other children and young people have treated them badly.</w:t>
            </w:r>
          </w:p>
          <w:p w:rsidR="00F63F29" w:rsidRDefault="00F63F29" w:rsidP="00B822EA">
            <w:pPr>
              <w:spacing w:before="240"/>
            </w:pPr>
            <w:r>
              <w:t xml:space="preserve">Any discrimination by adults was similarly recorded where respondents gave any of the 12 reasons that adults have treated them badly. </w:t>
            </w:r>
          </w:p>
          <w:p w:rsidR="00F63F29" w:rsidRDefault="00F63F29" w:rsidP="00B822EA">
            <w:pPr>
              <w:spacing w:before="240"/>
            </w:pPr>
            <w:r>
              <w:t>Any discrimination at all was recorded where a respondent gave any reason for being treated badly by either adults or other children and young people.</w:t>
            </w:r>
          </w:p>
          <w:p w:rsidR="00FB417D" w:rsidRDefault="00FB417D" w:rsidP="00B822EA">
            <w:pPr>
              <w:spacing w:before="240"/>
            </w:pP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Mood and emotions (primary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mood and emotions (primary ChFeel1 to ChFeel6)</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A set of questions devised for RCS asking the frequency of different feelings (‘Always’, ‘Often’, ‘Sometimes’ or ‘Never’). Responses are combined into a single scale of 6-24. Scores of 20-24 were recorded as ‘Higher (more positive) mood’, 17-19 ‘Average’ and 6-16 as ‘Lower (less positive) mood’. These bandings match those used in the first year of RCS surveys, and, similar to the life satisfaction scale for the primary school survey</w:t>
            </w:r>
            <w:r w:rsidR="00502406">
              <w:t>,</w:t>
            </w:r>
            <w:r>
              <w:t xml:space="preserve"> were decided upon so that the mean score fell in the middle of the ‘Average’ category, and roughly one third fell in each of the bandings, although the clustering of responses meant that considerably more than one third are included in the top band. </w:t>
            </w:r>
          </w:p>
          <w:p w:rsidR="00F63F29" w:rsidRDefault="00F63F29" w:rsidP="00B822EA">
            <w:pPr>
              <w:spacing w:before="240"/>
            </w:pPr>
            <w:r>
              <w:t>‘Average’ implies often having positive mood, while ‘Higher’ and ‘lower’ are in relation to others who have taken the survey.</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People in my life (primary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relationships with parents / caregivers (primary ChPar1 to ChPar4)</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Four items taken from the People In My Life questionnaire (Cook, Greenberg &amp; </w:t>
            </w:r>
            <w:proofErr w:type="spellStart"/>
            <w:r>
              <w:t>Kusche</w:t>
            </w:r>
            <w:proofErr w:type="spellEnd"/>
            <w:r>
              <w:t>, 1995) asking the frequency of different behaviours (‘Always’, ‘Often’, ‘Sometimes’ or ‘Never’). Responses are combined into a single scale of 4-16. Scores of 15-16 were recorded as ‘Higher (more positive) relationships’, 12-14 ‘Average’ and 4-11 as ‘Lower (less positive) relationships’. These bandings match those used in the first year of RCS surveys, and, similar to the life satisfaction scale for the primary school survey</w:t>
            </w:r>
            <w:r w:rsidR="00502406">
              <w:t>,</w:t>
            </w:r>
            <w:r>
              <w:t xml:space="preserve"> were decided upon so that the mean score fell in the middle of the ‘Average’ category, and roughly one third fell in each of the bandings, although the clustering of responses meant that considerably more than one third are included in the top band. </w:t>
            </w:r>
          </w:p>
          <w:p w:rsidR="00F63F29" w:rsidRDefault="00F63F29" w:rsidP="00B822EA">
            <w:pPr>
              <w:spacing w:before="240"/>
            </w:pPr>
            <w:r>
              <w:t>‘Higher’ implies good relationships / understanding between parents and child nearly all the time, and ‘Average’ most of the time. ‘Lower’ is in relation to others who have taken the survey.</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Teacher relationships (primary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relationships with teachers (primary ChSch2 to </w:t>
            </w:r>
            <w:r>
              <w:lastRenderedPageBreak/>
              <w:t>ChSch4)</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 xml:space="preserve">Three questions devised for RCS asking the frequency of different behaviours (‘Always’, ‘Often’, ‘Sometimes’ or ‘Never’). Responses are combined into a single scale of 3-12. Scores of 12 were recorded as ‘Higher (more positive) relationships’, 9-11 ‘Average’ and 3-8 as ‘Lower (less positive) </w:t>
            </w:r>
            <w:r>
              <w:lastRenderedPageBreak/>
              <w:t>relationships’. These bandings match those used in the first year of RCS surveys, and, similar to the life satisfaction scale for the primary school survey</w:t>
            </w:r>
            <w:r w:rsidR="00AD601E">
              <w:t>,</w:t>
            </w:r>
            <w:r>
              <w:t xml:space="preserve"> were decided upon so that the mean score fell in the middle of the ‘Average’ category, and roughly one third fell in each of the bandings, although the clustering of responses meant that considerably more than one third are included in the middle band. </w:t>
            </w:r>
          </w:p>
          <w:p w:rsidR="00F63F29" w:rsidRDefault="00F63F29" w:rsidP="00B822EA">
            <w:pPr>
              <w:spacing w:before="240"/>
            </w:pPr>
            <w:r>
              <w:t>‘Higher’ implies good relationships with teachers in all respects, while ‘Average’ implies occasional issues. ‘Lower’ is in relation to others who have taken the survey.</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Experiences of being bullied (primary school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experiences of being bullied (primary ChPick1 to ChPick4)</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Four questions taken from Growing Up in Scotland asking the frequency of different experiences (‘Most days’, ‘About once a week’, ‘About once a month’, ‘Every few months’, or ‘Never’). Responses are combined into a single scale of 4-20. Scores of 9-20 were recorded as ‘Higher (greater exposure to bullying)’, 6-8 ‘Average’ and 4-5 as ‘Lower (less exposure to bullying)’. These bandings match those used in the first year of RCS surveys, and, similar to the life satisfaction scale for the primary school survey</w:t>
            </w:r>
            <w:r w:rsidR="00F43116">
              <w:t>,</w:t>
            </w:r>
            <w:r>
              <w:t xml:space="preserve"> were decided upon so that the mean score fell in the middle of the ‘Average’ category, and roughly one third fell in each of the bandings, although the clustering of responses meant that considerably more than one third are included in the lower band.</w:t>
            </w:r>
          </w:p>
          <w:p w:rsidR="00F63F29" w:rsidRDefault="00F63F29" w:rsidP="00B822EA">
            <w:pPr>
              <w:spacing w:before="240"/>
            </w:pPr>
            <w:r>
              <w:t>‘Average’ equates to some form of bullying roughly every month, although could be more frequent if other forms of bullying were not experienced. ‘Higher’ and ‘lower’ are in relation to others who have taken the survey.</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Ease of feeding (parent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ease of feeding and variety of food (parent </w:t>
            </w:r>
            <w:proofErr w:type="spellStart"/>
            <w:r>
              <w:t>FeedEas</w:t>
            </w:r>
            <w:proofErr w:type="spellEnd"/>
            <w:r>
              <w:t xml:space="preserve"> </w:t>
            </w:r>
            <w:proofErr w:type="spellStart"/>
            <w:r>
              <w:t>VarFood</w:t>
            </w:r>
            <w:proofErr w:type="spellEnd"/>
            <w:r>
              <w:t>)</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The two questions were added, to create a scale of 2-8, with 2-3 recorded as ‘easy to feed’, 4-6 as ‘average’ and 7-8 as ‘difficult to feed’. ‘Easy to feed’ equated to saying the child was very easy or quite easy to feed, and would eat most things, or very easy to feed and would eat a reasonable variety of things.</w:t>
            </w:r>
          </w:p>
          <w:p w:rsidR="00FB417D" w:rsidRDefault="00FB417D" w:rsidP="00B822EA">
            <w:pPr>
              <w:spacing w:before="240"/>
            </w:pP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Birth weight (parent survey)</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child’s weight at birth in metric or imperial measurements (Birweig1, Birweig2)</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Low birth weight was recorded as below 2.5 kg (</w:t>
            </w:r>
            <w:proofErr w:type="spellStart"/>
            <w:r>
              <w:t>5lb</w:t>
            </w:r>
            <w:proofErr w:type="spellEnd"/>
            <w:r>
              <w:t xml:space="preserve"> 8 </w:t>
            </w:r>
            <w:proofErr w:type="spellStart"/>
            <w:r>
              <w:t>oz</w:t>
            </w:r>
            <w:proofErr w:type="spellEnd"/>
            <w:r>
              <w:t>)</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Parent’s physical health</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general health and physical health (parent PSF12Gen PSF12Lim1 PSF12Lim2 PSF12Lim3 PSF12Lim4 PSF12Lim7)</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6 of the 12 questions from the SF-12 health questionnaire were used to create a scale of physical health. Answer categories were reversed where appropriate, and all questions were standardised, to create a scale with an average of 0 and higher scores indicating better physical health. ‘Below average’ physical health was taken as one or more standard deviations below the mean.</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Parent’s mental health</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mental health (parent PSF12Lim5 PSF12Lim6 PSF12Clm PSF12En PSF12Dwn PSF12Soc)</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The other 6 questions from the SF-12 health questionnaire were used to create a scale of mental health. Answer categories were reversed where appropriate, and all questions were standardised, to create a scale with an average of 0 and higher scores indicating better mental health. ‘Below average’ mental health was taken as one or more standard deviations below the mean.</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Parent life satisfaction</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Banded question (parent </w:t>
            </w:r>
            <w:proofErr w:type="spellStart"/>
            <w:r>
              <w:t>psatis</w:t>
            </w:r>
            <w:proofErr w:type="spellEnd"/>
            <w:r>
              <w:t>)</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Life satisfaction was asked on a 0-10 scale. 0-3 was recorded as ‘dissatisfied’, 4-6 ‘neither’ and 7-10 ‘satisfied’.</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Risky drinker</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frequency of drinking (parent PAuditC1, PAuditC2, PAuditC3)</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Three questions taken from the AUDIT scale developed by the WHO for assessing risky drinking behaviour were summed to form a scale of 3-15. A score of 8 or above for men and 7 or above for women was recorded as risky drinking behaviour, which roughly equates to drinking two glasses of wine 2-3 times a week and rarely or never binging.</w:t>
            </w:r>
          </w:p>
          <w:p w:rsidR="00FB417D" w:rsidRDefault="00FB417D" w:rsidP="00B822EA">
            <w:pPr>
              <w:spacing w:before="240"/>
            </w:pP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 xml:space="preserve">Parent-child attachment (Condon &amp; </w:t>
            </w:r>
            <w:proofErr w:type="spellStart"/>
            <w:r>
              <w:t>Corkindale</w:t>
            </w:r>
            <w:proofErr w:type="spellEnd"/>
            <w:r>
              <w:t>)</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quality of relationship with child (parent QualAt1 to QualAt9)</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Nine questions from Condon &amp; </w:t>
            </w:r>
            <w:proofErr w:type="spellStart"/>
            <w:r>
              <w:t>Corkindale’s</w:t>
            </w:r>
            <w:proofErr w:type="spellEnd"/>
            <w:r>
              <w:t xml:space="preserve"> parent-child attachment scale for parents of children aged 0-2. Responses were summed (with questions reversed as appropriate) to form a scale 9-37. Scores of 36 and 37 were recorded as ‘high’, equating to reported strong feelings of attachment in response to nearly all of the questions. Scores of 35 and below were recorded as ‘low’, but in many cases would still indicate fairly strong attachment.</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Parent-child warmth (</w:t>
            </w:r>
            <w:proofErr w:type="spellStart"/>
            <w:r>
              <w:t>Pianta</w:t>
            </w:r>
            <w:proofErr w:type="spellEnd"/>
            <w:r>
              <w:t>)</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Derived from questions about warmth of relationship with child (parent PPian1, PPian3, PPian5, PPian6, PPian7, PPian9, PPian15)</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Seven questions from the </w:t>
            </w:r>
            <w:proofErr w:type="spellStart"/>
            <w:r>
              <w:t>Pianta</w:t>
            </w:r>
            <w:proofErr w:type="spellEnd"/>
            <w:r>
              <w:t xml:space="preserve"> parent-child relationship scale with possible responses ‘Definitely does not apply’, ‘Not really’, ‘Neutral’, ‘Applies sometimes’, ‘Definitely applies’. Responses of “Can’t say” were treated as ‘Applies sometimes’. Responses were summed to form a scale 7-35, with higher scores indicating greater warmth. Scores of 34 and 35 were recorded as ‘high’, with all (or all but one) of the statements definitely applying. </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Parent-child conflict</w:t>
            </w:r>
          </w:p>
        </w:tc>
        <w:tc>
          <w:tcPr>
            <w:tcW w:w="1842" w:type="dxa"/>
            <w:tcBorders>
              <w:top w:val="single" w:sz="4" w:space="0" w:color="auto"/>
              <w:left w:val="single" w:sz="4" w:space="0" w:color="auto"/>
              <w:bottom w:val="single" w:sz="4" w:space="0" w:color="auto"/>
              <w:right w:val="single" w:sz="4" w:space="0" w:color="auto"/>
            </w:tcBorders>
          </w:tcPr>
          <w:p w:rsidR="00F63F29" w:rsidRDefault="00F63F29" w:rsidP="00B822EA">
            <w:pPr>
              <w:spacing w:before="240"/>
            </w:pPr>
            <w:r>
              <w:t>Derived from questions about conflict within relationship with child (parent PPian2, PPian8, PPian10, PPian11, PPian12, PPian13, PPian14)</w:t>
            </w:r>
          </w:p>
          <w:p w:rsidR="00F63F29" w:rsidRDefault="00F63F29" w:rsidP="00B822EA">
            <w:pPr>
              <w:spacing w:before="240"/>
            </w:pP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Eight questions from the </w:t>
            </w:r>
            <w:proofErr w:type="spellStart"/>
            <w:r>
              <w:t>Pianta</w:t>
            </w:r>
            <w:proofErr w:type="spellEnd"/>
            <w:r>
              <w:t xml:space="preserve"> parent-child relationship scale with possible responses ‘Definitely does not apply’, ‘Not really’, ‘Neutral’, ‘Applies sometimes’, ‘Definitely applies’. Responses of “Can’t say” were treated as ‘Applies sometimes’. Responses were summed to form a scale 8-40, with higher scores indicating greater conflict. Scores were grouped into three roughly equal bands: scores of 8-12 ‘low conflict’ (statements mostly not applying / not really applying); 13-18 ‘medium conflict’; 19-40 ‘high conflict’ (multiple statements neutral or applying at least sometimes).</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Safety / community in local area</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the local area (parent </w:t>
            </w:r>
            <w:proofErr w:type="spellStart"/>
            <w:r>
              <w:t>LASafeWk</w:t>
            </w:r>
            <w:proofErr w:type="spellEnd"/>
            <w:r>
              <w:t xml:space="preserve">, </w:t>
            </w:r>
            <w:proofErr w:type="spellStart"/>
            <w:r>
              <w:t>LASafePy</w:t>
            </w:r>
            <w:proofErr w:type="spellEnd"/>
            <w:r>
              <w:t xml:space="preserve">, </w:t>
            </w:r>
            <w:proofErr w:type="spellStart"/>
            <w:r>
              <w:t>LASafeSp</w:t>
            </w:r>
            <w:proofErr w:type="spellEnd"/>
            <w:r>
              <w:t xml:space="preserve">, </w:t>
            </w:r>
            <w:proofErr w:type="spellStart"/>
            <w:r>
              <w:t>LAComm</w:t>
            </w:r>
            <w:proofErr w:type="spellEnd"/>
            <w:r>
              <w:t xml:space="preserve">, </w:t>
            </w:r>
            <w:proofErr w:type="spellStart"/>
            <w:r>
              <w:t>LANeig</w:t>
            </w:r>
            <w:proofErr w:type="spellEnd"/>
            <w:r>
              <w:t>)</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Five statements about the local area on a five-point scale from ‘Strongly agree’ to ‘Strongly disagree’. Responses were summed to form a scale 5-25, with lower scores indicating more positive feelings about the neighbourhood. Scores of 5-9 were described as ‘high’ (positive feelings about the neighbourhood) (equating to agreeing to each of the statements that the area is safe and the family is part of the community). Scores of 10-13 were described as ‘medium’ and 14-25 ‘low’.</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lastRenderedPageBreak/>
              <w:t>Quality of parent relationship</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the quality of the relationship (parent </w:t>
            </w:r>
            <w:proofErr w:type="spellStart"/>
            <w:r>
              <w:t>ParNeeds</w:t>
            </w:r>
            <w:proofErr w:type="spellEnd"/>
            <w:r>
              <w:t xml:space="preserve">, </w:t>
            </w:r>
            <w:proofErr w:type="spellStart"/>
            <w:r>
              <w:t>ParListen</w:t>
            </w:r>
            <w:proofErr w:type="spellEnd"/>
            <w:r>
              <w:t xml:space="preserve">, </w:t>
            </w:r>
            <w:proofErr w:type="spellStart"/>
            <w:r>
              <w:t>ParLonely</w:t>
            </w:r>
            <w:proofErr w:type="spellEnd"/>
            <w:r>
              <w:t xml:space="preserve">, </w:t>
            </w:r>
            <w:proofErr w:type="spellStart"/>
            <w:r>
              <w:t>ParArgue</w:t>
            </w:r>
            <w:proofErr w:type="spellEnd"/>
            <w:r>
              <w:t>)</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Four statements about the relationship with their partner (reversed as appropriate). Responses were summed to form a scale 4-20, with higher scores indicating more positive relationship. Scores of 18-20 were described as ‘high’ (positive), indicating respondent generally agreed partner listened, was sensitive about their needs, they rarely argued and respondent wasn’t lonely. Scores of 15-17 were described as ‘medium’ and 4-14 ‘low’.</w:t>
            </w:r>
          </w:p>
        </w:tc>
      </w:tr>
      <w:tr w:rsidR="00F63F29" w:rsidTr="00B822EA">
        <w:tc>
          <w:tcPr>
            <w:tcW w:w="1668"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Concerns about development</w:t>
            </w:r>
          </w:p>
        </w:tc>
        <w:tc>
          <w:tcPr>
            <w:tcW w:w="1842"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 xml:space="preserve">Derived from questions about concerns about child development or communication (parent </w:t>
            </w:r>
            <w:proofErr w:type="spellStart"/>
            <w:r>
              <w:t>ChDevL</w:t>
            </w:r>
            <w:proofErr w:type="spellEnd"/>
            <w:r>
              <w:t xml:space="preserve">, </w:t>
            </w:r>
            <w:proofErr w:type="spellStart"/>
            <w:r>
              <w:t>ChComm</w:t>
            </w:r>
            <w:proofErr w:type="spellEnd"/>
            <w:r>
              <w:t>)</w:t>
            </w:r>
          </w:p>
        </w:tc>
        <w:tc>
          <w:tcPr>
            <w:tcW w:w="5211" w:type="dxa"/>
            <w:tcBorders>
              <w:top w:val="single" w:sz="4" w:space="0" w:color="auto"/>
              <w:left w:val="single" w:sz="4" w:space="0" w:color="auto"/>
              <w:bottom w:val="single" w:sz="4" w:space="0" w:color="auto"/>
              <w:right w:val="single" w:sz="4" w:space="0" w:color="auto"/>
            </w:tcBorders>
            <w:hideMark/>
          </w:tcPr>
          <w:p w:rsidR="00F63F29" w:rsidRDefault="00F63F29" w:rsidP="00B822EA">
            <w:pPr>
              <w:spacing w:before="240"/>
            </w:pPr>
            <w:r>
              <w:t>If respondent said they had some or a lot of concerns about either the child’s development, learning or behaviour, or about how they communicate or understand, this was recorded as having some concerns about development.</w:t>
            </w:r>
          </w:p>
        </w:tc>
      </w:tr>
    </w:tbl>
    <w:p w:rsidR="00F63F29" w:rsidRDefault="00F63F29" w:rsidP="00F63F29">
      <w:pPr>
        <w:spacing w:after="0" w:line="240" w:lineRule="auto"/>
      </w:pPr>
    </w:p>
    <w:p w:rsidR="00F63F29" w:rsidRDefault="00F63F29" w:rsidP="00F63F29">
      <w:pPr>
        <w:spacing w:after="0" w:line="240" w:lineRule="auto"/>
      </w:pPr>
    </w:p>
    <w:p w:rsidR="00F63F29" w:rsidRDefault="00F63F29" w:rsidP="00F63F29">
      <w:pPr>
        <w:spacing w:after="0" w:line="240" w:lineRule="auto"/>
      </w:pPr>
      <w:r>
        <w:t>The following conventions have been used for both tables within the text and as part of the annex:</w:t>
      </w:r>
    </w:p>
    <w:p w:rsidR="00F63F29" w:rsidRDefault="00F63F29" w:rsidP="00F63F29">
      <w:pPr>
        <w:spacing w:after="0"/>
      </w:pPr>
    </w:p>
    <w:tbl>
      <w:tblPr>
        <w:tblStyle w:val="TableGrid"/>
        <w:tblW w:w="0" w:type="auto"/>
        <w:tblInd w:w="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1"/>
        <w:gridCol w:w="5306"/>
      </w:tblGrid>
      <w:tr w:rsidR="00F63F29" w:rsidTr="00B822EA">
        <w:tc>
          <w:tcPr>
            <w:tcW w:w="2126" w:type="dxa"/>
            <w:hideMark/>
          </w:tcPr>
          <w:p w:rsidR="00F63F29" w:rsidRDefault="00F63F29" w:rsidP="00B822EA">
            <w:pPr>
              <w:spacing w:after="0"/>
            </w:pPr>
            <w:r>
              <w:t>Unweighted bases</w:t>
            </w:r>
          </w:p>
        </w:tc>
        <w:tc>
          <w:tcPr>
            <w:tcW w:w="5919" w:type="dxa"/>
            <w:hideMark/>
          </w:tcPr>
          <w:p w:rsidR="00F63F29" w:rsidRDefault="00F63F29" w:rsidP="00B822EA">
            <w:pPr>
              <w:spacing w:after="0"/>
            </w:pPr>
            <w:r>
              <w:t>The number of respondents providing a valid response</w:t>
            </w:r>
          </w:p>
        </w:tc>
      </w:tr>
      <w:tr w:rsidR="00F63F29" w:rsidTr="00B822EA">
        <w:tc>
          <w:tcPr>
            <w:tcW w:w="2126" w:type="dxa"/>
            <w:hideMark/>
          </w:tcPr>
          <w:p w:rsidR="00F63F29" w:rsidRDefault="00F63F29" w:rsidP="00B822EA">
            <w:pPr>
              <w:spacing w:after="0"/>
            </w:pPr>
            <w:r>
              <w:t>Weighted bases</w:t>
            </w:r>
          </w:p>
        </w:tc>
        <w:tc>
          <w:tcPr>
            <w:tcW w:w="5919" w:type="dxa"/>
            <w:hideMark/>
          </w:tcPr>
          <w:p w:rsidR="00F63F29" w:rsidRDefault="00F63F29" w:rsidP="00B822EA">
            <w:pPr>
              <w:spacing w:after="0"/>
            </w:pPr>
            <w:r>
              <w:t xml:space="preserve">The number of respondents providing a valid response after weighting applied (see </w:t>
            </w:r>
            <w:r>
              <w:rPr>
                <w:rFonts w:cs="Arial"/>
              </w:rPr>
              <w:t>Technical Report</w:t>
            </w:r>
            <w:r>
              <w:t>)</w:t>
            </w:r>
          </w:p>
        </w:tc>
      </w:tr>
      <w:tr w:rsidR="00F63F29" w:rsidTr="00B822EA">
        <w:tc>
          <w:tcPr>
            <w:tcW w:w="2126" w:type="dxa"/>
            <w:hideMark/>
          </w:tcPr>
          <w:p w:rsidR="00F63F29" w:rsidRDefault="00F63F29" w:rsidP="00B822EA">
            <w:pPr>
              <w:spacing w:after="0"/>
            </w:pPr>
            <w:r>
              <w:t>*</w:t>
            </w:r>
          </w:p>
        </w:tc>
        <w:tc>
          <w:tcPr>
            <w:tcW w:w="5919" w:type="dxa"/>
            <w:hideMark/>
          </w:tcPr>
          <w:p w:rsidR="00F63F29" w:rsidRDefault="00F63F29" w:rsidP="00B822EA">
            <w:pPr>
              <w:spacing w:after="0"/>
            </w:pPr>
            <w:r>
              <w:t>Data omitted because based on &lt; 20 responses</w:t>
            </w:r>
          </w:p>
        </w:tc>
      </w:tr>
      <w:tr w:rsidR="00F63F29" w:rsidTr="00B822EA">
        <w:tc>
          <w:tcPr>
            <w:tcW w:w="2126" w:type="dxa"/>
            <w:hideMark/>
          </w:tcPr>
          <w:p w:rsidR="00F63F29" w:rsidRDefault="00F63F29" w:rsidP="00B822EA">
            <w:pPr>
              <w:spacing w:after="0"/>
            </w:pPr>
            <w:r>
              <w:t>0</w:t>
            </w:r>
          </w:p>
        </w:tc>
        <w:tc>
          <w:tcPr>
            <w:tcW w:w="5919" w:type="dxa"/>
            <w:hideMark/>
          </w:tcPr>
          <w:p w:rsidR="00F63F29" w:rsidRDefault="00F63F29" w:rsidP="00B822EA">
            <w:pPr>
              <w:spacing w:after="0"/>
            </w:pPr>
            <w:r>
              <w:t>&lt; 0.5, but &gt; 0</w:t>
            </w:r>
          </w:p>
        </w:tc>
      </w:tr>
      <w:tr w:rsidR="00F63F29" w:rsidTr="00B822EA">
        <w:tc>
          <w:tcPr>
            <w:tcW w:w="2126" w:type="dxa"/>
            <w:hideMark/>
          </w:tcPr>
          <w:p w:rsidR="00F63F29" w:rsidRDefault="00F63F29" w:rsidP="00B822EA">
            <w:pPr>
              <w:spacing w:after="0"/>
            </w:pPr>
            <w:r>
              <w:t>-</w:t>
            </w:r>
          </w:p>
        </w:tc>
        <w:tc>
          <w:tcPr>
            <w:tcW w:w="5919" w:type="dxa"/>
            <w:hideMark/>
          </w:tcPr>
          <w:p w:rsidR="00F63F29" w:rsidRDefault="00F63F29" w:rsidP="00B822EA">
            <w:pPr>
              <w:spacing w:after="0"/>
            </w:pPr>
            <w:r>
              <w:t>None at all</w:t>
            </w:r>
          </w:p>
        </w:tc>
      </w:tr>
      <w:tr w:rsidR="00F63F29" w:rsidTr="00B822EA">
        <w:tc>
          <w:tcPr>
            <w:tcW w:w="2126" w:type="dxa"/>
            <w:hideMark/>
          </w:tcPr>
          <w:p w:rsidR="00F63F29" w:rsidRDefault="00F63F29" w:rsidP="00B822EA">
            <w:pPr>
              <w:spacing w:after="0"/>
            </w:pPr>
            <w:r>
              <w:t>Row percentages</w:t>
            </w:r>
          </w:p>
        </w:tc>
        <w:tc>
          <w:tcPr>
            <w:tcW w:w="5919" w:type="dxa"/>
            <w:hideMark/>
          </w:tcPr>
          <w:p w:rsidR="00F63F29" w:rsidRDefault="00F63F29" w:rsidP="00B822EA">
            <w:pPr>
              <w:spacing w:after="0"/>
            </w:pPr>
            <w:r>
              <w:t>Percentage of the row base (should add up to 100% unless more than one variable is shown in the same table)</w:t>
            </w:r>
          </w:p>
        </w:tc>
      </w:tr>
      <w:tr w:rsidR="00F63F29" w:rsidTr="00B822EA">
        <w:tc>
          <w:tcPr>
            <w:tcW w:w="2126" w:type="dxa"/>
            <w:hideMark/>
          </w:tcPr>
          <w:p w:rsidR="00F63F29" w:rsidRDefault="00F63F29" w:rsidP="00B822EA">
            <w:pPr>
              <w:spacing w:after="0"/>
            </w:pPr>
            <w:r>
              <w:t>Column percentages</w:t>
            </w:r>
          </w:p>
        </w:tc>
        <w:tc>
          <w:tcPr>
            <w:tcW w:w="5919" w:type="dxa"/>
            <w:hideMark/>
          </w:tcPr>
          <w:p w:rsidR="00F63F29" w:rsidRDefault="00F63F29" w:rsidP="00B822EA">
            <w:pPr>
              <w:spacing w:after="0"/>
            </w:pPr>
            <w:r>
              <w:t>Percentage of the column base (should add up to 100% unless more than one variable is shown in the same table)</w:t>
            </w:r>
          </w:p>
        </w:tc>
      </w:tr>
    </w:tbl>
    <w:p w:rsidR="00F63F29" w:rsidRDefault="00F63F29" w:rsidP="00F63F29">
      <w:pPr>
        <w:spacing w:after="0"/>
      </w:pPr>
    </w:p>
    <w:p w:rsidR="00F63F29" w:rsidRDefault="00F63F29" w:rsidP="00F63F29">
      <w:pPr>
        <w:spacing w:after="0"/>
      </w:pPr>
      <w:r>
        <w:t xml:space="preserve">All tables included within the text show significant differences only, unless otherwise indicated. </w:t>
      </w:r>
    </w:p>
    <w:p w:rsidR="00F63F29" w:rsidRPr="007462C5" w:rsidRDefault="00F63F29" w:rsidP="00F63F29">
      <w:pPr>
        <w:pStyle w:val="BodyCopy"/>
        <w:spacing w:before="240" w:after="200" w:line="276" w:lineRule="auto"/>
        <w:rPr>
          <w:rFonts w:asciiTheme="minorHAnsi" w:hAnsiTheme="minorHAnsi" w:cstheme="minorHAnsi"/>
          <w:szCs w:val="22"/>
        </w:rPr>
      </w:pPr>
    </w:p>
    <w:p w:rsidR="006E3E45" w:rsidRDefault="006E3E45">
      <w:pPr>
        <w:spacing w:after="0" w:line="240" w:lineRule="auto"/>
        <w:rPr>
          <w:rFonts w:ascii="Arial" w:eastAsia="Times New Roman" w:hAnsi="Arial" w:cs="Times New Roman"/>
          <w:color w:val="000000"/>
          <w:sz w:val="32"/>
          <w:szCs w:val="20"/>
          <w:lang w:eastAsia="en-GB"/>
        </w:rPr>
      </w:pPr>
      <w:r>
        <w:br w:type="page"/>
      </w:r>
    </w:p>
    <w:p w:rsidR="00091FCA" w:rsidRDefault="00091FCA" w:rsidP="00022E87">
      <w:pPr>
        <w:pStyle w:val="Heading3"/>
        <w:numPr>
          <w:ilvl w:val="0"/>
          <w:numId w:val="0"/>
        </w:numPr>
        <w:ind w:left="851" w:hanging="851"/>
      </w:pPr>
      <w:bookmarkStart w:id="247" w:name="_Toc494182136"/>
      <w:r>
        <w:lastRenderedPageBreak/>
        <w:t>End notes</w:t>
      </w:r>
      <w:bookmarkEnd w:id="247"/>
    </w:p>
    <w:p w:rsidR="00AE7281" w:rsidRDefault="00AE7281" w:rsidP="00581036">
      <w:pPr>
        <w:pStyle w:val="BodyCopy"/>
      </w:pPr>
    </w:p>
    <w:sectPr w:rsidR="00AE7281" w:rsidSect="00D42309">
      <w:headerReference w:type="even" r:id="rId70"/>
      <w:headerReference w:type="default" r:id="rId71"/>
      <w:footerReference w:type="even" r:id="rId72"/>
      <w:footerReference w:type="default" r:id="rId73"/>
      <w:footnotePr>
        <w:pos w:val="beneathText"/>
      </w:footnotePr>
      <w:endnotePr>
        <w:numFmt w:val="decimal"/>
      </w:endnotePr>
      <w:pgSz w:w="11907" w:h="16840" w:code="9"/>
      <w:pgMar w:top="1134" w:right="2409" w:bottom="1134" w:left="1701" w:header="284" w:footer="284" w:gutter="0"/>
      <w:pgNumType w:start="1"/>
      <w:cols w:space="3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5D9" w:rsidRDefault="005B25D9" w:rsidP="00541FE7">
      <w:pPr>
        <w:spacing w:after="0" w:line="240" w:lineRule="auto"/>
      </w:pPr>
      <w:r>
        <w:separator/>
      </w:r>
    </w:p>
  </w:endnote>
  <w:endnote w:type="continuationSeparator" w:id="0">
    <w:p w:rsidR="005B25D9" w:rsidRDefault="005B25D9" w:rsidP="00541FE7">
      <w:pPr>
        <w:spacing w:after="0" w:line="240" w:lineRule="auto"/>
      </w:pPr>
      <w:r>
        <w:continuationSeparator/>
      </w:r>
    </w:p>
    <w:p w:rsidR="005B25D9" w:rsidRDefault="005B25D9"/>
    <w:p w:rsidR="005B25D9" w:rsidRDefault="005B25D9"/>
  </w:endnote>
  <w:endnote w:id="1">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Because of the different survey methodologies, these figures are not directly comparable. In the Scottish Health Survey, responses were provided by parents for children aged 12, and by the children themselves, in the presence of their parents for children aged 13 to 15. In the SALSUS boost, children entered responses directly into a computer. Much of the difference between the two figures is likely to be a result of the different methodologies. Scottish Health Survey figures are available from </w:t>
      </w:r>
      <w:hyperlink r:id="rId1" w:history="1">
        <w:r w:rsidRPr="00A56CC1">
          <w:rPr>
            <w:rStyle w:val="Hyperlink"/>
            <w:rFonts w:cstheme="minorHAnsi"/>
          </w:rPr>
          <w:t>http://www.gov.scot/Topics/Statistics/Browse/Health/scottish-health-survey/Publications/Supplementary2015</w:t>
        </w:r>
      </w:hyperlink>
    </w:p>
    <w:p w:rsidR="005B25D9" w:rsidRPr="00A56CC1" w:rsidRDefault="005B25D9" w:rsidP="00C73B66">
      <w:pPr>
        <w:pStyle w:val="EndnoteText"/>
        <w:rPr>
          <w:rFonts w:cstheme="minorHAnsi"/>
        </w:rPr>
      </w:pPr>
    </w:p>
  </w:endnote>
  <w:endnote w:id="2">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Scott J and Hill M (2006). </w:t>
      </w:r>
      <w:r w:rsidRPr="00A56CC1">
        <w:rPr>
          <w:rFonts w:cstheme="minorHAnsi"/>
          <w:i/>
        </w:rPr>
        <w:t>The health of looked after and accommodated children and young people in Scotland. Messages from research.</w:t>
      </w:r>
      <w:r w:rsidRPr="00A56CC1">
        <w:rPr>
          <w:rFonts w:cstheme="minorHAnsi"/>
        </w:rPr>
        <w:t xml:space="preserve"> Social Work Inspection Agency. </w:t>
      </w:r>
      <w:hyperlink r:id="rId2" w:history="1">
        <w:r w:rsidRPr="00A56CC1">
          <w:rPr>
            <w:rStyle w:val="Hyperlink"/>
            <w:rFonts w:cstheme="minorHAnsi"/>
          </w:rPr>
          <w:t>http://www.gov.scot/Resource/Doc/128931/0030711.pdf</w:t>
        </w:r>
      </w:hyperlink>
    </w:p>
    <w:p w:rsidR="005B25D9" w:rsidRPr="00A56CC1" w:rsidRDefault="005B25D9" w:rsidP="00C73B66">
      <w:pPr>
        <w:pStyle w:val="EndnoteText"/>
        <w:rPr>
          <w:rFonts w:cstheme="minorHAnsi"/>
        </w:rPr>
      </w:pPr>
    </w:p>
  </w:endnote>
  <w:endnote w:id="3">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w:t>
      </w:r>
      <w:hyperlink r:id="rId3" w:history="1">
        <w:r w:rsidRPr="00A56CC1">
          <w:rPr>
            <w:rStyle w:val="Hyperlink"/>
            <w:rFonts w:cstheme="minorHAnsi"/>
          </w:rPr>
          <w:t>https://www.gov.uk/government/publications/uk-physical-activity-guidelines</w:t>
        </w:r>
      </w:hyperlink>
    </w:p>
    <w:p w:rsidR="005B25D9" w:rsidRPr="00A56CC1" w:rsidRDefault="005B25D9" w:rsidP="00C73B66">
      <w:pPr>
        <w:pStyle w:val="EndnoteText"/>
        <w:rPr>
          <w:rFonts w:cstheme="minorHAnsi"/>
        </w:rPr>
      </w:pPr>
    </w:p>
  </w:endnote>
  <w:endnote w:id="4">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Goodman R (1997). The Strengths and Difficulties Questionnaire: A Research Note. Journal of Child Psychology and Psychiatry; 38, 581-586.</w:t>
      </w:r>
    </w:p>
    <w:p w:rsidR="005B25D9" w:rsidRPr="00A56CC1" w:rsidRDefault="005B25D9" w:rsidP="00C73B66">
      <w:pPr>
        <w:pStyle w:val="EndnoteText"/>
        <w:rPr>
          <w:rFonts w:cstheme="minorHAnsi"/>
        </w:rPr>
      </w:pPr>
    </w:p>
  </w:endnote>
  <w:endnote w:id="5">
    <w:p w:rsidR="005B25D9" w:rsidRDefault="005B25D9" w:rsidP="00C73B66">
      <w:pPr>
        <w:pStyle w:val="EndnoteText"/>
      </w:pPr>
      <w:r>
        <w:rPr>
          <w:rStyle w:val="EndnoteReference"/>
        </w:rPr>
        <w:endnoteRef/>
      </w:r>
      <w:r>
        <w:t xml:space="preserve"> </w:t>
      </w:r>
      <w:hyperlink r:id="rId4" w:history="1">
        <w:r w:rsidRPr="00C7691D">
          <w:rPr>
            <w:rStyle w:val="Hyperlink"/>
          </w:rPr>
          <w:t>http://www.childrenssociety.org.uk/what-we-do/research/the-good-childhood-report</w:t>
        </w:r>
      </w:hyperlink>
    </w:p>
    <w:p w:rsidR="005B25D9" w:rsidRDefault="005B25D9" w:rsidP="00C73B66">
      <w:pPr>
        <w:pStyle w:val="EndnoteText"/>
      </w:pPr>
    </w:p>
  </w:endnote>
  <w:endnote w:id="6">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w:t>
      </w:r>
      <w:hyperlink r:id="rId5" w:history="1">
        <w:r w:rsidRPr="00A56CC1">
          <w:rPr>
            <w:rStyle w:val="Hyperlink"/>
            <w:rFonts w:cstheme="minorHAnsi"/>
          </w:rPr>
          <w:t>http://www.gov.scot/Publications/2016/10/8742</w:t>
        </w:r>
      </w:hyperlink>
    </w:p>
    <w:p w:rsidR="005B25D9" w:rsidRPr="00A56CC1" w:rsidRDefault="005B25D9" w:rsidP="00C73B66">
      <w:pPr>
        <w:pStyle w:val="EndnoteText"/>
        <w:rPr>
          <w:rFonts w:cstheme="minorHAnsi"/>
        </w:rPr>
      </w:pPr>
    </w:p>
  </w:endnote>
  <w:endnote w:id="7">
    <w:p w:rsidR="005B25D9" w:rsidRDefault="005B25D9" w:rsidP="00C73B66">
      <w:pPr>
        <w:pStyle w:val="EndnoteText"/>
      </w:pPr>
      <w:r>
        <w:rPr>
          <w:rStyle w:val="EndnoteReference"/>
        </w:rPr>
        <w:endnoteRef/>
      </w:r>
      <w:r>
        <w:t xml:space="preserve"> </w:t>
      </w:r>
      <w:hyperlink r:id="rId6" w:history="1">
        <w:r w:rsidRPr="00C7691D">
          <w:rPr>
            <w:rStyle w:val="Hyperlink"/>
          </w:rPr>
          <w:t>http://www.rightoutside.org/</w:t>
        </w:r>
      </w:hyperlink>
    </w:p>
    <w:p w:rsidR="005B25D9" w:rsidRDefault="005B25D9" w:rsidP="00C73B66">
      <w:pPr>
        <w:pStyle w:val="EndnoteText"/>
      </w:pPr>
    </w:p>
  </w:endnote>
  <w:endnote w:id="8">
    <w:p w:rsidR="005B25D9" w:rsidRDefault="005B25D9" w:rsidP="00C73B66">
      <w:pPr>
        <w:pStyle w:val="EndnoteText"/>
      </w:pPr>
      <w:r>
        <w:rPr>
          <w:rStyle w:val="EndnoteReference"/>
        </w:rPr>
        <w:endnoteRef/>
      </w:r>
      <w:r>
        <w:t xml:space="preserve"> </w:t>
      </w:r>
      <w:hyperlink r:id="rId7" w:history="1">
        <w:r w:rsidRPr="00C7691D">
          <w:rPr>
            <w:rStyle w:val="Hyperlink"/>
          </w:rPr>
          <w:t>http://www.gov.scot/Publications/2016/09/2764/332571</w:t>
        </w:r>
      </w:hyperlink>
    </w:p>
    <w:p w:rsidR="005B25D9" w:rsidRDefault="005B25D9" w:rsidP="00C73B66">
      <w:pPr>
        <w:pStyle w:val="EndnoteText"/>
      </w:pPr>
    </w:p>
  </w:endnote>
  <w:endnote w:id="9">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w:t>
      </w:r>
      <w:hyperlink r:id="rId8" w:history="1">
        <w:r w:rsidRPr="00A56CC1">
          <w:rPr>
            <w:rStyle w:val="Hyperlink"/>
            <w:rFonts w:cstheme="minorHAnsi"/>
          </w:rPr>
          <w:t>http://www.gov.scot/Publications/2016/10/3937</w:t>
        </w:r>
      </w:hyperlink>
    </w:p>
    <w:p w:rsidR="005B25D9" w:rsidRPr="00A56CC1" w:rsidRDefault="005B25D9" w:rsidP="00C73B66">
      <w:pPr>
        <w:pStyle w:val="EndnoteText"/>
        <w:rPr>
          <w:rFonts w:cstheme="minorHAnsi"/>
        </w:rPr>
      </w:pPr>
    </w:p>
  </w:endnote>
  <w:endnote w:id="10">
    <w:p w:rsidR="005B25D9" w:rsidRPr="00A56CC1" w:rsidRDefault="005B25D9" w:rsidP="00C73B66">
      <w:pPr>
        <w:pStyle w:val="EndnoteText"/>
        <w:rPr>
          <w:rFonts w:cstheme="minorHAnsi"/>
        </w:rPr>
      </w:pPr>
      <w:r w:rsidRPr="00A56CC1">
        <w:rPr>
          <w:rStyle w:val="EndnoteReference"/>
          <w:rFonts w:cstheme="minorHAnsi"/>
        </w:rPr>
        <w:endnoteRef/>
      </w:r>
      <w:r w:rsidRPr="00A56CC1">
        <w:rPr>
          <w:rFonts w:cstheme="minorHAnsi"/>
        </w:rPr>
        <w:t xml:space="preserve"> </w:t>
      </w:r>
      <w:hyperlink r:id="rId9" w:history="1">
        <w:r w:rsidRPr="00A56CC1">
          <w:rPr>
            <w:rStyle w:val="Hyperlink"/>
            <w:rFonts w:cstheme="minorHAnsi"/>
          </w:rPr>
          <w:t>http://www.gov.scot/Publications/2016/10/5514</w:t>
        </w:r>
      </w:hyperlink>
    </w:p>
    <w:p w:rsidR="005B25D9" w:rsidRPr="00A56CC1" w:rsidRDefault="005B25D9" w:rsidP="00C73B66">
      <w:pPr>
        <w:pStyle w:val="EndnoteText"/>
        <w:rPr>
          <w:rFonts w:cstheme="minorHAnsi"/>
        </w:rPr>
      </w:pPr>
    </w:p>
  </w:endnote>
  <w:endnote w:id="11">
    <w:p w:rsidR="005B25D9" w:rsidRDefault="005B25D9" w:rsidP="00691F79">
      <w:pPr>
        <w:pStyle w:val="EndnoteText"/>
      </w:pPr>
      <w:r>
        <w:rPr>
          <w:rStyle w:val="EndnoteReference"/>
        </w:rPr>
        <w:endnoteRef/>
      </w:r>
      <w:r>
        <w:t xml:space="preserve"> </w:t>
      </w:r>
      <w:hyperlink r:id="rId10" w:history="1">
        <w:r w:rsidRPr="00532770">
          <w:rPr>
            <w:rStyle w:val="Hyperlink"/>
          </w:rPr>
          <w:t>http://www.gov.scot/Resource/Doc/350041/0117150.pdf</w:t>
        </w:r>
      </w:hyperlink>
    </w:p>
    <w:p w:rsidR="005B25D9" w:rsidRDefault="005B25D9" w:rsidP="00691F79">
      <w:pPr>
        <w:pStyle w:val="EndnoteText"/>
      </w:pPr>
    </w:p>
  </w:endnote>
  <w:endnote w:id="12">
    <w:p w:rsidR="005B25D9" w:rsidRDefault="005B25D9" w:rsidP="00691F79">
      <w:pPr>
        <w:pStyle w:val="EndnoteText"/>
      </w:pPr>
      <w:r>
        <w:rPr>
          <w:rStyle w:val="EndnoteReference"/>
        </w:rPr>
        <w:endnoteRef/>
      </w:r>
      <w:r>
        <w:t xml:space="preserve"> </w:t>
      </w:r>
      <w:r w:rsidRPr="00113096">
        <w:t xml:space="preserve">Eisenberg, M.E., Olson, </w:t>
      </w:r>
      <w:proofErr w:type="spellStart"/>
      <w:r w:rsidRPr="00113096">
        <w:t>R.E</w:t>
      </w:r>
      <w:proofErr w:type="spellEnd"/>
      <w:r w:rsidRPr="00113096">
        <w:t xml:space="preserve">., </w:t>
      </w:r>
      <w:proofErr w:type="spellStart"/>
      <w:r w:rsidRPr="00113096">
        <w:t>Neumark-Sztainer</w:t>
      </w:r>
      <w:proofErr w:type="spellEnd"/>
      <w:r w:rsidRPr="00113096">
        <w:t xml:space="preserve">, D., Story, M., &amp; </w:t>
      </w:r>
      <w:proofErr w:type="spellStart"/>
      <w:r w:rsidRPr="00113096">
        <w:t>Bearinger</w:t>
      </w:r>
      <w:proofErr w:type="spellEnd"/>
      <w:r w:rsidRPr="00113096">
        <w:t xml:space="preserve">, </w:t>
      </w:r>
      <w:proofErr w:type="spellStart"/>
      <w:r w:rsidRPr="00113096">
        <w:t>L.H</w:t>
      </w:r>
      <w:proofErr w:type="spellEnd"/>
      <w:r w:rsidRPr="00113096">
        <w:t xml:space="preserve">. (2004). Correlations between family meals and psychosocial well-being among adolescents. Archives of </w:t>
      </w:r>
      <w:proofErr w:type="spellStart"/>
      <w:r w:rsidRPr="00113096">
        <w:t>Pediatrics</w:t>
      </w:r>
      <w:proofErr w:type="spellEnd"/>
      <w:r w:rsidRPr="00113096">
        <w:t xml:space="preserve"> and Adolescent Medicine, 158: 792-796.</w:t>
      </w:r>
    </w:p>
    <w:p w:rsidR="005B25D9" w:rsidRDefault="005B25D9" w:rsidP="00691F79">
      <w:pPr>
        <w:pStyle w:val="EndnoteText"/>
      </w:pPr>
    </w:p>
  </w:endnote>
  <w:endnote w:id="13">
    <w:p w:rsidR="005B25D9" w:rsidRDefault="005B25D9" w:rsidP="00C73B66">
      <w:pPr>
        <w:pStyle w:val="EndnoteText"/>
      </w:pPr>
      <w:r>
        <w:rPr>
          <w:rStyle w:val="EndnoteReference"/>
        </w:rPr>
        <w:endnoteRef/>
      </w:r>
      <w:r>
        <w:t xml:space="preserve"> </w:t>
      </w:r>
      <w:hyperlink r:id="rId11" w:history="1">
        <w:r w:rsidRPr="00C7691D">
          <w:rPr>
            <w:rStyle w:val="Hyperlink"/>
          </w:rPr>
          <w:t>http://www.gov.scot/Publications/2010/11/12120420/0</w:t>
        </w:r>
      </w:hyperlink>
    </w:p>
    <w:p w:rsidR="005B25D9" w:rsidRDefault="005B25D9" w:rsidP="00C73B66">
      <w:pPr>
        <w:pStyle w:val="EndnoteText"/>
      </w:pPr>
    </w:p>
  </w:endnote>
  <w:endnote w:id="14">
    <w:p w:rsidR="005B25D9" w:rsidRDefault="005B25D9" w:rsidP="00D347FA">
      <w:pPr>
        <w:pStyle w:val="EndnoteText"/>
      </w:pPr>
      <w:r>
        <w:rPr>
          <w:rStyle w:val="EndnoteReference"/>
        </w:rPr>
        <w:endnoteRef/>
      </w:r>
      <w:r>
        <w:t xml:space="preserve"> </w:t>
      </w:r>
      <w:hyperlink r:id="rId12" w:history="1">
        <w:r w:rsidRPr="008E501E">
          <w:rPr>
            <w:rStyle w:val="Hyperlink"/>
          </w:rPr>
          <w:t>https://www.gov.uk/government/publications/uk-physical-activity-guidelines</w:t>
        </w:r>
      </w:hyperlink>
    </w:p>
    <w:p w:rsidR="005B25D9" w:rsidRDefault="005B25D9" w:rsidP="00D347FA">
      <w:pPr>
        <w:pStyle w:val="EndnoteText"/>
      </w:pPr>
    </w:p>
  </w:endnote>
  <w:endnote w:id="15">
    <w:p w:rsidR="005B25D9" w:rsidRPr="001F0E02" w:rsidRDefault="005B25D9" w:rsidP="00D347FA">
      <w:pPr>
        <w:pStyle w:val="Default"/>
        <w:rPr>
          <w:sz w:val="22"/>
          <w:szCs w:val="22"/>
        </w:rPr>
      </w:pPr>
      <w:r>
        <w:rPr>
          <w:rStyle w:val="EndnoteReference"/>
        </w:rPr>
        <w:endnoteRef/>
      </w:r>
      <w:r>
        <w:t xml:space="preserve"> </w:t>
      </w:r>
      <w:r w:rsidRPr="00C26326">
        <w:rPr>
          <w:sz w:val="20"/>
          <w:szCs w:val="20"/>
        </w:rPr>
        <w:t xml:space="preserve">Children were provided with the following explanation before being asked how often they spend time doing active things: </w:t>
      </w:r>
      <w:r>
        <w:rPr>
          <w:sz w:val="20"/>
          <w:szCs w:val="20"/>
        </w:rPr>
        <w:t>‘</w:t>
      </w:r>
      <w:r w:rsidRPr="00C26326">
        <w:rPr>
          <w:sz w:val="20"/>
          <w:szCs w:val="20"/>
        </w:rPr>
        <w:t>The next question is about being active. Being active is anything that moves your body, makes your heart beat faster and makes you get out of breath some of the time. You are active when you play in sports, take part in school activities, play with friends or walk to school. Some examples are running, walking quickly, cycling, dancing, skateboarding, swimming, football and gymnastics.</w:t>
      </w:r>
      <w:r>
        <w:rPr>
          <w:sz w:val="20"/>
          <w:szCs w:val="20"/>
        </w:rPr>
        <w:t>’</w:t>
      </w:r>
    </w:p>
    <w:p w:rsidR="005B25D9" w:rsidRDefault="005B25D9" w:rsidP="00D347FA">
      <w:pPr>
        <w:pStyle w:val="EndnoteText"/>
      </w:pPr>
    </w:p>
  </w:endnote>
  <w:endnote w:id="16">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3" w:history="1">
        <w:r w:rsidRPr="00A56CC1">
          <w:rPr>
            <w:rStyle w:val="Hyperlink"/>
            <w:rFonts w:cstheme="minorHAnsi"/>
          </w:rPr>
          <w:t>http://www.gov.scot/Publications/2013/12/1101/0</w:t>
        </w:r>
      </w:hyperlink>
    </w:p>
    <w:p w:rsidR="005B25D9" w:rsidRPr="00A56CC1" w:rsidRDefault="005B25D9" w:rsidP="00D347FA">
      <w:pPr>
        <w:pStyle w:val="EndnoteText"/>
        <w:rPr>
          <w:rFonts w:cstheme="minorHAnsi"/>
        </w:rPr>
      </w:pPr>
    </w:p>
  </w:endnote>
  <w:endnote w:id="17">
    <w:p w:rsidR="005B25D9" w:rsidRDefault="005B25D9" w:rsidP="00D347FA">
      <w:pPr>
        <w:pStyle w:val="EndnoteText"/>
      </w:pPr>
      <w:r>
        <w:rPr>
          <w:rStyle w:val="EndnoteReference"/>
        </w:rPr>
        <w:endnoteRef/>
      </w:r>
      <w:r>
        <w:t xml:space="preserve"> </w:t>
      </w:r>
      <w:r w:rsidRPr="00337301">
        <w:t>https://www.ncbi.nlm.nih.gov/pmc/articles/PMC4355135/</w:t>
      </w:r>
    </w:p>
  </w:endnote>
  <w:endnote w:id="18">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4" w:history="1">
        <w:r w:rsidRPr="00A56CC1">
          <w:rPr>
            <w:rStyle w:val="Hyperlink"/>
            <w:rFonts w:cstheme="minorHAnsi"/>
          </w:rPr>
          <w:t>http://www.gov.scot/Topics/Statistics/Browse/Health/scottish-health-survey/Publications/Supplementary2015</w:t>
        </w:r>
      </w:hyperlink>
    </w:p>
    <w:p w:rsidR="005B25D9" w:rsidRPr="00A56CC1" w:rsidRDefault="005B25D9" w:rsidP="00D347FA">
      <w:pPr>
        <w:pStyle w:val="EndnoteText"/>
        <w:rPr>
          <w:rFonts w:cstheme="minorHAnsi"/>
        </w:rPr>
      </w:pPr>
    </w:p>
  </w:endnote>
  <w:endnote w:id="19">
    <w:p w:rsidR="005B25D9" w:rsidRPr="00A56CC1" w:rsidRDefault="005B25D9" w:rsidP="00D347FA">
      <w:pPr>
        <w:autoSpaceDE w:val="0"/>
        <w:autoSpaceDN w:val="0"/>
        <w:adjustRightInd w:val="0"/>
        <w:spacing w:after="0" w:line="240" w:lineRule="auto"/>
        <w:rPr>
          <w:rFonts w:eastAsia="Calibri" w:cstheme="minorHAnsi"/>
          <w:sz w:val="20"/>
          <w:szCs w:val="20"/>
          <w:lang w:eastAsia="en-GB"/>
        </w:rPr>
      </w:pPr>
      <w:r w:rsidRPr="00A56CC1">
        <w:rPr>
          <w:rStyle w:val="EndnoteReference"/>
          <w:rFonts w:cstheme="minorHAnsi"/>
          <w:sz w:val="20"/>
          <w:szCs w:val="20"/>
        </w:rPr>
        <w:endnoteRef/>
      </w:r>
      <w:r w:rsidRPr="00A56CC1">
        <w:rPr>
          <w:rFonts w:cstheme="minorHAnsi"/>
          <w:sz w:val="20"/>
          <w:szCs w:val="20"/>
        </w:rPr>
        <w:t xml:space="preserve"> </w:t>
      </w:r>
      <w:r w:rsidRPr="00A56CC1">
        <w:rPr>
          <w:rFonts w:eastAsia="Calibri" w:cstheme="minorHAnsi"/>
          <w:sz w:val="20"/>
          <w:szCs w:val="20"/>
          <w:lang w:eastAsia="en-GB"/>
        </w:rPr>
        <w:t>Ben-</w:t>
      </w:r>
      <w:proofErr w:type="spellStart"/>
      <w:r w:rsidRPr="00A56CC1">
        <w:rPr>
          <w:rFonts w:eastAsia="Calibri" w:cstheme="minorHAnsi"/>
          <w:sz w:val="20"/>
          <w:szCs w:val="20"/>
          <w:lang w:eastAsia="en-GB"/>
        </w:rPr>
        <w:t>Arieh</w:t>
      </w:r>
      <w:proofErr w:type="spellEnd"/>
      <w:r w:rsidRPr="00A56CC1">
        <w:rPr>
          <w:rFonts w:eastAsia="Calibri" w:cstheme="minorHAnsi"/>
          <w:sz w:val="20"/>
          <w:szCs w:val="20"/>
          <w:lang w:eastAsia="en-GB"/>
        </w:rPr>
        <w:t xml:space="preserve"> A, et al. (2014) Multifaceted concept of child wellbeing, in handbook of child well-being. In: Theories, methods and policies in global perspective, Ben-</w:t>
      </w:r>
      <w:proofErr w:type="spellStart"/>
      <w:r w:rsidRPr="00A56CC1">
        <w:rPr>
          <w:rFonts w:eastAsia="Calibri" w:cstheme="minorHAnsi"/>
          <w:sz w:val="20"/>
          <w:szCs w:val="20"/>
          <w:lang w:eastAsia="en-GB"/>
        </w:rPr>
        <w:t>Arieh</w:t>
      </w:r>
      <w:proofErr w:type="spellEnd"/>
      <w:r w:rsidRPr="00A56CC1">
        <w:rPr>
          <w:rFonts w:eastAsia="Calibri" w:cstheme="minorHAnsi"/>
          <w:sz w:val="20"/>
          <w:szCs w:val="20"/>
          <w:lang w:eastAsia="en-GB"/>
        </w:rPr>
        <w:t xml:space="preserve"> A, et al. (eds.) Springer, Dordrecht</w:t>
      </w:r>
    </w:p>
    <w:p w:rsidR="005B25D9" w:rsidRPr="00A56CC1" w:rsidRDefault="005B25D9" w:rsidP="00D347FA">
      <w:pPr>
        <w:autoSpaceDE w:val="0"/>
        <w:autoSpaceDN w:val="0"/>
        <w:adjustRightInd w:val="0"/>
        <w:spacing w:after="0" w:line="240" w:lineRule="auto"/>
        <w:rPr>
          <w:rFonts w:eastAsia="Calibri" w:cstheme="minorHAnsi"/>
          <w:sz w:val="20"/>
          <w:szCs w:val="20"/>
          <w:lang w:eastAsia="en-GB"/>
        </w:rPr>
      </w:pPr>
    </w:p>
  </w:endnote>
  <w:endnote w:id="20">
    <w:p w:rsidR="005B25D9" w:rsidRPr="00A56CC1" w:rsidRDefault="005B25D9" w:rsidP="00D347FA">
      <w:pPr>
        <w:autoSpaceDE w:val="0"/>
        <w:autoSpaceDN w:val="0"/>
        <w:adjustRightInd w:val="0"/>
        <w:spacing w:after="0" w:line="240" w:lineRule="auto"/>
        <w:rPr>
          <w:rFonts w:eastAsia="Calibri" w:cstheme="minorHAnsi"/>
          <w:sz w:val="20"/>
          <w:szCs w:val="20"/>
          <w:lang w:eastAsia="en-GB"/>
        </w:rPr>
      </w:pPr>
      <w:r w:rsidRPr="00A56CC1">
        <w:rPr>
          <w:rStyle w:val="EndnoteReference"/>
          <w:rFonts w:cstheme="minorHAnsi"/>
          <w:sz w:val="20"/>
          <w:szCs w:val="20"/>
        </w:rPr>
        <w:endnoteRef/>
      </w:r>
      <w:r w:rsidRPr="00A56CC1">
        <w:rPr>
          <w:rFonts w:cstheme="minorHAnsi"/>
          <w:sz w:val="20"/>
          <w:szCs w:val="20"/>
        </w:rPr>
        <w:t xml:space="preserve"> </w:t>
      </w:r>
      <w:r w:rsidRPr="00A56CC1">
        <w:rPr>
          <w:rFonts w:eastAsia="Calibri" w:cstheme="minorHAnsi"/>
          <w:sz w:val="20"/>
          <w:szCs w:val="20"/>
          <w:lang w:eastAsia="en-GB"/>
        </w:rPr>
        <w:t xml:space="preserve">Huebner ES, Alderman GL (1993) Convergent and discriminant validation of a children life satisfaction scale: its relationship to self-reported and teacher-reported psychological-problems and school functioning. </w:t>
      </w:r>
      <w:proofErr w:type="spellStart"/>
      <w:r w:rsidRPr="00A56CC1">
        <w:rPr>
          <w:rFonts w:eastAsia="Calibri" w:cstheme="minorHAnsi"/>
          <w:sz w:val="20"/>
          <w:szCs w:val="20"/>
          <w:lang w:eastAsia="en-GB"/>
        </w:rPr>
        <w:t>Soc</w:t>
      </w:r>
      <w:proofErr w:type="spellEnd"/>
      <w:r w:rsidRPr="00A56CC1">
        <w:rPr>
          <w:rFonts w:eastAsia="Calibri" w:cstheme="minorHAnsi"/>
          <w:sz w:val="20"/>
          <w:szCs w:val="20"/>
          <w:lang w:eastAsia="en-GB"/>
        </w:rPr>
        <w:t xml:space="preserve"> Indic Res 30(1):71–82</w:t>
      </w:r>
    </w:p>
    <w:p w:rsidR="005B25D9" w:rsidRPr="00A56CC1" w:rsidRDefault="005B25D9" w:rsidP="00D347FA">
      <w:pPr>
        <w:autoSpaceDE w:val="0"/>
        <w:autoSpaceDN w:val="0"/>
        <w:adjustRightInd w:val="0"/>
        <w:spacing w:after="0" w:line="240" w:lineRule="auto"/>
        <w:rPr>
          <w:rFonts w:cstheme="minorHAnsi"/>
          <w:sz w:val="20"/>
          <w:szCs w:val="20"/>
        </w:rPr>
      </w:pPr>
    </w:p>
  </w:endnote>
  <w:endnote w:id="21">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5" w:history="1">
        <w:r w:rsidRPr="00A56CC1">
          <w:rPr>
            <w:rStyle w:val="Hyperlink"/>
            <w:rFonts w:cstheme="minorHAnsi"/>
          </w:rPr>
          <w:t>http://www.gov.scot/Resource/0045/00452548.pdf</w:t>
        </w:r>
      </w:hyperlink>
    </w:p>
    <w:p w:rsidR="005B25D9" w:rsidRPr="00A56CC1" w:rsidRDefault="005B25D9" w:rsidP="00D347FA">
      <w:pPr>
        <w:pStyle w:val="EndnoteText"/>
        <w:rPr>
          <w:rFonts w:cstheme="minorHAnsi"/>
        </w:rPr>
      </w:pPr>
    </w:p>
  </w:endnote>
  <w:endnote w:id="22">
    <w:p w:rsidR="005B25D9" w:rsidRPr="00A56CC1" w:rsidRDefault="005B25D9" w:rsidP="00D347FA">
      <w:pPr>
        <w:autoSpaceDE w:val="0"/>
        <w:autoSpaceDN w:val="0"/>
        <w:adjustRightInd w:val="0"/>
        <w:spacing w:after="0" w:line="240" w:lineRule="auto"/>
        <w:rPr>
          <w:rFonts w:eastAsia="Calibri" w:cstheme="minorHAnsi"/>
          <w:sz w:val="20"/>
          <w:szCs w:val="20"/>
          <w:lang w:eastAsia="en-GB"/>
        </w:rPr>
      </w:pPr>
      <w:r w:rsidRPr="00A56CC1">
        <w:rPr>
          <w:rStyle w:val="EndnoteReference"/>
          <w:rFonts w:cstheme="minorHAnsi"/>
          <w:sz w:val="20"/>
          <w:szCs w:val="20"/>
        </w:rPr>
        <w:endnoteRef/>
      </w:r>
      <w:r w:rsidRPr="00A56CC1">
        <w:rPr>
          <w:rFonts w:cstheme="minorHAnsi"/>
          <w:sz w:val="20"/>
          <w:szCs w:val="20"/>
        </w:rPr>
        <w:t xml:space="preserve"> </w:t>
      </w:r>
      <w:r w:rsidRPr="00A56CC1">
        <w:rPr>
          <w:rFonts w:eastAsia="Calibri" w:cstheme="minorHAnsi"/>
          <w:sz w:val="20"/>
          <w:szCs w:val="20"/>
          <w:lang w:eastAsia="en-GB"/>
        </w:rPr>
        <w:t xml:space="preserve">Proctor, C. L., Linley, P. A., &amp; </w:t>
      </w:r>
      <w:proofErr w:type="spellStart"/>
      <w:r w:rsidRPr="00A56CC1">
        <w:rPr>
          <w:rFonts w:eastAsia="Calibri" w:cstheme="minorHAnsi"/>
          <w:sz w:val="20"/>
          <w:szCs w:val="20"/>
          <w:lang w:eastAsia="en-GB"/>
        </w:rPr>
        <w:t>Maltby</w:t>
      </w:r>
      <w:proofErr w:type="spellEnd"/>
      <w:r w:rsidRPr="00A56CC1">
        <w:rPr>
          <w:rFonts w:eastAsia="Calibri" w:cstheme="minorHAnsi"/>
          <w:sz w:val="20"/>
          <w:szCs w:val="20"/>
          <w:lang w:eastAsia="en-GB"/>
        </w:rPr>
        <w:t xml:space="preserve">, J. (2009). Youth life satisfaction: A review of the literature. </w:t>
      </w:r>
      <w:r w:rsidRPr="00A56CC1">
        <w:rPr>
          <w:rFonts w:eastAsia="Calibri" w:cstheme="minorHAnsi"/>
          <w:i/>
          <w:iCs/>
          <w:sz w:val="20"/>
          <w:szCs w:val="20"/>
          <w:lang w:eastAsia="en-GB"/>
        </w:rPr>
        <w:t>Journal of Happiness Studies</w:t>
      </w:r>
      <w:r w:rsidRPr="00A56CC1">
        <w:rPr>
          <w:rFonts w:eastAsia="Calibri" w:cstheme="minorHAnsi"/>
          <w:sz w:val="20"/>
          <w:szCs w:val="20"/>
          <w:lang w:eastAsia="en-GB"/>
        </w:rPr>
        <w:t xml:space="preserve">, </w:t>
      </w:r>
      <w:r w:rsidRPr="00A56CC1">
        <w:rPr>
          <w:rFonts w:eastAsia="Calibri" w:cstheme="minorHAnsi"/>
          <w:i/>
          <w:iCs/>
          <w:sz w:val="20"/>
          <w:szCs w:val="20"/>
          <w:lang w:eastAsia="en-GB"/>
        </w:rPr>
        <w:t>10(5)</w:t>
      </w:r>
      <w:r w:rsidRPr="00A56CC1">
        <w:rPr>
          <w:rFonts w:eastAsia="Calibri" w:cstheme="minorHAnsi"/>
          <w:sz w:val="20"/>
          <w:szCs w:val="20"/>
          <w:lang w:eastAsia="en-GB"/>
        </w:rPr>
        <w:t>, 583-630.</w:t>
      </w:r>
    </w:p>
    <w:p w:rsidR="005B25D9" w:rsidRPr="00A56CC1" w:rsidRDefault="005B25D9" w:rsidP="00D347FA">
      <w:pPr>
        <w:autoSpaceDE w:val="0"/>
        <w:autoSpaceDN w:val="0"/>
        <w:adjustRightInd w:val="0"/>
        <w:spacing w:after="0" w:line="240" w:lineRule="auto"/>
        <w:rPr>
          <w:rFonts w:cstheme="minorHAnsi"/>
          <w:sz w:val="20"/>
          <w:szCs w:val="20"/>
        </w:rPr>
      </w:pPr>
    </w:p>
  </w:endnote>
  <w:endnote w:id="23">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6" w:history="1">
        <w:r w:rsidRPr="00A56CC1">
          <w:rPr>
            <w:rStyle w:val="Hyperlink"/>
            <w:rFonts w:cstheme="minorHAnsi"/>
          </w:rPr>
          <w:t>http://www.cls.ioe.ac.uk/datadictionary/page.asp?section=000100010003000500030004&amp;sectionTitle=D.+Self-Completion&amp;var=dccnum00</w:t>
        </w:r>
      </w:hyperlink>
    </w:p>
    <w:p w:rsidR="005B25D9" w:rsidRPr="00A56CC1" w:rsidRDefault="005B25D9" w:rsidP="00D347FA">
      <w:pPr>
        <w:pStyle w:val="EndnoteText"/>
        <w:rPr>
          <w:rFonts w:cstheme="minorHAnsi"/>
        </w:rPr>
      </w:pPr>
    </w:p>
  </w:endnote>
  <w:endnote w:id="24">
    <w:p w:rsidR="005B25D9" w:rsidRPr="00A56CC1" w:rsidRDefault="005B25D9" w:rsidP="00D347FA">
      <w:pPr>
        <w:pStyle w:val="EndnoteText"/>
        <w:rPr>
          <w:rStyle w:val="Hyperlink"/>
          <w:rFonts w:cstheme="minorHAnsi"/>
        </w:rPr>
      </w:pPr>
      <w:r w:rsidRPr="00A56CC1">
        <w:rPr>
          <w:rStyle w:val="EndnoteReference"/>
          <w:rFonts w:cstheme="minorHAnsi"/>
        </w:rPr>
        <w:endnoteRef/>
      </w:r>
      <w:r w:rsidRPr="00A56CC1">
        <w:rPr>
          <w:rFonts w:cstheme="minorHAnsi"/>
        </w:rPr>
        <w:t xml:space="preserve"> </w:t>
      </w:r>
      <w:hyperlink r:id="rId17" w:history="1">
        <w:r w:rsidRPr="00A56CC1">
          <w:rPr>
            <w:rStyle w:val="Hyperlink"/>
            <w:rFonts w:cstheme="minorHAnsi"/>
          </w:rPr>
          <w:t>http://www.cls.ioe.ac.uk/page.aspx?&amp;sitesectionid=1080&amp;sitesectiontitle=Questionnaires</w:t>
        </w:r>
      </w:hyperlink>
    </w:p>
    <w:p w:rsidR="005B25D9" w:rsidRPr="00A56CC1" w:rsidRDefault="005B25D9" w:rsidP="00D347FA">
      <w:pPr>
        <w:pStyle w:val="EndnoteText"/>
        <w:rPr>
          <w:rFonts w:cstheme="minorHAnsi"/>
        </w:rPr>
      </w:pPr>
    </w:p>
  </w:endnote>
  <w:endnote w:id="25">
    <w:p w:rsidR="005B25D9" w:rsidRPr="00A56CC1" w:rsidRDefault="005B25D9" w:rsidP="00D347FA">
      <w:pPr>
        <w:shd w:val="clear" w:color="auto" w:fill="FFFFFF"/>
        <w:spacing w:after="0" w:line="240" w:lineRule="auto"/>
        <w:rPr>
          <w:rFonts w:eastAsia="Times New Roman" w:cstheme="minorHAnsi"/>
          <w:color w:val="000000"/>
          <w:sz w:val="20"/>
          <w:szCs w:val="20"/>
          <w:lang w:eastAsia="en-GB"/>
        </w:rPr>
      </w:pPr>
      <w:r w:rsidRPr="00A56CC1">
        <w:rPr>
          <w:rStyle w:val="EndnoteReference"/>
          <w:rFonts w:cstheme="minorHAnsi"/>
          <w:sz w:val="20"/>
          <w:szCs w:val="20"/>
        </w:rPr>
        <w:endnoteRef/>
      </w:r>
      <w:r w:rsidRPr="00A56CC1">
        <w:rPr>
          <w:rFonts w:cstheme="minorHAnsi"/>
          <w:sz w:val="20"/>
          <w:szCs w:val="20"/>
        </w:rPr>
        <w:t xml:space="preserve"> </w:t>
      </w:r>
      <w:r w:rsidRPr="00A56CC1">
        <w:rPr>
          <w:rFonts w:eastAsia="Times New Roman" w:cstheme="minorHAnsi"/>
          <w:color w:val="000000"/>
          <w:sz w:val="20"/>
          <w:szCs w:val="20"/>
          <w:lang w:eastAsia="en-GB"/>
        </w:rPr>
        <w:t xml:space="preserve">Cook ET, Greenberg MT, </w:t>
      </w:r>
      <w:proofErr w:type="spellStart"/>
      <w:r w:rsidRPr="00A56CC1">
        <w:rPr>
          <w:rFonts w:eastAsia="Times New Roman" w:cstheme="minorHAnsi"/>
          <w:color w:val="000000"/>
          <w:sz w:val="20"/>
          <w:szCs w:val="20"/>
          <w:lang w:eastAsia="en-GB"/>
        </w:rPr>
        <w:t>Kusche</w:t>
      </w:r>
      <w:proofErr w:type="spellEnd"/>
      <w:r w:rsidRPr="00A56CC1">
        <w:rPr>
          <w:rFonts w:eastAsia="Times New Roman" w:cstheme="minorHAnsi"/>
          <w:color w:val="000000"/>
          <w:sz w:val="20"/>
          <w:szCs w:val="20"/>
          <w:lang w:eastAsia="en-GB"/>
        </w:rPr>
        <w:t xml:space="preserve"> CA. People in my life: attachment relationships in middle childhood. Paper presented at the Society for Research in Child Development; Indianapolis, IN, March. 1995.</w:t>
      </w:r>
    </w:p>
    <w:p w:rsidR="005B25D9" w:rsidRPr="00A56CC1" w:rsidRDefault="005B25D9" w:rsidP="00D347FA">
      <w:pPr>
        <w:pStyle w:val="EndnoteText"/>
        <w:rPr>
          <w:rFonts w:cstheme="minorHAnsi"/>
        </w:rPr>
      </w:pPr>
    </w:p>
  </w:endnote>
  <w:endnote w:id="26">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8" w:anchor="R32" w:history="1">
        <w:r w:rsidRPr="00A56CC1">
          <w:rPr>
            <w:rStyle w:val="Hyperlink"/>
            <w:rFonts w:cstheme="minorHAnsi"/>
          </w:rPr>
          <w:t>https://www.ncbi.nlm.nih.gov/pmc/articles/PMC1862408/#R32</w:t>
        </w:r>
      </w:hyperlink>
    </w:p>
    <w:p w:rsidR="005B25D9" w:rsidRPr="00A56CC1" w:rsidRDefault="005B25D9" w:rsidP="00D347FA">
      <w:pPr>
        <w:pStyle w:val="EndnoteText"/>
        <w:rPr>
          <w:rFonts w:cstheme="minorHAnsi"/>
        </w:rPr>
      </w:pPr>
    </w:p>
  </w:endnote>
  <w:endnote w:id="27">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19" w:history="1">
        <w:r w:rsidRPr="00A56CC1">
          <w:rPr>
            <w:rStyle w:val="Hyperlink"/>
            <w:rFonts w:cstheme="minorHAnsi"/>
          </w:rPr>
          <w:t>http://www.gov.scot/Topics/Education/Schools/HLivi</w:t>
        </w:r>
      </w:hyperlink>
    </w:p>
    <w:p w:rsidR="005B25D9" w:rsidRPr="00A56CC1" w:rsidRDefault="005B25D9" w:rsidP="00D347FA">
      <w:pPr>
        <w:pStyle w:val="EndnoteText"/>
        <w:rPr>
          <w:rFonts w:cstheme="minorHAnsi"/>
        </w:rPr>
      </w:pPr>
    </w:p>
  </w:endnote>
  <w:endnote w:id="28">
    <w:p w:rsidR="005B25D9" w:rsidRPr="00A56CC1" w:rsidRDefault="005B25D9" w:rsidP="00D347FA">
      <w:pPr>
        <w:pStyle w:val="EndnoteText"/>
        <w:rPr>
          <w:rFonts w:cstheme="minorHAnsi"/>
        </w:rPr>
      </w:pPr>
      <w:r w:rsidRPr="00A56CC1">
        <w:rPr>
          <w:rStyle w:val="EndnoteReference"/>
          <w:rFonts w:cstheme="minorHAnsi"/>
        </w:rPr>
        <w:endnoteRef/>
      </w:r>
      <w:r w:rsidRPr="00A56CC1">
        <w:rPr>
          <w:rFonts w:cstheme="minorHAnsi"/>
        </w:rPr>
        <w:t xml:space="preserve"> </w:t>
      </w:r>
      <w:hyperlink r:id="rId20" w:history="1">
        <w:r w:rsidRPr="00A56CC1">
          <w:rPr>
            <w:rStyle w:val="Hyperlink"/>
            <w:rFonts w:cstheme="minorHAnsi"/>
          </w:rPr>
          <w:t>http://www.gov.scot/Resource/0040/00408604.pdf</w:t>
        </w:r>
      </w:hyperlink>
    </w:p>
    <w:p w:rsidR="005B25D9" w:rsidRPr="00A56CC1" w:rsidRDefault="005B25D9" w:rsidP="00D347FA">
      <w:pPr>
        <w:pStyle w:val="EndnoteText"/>
        <w:rPr>
          <w:rFonts w:cstheme="minorHAnsi"/>
        </w:rPr>
      </w:pPr>
    </w:p>
  </w:endnote>
  <w:endnote w:id="29">
    <w:p w:rsidR="005B25D9" w:rsidRDefault="005B25D9" w:rsidP="00D347FA">
      <w:pPr>
        <w:pStyle w:val="EndnoteText"/>
        <w:rPr>
          <w:rFonts w:cstheme="minorHAnsi"/>
          <w:color w:val="333333"/>
          <w:shd w:val="clear" w:color="auto" w:fill="FFFFFF"/>
        </w:rPr>
      </w:pPr>
      <w:r w:rsidRPr="00B6066C">
        <w:rPr>
          <w:rStyle w:val="EndnoteReference"/>
          <w:rFonts w:cstheme="minorHAnsi"/>
        </w:rPr>
        <w:endnoteRef/>
      </w:r>
      <w:r w:rsidRPr="00B6066C">
        <w:rPr>
          <w:rFonts w:cstheme="minorHAnsi"/>
        </w:rPr>
        <w:t xml:space="preserve"> </w:t>
      </w:r>
      <w:proofErr w:type="spellStart"/>
      <w:r>
        <w:rPr>
          <w:rFonts w:cstheme="minorHAnsi"/>
          <w:color w:val="333333"/>
          <w:shd w:val="clear" w:color="auto" w:fill="FFFFFF"/>
        </w:rPr>
        <w:t>Løhre</w:t>
      </w:r>
      <w:proofErr w:type="spellEnd"/>
      <w:r>
        <w:rPr>
          <w:rFonts w:cstheme="minorHAnsi"/>
          <w:color w:val="333333"/>
          <w:shd w:val="clear" w:color="auto" w:fill="FFFFFF"/>
        </w:rPr>
        <w:t xml:space="preserve"> A, </w:t>
      </w:r>
      <w:proofErr w:type="spellStart"/>
      <w:r>
        <w:rPr>
          <w:rFonts w:cstheme="minorHAnsi"/>
          <w:color w:val="333333"/>
          <w:shd w:val="clear" w:color="auto" w:fill="FFFFFF"/>
        </w:rPr>
        <w:t>Lydersen</w:t>
      </w:r>
      <w:proofErr w:type="spellEnd"/>
      <w:r>
        <w:rPr>
          <w:rFonts w:cstheme="minorHAnsi"/>
          <w:color w:val="333333"/>
          <w:shd w:val="clear" w:color="auto" w:fill="FFFFFF"/>
        </w:rPr>
        <w:t xml:space="preserve"> S, </w:t>
      </w:r>
      <w:proofErr w:type="spellStart"/>
      <w:r>
        <w:rPr>
          <w:rFonts w:cstheme="minorHAnsi"/>
          <w:color w:val="333333"/>
          <w:shd w:val="clear" w:color="auto" w:fill="FFFFFF"/>
        </w:rPr>
        <w:t>Vatten</w:t>
      </w:r>
      <w:proofErr w:type="spellEnd"/>
      <w:r>
        <w:rPr>
          <w:rFonts w:cstheme="minorHAnsi"/>
          <w:color w:val="333333"/>
          <w:shd w:val="clear" w:color="auto" w:fill="FFFFFF"/>
        </w:rPr>
        <w:t xml:space="preserve"> LJ.</w:t>
      </w:r>
      <w:r w:rsidRPr="00B6066C">
        <w:rPr>
          <w:rFonts w:cstheme="minorHAnsi"/>
          <w:color w:val="333333"/>
          <w:shd w:val="clear" w:color="auto" w:fill="FFFFFF"/>
        </w:rPr>
        <w:t xml:space="preserve"> School wellbeing among children in grades 1-10. BMC Public Health. 2010, 10: 526</w:t>
      </w:r>
      <w:r>
        <w:rPr>
          <w:rFonts w:cstheme="minorHAnsi"/>
          <w:color w:val="333333"/>
          <w:shd w:val="clear" w:color="auto" w:fill="FFFFFF"/>
        </w:rPr>
        <w:t>.</w:t>
      </w:r>
    </w:p>
    <w:p w:rsidR="005B25D9" w:rsidRPr="00B6066C" w:rsidRDefault="005B25D9" w:rsidP="00D347FA">
      <w:pPr>
        <w:pStyle w:val="EndnoteText"/>
        <w:rPr>
          <w:rFonts w:cstheme="minorHAnsi"/>
        </w:rPr>
      </w:pPr>
    </w:p>
  </w:endnote>
  <w:endnote w:id="30">
    <w:p w:rsidR="005B25D9" w:rsidRDefault="005B25D9">
      <w:pPr>
        <w:pStyle w:val="EndnoteText"/>
      </w:pPr>
      <w:r>
        <w:rPr>
          <w:rStyle w:val="EndnoteReference"/>
        </w:rPr>
        <w:endnoteRef/>
      </w:r>
      <w:r>
        <w:t xml:space="preserve"> ‘Average’ equates to some form of bullying roughly every month, although could be more frequent if other forms of bullying were not experienced. ‘Higher’ and ‘lower’ are in relation to others who have taken the survey.</w:t>
      </w:r>
    </w:p>
    <w:p w:rsidR="005B25D9" w:rsidRDefault="005B25D9">
      <w:pPr>
        <w:pStyle w:val="EndnoteText"/>
      </w:pPr>
    </w:p>
  </w:endnote>
  <w:endnote w:id="31">
    <w:p w:rsidR="005B25D9" w:rsidRDefault="005B25D9" w:rsidP="00D347FA">
      <w:pPr>
        <w:pStyle w:val="EndnoteText"/>
      </w:pPr>
      <w:r>
        <w:rPr>
          <w:rStyle w:val="EndnoteReference"/>
        </w:rPr>
        <w:endnoteRef/>
      </w:r>
      <w:r>
        <w:t xml:space="preserve"> Grogan S. </w:t>
      </w:r>
      <w:r w:rsidRPr="00E23DCE">
        <w:t>Body image: Understanding body dissatisfaction in men, women and children</w:t>
      </w:r>
      <w:r>
        <w:t>, Third edition; London: Routledge. 2016.</w:t>
      </w:r>
    </w:p>
    <w:p w:rsidR="005B25D9" w:rsidRDefault="005B25D9" w:rsidP="00D347FA">
      <w:pPr>
        <w:pStyle w:val="EndnoteText"/>
      </w:pPr>
    </w:p>
  </w:endnote>
  <w:endnote w:id="32">
    <w:p w:rsidR="005B25D9" w:rsidRDefault="005B25D9" w:rsidP="00940DAB">
      <w:pPr>
        <w:pStyle w:val="EndnoteText"/>
        <w:contextualSpacing/>
      </w:pPr>
      <w:r>
        <w:rPr>
          <w:rStyle w:val="EndnoteReference"/>
        </w:rPr>
        <w:endnoteRef/>
      </w:r>
      <w:r>
        <w:t xml:space="preserve"> </w:t>
      </w:r>
      <w:hyperlink r:id="rId21" w:history="1">
        <w:r w:rsidRPr="00FB51BD">
          <w:rPr>
            <w:rStyle w:val="Hyperlink"/>
          </w:rPr>
          <w:t>http://www.gov.scot/Topics/Statistics/Browse/Health/scottish-health-survey/Publications/Supplementary2015</w:t>
        </w:r>
      </w:hyperlink>
    </w:p>
    <w:p w:rsidR="005B25D9" w:rsidRDefault="005B25D9" w:rsidP="00940DAB">
      <w:pPr>
        <w:pStyle w:val="EndnoteText"/>
        <w:contextualSpacing/>
      </w:pPr>
    </w:p>
  </w:endnote>
  <w:endnote w:id="33">
    <w:p w:rsidR="005B25D9" w:rsidRDefault="005B25D9" w:rsidP="00940DAB">
      <w:pPr>
        <w:pStyle w:val="EndnoteText"/>
        <w:contextualSpacing/>
      </w:pPr>
      <w:r>
        <w:rPr>
          <w:rStyle w:val="EndnoteReference"/>
        </w:rPr>
        <w:endnoteRef/>
      </w:r>
      <w:r>
        <w:t xml:space="preserve"> </w:t>
      </w:r>
      <w:hyperlink r:id="rId22" w:history="1">
        <w:r w:rsidRPr="00FB51BD">
          <w:rPr>
            <w:rStyle w:val="Hyperlink"/>
          </w:rPr>
          <w:t>http://www.gov.scot/Topics/Statistics/Browse/Health/scottish-health-survey/Publications/Supplementary2015</w:t>
        </w:r>
      </w:hyperlink>
    </w:p>
    <w:p w:rsidR="005B25D9" w:rsidRDefault="005B25D9" w:rsidP="00940DAB">
      <w:pPr>
        <w:pStyle w:val="EndnoteText"/>
        <w:contextualSpacing/>
      </w:pPr>
    </w:p>
  </w:endnote>
  <w:endnote w:id="34">
    <w:p w:rsidR="005B25D9" w:rsidRDefault="005B25D9" w:rsidP="00940DAB">
      <w:pPr>
        <w:pStyle w:val="EndnoteText"/>
        <w:rPr>
          <w:rStyle w:val="Hyperlink"/>
        </w:rPr>
      </w:pPr>
      <w:r>
        <w:rPr>
          <w:rStyle w:val="EndnoteReference"/>
        </w:rPr>
        <w:endnoteRef/>
      </w:r>
      <w:r>
        <w:t xml:space="preserve"> </w:t>
      </w:r>
      <w:hyperlink r:id="rId23" w:history="1">
        <w:r w:rsidRPr="004D6EFC">
          <w:rPr>
            <w:rStyle w:val="Hyperlink"/>
          </w:rPr>
          <w:t>http://jslhr.pubs.asha.org/article.aspx?articleid=1779996</w:t>
        </w:r>
      </w:hyperlink>
    </w:p>
    <w:p w:rsidR="005B25D9" w:rsidRPr="0068328B" w:rsidRDefault="005B25D9" w:rsidP="00940DAB">
      <w:pPr>
        <w:pStyle w:val="EndnoteText"/>
      </w:pPr>
    </w:p>
  </w:endnote>
  <w:endnote w:id="35">
    <w:p w:rsidR="005B25D9" w:rsidRDefault="005B25D9" w:rsidP="00940DAB">
      <w:pPr>
        <w:pStyle w:val="EndnoteText"/>
        <w:rPr>
          <w:rStyle w:val="Hyperlink"/>
        </w:rPr>
      </w:pPr>
      <w:r>
        <w:rPr>
          <w:rStyle w:val="EndnoteReference"/>
        </w:rPr>
        <w:endnoteRef/>
      </w:r>
      <w:r>
        <w:t xml:space="preserve"> </w:t>
      </w:r>
      <w:hyperlink r:id="rId24" w:history="1">
        <w:r w:rsidRPr="004D6EFC">
          <w:rPr>
            <w:rStyle w:val="Hyperlink"/>
          </w:rPr>
          <w:t>http://www.ican.org.uk/evidence</w:t>
        </w:r>
      </w:hyperlink>
    </w:p>
    <w:p w:rsidR="005B25D9" w:rsidRDefault="005B25D9" w:rsidP="00940DAB">
      <w:pPr>
        <w:pStyle w:val="EndnoteText"/>
      </w:pPr>
    </w:p>
  </w:endnote>
  <w:endnote w:id="36">
    <w:p w:rsidR="005B25D9" w:rsidRDefault="005B25D9" w:rsidP="00940DAB">
      <w:pPr>
        <w:pStyle w:val="EndnoteText"/>
        <w:rPr>
          <w:rStyle w:val="Hyperlink"/>
        </w:rPr>
      </w:pPr>
      <w:r>
        <w:rPr>
          <w:rStyle w:val="EndnoteReference"/>
        </w:rPr>
        <w:endnoteRef/>
      </w:r>
      <w:r>
        <w:t xml:space="preserve"> </w:t>
      </w:r>
      <w:hyperlink r:id="rId25" w:history="1">
        <w:r w:rsidRPr="004D6EFC">
          <w:rPr>
            <w:rStyle w:val="Hyperlink"/>
          </w:rPr>
          <w:t>https://www.rcslt.org/about/parliamentary_work/appg_report_feb_2013</w:t>
        </w:r>
      </w:hyperlink>
    </w:p>
    <w:p w:rsidR="005B25D9" w:rsidRDefault="005B25D9" w:rsidP="00940DAB">
      <w:pPr>
        <w:pStyle w:val="EndnoteText"/>
      </w:pPr>
    </w:p>
  </w:endnote>
  <w:endnote w:id="37">
    <w:p w:rsidR="005B25D9" w:rsidRDefault="005B25D9" w:rsidP="00940DAB">
      <w:pPr>
        <w:pStyle w:val="EndnoteText"/>
        <w:rPr>
          <w:rStyle w:val="Hyperlink"/>
        </w:rPr>
      </w:pPr>
      <w:r>
        <w:rPr>
          <w:rStyle w:val="EndnoteReference"/>
        </w:rPr>
        <w:endnoteRef/>
      </w:r>
      <w:r>
        <w:t xml:space="preserve"> </w:t>
      </w:r>
      <w:hyperlink r:id="rId26" w:history="1">
        <w:r w:rsidRPr="004D6EFC">
          <w:rPr>
            <w:rStyle w:val="Hyperlink"/>
          </w:rPr>
          <w:t>https://www.researchgate.net/profile/Ingrid_Schoon/publication/222751070_Long-term_Outcomes_for_Children_with_Early_Language_Problems_Beating_the_Odds/links/572ca95908ae7a42e133472d.pdf</w:t>
        </w:r>
      </w:hyperlink>
    </w:p>
    <w:p w:rsidR="005B25D9" w:rsidRDefault="005B25D9" w:rsidP="00940DAB">
      <w:pPr>
        <w:pStyle w:val="EndnoteText"/>
      </w:pPr>
    </w:p>
  </w:endnote>
  <w:endnote w:id="38">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27" w:history="1">
        <w:r w:rsidRPr="00FB51BD">
          <w:rPr>
            <w:rStyle w:val="Hyperlink"/>
            <w:rFonts w:cstheme="minorHAnsi"/>
          </w:rPr>
          <w:t>http://www.gov.scot/Resource/0041/00414641.pdf</w:t>
        </w:r>
      </w:hyperlink>
    </w:p>
    <w:p w:rsidR="005B25D9" w:rsidRPr="00A56CC1" w:rsidRDefault="005B25D9" w:rsidP="00940DAB">
      <w:pPr>
        <w:pStyle w:val="EndnoteText"/>
        <w:contextualSpacing/>
        <w:rPr>
          <w:rFonts w:cstheme="minorHAnsi"/>
        </w:rPr>
      </w:pPr>
    </w:p>
  </w:endnote>
  <w:endnote w:id="39">
    <w:p w:rsidR="005B25D9" w:rsidRDefault="005B25D9" w:rsidP="00B53329">
      <w:pPr>
        <w:pStyle w:val="EndnoteText"/>
      </w:pPr>
      <w:r>
        <w:rPr>
          <w:rStyle w:val="EndnoteReference"/>
        </w:rPr>
        <w:endnoteRef/>
      </w:r>
      <w:r>
        <w:t xml:space="preserve"> </w:t>
      </w:r>
      <w:r w:rsidRPr="00E649E6">
        <w:t>Bradshaw, P. et al (2013) </w:t>
      </w:r>
      <w:r w:rsidRPr="00E649E6">
        <w:rPr>
          <w:i/>
          <w:iCs/>
        </w:rPr>
        <w:t>Growing Up in Scotland: Birth Cohort 2 – Results from the first year </w:t>
      </w:r>
      <w:r w:rsidRPr="00E649E6">
        <w:t>Edinburgh: Scottish Government</w:t>
      </w:r>
      <w:r>
        <w:t xml:space="preserve">, </w:t>
      </w:r>
      <w:hyperlink r:id="rId28" w:history="1">
        <w:r w:rsidRPr="00D261C5">
          <w:rPr>
            <w:rStyle w:val="Hyperlink"/>
          </w:rPr>
          <w:t>http://www.gov.scot/Publications/2013/02/3280</w:t>
        </w:r>
      </w:hyperlink>
      <w:r>
        <w:t xml:space="preserve"> </w:t>
      </w:r>
    </w:p>
    <w:p w:rsidR="005B25D9" w:rsidRDefault="005B25D9" w:rsidP="00B53329">
      <w:pPr>
        <w:pStyle w:val="EndnoteText"/>
      </w:pPr>
    </w:p>
  </w:endnote>
  <w:endnote w:id="40">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Respondents were asked how often their child eats both fruit and vegetables. Data from these questions were combined to give each child a score for fruit and vegetable consumption of between 1 and 12, with those scoring between 1 and 4 classified as having a higher fruit and vegetable consumption (those who eat fruit/and or vegetables every day or most days), those scoring between 5 and 8 classified as having a medium fruit and vegetable consumption, and those scoring between 9 and 12 classified as having a lower fruit and vegetable consumption.</w:t>
      </w:r>
    </w:p>
    <w:p w:rsidR="005B25D9" w:rsidRPr="00A56CC1" w:rsidRDefault="005B25D9" w:rsidP="00940DAB">
      <w:pPr>
        <w:pStyle w:val="EndnoteText"/>
        <w:contextualSpacing/>
        <w:rPr>
          <w:rFonts w:cstheme="minorHAnsi"/>
        </w:rPr>
      </w:pPr>
    </w:p>
  </w:endnote>
  <w:endnote w:id="41">
    <w:p w:rsidR="005B25D9" w:rsidRDefault="005B25D9" w:rsidP="00940DAB">
      <w:pPr>
        <w:autoSpaceDE w:val="0"/>
        <w:autoSpaceDN w:val="0"/>
        <w:adjustRightInd w:val="0"/>
        <w:spacing w:after="0" w:line="240" w:lineRule="auto"/>
        <w:contextualSpacing/>
        <w:rPr>
          <w:rFonts w:eastAsia="Calibri" w:cstheme="minorHAnsi"/>
          <w:lang w:eastAsia="en-GB"/>
        </w:rPr>
      </w:pPr>
      <w:r w:rsidRPr="00A56CC1">
        <w:rPr>
          <w:rStyle w:val="EndnoteReference"/>
          <w:rFonts w:cstheme="minorHAnsi"/>
          <w:sz w:val="20"/>
          <w:szCs w:val="20"/>
        </w:rPr>
        <w:endnoteRef/>
      </w:r>
      <w:r w:rsidRPr="00A56CC1">
        <w:rPr>
          <w:rFonts w:cstheme="minorHAnsi"/>
          <w:sz w:val="20"/>
          <w:szCs w:val="20"/>
        </w:rPr>
        <w:t xml:space="preserve"> </w:t>
      </w:r>
      <w:proofErr w:type="spellStart"/>
      <w:r w:rsidRPr="00A56CC1">
        <w:rPr>
          <w:rFonts w:eastAsia="Calibri" w:cstheme="minorHAnsi"/>
          <w:sz w:val="20"/>
          <w:szCs w:val="20"/>
          <w:lang w:eastAsia="en-GB"/>
        </w:rPr>
        <w:t>Fogelholm</w:t>
      </w:r>
      <w:proofErr w:type="spellEnd"/>
      <w:r w:rsidRPr="00A56CC1">
        <w:rPr>
          <w:rFonts w:eastAsia="Calibri" w:cstheme="minorHAnsi"/>
          <w:sz w:val="20"/>
          <w:szCs w:val="20"/>
          <w:lang w:eastAsia="en-GB"/>
        </w:rPr>
        <w:t xml:space="preserve"> M.</w:t>
      </w:r>
      <w:r>
        <w:rPr>
          <w:rFonts w:eastAsia="Calibri" w:cstheme="minorHAnsi"/>
          <w:sz w:val="20"/>
          <w:szCs w:val="20"/>
          <w:lang w:eastAsia="en-GB"/>
        </w:rPr>
        <w:t xml:space="preserve"> (2010)</w:t>
      </w:r>
      <w:r w:rsidRPr="00A56CC1">
        <w:rPr>
          <w:rFonts w:eastAsia="Calibri" w:cstheme="minorHAnsi"/>
          <w:sz w:val="20"/>
          <w:szCs w:val="20"/>
          <w:lang w:eastAsia="en-GB"/>
        </w:rPr>
        <w:t xml:space="preserve"> Physical activity, fitness and fatness: relations to mortality, morbidity and disease</w:t>
      </w:r>
      <w:r>
        <w:rPr>
          <w:rFonts w:eastAsia="Calibri" w:cstheme="minorHAnsi"/>
          <w:sz w:val="20"/>
          <w:szCs w:val="20"/>
          <w:lang w:eastAsia="en-GB"/>
        </w:rPr>
        <w:t xml:space="preserve"> </w:t>
      </w:r>
      <w:r w:rsidRPr="00A56CC1">
        <w:rPr>
          <w:rFonts w:eastAsia="Calibri" w:cstheme="minorHAnsi"/>
          <w:lang w:eastAsia="en-GB"/>
        </w:rPr>
        <w:t>risk factors. A systematic review. Obesi</w:t>
      </w:r>
      <w:r>
        <w:rPr>
          <w:rFonts w:eastAsia="Calibri" w:cstheme="minorHAnsi"/>
          <w:lang w:eastAsia="en-GB"/>
        </w:rPr>
        <w:t xml:space="preserve">ty Reviews, 11(3): 202–221. </w:t>
      </w:r>
    </w:p>
    <w:p w:rsidR="005B25D9" w:rsidRPr="00A56CC1" w:rsidRDefault="005B25D9" w:rsidP="00940DAB">
      <w:pPr>
        <w:autoSpaceDE w:val="0"/>
        <w:autoSpaceDN w:val="0"/>
        <w:adjustRightInd w:val="0"/>
        <w:spacing w:after="0" w:line="240" w:lineRule="auto"/>
        <w:contextualSpacing/>
        <w:rPr>
          <w:rFonts w:cstheme="minorHAnsi"/>
        </w:rPr>
      </w:pPr>
    </w:p>
  </w:endnote>
  <w:endnote w:id="42">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Respondents were asked on how many days during the past seven days their child was active for a total of at least 60 minutes per day. Being active was defined as including any activities that they do that involves them moving their body, increasing their heart rate and making them out of breath some of the time. </w:t>
      </w:r>
    </w:p>
    <w:p w:rsidR="005B25D9" w:rsidRPr="00A56CC1" w:rsidRDefault="005B25D9" w:rsidP="00940DAB">
      <w:pPr>
        <w:pStyle w:val="EndnoteText"/>
        <w:contextualSpacing/>
        <w:rPr>
          <w:rFonts w:cstheme="minorHAnsi"/>
        </w:rPr>
      </w:pPr>
    </w:p>
  </w:endnote>
  <w:endnote w:id="43">
    <w:p w:rsidR="005B25D9" w:rsidRDefault="005B25D9" w:rsidP="00940DAB">
      <w:pPr>
        <w:pStyle w:val="EndnoteText"/>
        <w:contextualSpacing/>
      </w:pPr>
      <w:r>
        <w:rPr>
          <w:rStyle w:val="EndnoteReference"/>
        </w:rPr>
        <w:endnoteRef/>
      </w:r>
      <w:r>
        <w:t xml:space="preserve"> </w:t>
      </w:r>
      <w:hyperlink r:id="rId29" w:history="1">
        <w:r w:rsidRPr="00FB51BD">
          <w:rPr>
            <w:rStyle w:val="Hyperlink"/>
          </w:rPr>
          <w:t>http://www.gov.scot/About/Performance/scotPerforms/indicator/dental</w:t>
        </w:r>
      </w:hyperlink>
    </w:p>
    <w:p w:rsidR="005B25D9" w:rsidRDefault="005B25D9" w:rsidP="00940DAB">
      <w:pPr>
        <w:pStyle w:val="EndnoteText"/>
        <w:contextualSpacing/>
      </w:pPr>
    </w:p>
  </w:endnote>
  <w:endnote w:id="44">
    <w:p w:rsidR="005B25D9" w:rsidRPr="00EA4329" w:rsidRDefault="005B25D9" w:rsidP="00940DAB">
      <w:pPr>
        <w:pStyle w:val="EndnoteText"/>
        <w:contextualSpacing/>
      </w:pPr>
      <w:r>
        <w:rPr>
          <w:rStyle w:val="EndnoteReference"/>
        </w:rPr>
        <w:endnoteRef/>
      </w:r>
      <w:r>
        <w:t xml:space="preserve"> Annual Report of the Chief Dental Officer 2012 – A picture of Scotland’s Oral Health. Edinburgh: Scottish Government, 2013. Available from: </w:t>
      </w:r>
      <w:hyperlink r:id="rId30" w:history="1">
        <w:r w:rsidRPr="00EA4329">
          <w:rPr>
            <w:rStyle w:val="Hyperlink"/>
          </w:rPr>
          <w:t>www.scotland.gov.uk/Publications/2013/12/1101</w:t>
        </w:r>
      </w:hyperlink>
    </w:p>
    <w:p w:rsidR="005B25D9" w:rsidRPr="00EA4329" w:rsidRDefault="005B25D9" w:rsidP="00940DAB">
      <w:pPr>
        <w:pStyle w:val="EndnoteText"/>
        <w:ind w:left="357" w:hanging="357"/>
        <w:contextualSpacing/>
      </w:pPr>
    </w:p>
  </w:endnote>
  <w:endnote w:id="45">
    <w:p w:rsidR="005B25D9" w:rsidRDefault="005B25D9" w:rsidP="00940DAB">
      <w:pPr>
        <w:pStyle w:val="EndnoteText"/>
        <w:contextualSpacing/>
        <w:rPr>
          <w:rStyle w:val="Hyperlink"/>
          <w:rFonts w:eastAsia="Calibri" w:cstheme="minorHAnsi"/>
          <w:lang w:eastAsia="en-GB"/>
        </w:rPr>
      </w:pPr>
      <w:r w:rsidRPr="00A56CC1">
        <w:rPr>
          <w:rStyle w:val="EndnoteReference"/>
          <w:rFonts w:cstheme="minorHAnsi"/>
        </w:rPr>
        <w:endnoteRef/>
      </w:r>
      <w:r w:rsidRPr="00A56CC1">
        <w:rPr>
          <w:rFonts w:cstheme="minorHAnsi"/>
        </w:rPr>
        <w:t xml:space="preserve"> </w:t>
      </w:r>
      <w:hyperlink r:id="rId31" w:history="1">
        <w:r w:rsidRPr="00A56CC1">
          <w:rPr>
            <w:rStyle w:val="Hyperlink"/>
            <w:rFonts w:eastAsia="Calibri" w:cstheme="minorHAnsi"/>
            <w:lang w:eastAsia="en-GB"/>
          </w:rPr>
          <w:t>http://www.gov.scot/Resource/Doc/212225/0056476.pdf</w:t>
        </w:r>
      </w:hyperlink>
    </w:p>
    <w:p w:rsidR="005B25D9" w:rsidRPr="00A56CC1" w:rsidRDefault="005B25D9" w:rsidP="00940DAB">
      <w:pPr>
        <w:pStyle w:val="EndnoteText"/>
        <w:contextualSpacing/>
        <w:rPr>
          <w:rFonts w:cstheme="minorHAnsi"/>
        </w:rPr>
      </w:pPr>
    </w:p>
  </w:endnote>
  <w:endnote w:id="46">
    <w:p w:rsidR="005B25D9" w:rsidRPr="00F30016" w:rsidRDefault="005B25D9" w:rsidP="00940DAB">
      <w:pPr>
        <w:pStyle w:val="EndnoteText"/>
        <w:rPr>
          <w:rFonts w:ascii="Arial" w:hAnsi="Arial" w:cs="Arial"/>
        </w:rPr>
      </w:pPr>
      <w:r w:rsidRPr="00F30016">
        <w:rPr>
          <w:rStyle w:val="EndnoteReference"/>
          <w:rFonts w:ascii="Arial" w:hAnsi="Arial" w:cs="Arial"/>
        </w:rPr>
        <w:endnoteRef/>
      </w:r>
      <w:r w:rsidRPr="00F30016">
        <w:rPr>
          <w:rFonts w:ascii="Arial" w:hAnsi="Arial" w:cs="Arial"/>
        </w:rPr>
        <w:t xml:space="preserve"> Goodman R (1997). The Strengths and Difficulties Questionnaire: A Research Note. Journal of Child Psychology and Psychiatry; 38, 581-586.</w:t>
      </w:r>
    </w:p>
    <w:p w:rsidR="005B25D9" w:rsidRPr="00F30016" w:rsidRDefault="005B25D9" w:rsidP="00940DAB">
      <w:pPr>
        <w:pStyle w:val="EndnoteText"/>
        <w:rPr>
          <w:rFonts w:ascii="Arial" w:hAnsi="Arial" w:cs="Arial"/>
        </w:rPr>
      </w:pPr>
    </w:p>
  </w:endnote>
  <w:endnote w:id="47">
    <w:p w:rsidR="005B25D9" w:rsidRDefault="005B25D9" w:rsidP="00940DAB">
      <w:pPr>
        <w:pStyle w:val="EndnoteText"/>
        <w:contextualSpacing/>
      </w:pPr>
      <w:r>
        <w:rPr>
          <w:rStyle w:val="EndnoteReference"/>
        </w:rPr>
        <w:endnoteRef/>
      </w:r>
      <w:r>
        <w:t xml:space="preserve"> </w:t>
      </w:r>
      <w:hyperlink r:id="rId32" w:history="1">
        <w:r w:rsidRPr="00FB51BD">
          <w:rPr>
            <w:rStyle w:val="Hyperlink"/>
          </w:rPr>
          <w:t>http://www.gov.scot/Resource/0041/00414641.pdf</w:t>
        </w:r>
      </w:hyperlink>
    </w:p>
    <w:p w:rsidR="005B25D9" w:rsidRDefault="005B25D9" w:rsidP="00940DAB">
      <w:pPr>
        <w:pStyle w:val="EndnoteText"/>
        <w:contextualSpacing/>
      </w:pPr>
    </w:p>
  </w:endnote>
  <w:endnote w:id="48">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 Kelly, Y. &amp; Bartley, M. (2010) Parental and child health. In: Hansen, K., Joshi, H. &amp; </w:t>
      </w:r>
      <w:proofErr w:type="spellStart"/>
      <w:r w:rsidRPr="00A56CC1">
        <w:rPr>
          <w:rFonts w:cstheme="minorHAnsi"/>
        </w:rPr>
        <w:t>Dex</w:t>
      </w:r>
      <w:proofErr w:type="spellEnd"/>
      <w:r w:rsidRPr="00A56CC1">
        <w:rPr>
          <w:rFonts w:cstheme="minorHAnsi"/>
        </w:rPr>
        <w:t>, S. (eds.) Children of the 21st Century: the first five years. Bristol: The Policy Press</w:t>
      </w:r>
    </w:p>
    <w:p w:rsidR="005B25D9" w:rsidRPr="00A56CC1" w:rsidRDefault="005B25D9" w:rsidP="00940DAB">
      <w:pPr>
        <w:pStyle w:val="EndnoteText"/>
        <w:contextualSpacing/>
        <w:rPr>
          <w:rFonts w:cstheme="minorHAnsi"/>
        </w:rPr>
      </w:pPr>
    </w:p>
  </w:endnote>
  <w:endnote w:id="49">
    <w:p w:rsidR="005B25D9" w:rsidRDefault="005B25D9" w:rsidP="00940DAB">
      <w:pPr>
        <w:pStyle w:val="EndnoteText"/>
        <w:contextualSpacing/>
        <w:rPr>
          <w:rFonts w:cstheme="minorHAnsi"/>
          <w:color w:val="000000"/>
        </w:rPr>
      </w:pPr>
      <w:r w:rsidRPr="00A56CC1">
        <w:rPr>
          <w:rStyle w:val="EndnoteReference"/>
          <w:rFonts w:cstheme="minorHAnsi"/>
        </w:rPr>
        <w:endnoteRef/>
      </w:r>
      <w:r w:rsidRPr="00A56CC1">
        <w:rPr>
          <w:rFonts w:cstheme="minorHAnsi"/>
        </w:rPr>
        <w:t xml:space="preserve"> </w:t>
      </w:r>
      <w:r w:rsidRPr="00A56CC1">
        <w:rPr>
          <w:rFonts w:cstheme="minorHAnsi"/>
          <w:color w:val="000000"/>
        </w:rPr>
        <w:t xml:space="preserve">Ware Jr., E., </w:t>
      </w:r>
      <w:proofErr w:type="spellStart"/>
      <w:r w:rsidRPr="00A56CC1">
        <w:rPr>
          <w:rFonts w:cstheme="minorHAnsi"/>
          <w:color w:val="000000"/>
        </w:rPr>
        <w:t>Kosinski</w:t>
      </w:r>
      <w:proofErr w:type="spellEnd"/>
      <w:r w:rsidRPr="00A56CC1">
        <w:rPr>
          <w:rFonts w:cstheme="minorHAnsi"/>
          <w:color w:val="000000"/>
        </w:rPr>
        <w:t>, M. and Keller, S.D. (1995) How to score the SF-12 physical and mental health summary scales. 2nd Edition, The Health Institute, Boston.</w:t>
      </w:r>
    </w:p>
    <w:p w:rsidR="005B25D9" w:rsidRPr="00A56CC1" w:rsidRDefault="005B25D9" w:rsidP="00940DAB">
      <w:pPr>
        <w:pStyle w:val="EndnoteText"/>
        <w:contextualSpacing/>
        <w:rPr>
          <w:rFonts w:cstheme="minorHAnsi"/>
        </w:rPr>
      </w:pPr>
    </w:p>
  </w:endnote>
  <w:endnote w:id="50">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33" w:history="1">
        <w:r w:rsidRPr="00FB51BD">
          <w:rPr>
            <w:rStyle w:val="Hyperlink"/>
            <w:rFonts w:cstheme="minorHAnsi"/>
          </w:rPr>
          <w:t>http://www.gov.scot/Resource/Doc/175356/0066306.pdf</w:t>
        </w:r>
      </w:hyperlink>
    </w:p>
    <w:p w:rsidR="005B25D9" w:rsidRPr="00A56CC1" w:rsidRDefault="005B25D9" w:rsidP="00940DAB">
      <w:pPr>
        <w:pStyle w:val="EndnoteText"/>
        <w:contextualSpacing/>
        <w:rPr>
          <w:rFonts w:cstheme="minorHAnsi"/>
        </w:rPr>
      </w:pPr>
    </w:p>
  </w:endnote>
  <w:endnote w:id="51">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34" w:history="1">
        <w:r w:rsidRPr="00FB51BD">
          <w:rPr>
            <w:rStyle w:val="Hyperlink"/>
            <w:rFonts w:cstheme="minorHAnsi"/>
          </w:rPr>
          <w:t>https://medlineplus.gov/ency/article/007313.htm</w:t>
        </w:r>
      </w:hyperlink>
    </w:p>
    <w:p w:rsidR="005B25D9" w:rsidRPr="00A56CC1" w:rsidRDefault="005B25D9" w:rsidP="00940DAB">
      <w:pPr>
        <w:pStyle w:val="EndnoteText"/>
        <w:contextualSpacing/>
        <w:rPr>
          <w:rFonts w:cstheme="minorHAnsi"/>
        </w:rPr>
      </w:pPr>
    </w:p>
  </w:endnote>
  <w:endnote w:id="52">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35" w:history="1">
        <w:r w:rsidRPr="00FB51BD">
          <w:rPr>
            <w:rStyle w:val="Hyperlink"/>
            <w:rFonts w:cstheme="minorHAnsi"/>
          </w:rPr>
          <w:t>http://www.nhs.uk/Conditions/pregnancy-and-baby/pages/smoking-pregnant.aspx</w:t>
        </w:r>
      </w:hyperlink>
    </w:p>
    <w:p w:rsidR="005B25D9" w:rsidRPr="00A56CC1" w:rsidRDefault="005B25D9" w:rsidP="00940DAB">
      <w:pPr>
        <w:pStyle w:val="EndnoteText"/>
        <w:contextualSpacing/>
        <w:rPr>
          <w:rFonts w:cstheme="minorHAnsi"/>
        </w:rPr>
      </w:pPr>
    </w:p>
  </w:endnote>
  <w:endnote w:id="53">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36" w:history="1">
        <w:r w:rsidRPr="00FB51BD">
          <w:rPr>
            <w:rStyle w:val="Hyperlink"/>
            <w:rFonts w:cstheme="minorHAnsi"/>
          </w:rPr>
          <w:t>https://cdn.shopify.com/s/files/1/0924/4392/files/passive-smoking-and-children.pdf?15599436013786148553</w:t>
        </w:r>
      </w:hyperlink>
      <w:r w:rsidRPr="00A56CC1">
        <w:rPr>
          <w:rFonts w:cstheme="minorHAnsi"/>
        </w:rPr>
        <w:t>=</w:t>
      </w:r>
    </w:p>
    <w:p w:rsidR="005B25D9" w:rsidRPr="00A56CC1" w:rsidRDefault="005B25D9" w:rsidP="00940DAB">
      <w:pPr>
        <w:pStyle w:val="EndnoteText"/>
        <w:contextualSpacing/>
        <w:rPr>
          <w:rFonts w:cstheme="minorHAnsi"/>
        </w:rPr>
      </w:pPr>
    </w:p>
  </w:endnote>
  <w:endnote w:id="54">
    <w:p w:rsidR="005B25D9" w:rsidRDefault="005B25D9" w:rsidP="00940DAB">
      <w:pPr>
        <w:pStyle w:val="EndnoteText"/>
        <w:contextualSpacing/>
        <w:rPr>
          <w:rFonts w:ascii="Arial" w:hAnsi="Arial" w:cs="Arial"/>
        </w:rPr>
      </w:pPr>
      <w:r w:rsidRPr="00F30016">
        <w:rPr>
          <w:rStyle w:val="EndnoteReference"/>
          <w:rFonts w:ascii="Arial" w:hAnsi="Arial" w:cs="Arial"/>
        </w:rPr>
        <w:endnoteRef/>
      </w:r>
      <w:r w:rsidRPr="00F30016">
        <w:rPr>
          <w:rFonts w:ascii="Arial" w:hAnsi="Arial" w:cs="Arial"/>
        </w:rPr>
        <w:t xml:space="preserve"> </w:t>
      </w:r>
      <w:hyperlink r:id="rId37" w:history="1">
        <w:r w:rsidRPr="00FB51BD">
          <w:rPr>
            <w:rStyle w:val="Hyperlink"/>
            <w:rFonts w:ascii="Arial" w:hAnsi="Arial" w:cs="Arial"/>
          </w:rPr>
          <w:t>http://www.gov.scot/Resource/0041/00414641.pdf</w:t>
        </w:r>
      </w:hyperlink>
    </w:p>
    <w:p w:rsidR="005B25D9" w:rsidRPr="00F30016" w:rsidRDefault="005B25D9" w:rsidP="00940DAB">
      <w:pPr>
        <w:pStyle w:val="EndnoteText"/>
        <w:contextualSpacing/>
        <w:rPr>
          <w:rFonts w:ascii="Arial" w:hAnsi="Arial" w:cs="Arial"/>
        </w:rPr>
      </w:pPr>
    </w:p>
  </w:endnote>
  <w:endnote w:id="55">
    <w:p w:rsidR="005B25D9" w:rsidRDefault="005B25D9" w:rsidP="00C350A8">
      <w:pPr>
        <w:pStyle w:val="EndnoteText"/>
        <w:contextualSpacing/>
        <w:rPr>
          <w:rFonts w:cstheme="minorHAnsi"/>
        </w:rPr>
      </w:pPr>
      <w:r w:rsidRPr="00A56CC1">
        <w:rPr>
          <w:rStyle w:val="EndnoteReference"/>
          <w:rFonts w:cstheme="minorHAnsi"/>
        </w:rPr>
        <w:endnoteRef/>
      </w:r>
      <w:r w:rsidRPr="00A56CC1">
        <w:rPr>
          <w:rFonts w:cstheme="minorHAnsi"/>
        </w:rPr>
        <w:t xml:space="preserve"> AUDIT-C (Audit-Consumption) is derived from the first three questions on the standardised Alcohol Use Disorders Identification Test, developed by the World Health Organisation. It is one of two measures developed as a reliable pre-screen for a full AUDIT and is able to indicate whether an individual is potentially drinking at increasing or higher risk levels</w:t>
      </w:r>
      <w:r>
        <w:rPr>
          <w:rFonts w:cstheme="minorHAnsi"/>
        </w:rPr>
        <w:t>.</w:t>
      </w:r>
    </w:p>
    <w:p w:rsidR="005B25D9" w:rsidRPr="00A56CC1" w:rsidRDefault="005B25D9" w:rsidP="00C350A8">
      <w:pPr>
        <w:pStyle w:val="EndnoteText"/>
        <w:contextualSpacing/>
        <w:rPr>
          <w:rFonts w:cstheme="minorHAnsi"/>
        </w:rPr>
      </w:pPr>
    </w:p>
  </w:endnote>
  <w:endnote w:id="56">
    <w:p w:rsidR="005B25D9" w:rsidRDefault="005B25D9" w:rsidP="00C350A8">
      <w:pPr>
        <w:pStyle w:val="EndnoteText"/>
        <w:contextualSpacing/>
        <w:rPr>
          <w:rFonts w:cstheme="minorHAnsi"/>
        </w:rPr>
      </w:pPr>
      <w:r w:rsidRPr="00A56CC1">
        <w:rPr>
          <w:rStyle w:val="EndnoteReference"/>
          <w:rFonts w:cstheme="minorHAnsi"/>
        </w:rPr>
        <w:endnoteRef/>
      </w:r>
      <w:r w:rsidRPr="00A56CC1">
        <w:rPr>
          <w:rFonts w:cstheme="minorHAnsi"/>
        </w:rPr>
        <w:t xml:space="preserve"> Bush K, </w:t>
      </w:r>
      <w:proofErr w:type="spellStart"/>
      <w:r w:rsidRPr="00A56CC1">
        <w:rPr>
          <w:rFonts w:cstheme="minorHAnsi"/>
        </w:rPr>
        <w:t>Kivlahan</w:t>
      </w:r>
      <w:proofErr w:type="spellEnd"/>
      <w:r w:rsidRPr="00A56CC1">
        <w:rPr>
          <w:rFonts w:cstheme="minorHAnsi"/>
        </w:rPr>
        <w:t xml:space="preserve"> D, </w:t>
      </w:r>
      <w:proofErr w:type="spellStart"/>
      <w:r w:rsidRPr="00A56CC1">
        <w:rPr>
          <w:rFonts w:cstheme="minorHAnsi"/>
        </w:rPr>
        <w:t>McDonell</w:t>
      </w:r>
      <w:proofErr w:type="spellEnd"/>
      <w:r w:rsidRPr="00A56CC1">
        <w:rPr>
          <w:rFonts w:cstheme="minorHAnsi"/>
        </w:rPr>
        <w:t xml:space="preserve"> M, </w:t>
      </w:r>
      <w:proofErr w:type="spellStart"/>
      <w:r w:rsidRPr="00A56CC1">
        <w:rPr>
          <w:rFonts w:cstheme="minorHAnsi"/>
        </w:rPr>
        <w:t>Fihn</w:t>
      </w:r>
      <w:proofErr w:type="spellEnd"/>
      <w:r w:rsidRPr="00A56CC1">
        <w:rPr>
          <w:rFonts w:cstheme="minorHAnsi"/>
        </w:rPr>
        <w:t xml:space="preserve"> S and Bradley K, (1998). The AUDIT alcohol consumption questions (AUDIT-C): an effective brief screening test for problem drinking. Ambulatory Care Quality Improvement Project (ACQUIP). Alcohol Use Disorders Identification Test. Archives of Internal Medicine 158(16):1789-95.</w:t>
      </w:r>
    </w:p>
    <w:p w:rsidR="005B25D9" w:rsidRPr="00A56CC1" w:rsidRDefault="005B25D9" w:rsidP="00C350A8">
      <w:pPr>
        <w:pStyle w:val="EndnoteText"/>
        <w:contextualSpacing/>
        <w:rPr>
          <w:rFonts w:cstheme="minorHAnsi"/>
        </w:rPr>
      </w:pPr>
    </w:p>
  </w:endnote>
  <w:endnote w:id="57">
    <w:p w:rsidR="005B25D9" w:rsidRDefault="005B25D9" w:rsidP="00940DAB">
      <w:pPr>
        <w:pStyle w:val="EndnoteText"/>
        <w:contextualSpacing/>
      </w:pPr>
      <w:r>
        <w:rPr>
          <w:rStyle w:val="EndnoteReference"/>
        </w:rPr>
        <w:endnoteRef/>
      </w:r>
      <w:r>
        <w:t xml:space="preserve"> </w:t>
      </w:r>
      <w:hyperlink r:id="rId38" w:history="1">
        <w:r w:rsidRPr="00FB51BD">
          <w:rPr>
            <w:rStyle w:val="Hyperlink"/>
          </w:rPr>
          <w:t>http://www.gov.scot/Resource/0041/00414641.pdf</w:t>
        </w:r>
      </w:hyperlink>
    </w:p>
    <w:p w:rsidR="005B25D9" w:rsidRDefault="005B25D9" w:rsidP="00940DAB">
      <w:pPr>
        <w:pStyle w:val="EndnoteText"/>
        <w:contextualSpacing/>
      </w:pPr>
    </w:p>
  </w:endnote>
  <w:endnote w:id="58">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39" w:history="1">
        <w:r w:rsidRPr="00FB51BD">
          <w:rPr>
            <w:rStyle w:val="Hyperlink"/>
            <w:rFonts w:cstheme="minorHAnsi"/>
          </w:rPr>
          <w:t>http://www.healthscotland.com/uploads/documents/18212-A_brief_guide_to_attachment.pdf</w:t>
        </w:r>
      </w:hyperlink>
    </w:p>
    <w:p w:rsidR="005B25D9" w:rsidRPr="00A56CC1" w:rsidRDefault="005B25D9" w:rsidP="00940DAB">
      <w:pPr>
        <w:pStyle w:val="EndnoteText"/>
        <w:contextualSpacing/>
        <w:rPr>
          <w:rFonts w:cstheme="minorHAnsi"/>
        </w:rPr>
      </w:pPr>
    </w:p>
  </w:endnote>
  <w:endnote w:id="59">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0" w:history="1">
        <w:r w:rsidRPr="00FB51BD">
          <w:rPr>
            <w:rStyle w:val="Hyperlink"/>
            <w:rFonts w:cstheme="minorHAnsi"/>
          </w:rPr>
          <w:t>http://growingupinscotland.org.uk/wp-content/uploads/2013/05/GUSYear5parentingbriefing.pdf</w:t>
        </w:r>
      </w:hyperlink>
    </w:p>
    <w:p w:rsidR="005B25D9" w:rsidRPr="00C4029B" w:rsidRDefault="005B25D9" w:rsidP="00940DAB">
      <w:pPr>
        <w:pStyle w:val="EndnoteText"/>
        <w:contextualSpacing/>
        <w:rPr>
          <w:rFonts w:cstheme="minorHAnsi"/>
        </w:rPr>
      </w:pPr>
    </w:p>
  </w:endnote>
  <w:endnote w:id="60">
    <w:p w:rsidR="005B25D9" w:rsidRPr="00C4029B" w:rsidRDefault="005B25D9" w:rsidP="00940DAB">
      <w:pPr>
        <w:pStyle w:val="EndnoteText"/>
        <w:rPr>
          <w:rStyle w:val="nlmlpage"/>
          <w:rFonts w:cstheme="minorHAnsi"/>
          <w:color w:val="333333"/>
        </w:rPr>
      </w:pPr>
      <w:r w:rsidRPr="00C4029B">
        <w:rPr>
          <w:rStyle w:val="EndnoteReference"/>
          <w:rFonts w:cstheme="minorHAnsi"/>
        </w:rPr>
        <w:endnoteRef/>
      </w:r>
      <w:r w:rsidRPr="00C4029B">
        <w:rPr>
          <w:rFonts w:cstheme="minorHAnsi"/>
        </w:rPr>
        <w:t xml:space="preserve"> </w:t>
      </w:r>
      <w:r w:rsidRPr="00C4029B">
        <w:rPr>
          <w:rStyle w:val="hlfld-contribauthor"/>
          <w:rFonts w:cstheme="minorHAnsi"/>
          <w:color w:val="333333"/>
        </w:rPr>
        <w:t>Condon</w:t>
      </w:r>
      <w:r w:rsidRPr="00C4029B">
        <w:rPr>
          <w:rStyle w:val="apple-converted-space"/>
          <w:rFonts w:cstheme="minorHAnsi"/>
          <w:color w:val="333333"/>
        </w:rPr>
        <w:t xml:space="preserve">  </w:t>
      </w:r>
      <w:proofErr w:type="spellStart"/>
      <w:r w:rsidRPr="00C4029B">
        <w:rPr>
          <w:rStyle w:val="nlmgiven-names"/>
          <w:rFonts w:cstheme="minorHAnsi"/>
          <w:color w:val="333333"/>
        </w:rPr>
        <w:t>JI</w:t>
      </w:r>
      <w:proofErr w:type="spellEnd"/>
      <w:r w:rsidRPr="00C4029B">
        <w:rPr>
          <w:rStyle w:val="apple-converted-space"/>
          <w:rFonts w:cstheme="minorHAnsi"/>
          <w:color w:val="333333"/>
        </w:rPr>
        <w:t> </w:t>
      </w:r>
      <w:r w:rsidRPr="00C4029B">
        <w:rPr>
          <w:rFonts w:cstheme="minorHAnsi"/>
          <w:color w:val="333333"/>
        </w:rPr>
        <w:t>&amp;</w:t>
      </w:r>
      <w:r w:rsidRPr="00C4029B">
        <w:rPr>
          <w:rStyle w:val="apple-converted-space"/>
          <w:rFonts w:cstheme="minorHAnsi"/>
          <w:color w:val="333333"/>
        </w:rPr>
        <w:t> </w:t>
      </w:r>
      <w:proofErr w:type="spellStart"/>
      <w:r w:rsidRPr="00C4029B">
        <w:rPr>
          <w:rStyle w:val="hlfld-contribauthor"/>
          <w:rFonts w:cstheme="minorHAnsi"/>
          <w:color w:val="333333"/>
        </w:rPr>
        <w:t>Corkindale</w:t>
      </w:r>
      <w:proofErr w:type="spellEnd"/>
      <w:r w:rsidRPr="00C4029B">
        <w:rPr>
          <w:rStyle w:val="apple-converted-space"/>
          <w:rFonts w:cstheme="minorHAnsi"/>
          <w:color w:val="333333"/>
        </w:rPr>
        <w:t> </w:t>
      </w:r>
      <w:r w:rsidRPr="00C4029B">
        <w:rPr>
          <w:rStyle w:val="nlmgiven-names"/>
          <w:rFonts w:cstheme="minorHAnsi"/>
          <w:color w:val="333333"/>
        </w:rPr>
        <w:t>CJ (1998)</w:t>
      </w:r>
      <w:r w:rsidRPr="00C4029B">
        <w:rPr>
          <w:rStyle w:val="apple-converted-space"/>
          <w:rFonts w:cstheme="minorHAnsi"/>
          <w:color w:val="333333"/>
        </w:rPr>
        <w:t> </w:t>
      </w:r>
      <w:r w:rsidRPr="00C4029B">
        <w:rPr>
          <w:rStyle w:val="nlmarticle-title"/>
          <w:rFonts w:cstheme="minorHAnsi"/>
          <w:color w:val="333333"/>
        </w:rPr>
        <w:t xml:space="preserve"> The assessment of parent</w:t>
      </w:r>
      <w:r w:rsidRPr="00C4029B">
        <w:rPr>
          <w:rStyle w:val="nlmarticle-title"/>
          <w:rFonts w:ascii="Cambria Math" w:hAnsi="Cambria Math" w:cs="Cambria Math"/>
          <w:color w:val="333333"/>
        </w:rPr>
        <w:t>‐</w:t>
      </w:r>
      <w:r w:rsidRPr="00C4029B">
        <w:rPr>
          <w:rStyle w:val="nlmarticle-title"/>
          <w:rFonts w:cstheme="minorHAnsi"/>
          <w:color w:val="333333"/>
        </w:rPr>
        <w:t>to</w:t>
      </w:r>
      <w:r w:rsidRPr="00C4029B">
        <w:rPr>
          <w:rStyle w:val="nlmarticle-title"/>
          <w:rFonts w:ascii="Cambria Math" w:hAnsi="Cambria Math" w:cs="Cambria Math"/>
          <w:color w:val="333333"/>
        </w:rPr>
        <w:t>‐</w:t>
      </w:r>
      <w:r w:rsidRPr="00C4029B">
        <w:rPr>
          <w:rStyle w:val="nlmarticle-title"/>
          <w:rFonts w:cstheme="minorHAnsi"/>
          <w:color w:val="333333"/>
        </w:rPr>
        <w:t>infant attachment: development of a self</w:t>
      </w:r>
      <w:r w:rsidRPr="00C4029B">
        <w:rPr>
          <w:rStyle w:val="nlmarticle-title"/>
          <w:rFonts w:ascii="Cambria Math" w:hAnsi="Cambria Math" w:cs="Cambria Math"/>
          <w:color w:val="333333"/>
        </w:rPr>
        <w:t>‐</w:t>
      </w:r>
      <w:r w:rsidRPr="00C4029B">
        <w:rPr>
          <w:rStyle w:val="nlmarticle-title"/>
          <w:rFonts w:cstheme="minorHAnsi"/>
          <w:color w:val="333333"/>
        </w:rPr>
        <w:t>report questionnaire instrument</w:t>
      </w:r>
      <w:r w:rsidRPr="00C4029B">
        <w:rPr>
          <w:rFonts w:cstheme="minorHAnsi"/>
          <w:color w:val="333333"/>
        </w:rPr>
        <w:t>.</w:t>
      </w:r>
      <w:r w:rsidRPr="00C4029B">
        <w:rPr>
          <w:rStyle w:val="apple-converted-space"/>
          <w:rFonts w:cstheme="minorHAnsi"/>
          <w:color w:val="333333"/>
        </w:rPr>
        <w:t> </w:t>
      </w:r>
      <w:r w:rsidRPr="00C4029B">
        <w:rPr>
          <w:rFonts w:cstheme="minorHAnsi"/>
          <w:iCs/>
          <w:color w:val="333333"/>
        </w:rPr>
        <w:t>Journal of Reproductive and Infant Psychology</w:t>
      </w:r>
      <w:r w:rsidRPr="00C4029B">
        <w:rPr>
          <w:rFonts w:cstheme="minorHAnsi"/>
          <w:color w:val="333333"/>
        </w:rPr>
        <w:t>.</w:t>
      </w:r>
      <w:r w:rsidRPr="00C4029B">
        <w:rPr>
          <w:rStyle w:val="apple-converted-space"/>
          <w:rFonts w:cstheme="minorHAnsi"/>
          <w:color w:val="333333"/>
        </w:rPr>
        <w:t> </w:t>
      </w:r>
      <w:r w:rsidRPr="00C4029B">
        <w:rPr>
          <w:rFonts w:cstheme="minorHAnsi"/>
          <w:color w:val="333333"/>
        </w:rPr>
        <w:t>16:</w:t>
      </w:r>
      <w:r w:rsidRPr="00C4029B">
        <w:rPr>
          <w:rStyle w:val="apple-converted-space"/>
          <w:rFonts w:cstheme="minorHAnsi"/>
          <w:color w:val="333333"/>
        </w:rPr>
        <w:t> </w:t>
      </w:r>
      <w:r w:rsidRPr="00C4029B">
        <w:rPr>
          <w:rStyle w:val="nlmfpage"/>
          <w:rFonts w:cstheme="minorHAnsi"/>
          <w:color w:val="333333"/>
        </w:rPr>
        <w:t>57</w:t>
      </w:r>
      <w:r w:rsidRPr="00C4029B">
        <w:rPr>
          <w:rFonts w:cstheme="minorHAnsi"/>
          <w:color w:val="333333"/>
        </w:rPr>
        <w:t>–</w:t>
      </w:r>
      <w:r w:rsidRPr="00C4029B">
        <w:rPr>
          <w:rStyle w:val="nlmlpage"/>
          <w:rFonts w:cstheme="minorHAnsi"/>
          <w:color w:val="333333"/>
        </w:rPr>
        <w:t>77</w:t>
      </w:r>
    </w:p>
    <w:p w:rsidR="005B25D9" w:rsidRDefault="005B25D9" w:rsidP="00940DAB">
      <w:pPr>
        <w:pStyle w:val="EndnoteText"/>
      </w:pPr>
    </w:p>
  </w:endnote>
  <w:endnote w:id="61">
    <w:p w:rsidR="005B25D9" w:rsidRPr="00A56CC1" w:rsidRDefault="005B25D9" w:rsidP="006A7860">
      <w:pPr>
        <w:pStyle w:val="NormalWeb"/>
        <w:spacing w:after="0" w:line="240" w:lineRule="auto"/>
        <w:contextualSpacing/>
        <w:rPr>
          <w:rFonts w:asciiTheme="minorHAnsi" w:hAnsiTheme="minorHAnsi" w:cstheme="minorHAnsi"/>
          <w:sz w:val="20"/>
          <w:szCs w:val="20"/>
        </w:rPr>
      </w:pPr>
      <w:r w:rsidRPr="00A56CC1">
        <w:rPr>
          <w:rStyle w:val="EndnoteReference"/>
          <w:rFonts w:asciiTheme="minorHAnsi" w:hAnsiTheme="minorHAnsi" w:cstheme="minorHAnsi"/>
          <w:sz w:val="20"/>
          <w:szCs w:val="20"/>
        </w:rPr>
        <w:endnoteRef/>
      </w:r>
      <w:r w:rsidRPr="00A56CC1">
        <w:rPr>
          <w:rFonts w:asciiTheme="minorHAnsi" w:hAnsiTheme="minorHAnsi" w:cstheme="minorHAnsi"/>
          <w:sz w:val="20"/>
          <w:szCs w:val="20"/>
        </w:rPr>
        <w:t xml:space="preserv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R. C. (1992). </w:t>
      </w:r>
      <w:r w:rsidRPr="00A56CC1">
        <w:rPr>
          <w:rFonts w:asciiTheme="minorHAnsi" w:hAnsiTheme="minorHAnsi" w:cstheme="minorHAnsi"/>
          <w:i/>
          <w:iCs/>
          <w:sz w:val="20"/>
          <w:szCs w:val="20"/>
        </w:rPr>
        <w:t>Child-Parent Relationship Scale</w:t>
      </w:r>
      <w:r w:rsidRPr="00A56CC1">
        <w:rPr>
          <w:rFonts w:asciiTheme="minorHAnsi" w:hAnsiTheme="minorHAnsi" w:cstheme="minorHAnsi"/>
          <w:sz w:val="20"/>
          <w:szCs w:val="20"/>
        </w:rPr>
        <w:t xml:space="preserve">. Charlottesville, VA, Unpublished measure, University of Virginia. </w:t>
      </w:r>
    </w:p>
    <w:p w:rsidR="005B25D9" w:rsidRPr="00A56CC1" w:rsidRDefault="005B25D9" w:rsidP="006A7860">
      <w:pPr>
        <w:pStyle w:val="EndnoteText"/>
        <w:contextualSpacing/>
        <w:rPr>
          <w:rFonts w:cstheme="minorHAnsi"/>
        </w:rPr>
      </w:pPr>
    </w:p>
  </w:endnote>
  <w:endnote w:id="62">
    <w:p w:rsidR="005B25D9" w:rsidRPr="00A56CC1" w:rsidRDefault="005B25D9" w:rsidP="00940DAB">
      <w:pPr>
        <w:pStyle w:val="NormalWeb"/>
        <w:spacing w:after="0" w:line="240" w:lineRule="auto"/>
        <w:contextualSpacing/>
        <w:rPr>
          <w:rFonts w:asciiTheme="minorHAnsi" w:hAnsiTheme="minorHAnsi" w:cstheme="minorHAnsi"/>
          <w:sz w:val="20"/>
          <w:szCs w:val="20"/>
        </w:rPr>
      </w:pPr>
      <w:r w:rsidRPr="00A56CC1">
        <w:rPr>
          <w:rStyle w:val="EndnoteReference"/>
          <w:rFonts w:asciiTheme="minorHAnsi" w:hAnsiTheme="minorHAnsi" w:cstheme="minorHAnsi"/>
          <w:sz w:val="20"/>
          <w:szCs w:val="20"/>
        </w:rPr>
        <w:endnoteRef/>
      </w:r>
      <w:r w:rsidRPr="00A56CC1">
        <w:rPr>
          <w:rFonts w:asciiTheme="minorHAnsi" w:hAnsiTheme="minorHAnsi" w:cstheme="minorHAnsi"/>
          <w:sz w:val="20"/>
          <w:szCs w:val="20"/>
        </w:rPr>
        <w:t xml:space="preserve"> The </w:t>
      </w:r>
      <w:r w:rsidRPr="00A56CC1">
        <w:rPr>
          <w:rFonts w:asciiTheme="minorHAnsi" w:hAnsiTheme="minorHAnsi" w:cstheme="minorHAnsi"/>
          <w:b/>
          <w:bCs/>
          <w:sz w:val="20"/>
          <w:szCs w:val="20"/>
        </w:rPr>
        <w:t xml:space="preserve">warmth of mother-child relationship </w:t>
      </w:r>
      <w:r w:rsidRPr="00A56CC1">
        <w:rPr>
          <w:rFonts w:asciiTheme="minorHAnsi" w:hAnsiTheme="minorHAnsi" w:cstheme="minorHAnsi"/>
          <w:sz w:val="20"/>
          <w:szCs w:val="20"/>
        </w:rPr>
        <w:t xml:space="preserve">was measured using seven items from the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scale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1992) (reliability acceptable, Cronbach alpha=0.67). Each item was scored as 1 definitely does not apply, 2 not really, 3 neutral, 4 applies sometimes, or 5 definitely applies. ‘Can’t say’ responses were considered as missing. Scores were summed for parents who had completed all warmth items. The scores were derived using the same categories as Growing Up in Scotland (2011) in which a high number of parents scored the maximum of 35, and so the lowest third of parents (with scores between 7 and 33) were contrasted with the remainder (referred to as ‘high warmth’). </w:t>
      </w:r>
      <w:r w:rsidRPr="00A56CC1">
        <w:rPr>
          <w:rFonts w:asciiTheme="minorHAnsi" w:hAnsiTheme="minorHAnsi" w:cstheme="minorHAnsi"/>
          <w:b/>
          <w:bCs/>
          <w:sz w:val="20"/>
          <w:szCs w:val="20"/>
        </w:rPr>
        <w:t xml:space="preserve">Mother-child conflict </w:t>
      </w:r>
      <w:r w:rsidRPr="00A56CC1">
        <w:rPr>
          <w:rFonts w:asciiTheme="minorHAnsi" w:hAnsiTheme="minorHAnsi" w:cstheme="minorHAnsi"/>
          <w:sz w:val="20"/>
          <w:szCs w:val="20"/>
        </w:rPr>
        <w:t xml:space="preserve">was measured using eight items from the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scale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1992) with items scored on a 4-point scale as for the </w:t>
      </w:r>
      <w:proofErr w:type="spellStart"/>
      <w:r w:rsidRPr="00A56CC1">
        <w:rPr>
          <w:rFonts w:asciiTheme="minorHAnsi" w:hAnsiTheme="minorHAnsi" w:cstheme="minorHAnsi"/>
          <w:sz w:val="20"/>
          <w:szCs w:val="20"/>
        </w:rPr>
        <w:t>Pianta</w:t>
      </w:r>
      <w:proofErr w:type="spellEnd"/>
      <w:r w:rsidRPr="00A56CC1">
        <w:rPr>
          <w:rFonts w:asciiTheme="minorHAnsi" w:hAnsiTheme="minorHAnsi" w:cstheme="minorHAnsi"/>
          <w:sz w:val="20"/>
          <w:szCs w:val="20"/>
        </w:rPr>
        <w:t xml:space="preserve"> warmth items (see above). Cronbach’s alpha indicated good reliability (0.80). Scores were summed for parents who had completed all conflict items and grouped those that scored 8-12 (lowest conflict), 13-18 (medium conflict), or 19-40 (high conflict). </w:t>
      </w:r>
    </w:p>
    <w:p w:rsidR="005B25D9" w:rsidRPr="00A56CC1" w:rsidRDefault="005B25D9" w:rsidP="00940DAB">
      <w:pPr>
        <w:pStyle w:val="EndnoteText"/>
        <w:contextualSpacing/>
        <w:rPr>
          <w:rFonts w:cstheme="minorHAnsi"/>
        </w:rPr>
      </w:pPr>
    </w:p>
  </w:endnote>
  <w:endnote w:id="63">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1" w:history="1">
        <w:r w:rsidRPr="00A56CC1">
          <w:rPr>
            <w:rStyle w:val="Hyperlink"/>
            <w:rFonts w:cstheme="minorHAnsi"/>
          </w:rPr>
          <w:t>http://www.gov.scot/Resource/Doc/350041/0117150.pdf</w:t>
        </w:r>
      </w:hyperlink>
    </w:p>
    <w:p w:rsidR="005B25D9" w:rsidRPr="00A56CC1" w:rsidRDefault="005B25D9" w:rsidP="00940DAB">
      <w:pPr>
        <w:pStyle w:val="EndnoteText"/>
        <w:contextualSpacing/>
        <w:rPr>
          <w:rFonts w:cstheme="minorHAnsi"/>
        </w:rPr>
      </w:pPr>
    </w:p>
  </w:endnote>
  <w:endnote w:id="64">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2" w:history="1">
        <w:r w:rsidRPr="00FB51BD">
          <w:rPr>
            <w:rStyle w:val="Hyperlink"/>
            <w:rFonts w:cstheme="minorHAnsi"/>
          </w:rPr>
          <w:t>http://www.ifs.org.uk/docs/ee_impact.pdf</w:t>
        </w:r>
      </w:hyperlink>
    </w:p>
    <w:p w:rsidR="005B25D9" w:rsidRPr="00A56CC1" w:rsidRDefault="005B25D9" w:rsidP="00940DAB">
      <w:pPr>
        <w:pStyle w:val="EndnoteText"/>
        <w:contextualSpacing/>
        <w:rPr>
          <w:rFonts w:cstheme="minorHAnsi"/>
        </w:rPr>
      </w:pPr>
    </w:p>
  </w:endnote>
  <w:endnote w:id="65">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3" w:history="1">
        <w:r w:rsidRPr="00FB51BD">
          <w:rPr>
            <w:rStyle w:val="Hyperlink"/>
            <w:rFonts w:cstheme="minorHAnsi"/>
          </w:rPr>
          <w:t>https://www.jrf.org.uk/sites/default/files/jrf/migrated/files/education-attainment-scotland-full.pdf</w:t>
        </w:r>
      </w:hyperlink>
    </w:p>
    <w:p w:rsidR="005B25D9" w:rsidRPr="00A56CC1" w:rsidRDefault="005B25D9" w:rsidP="00940DAB">
      <w:pPr>
        <w:pStyle w:val="EndnoteText"/>
        <w:contextualSpacing/>
        <w:rPr>
          <w:rFonts w:cstheme="minorHAnsi"/>
        </w:rPr>
      </w:pPr>
    </w:p>
  </w:endnote>
  <w:endnote w:id="66">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4" w:history="1">
        <w:r w:rsidRPr="00A56CC1">
          <w:rPr>
            <w:rStyle w:val="Hyperlink"/>
            <w:rFonts w:cstheme="minorHAnsi"/>
          </w:rPr>
          <w:t>http://www.gov.scot/Resource/Doc/310722/0098010.pdf</w:t>
        </w:r>
      </w:hyperlink>
      <w:r w:rsidRPr="00A56CC1">
        <w:rPr>
          <w:rFonts w:cstheme="minorHAnsi"/>
        </w:rPr>
        <w:t xml:space="preserve"> </w:t>
      </w:r>
    </w:p>
    <w:p w:rsidR="005B25D9" w:rsidRPr="00A56CC1" w:rsidRDefault="005B25D9" w:rsidP="00940DAB">
      <w:pPr>
        <w:pStyle w:val="EndnoteText"/>
        <w:contextualSpacing/>
        <w:rPr>
          <w:rFonts w:cstheme="minorHAnsi"/>
        </w:rPr>
      </w:pPr>
    </w:p>
  </w:endnote>
  <w:endnote w:id="67">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5" w:history="1">
        <w:r w:rsidRPr="00FB51BD">
          <w:rPr>
            <w:rStyle w:val="Hyperlink"/>
            <w:rFonts w:cstheme="minorHAnsi"/>
          </w:rPr>
          <w:t>http://www.gov.scot/Resource/0050/00501021.pdf</w:t>
        </w:r>
      </w:hyperlink>
    </w:p>
    <w:p w:rsidR="005B25D9" w:rsidRPr="00A56CC1" w:rsidRDefault="005B25D9" w:rsidP="00940DAB">
      <w:pPr>
        <w:pStyle w:val="EndnoteText"/>
        <w:contextualSpacing/>
        <w:rPr>
          <w:rFonts w:cstheme="minorHAnsi"/>
        </w:rPr>
      </w:pPr>
    </w:p>
  </w:endnote>
  <w:endnote w:id="68">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6" w:history="1">
        <w:r w:rsidRPr="00FB51BD">
          <w:rPr>
            <w:rStyle w:val="Hyperlink"/>
            <w:rFonts w:cstheme="minorHAnsi"/>
          </w:rPr>
          <w:t>http://www.gov.scot/Resource/0039/00392709.pdf</w:t>
        </w:r>
      </w:hyperlink>
    </w:p>
    <w:p w:rsidR="005B25D9" w:rsidRPr="00A56CC1" w:rsidRDefault="005B25D9" w:rsidP="00940DAB">
      <w:pPr>
        <w:pStyle w:val="EndnoteText"/>
        <w:contextualSpacing/>
        <w:rPr>
          <w:rFonts w:cstheme="minorHAnsi"/>
        </w:rPr>
      </w:pPr>
    </w:p>
  </w:endnote>
  <w:endnote w:id="69">
    <w:p w:rsidR="005B25D9" w:rsidRPr="00A56CC1"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Department for Education (2011) Special Educational Needs Information Act: An Analysis</w:t>
      </w:r>
    </w:p>
    <w:p w:rsidR="005B25D9" w:rsidRDefault="005B25D9" w:rsidP="00940DAB">
      <w:pPr>
        <w:pStyle w:val="EndnoteText"/>
        <w:contextualSpacing/>
        <w:rPr>
          <w:rFonts w:cstheme="minorHAnsi"/>
        </w:rPr>
      </w:pPr>
      <w:r w:rsidRPr="00A56CC1">
        <w:rPr>
          <w:rFonts w:cstheme="minorHAnsi"/>
        </w:rPr>
        <w:t>2011.</w:t>
      </w:r>
    </w:p>
    <w:p w:rsidR="005B25D9" w:rsidRPr="00A56CC1" w:rsidRDefault="005B25D9" w:rsidP="00940DAB">
      <w:pPr>
        <w:pStyle w:val="EndnoteText"/>
        <w:contextualSpacing/>
        <w:rPr>
          <w:rFonts w:cstheme="minorHAnsi"/>
        </w:rPr>
      </w:pPr>
    </w:p>
  </w:endnote>
  <w:endnote w:id="70">
    <w:p w:rsidR="005B25D9" w:rsidRPr="00A56CC1" w:rsidRDefault="005B25D9" w:rsidP="00940DAB">
      <w:pPr>
        <w:spacing w:after="0" w:line="240" w:lineRule="auto"/>
        <w:contextualSpacing/>
        <w:rPr>
          <w:rFonts w:cstheme="minorHAnsi"/>
          <w:sz w:val="20"/>
          <w:szCs w:val="20"/>
        </w:rPr>
      </w:pPr>
      <w:r w:rsidRPr="00A56CC1">
        <w:rPr>
          <w:rStyle w:val="EndnoteReference"/>
          <w:rFonts w:cstheme="minorHAnsi"/>
          <w:sz w:val="20"/>
          <w:szCs w:val="20"/>
        </w:rPr>
        <w:endnoteRef/>
      </w:r>
      <w:r w:rsidRPr="00A56CC1">
        <w:rPr>
          <w:rFonts w:cstheme="minorHAnsi"/>
          <w:sz w:val="20"/>
          <w:szCs w:val="20"/>
        </w:rPr>
        <w:t xml:space="preserve"> </w:t>
      </w:r>
      <w:hyperlink r:id="rId47" w:history="1">
        <w:r w:rsidRPr="00A56CC1">
          <w:rPr>
            <w:rStyle w:val="Hyperlink"/>
            <w:rFonts w:cstheme="minorHAnsi"/>
            <w:sz w:val="20"/>
            <w:szCs w:val="20"/>
          </w:rPr>
          <w:t>http://www.gov.scot/Resource/Doc/17002/0023718.pdf</w:t>
        </w:r>
      </w:hyperlink>
    </w:p>
    <w:p w:rsidR="005B25D9" w:rsidRPr="00A56CC1" w:rsidRDefault="005B25D9" w:rsidP="00940DAB">
      <w:pPr>
        <w:pStyle w:val="EndnoteText"/>
        <w:contextualSpacing/>
        <w:rPr>
          <w:rFonts w:cstheme="minorHAnsi"/>
        </w:rPr>
      </w:pPr>
    </w:p>
  </w:endnote>
  <w:endnote w:id="71">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48" w:history="1">
        <w:r w:rsidRPr="00FB51BD">
          <w:rPr>
            <w:rStyle w:val="Hyperlink"/>
            <w:rFonts w:cstheme="minorHAnsi"/>
          </w:rPr>
          <w:t>http://www.gov.scot/Resource/Doc/263896/0079034.pdf</w:t>
        </w:r>
      </w:hyperlink>
    </w:p>
    <w:p w:rsidR="005B25D9" w:rsidRPr="00A56CC1" w:rsidRDefault="005B25D9" w:rsidP="00940DAB">
      <w:pPr>
        <w:pStyle w:val="EndnoteText"/>
        <w:contextualSpacing/>
        <w:rPr>
          <w:rFonts w:cstheme="minorHAnsi"/>
        </w:rPr>
      </w:pPr>
    </w:p>
  </w:endnote>
  <w:endnote w:id="72">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Data from these questions were combined to produce a score for each respondent of between 5 and 25, with those scoring between 5 and 9 classified as perceiving their area as more safe, those scoring between 10 and 13 classified as perceiving their area as having a medium level of safety, and those scoring between 14 and 25 classified as perceiving their area as less safe.</w:t>
      </w:r>
    </w:p>
    <w:p w:rsidR="005B25D9" w:rsidRPr="00A56CC1" w:rsidRDefault="005B25D9" w:rsidP="00940DAB">
      <w:pPr>
        <w:pStyle w:val="EndnoteText"/>
        <w:contextualSpacing/>
        <w:rPr>
          <w:rFonts w:cstheme="minorHAnsi"/>
        </w:rPr>
      </w:pPr>
    </w:p>
  </w:endnote>
  <w:endnote w:id="73">
    <w:p w:rsidR="005B25D9" w:rsidRDefault="005B25D9" w:rsidP="00940DAB">
      <w:pPr>
        <w:pStyle w:val="EndnoteText"/>
        <w:contextualSpacing/>
        <w:rPr>
          <w:rFonts w:cstheme="minorHAnsi"/>
          <w:color w:val="000000"/>
          <w:lang w:val="en-US"/>
        </w:rPr>
      </w:pPr>
      <w:r w:rsidRPr="00A56CC1">
        <w:rPr>
          <w:rStyle w:val="EndnoteReference"/>
          <w:rFonts w:cstheme="minorHAnsi"/>
        </w:rPr>
        <w:endnoteRef/>
      </w:r>
      <w:r w:rsidRPr="00A56CC1">
        <w:rPr>
          <w:rFonts w:cstheme="minorHAnsi"/>
        </w:rPr>
        <w:t xml:space="preserve"> </w:t>
      </w:r>
      <w:r w:rsidRPr="00A56CC1">
        <w:rPr>
          <w:rFonts w:cstheme="minorHAnsi"/>
          <w:color w:val="000000"/>
          <w:lang w:val="en-US"/>
        </w:rPr>
        <w:t xml:space="preserve">Mabelis, J. and Marryat, L. (2011) </w:t>
      </w:r>
      <w:r w:rsidRPr="00A56CC1">
        <w:rPr>
          <w:rStyle w:val="Emphasis"/>
          <w:rFonts w:cstheme="minorHAnsi"/>
          <w:color w:val="000000"/>
          <w:lang w:val="en-US"/>
        </w:rPr>
        <w:t xml:space="preserve">Growing Up in Scotland: Parental service use and informal networks in the early years </w:t>
      </w:r>
      <w:r w:rsidRPr="00A56CC1">
        <w:rPr>
          <w:rFonts w:cstheme="minorHAnsi"/>
          <w:color w:val="000000"/>
          <w:lang w:val="en-US"/>
        </w:rPr>
        <w:t>Edinburgh: Scottish Government</w:t>
      </w:r>
    </w:p>
    <w:p w:rsidR="005B25D9" w:rsidRPr="00A56CC1" w:rsidRDefault="005B25D9" w:rsidP="00940DAB">
      <w:pPr>
        <w:pStyle w:val="EndnoteText"/>
        <w:contextualSpacing/>
        <w:rPr>
          <w:rFonts w:cstheme="minorHAnsi"/>
        </w:rPr>
      </w:pPr>
    </w:p>
  </w:endnote>
  <w:endnote w:id="74">
    <w:p w:rsidR="005B25D9" w:rsidRDefault="005B25D9" w:rsidP="00940DAB">
      <w:pPr>
        <w:pStyle w:val="EndnoteText"/>
        <w:contextualSpacing/>
        <w:rPr>
          <w:rFonts w:cstheme="minorHAnsi"/>
          <w:color w:val="000000"/>
          <w:lang w:val="en-US"/>
        </w:rPr>
      </w:pPr>
      <w:r w:rsidRPr="00A56CC1">
        <w:rPr>
          <w:rStyle w:val="EndnoteReference"/>
          <w:rFonts w:cstheme="minorHAnsi"/>
        </w:rPr>
        <w:endnoteRef/>
      </w:r>
      <w:r w:rsidRPr="00A56CC1">
        <w:rPr>
          <w:rFonts w:cstheme="minorHAnsi"/>
        </w:rPr>
        <w:t xml:space="preserve"> </w:t>
      </w:r>
      <w:r w:rsidRPr="00A56CC1">
        <w:rPr>
          <w:rFonts w:cstheme="minorHAnsi"/>
          <w:color w:val="000000"/>
          <w:lang w:val="en-US"/>
        </w:rPr>
        <w:t>Bradshaw, P., Sharp, P. Webster, C. and Jamieson, L (2009)</w:t>
      </w:r>
      <w:r w:rsidRPr="00A56CC1">
        <w:rPr>
          <w:rStyle w:val="Emphasis"/>
          <w:rFonts w:cstheme="minorHAnsi"/>
          <w:color w:val="000000"/>
          <w:lang w:val="en-US"/>
        </w:rPr>
        <w:t xml:space="preserve"> Growing Up in Scotland: Year 3 – Parenting and the </w:t>
      </w:r>
      <w:proofErr w:type="spellStart"/>
      <w:r w:rsidRPr="00A56CC1">
        <w:rPr>
          <w:rStyle w:val="Emphasis"/>
          <w:rFonts w:cstheme="minorHAnsi"/>
          <w:color w:val="000000"/>
          <w:lang w:val="en-US"/>
        </w:rPr>
        <w:t>Neighbourhood</w:t>
      </w:r>
      <w:proofErr w:type="spellEnd"/>
      <w:r w:rsidRPr="00A56CC1">
        <w:rPr>
          <w:rStyle w:val="Emphasis"/>
          <w:rFonts w:cstheme="minorHAnsi"/>
          <w:color w:val="000000"/>
          <w:lang w:val="en-US"/>
        </w:rPr>
        <w:t xml:space="preserve"> Context </w:t>
      </w:r>
      <w:r w:rsidRPr="00A56CC1">
        <w:rPr>
          <w:rFonts w:cstheme="minorHAnsi"/>
          <w:color w:val="000000"/>
          <w:lang w:val="en-US"/>
        </w:rPr>
        <w:t>Edinburgh: Scottish Government</w:t>
      </w:r>
    </w:p>
    <w:p w:rsidR="005B25D9" w:rsidRPr="00A56CC1" w:rsidRDefault="005B25D9" w:rsidP="00940DAB">
      <w:pPr>
        <w:pStyle w:val="EndnoteText"/>
        <w:contextualSpacing/>
        <w:rPr>
          <w:rFonts w:cstheme="minorHAnsi"/>
        </w:rPr>
      </w:pPr>
    </w:p>
  </w:endnote>
  <w:endnote w:id="75">
    <w:p w:rsidR="005B25D9" w:rsidRDefault="005B25D9" w:rsidP="00940DAB">
      <w:pPr>
        <w:pStyle w:val="Default"/>
        <w:contextualSpacing/>
        <w:rPr>
          <w:rFonts w:asciiTheme="minorHAnsi" w:hAnsiTheme="minorHAnsi" w:cstheme="minorHAnsi"/>
          <w:sz w:val="20"/>
          <w:szCs w:val="20"/>
        </w:rPr>
      </w:pPr>
      <w:r w:rsidRPr="00A56CC1">
        <w:rPr>
          <w:rStyle w:val="EndnoteReference"/>
          <w:rFonts w:asciiTheme="minorHAnsi" w:hAnsiTheme="minorHAnsi" w:cstheme="minorHAnsi"/>
          <w:sz w:val="20"/>
          <w:szCs w:val="20"/>
        </w:rPr>
        <w:endnoteRef/>
      </w:r>
      <w:r w:rsidRPr="00A56CC1">
        <w:rPr>
          <w:rFonts w:asciiTheme="minorHAnsi" w:hAnsiTheme="minorHAnsi" w:cstheme="minorHAnsi"/>
          <w:sz w:val="20"/>
          <w:szCs w:val="20"/>
        </w:rPr>
        <w:t xml:space="preserve"> Marryat, L., &amp; Martin, C. (2010). </w:t>
      </w:r>
      <w:r w:rsidRPr="00A56CC1">
        <w:rPr>
          <w:rFonts w:asciiTheme="minorHAnsi" w:hAnsiTheme="minorHAnsi" w:cstheme="minorHAnsi"/>
          <w:i/>
          <w:iCs/>
          <w:sz w:val="20"/>
          <w:szCs w:val="20"/>
        </w:rPr>
        <w:t xml:space="preserve">Growing Up In Scotland: Maternal mental health and its impact </w:t>
      </w:r>
      <w:proofErr w:type="spellStart"/>
      <w:r w:rsidRPr="00A56CC1">
        <w:rPr>
          <w:rFonts w:asciiTheme="minorHAnsi" w:hAnsiTheme="minorHAnsi" w:cstheme="minorHAnsi"/>
          <w:i/>
          <w:iCs/>
          <w:sz w:val="20"/>
          <w:szCs w:val="20"/>
        </w:rPr>
        <w:t>onchild</w:t>
      </w:r>
      <w:proofErr w:type="spellEnd"/>
      <w:r w:rsidRPr="00A56CC1">
        <w:rPr>
          <w:rFonts w:asciiTheme="minorHAnsi" w:hAnsiTheme="minorHAnsi" w:cstheme="minorHAnsi"/>
          <w:i/>
          <w:iCs/>
          <w:sz w:val="20"/>
          <w:szCs w:val="20"/>
        </w:rPr>
        <w:t xml:space="preserve"> behaviour and development</w:t>
      </w:r>
      <w:r w:rsidRPr="00A56CC1">
        <w:rPr>
          <w:rFonts w:asciiTheme="minorHAnsi" w:hAnsiTheme="minorHAnsi" w:cstheme="minorHAnsi"/>
          <w:sz w:val="20"/>
          <w:szCs w:val="20"/>
        </w:rPr>
        <w:t xml:space="preserve">. Edinburgh: The Scottish Government. Retrieved from </w:t>
      </w:r>
      <w:hyperlink r:id="rId49" w:history="1">
        <w:r w:rsidRPr="00FB51BD">
          <w:rPr>
            <w:rStyle w:val="Hyperlink"/>
            <w:rFonts w:asciiTheme="minorHAnsi" w:hAnsiTheme="minorHAnsi" w:cstheme="minorHAnsi"/>
            <w:sz w:val="20"/>
            <w:szCs w:val="20"/>
          </w:rPr>
          <w:t>http://www.scotland.gov.uk/Resource/Doc/310448/0097971.pdf</w:t>
        </w:r>
      </w:hyperlink>
    </w:p>
    <w:p w:rsidR="005B25D9" w:rsidRPr="00A56CC1" w:rsidRDefault="005B25D9" w:rsidP="00940DAB">
      <w:pPr>
        <w:pStyle w:val="EndnoteText"/>
        <w:contextualSpacing/>
        <w:rPr>
          <w:rFonts w:cstheme="minorHAnsi"/>
        </w:rPr>
      </w:pPr>
    </w:p>
  </w:endnote>
  <w:endnote w:id="76">
    <w:p w:rsidR="005B25D9" w:rsidRDefault="005B25D9" w:rsidP="00940DAB">
      <w:pPr>
        <w:pStyle w:val="EndnoteText"/>
        <w:contextualSpacing/>
        <w:rPr>
          <w:rStyle w:val="Emphasis"/>
          <w:rFonts w:cstheme="minorHAnsi"/>
          <w:color w:val="333333"/>
          <w:lang w:val="en"/>
        </w:rPr>
      </w:pPr>
      <w:r w:rsidRPr="00A56CC1">
        <w:rPr>
          <w:rStyle w:val="EndnoteReference"/>
          <w:rFonts w:cstheme="minorHAnsi"/>
        </w:rPr>
        <w:endnoteRef/>
      </w:r>
      <w:r w:rsidRPr="00A56CC1">
        <w:rPr>
          <w:rFonts w:cstheme="minorHAnsi"/>
        </w:rPr>
        <w:t xml:space="preserve"> </w:t>
      </w:r>
      <w:proofErr w:type="spellStart"/>
      <w:r w:rsidRPr="00A56CC1">
        <w:rPr>
          <w:rFonts w:cstheme="minorHAnsi"/>
          <w:color w:val="333333"/>
          <w:lang w:val="en"/>
        </w:rPr>
        <w:t>Treanor</w:t>
      </w:r>
      <w:proofErr w:type="spellEnd"/>
      <w:r w:rsidRPr="00A56CC1">
        <w:rPr>
          <w:rFonts w:cstheme="minorHAnsi"/>
          <w:color w:val="333333"/>
          <w:lang w:val="en"/>
        </w:rPr>
        <w:t>, Morag C. (2015) '</w:t>
      </w:r>
      <w:hyperlink r:id="rId50" w:history="1">
        <w:r w:rsidRPr="00A56CC1">
          <w:rPr>
            <w:rStyle w:val="Hyperlink"/>
            <w:rFonts w:cstheme="minorHAnsi"/>
            <w:lang w:val="en"/>
          </w:rPr>
          <w:t xml:space="preserve">Social assets, low income and child social and emotional and </w:t>
        </w:r>
        <w:proofErr w:type="spellStart"/>
        <w:r w:rsidRPr="00A56CC1">
          <w:rPr>
            <w:rStyle w:val="Hyperlink"/>
            <w:rFonts w:cstheme="minorHAnsi"/>
            <w:lang w:val="en"/>
          </w:rPr>
          <w:t>behavioural</w:t>
        </w:r>
        <w:proofErr w:type="spellEnd"/>
        <w:r w:rsidRPr="00A56CC1">
          <w:rPr>
            <w:rStyle w:val="Hyperlink"/>
            <w:rFonts w:cstheme="minorHAnsi"/>
            <w:lang w:val="en"/>
          </w:rPr>
          <w:t xml:space="preserve"> wellbeing</w:t>
        </w:r>
      </w:hyperlink>
      <w:r w:rsidRPr="00A56CC1">
        <w:rPr>
          <w:rFonts w:cstheme="minorHAnsi"/>
          <w:color w:val="333333"/>
          <w:lang w:val="en"/>
        </w:rPr>
        <w:t>' </w:t>
      </w:r>
      <w:r w:rsidRPr="00A56CC1">
        <w:rPr>
          <w:rStyle w:val="Emphasis"/>
          <w:rFonts w:cstheme="minorHAnsi"/>
          <w:color w:val="333333"/>
          <w:lang w:val="en"/>
        </w:rPr>
        <w:t>Journal of Families, Relationships and Societies</w:t>
      </w:r>
    </w:p>
    <w:p w:rsidR="005B25D9" w:rsidRPr="00A56CC1" w:rsidRDefault="005B25D9" w:rsidP="00940DAB">
      <w:pPr>
        <w:pStyle w:val="EndnoteText"/>
        <w:contextualSpacing/>
        <w:rPr>
          <w:rFonts w:cstheme="minorHAnsi"/>
        </w:rPr>
      </w:pPr>
    </w:p>
  </w:endnote>
  <w:endnote w:id="77">
    <w:p w:rsidR="005B25D9" w:rsidRDefault="005B25D9" w:rsidP="00940DAB">
      <w:pPr>
        <w:pStyle w:val="EndnoteText"/>
        <w:contextualSpacing/>
      </w:pPr>
      <w:r>
        <w:rPr>
          <w:rStyle w:val="EndnoteReference"/>
        </w:rPr>
        <w:endnoteRef/>
      </w:r>
      <w:r>
        <w:t xml:space="preserve"> </w:t>
      </w:r>
      <w:hyperlink r:id="rId51" w:history="1">
        <w:r w:rsidRPr="00FB51BD">
          <w:rPr>
            <w:rStyle w:val="Hyperlink"/>
          </w:rPr>
          <w:t>http://www.gov.scot/Resource/Doc/212225/0056476.pdf</w:t>
        </w:r>
      </w:hyperlink>
    </w:p>
    <w:p w:rsidR="005B25D9" w:rsidRDefault="005B25D9" w:rsidP="00940DAB">
      <w:pPr>
        <w:pStyle w:val="EndnoteText"/>
        <w:contextualSpacing/>
      </w:pPr>
    </w:p>
  </w:endnote>
  <w:endnote w:id="78">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52" w:history="1">
        <w:r w:rsidRPr="00FB51BD">
          <w:rPr>
            <w:rStyle w:val="Hyperlink"/>
            <w:rFonts w:cstheme="minorHAnsi"/>
          </w:rPr>
          <w:t>http://www.gov.scot/Topics/People/Young-People/early-years/parenting-early-learning/families/relationship-support</w:t>
        </w:r>
      </w:hyperlink>
    </w:p>
    <w:p w:rsidR="005B25D9" w:rsidRPr="00A56CC1" w:rsidRDefault="005B25D9" w:rsidP="00940DAB">
      <w:pPr>
        <w:pStyle w:val="EndnoteText"/>
        <w:contextualSpacing/>
        <w:rPr>
          <w:rFonts w:cstheme="minorHAnsi"/>
        </w:rPr>
      </w:pPr>
    </w:p>
  </w:endnote>
  <w:endnote w:id="79">
    <w:p w:rsidR="005B25D9" w:rsidRDefault="005B25D9" w:rsidP="00940DAB">
      <w:pPr>
        <w:pStyle w:val="EndnoteText"/>
      </w:pPr>
      <w:r>
        <w:rPr>
          <w:rStyle w:val="EndnoteReference"/>
        </w:rPr>
        <w:endnoteRef/>
      </w:r>
      <w:r>
        <w:t xml:space="preserve"> </w:t>
      </w:r>
      <w:hyperlink r:id="rId53" w:history="1">
        <w:r w:rsidRPr="00FB51BD">
          <w:rPr>
            <w:rStyle w:val="Hyperlink"/>
          </w:rPr>
          <w:t>http://www.gov.scot/Topics/People/Young-People/early-years/parenting-early-learning/families/national-parenting-strategy</w:t>
        </w:r>
      </w:hyperlink>
    </w:p>
    <w:p w:rsidR="005B25D9" w:rsidRDefault="005B25D9" w:rsidP="00940DAB">
      <w:pPr>
        <w:pStyle w:val="EndnoteText"/>
      </w:pPr>
    </w:p>
  </w:endnote>
  <w:endnote w:id="80">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54" w:history="1">
        <w:r w:rsidRPr="00FB51BD">
          <w:rPr>
            <w:rStyle w:val="Hyperlink"/>
            <w:rFonts w:cstheme="minorHAnsi"/>
          </w:rPr>
          <w:t>http://www.gov.scot/Resource/Doc/212225/0056476.pdf</w:t>
        </w:r>
      </w:hyperlink>
    </w:p>
    <w:p w:rsidR="005B25D9" w:rsidRPr="00A56CC1" w:rsidRDefault="005B25D9" w:rsidP="00940DAB">
      <w:pPr>
        <w:pStyle w:val="EndnoteText"/>
        <w:contextualSpacing/>
        <w:rPr>
          <w:rFonts w:cstheme="minorHAnsi"/>
        </w:rPr>
      </w:pPr>
    </w:p>
  </w:endnote>
  <w:endnote w:id="81">
    <w:p w:rsidR="005B25D9" w:rsidRDefault="005B25D9" w:rsidP="00940DAB">
      <w:pPr>
        <w:pStyle w:val="EndnoteText"/>
        <w:contextualSpacing/>
        <w:rPr>
          <w:rFonts w:cstheme="minorHAnsi"/>
        </w:rPr>
      </w:pPr>
      <w:r w:rsidRPr="00A56CC1">
        <w:rPr>
          <w:rStyle w:val="EndnoteReference"/>
          <w:rFonts w:cstheme="minorHAnsi"/>
        </w:rPr>
        <w:endnoteRef/>
      </w:r>
      <w:r w:rsidRPr="00A56CC1">
        <w:rPr>
          <w:rFonts w:cstheme="minorHAnsi"/>
        </w:rPr>
        <w:t xml:space="preserve"> </w:t>
      </w:r>
      <w:hyperlink r:id="rId55" w:history="1">
        <w:r w:rsidRPr="00FB51BD">
          <w:rPr>
            <w:rStyle w:val="Hyperlink"/>
            <w:rFonts w:cstheme="minorHAnsi"/>
          </w:rPr>
          <w:t>http://www.gov.scot/Publications/2016/10/1665</w:t>
        </w:r>
      </w:hyperlink>
    </w:p>
    <w:p w:rsidR="005B25D9" w:rsidRPr="00A56CC1" w:rsidRDefault="005B25D9" w:rsidP="00940DAB">
      <w:pPr>
        <w:pStyle w:val="EndnoteText"/>
        <w:contextualSpacing/>
        <w:rPr>
          <w:rFonts w:cstheme="minorHAnsi"/>
        </w:rPr>
      </w:pPr>
    </w:p>
  </w:endnote>
  <w:endnote w:id="82">
    <w:p w:rsidR="005B25D9" w:rsidRDefault="005B25D9" w:rsidP="00DD381D">
      <w:pPr>
        <w:pStyle w:val="EndnoteText"/>
      </w:pPr>
      <w:r>
        <w:rPr>
          <w:rStyle w:val="EndnoteReference"/>
        </w:rPr>
        <w:endnoteRef/>
      </w:r>
      <w:r>
        <w:t xml:space="preserve"> </w:t>
      </w:r>
      <w:hyperlink r:id="rId56" w:history="1">
        <w:r w:rsidRPr="00183617">
          <w:rPr>
            <w:rStyle w:val="Hyperlink"/>
          </w:rPr>
          <w:t>http://www.lgiu.org.uk/wp-content/uploads/2016/08/DfE-research-wellbeing-of-young-people.pdf</w:t>
        </w:r>
      </w:hyperlink>
      <w:r>
        <w:t xml:space="preserve"> </w:t>
      </w:r>
    </w:p>
    <w:p w:rsidR="005B25D9" w:rsidRDefault="005B25D9" w:rsidP="00DD381D">
      <w:pPr>
        <w:pStyle w:val="EndnoteText"/>
      </w:pPr>
    </w:p>
    <w:p w:rsidR="005B25D9" w:rsidRDefault="005B25D9" w:rsidP="00DD381D">
      <w:pPr>
        <w:pStyle w:val="EndnoteText"/>
      </w:pPr>
    </w:p>
    <w:p w:rsidR="005B25D9" w:rsidRDefault="005B25D9" w:rsidP="00DD381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charset w:val="00"/>
    <w:family w:val="swiss"/>
    <w:pitch w:val="variable"/>
    <w:sig w:usb0="800000AF" w:usb1="4000004A" w:usb2="00000000" w:usb3="00000000" w:csb0="00000001" w:csb1="00000000"/>
  </w:font>
  <w:font w:name="ArialMT">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Neue LT 67 MdCn">
    <w:charset w:val="00"/>
    <w:family w:val="swiss"/>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MM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sidP="00581036">
    <w:pPr>
      <w:pStyle w:val="BodyCopy"/>
    </w:pPr>
  </w:p>
  <w:tbl>
    <w:tblPr>
      <w:tblW w:w="0" w:type="auto"/>
      <w:tblBorders>
        <w:top w:val="single" w:sz="4" w:space="0" w:color="auto"/>
      </w:tblBorders>
      <w:tblLook w:val="01E0" w:firstRow="1" w:lastRow="1" w:firstColumn="1" w:lastColumn="1" w:noHBand="0" w:noVBand="0"/>
    </w:tblPr>
    <w:tblGrid>
      <w:gridCol w:w="1368"/>
      <w:gridCol w:w="7686"/>
    </w:tblGrid>
    <w:tr w:rsidR="005B25D9" w:rsidTr="00546921">
      <w:tc>
        <w:tcPr>
          <w:tcW w:w="1368" w:type="dxa"/>
          <w:shd w:val="clear" w:color="auto" w:fill="auto"/>
        </w:tcPr>
        <w:p w:rsidR="005B25D9" w:rsidRDefault="005B25D9" w:rsidP="00581036">
          <w:pPr>
            <w:pStyle w:val="PagenumberL"/>
          </w:pPr>
          <w:r w:rsidRPr="00245B6C">
            <w:fldChar w:fldCharType="begin"/>
          </w:r>
          <w:r w:rsidRPr="00245B6C">
            <w:instrText xml:space="preserve"> PAGE   \* MERGEFORMAT </w:instrText>
          </w:r>
          <w:r w:rsidRPr="00245B6C">
            <w:fldChar w:fldCharType="separate"/>
          </w:r>
          <w:r>
            <w:rPr>
              <w:noProof/>
            </w:rPr>
            <w:t>2</w:t>
          </w:r>
          <w:r w:rsidRPr="00245B6C">
            <w:fldChar w:fldCharType="end"/>
          </w:r>
        </w:p>
      </w:tc>
      <w:tc>
        <w:tcPr>
          <w:tcW w:w="7686" w:type="dxa"/>
          <w:shd w:val="clear" w:color="auto" w:fill="auto"/>
        </w:tcPr>
        <w:p w:rsidR="005B25D9" w:rsidRPr="00546921" w:rsidRDefault="005B25D9" w:rsidP="006E2B50">
          <w:pPr>
            <w:pStyle w:val="FooterR"/>
            <w:rPr>
              <w:lang w:val="en-GB" w:eastAsia="en-GB"/>
            </w:rPr>
          </w:pPr>
          <w:r w:rsidRPr="00546921">
            <w:rPr>
              <w:b/>
              <w:lang w:val="en-GB" w:eastAsia="en-GB"/>
            </w:rPr>
            <w:t>NatCen Social Research</w:t>
          </w:r>
          <w:r w:rsidRPr="00546921">
            <w:rPr>
              <w:lang w:val="en-GB" w:eastAsia="en-GB"/>
            </w:rPr>
            <w:t xml:space="preserve"> | Annual report and accounts 2011/2012</w:t>
          </w:r>
        </w:p>
      </w:tc>
    </w:tr>
  </w:tbl>
  <w:p w:rsidR="005B25D9" w:rsidRDefault="005B25D9" w:rsidP="00581036">
    <w:pPr>
      <w:pStyle w:val="BodyCopy"/>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sidP="00565D76">
    <w:pPr>
      <w:pStyle w:val="FooterL"/>
    </w:pPr>
  </w:p>
  <w:tbl>
    <w:tblPr>
      <w:tblW w:w="0" w:type="auto"/>
      <w:tblBorders>
        <w:top w:val="single" w:sz="4" w:space="0" w:color="auto"/>
      </w:tblBorders>
      <w:tblLook w:val="01E0" w:firstRow="1" w:lastRow="1" w:firstColumn="1" w:lastColumn="1" w:noHBand="0" w:noVBand="0"/>
    </w:tblPr>
    <w:tblGrid>
      <w:gridCol w:w="1226"/>
      <w:gridCol w:w="6787"/>
    </w:tblGrid>
    <w:tr w:rsidR="005B25D9" w:rsidTr="00546921">
      <w:tc>
        <w:tcPr>
          <w:tcW w:w="1368" w:type="dxa"/>
          <w:shd w:val="clear" w:color="auto" w:fill="auto"/>
        </w:tcPr>
        <w:p w:rsidR="005B25D9" w:rsidRDefault="005B25D9" w:rsidP="00581036">
          <w:pPr>
            <w:pStyle w:val="PagenumberL"/>
          </w:pPr>
          <w:r w:rsidRPr="00245B6C">
            <w:fldChar w:fldCharType="begin"/>
          </w:r>
          <w:r w:rsidRPr="00245B6C">
            <w:instrText xml:space="preserve"> PAGE   \* MERGEFORMAT </w:instrText>
          </w:r>
          <w:r w:rsidRPr="00245B6C">
            <w:fldChar w:fldCharType="separate"/>
          </w:r>
          <w:r w:rsidR="00A2378A">
            <w:rPr>
              <w:noProof/>
            </w:rPr>
            <w:t>140</w:t>
          </w:r>
          <w:r w:rsidRPr="00245B6C">
            <w:fldChar w:fldCharType="end"/>
          </w:r>
        </w:p>
      </w:tc>
      <w:tc>
        <w:tcPr>
          <w:tcW w:w="7686" w:type="dxa"/>
          <w:shd w:val="clear" w:color="auto" w:fill="auto"/>
        </w:tcPr>
        <w:p w:rsidR="005B25D9" w:rsidRPr="00546921" w:rsidRDefault="005B25D9" w:rsidP="00010D47">
          <w:pPr>
            <w:pStyle w:val="FooterR"/>
            <w:rPr>
              <w:lang w:val="en-GB" w:eastAsia="en-GB"/>
            </w:rPr>
          </w:pPr>
          <w:r>
            <w:rPr>
              <w:b/>
              <w:lang w:val="en-GB" w:eastAsia="en-GB"/>
            </w:rPr>
            <w:t>Scot</w:t>
          </w:r>
          <w:r w:rsidRPr="00546921">
            <w:rPr>
              <w:b/>
              <w:lang w:val="en-GB" w:eastAsia="en-GB"/>
            </w:rPr>
            <w:t>Cen Social Research</w:t>
          </w:r>
          <w:r w:rsidRPr="00546921">
            <w:rPr>
              <w:lang w:val="en-GB" w:eastAsia="en-GB"/>
            </w:rPr>
            <w:t xml:space="preserve"> | </w:t>
          </w:r>
          <w:r>
            <w:rPr>
              <w:lang w:val="en-GB" w:eastAsia="en-GB"/>
            </w:rPr>
            <w:fldChar w:fldCharType="begin"/>
          </w:r>
          <w:r>
            <w:rPr>
              <w:lang w:val="en-GB" w:eastAsia="en-GB"/>
            </w:rPr>
            <w:instrText xml:space="preserve"> STYLEREF  ¬Cover_Title  \* MERGEFORMAT </w:instrText>
          </w:r>
          <w:r>
            <w:rPr>
              <w:lang w:val="en-GB" w:eastAsia="en-GB"/>
            </w:rPr>
            <w:fldChar w:fldCharType="separate"/>
          </w:r>
          <w:r w:rsidR="00A2378A">
            <w:rPr>
              <w:noProof/>
              <w:lang w:val="en-GB" w:eastAsia="en-GB"/>
            </w:rPr>
            <w:t>Health and wellbeing among children and young people in Falkirk</w:t>
          </w:r>
          <w:r>
            <w:rPr>
              <w:lang w:val="en-GB" w:eastAsia="en-GB"/>
            </w:rPr>
            <w:fldChar w:fldCharType="end"/>
          </w:r>
        </w:p>
      </w:tc>
    </w:tr>
  </w:tbl>
  <w:p w:rsidR="005B25D9" w:rsidRDefault="005B25D9" w:rsidP="002733A4">
    <w:pPr>
      <w:pStyle w:val="Footer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sidP="00565D76">
    <w:pPr>
      <w:pStyle w:val="FooterL"/>
    </w:pPr>
  </w:p>
  <w:tbl>
    <w:tblPr>
      <w:tblW w:w="0" w:type="auto"/>
      <w:tblBorders>
        <w:top w:val="single" w:sz="4" w:space="0" w:color="auto"/>
      </w:tblBorders>
      <w:tblLook w:val="01E0" w:firstRow="1" w:lastRow="1" w:firstColumn="1" w:lastColumn="1" w:noHBand="0" w:noVBand="0"/>
    </w:tblPr>
    <w:tblGrid>
      <w:gridCol w:w="6616"/>
      <w:gridCol w:w="1397"/>
    </w:tblGrid>
    <w:tr w:rsidR="005B25D9" w:rsidTr="00546921">
      <w:tc>
        <w:tcPr>
          <w:tcW w:w="7488" w:type="dxa"/>
          <w:shd w:val="clear" w:color="auto" w:fill="auto"/>
        </w:tcPr>
        <w:p w:rsidR="005B25D9" w:rsidRPr="00883807" w:rsidRDefault="005B25D9" w:rsidP="00883807">
          <w:pPr>
            <w:pStyle w:val="FooterL"/>
          </w:pPr>
          <w:r>
            <w:rPr>
              <w:rStyle w:val="TextBold"/>
            </w:rPr>
            <w:t>ScotCen</w:t>
          </w:r>
          <w:r w:rsidRPr="00883807">
            <w:rPr>
              <w:rStyle w:val="TextBold"/>
            </w:rPr>
            <w:t xml:space="preserve"> Social Research |</w:t>
          </w:r>
          <w:r w:rsidRPr="00883807">
            <w:t xml:space="preserve"> </w:t>
          </w:r>
          <w:r w:rsidR="00A2378A">
            <w:fldChar w:fldCharType="begin"/>
          </w:r>
          <w:r w:rsidR="00A2378A">
            <w:instrText xml:space="preserve"> STYLEREF  ¬Cover_Title  \* MERGEFORMAT </w:instrText>
          </w:r>
          <w:r w:rsidR="00A2378A">
            <w:fldChar w:fldCharType="separate"/>
          </w:r>
          <w:r w:rsidR="00A2378A">
            <w:rPr>
              <w:noProof/>
            </w:rPr>
            <w:t>Health and wellbeing among children and young people in Falkirk</w:t>
          </w:r>
          <w:r w:rsidR="00A2378A">
            <w:rPr>
              <w:noProof/>
            </w:rPr>
            <w:fldChar w:fldCharType="end"/>
          </w:r>
        </w:p>
      </w:tc>
      <w:tc>
        <w:tcPr>
          <w:tcW w:w="1566" w:type="dxa"/>
          <w:shd w:val="clear" w:color="auto" w:fill="auto"/>
        </w:tcPr>
        <w:p w:rsidR="005B25D9" w:rsidRDefault="005B25D9" w:rsidP="00581036">
          <w:pPr>
            <w:pStyle w:val="PagenumberR"/>
          </w:pPr>
          <w:r w:rsidRPr="00245B6C">
            <w:fldChar w:fldCharType="begin"/>
          </w:r>
          <w:r w:rsidRPr="00245B6C">
            <w:instrText xml:space="preserve"> PAGE   \* MERGEFORMAT </w:instrText>
          </w:r>
          <w:r w:rsidRPr="00245B6C">
            <w:fldChar w:fldCharType="separate"/>
          </w:r>
          <w:r w:rsidR="00A2378A">
            <w:rPr>
              <w:noProof/>
            </w:rPr>
            <w:t>139</w:t>
          </w:r>
          <w:r w:rsidRPr="00245B6C">
            <w:fldChar w:fldCharType="end"/>
          </w:r>
        </w:p>
      </w:tc>
    </w:tr>
  </w:tbl>
  <w:p w:rsidR="005B25D9" w:rsidRPr="00245B6C" w:rsidRDefault="005B25D9" w:rsidP="002733A4">
    <w:pPr>
      <w:pStyle w:val="Footer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5D9" w:rsidRDefault="005B25D9" w:rsidP="00541FE7">
      <w:pPr>
        <w:spacing w:after="0" w:line="240" w:lineRule="auto"/>
      </w:pPr>
      <w:r>
        <w:separator/>
      </w:r>
    </w:p>
  </w:footnote>
  <w:footnote w:type="continuationSeparator" w:id="0">
    <w:p w:rsidR="005B25D9" w:rsidRDefault="005B25D9" w:rsidP="00541FE7">
      <w:pPr>
        <w:spacing w:after="0" w:line="240" w:lineRule="auto"/>
      </w:pPr>
      <w:r>
        <w:continuationSeparator/>
      </w:r>
    </w:p>
    <w:p w:rsidR="005B25D9" w:rsidRDefault="005B25D9"/>
    <w:p w:rsidR="005B25D9" w:rsidRDefault="005B25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
      <w:rPr>
        <w:noProof/>
        <w:lang w:eastAsia="en-GB"/>
      </w:rPr>
      <mc:AlternateContent>
        <mc:Choice Requires="wps">
          <w:drawing>
            <wp:inline distT="0" distB="0" distL="0" distR="0" wp14:anchorId="5AB9CF3A" wp14:editId="254FD584">
              <wp:extent cx="5724525" cy="76200"/>
              <wp:effectExtent l="0" t="0" r="9525" b="0"/>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76200"/>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 o:spid="_x0000_s1026" style="width:450.7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" fillcolor="windowText" stroked="f" strokeweight="2pt">
              <v:path arrowok="t"/>
              <w10:anchorlock/>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
      <w:rPr>
        <w:noProof/>
        <w:lang w:eastAsia="en-GB"/>
      </w:rPr>
      <mc:AlternateContent>
        <mc:Choice Requires="wpc">
          <w:drawing>
            <wp:anchor distT="0" distB="0" distL="114300" distR="114300" simplePos="0" relativeHeight="251657216" behindDoc="0" locked="0" layoutInCell="1" allowOverlap="1" wp14:anchorId="02BEDC95" wp14:editId="6F20F95F">
              <wp:simplePos x="0" y="0"/>
              <wp:positionH relativeFrom="column">
                <wp:posOffset>-17780</wp:posOffset>
              </wp:positionH>
              <wp:positionV relativeFrom="paragraph">
                <wp:posOffset>241300</wp:posOffset>
              </wp:positionV>
              <wp:extent cx="3933825" cy="733425"/>
              <wp:effectExtent l="1270" t="3175" r="0" b="0"/>
              <wp:wrapNone/>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117" o:spid="_x0000_s1026" editas="canvas" style="position:absolute;margin-left:-1.4pt;margin-top:19pt;width:309.75pt;height:57.75pt;z-index:251657216" coordsize="3933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338;height:7334;visibility:visible;mso-wrap-style:square">
                <v:fill o:detectmouseclick="t"/>
                <v:path o:connecttype="non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sidP="006530F3">
    <w:pPr>
      <w:pStyle w:val="Headerbold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5D9" w:rsidRDefault="005B25D9" w:rsidP="006530F3">
    <w:pPr>
      <w:pStyle w:val="Headerbold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C2D712"/>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5E9294A8"/>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DA906B50"/>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5DA4B448"/>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1F44E46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99E5CE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0E6692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9464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8EEDA4"/>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1FEC058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266072"/>
    <w:multiLevelType w:val="hybridMultilevel"/>
    <w:tmpl w:val="A34C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37243D"/>
    <w:multiLevelType w:val="hybridMultilevel"/>
    <w:tmpl w:val="E8BE85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146A543D"/>
    <w:multiLevelType w:val="hybridMultilevel"/>
    <w:tmpl w:val="94A28720"/>
    <w:lvl w:ilvl="0" w:tplc="26DA05A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B57394"/>
    <w:multiLevelType w:val="hybridMultilevel"/>
    <w:tmpl w:val="8786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BA4EFF"/>
    <w:multiLevelType w:val="hybridMultilevel"/>
    <w:tmpl w:val="35D48F90"/>
    <w:lvl w:ilvl="0" w:tplc="E76A511E">
      <w:start w:val="1"/>
      <w:numFmt w:val="bullet"/>
      <w:lvlText w:val=""/>
      <w:lvlJc w:val="left"/>
      <w:pPr>
        <w:tabs>
          <w:tab w:val="num" w:pos="360"/>
        </w:tabs>
        <w:ind w:left="360" w:hanging="360"/>
      </w:pPr>
      <w:rPr>
        <w:rFonts w:ascii="Symbol" w:hAnsi="Symbol" w:hint="default"/>
        <w:color w:val="B4489B"/>
      </w:rPr>
    </w:lvl>
    <w:lvl w:ilvl="1" w:tplc="054212A4">
      <w:start w:val="1"/>
      <w:numFmt w:val="bullet"/>
      <w:pStyle w:val="Bullet2"/>
      <w:lvlText w:val=""/>
      <w:lvlJc w:val="left"/>
      <w:pPr>
        <w:tabs>
          <w:tab w:val="num" w:pos="1080"/>
        </w:tabs>
        <w:ind w:left="1080" w:hanging="360"/>
      </w:pPr>
      <w:rPr>
        <w:rFonts w:ascii="Symbol" w:hAnsi="Symbol" w:cs="Courier New" w:hint="default"/>
        <w:color w:val="B4489B"/>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2DBD7335"/>
    <w:multiLevelType w:val="hybridMultilevel"/>
    <w:tmpl w:val="2D1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372341"/>
    <w:multiLevelType w:val="hybridMultilevel"/>
    <w:tmpl w:val="4E94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57763F"/>
    <w:multiLevelType w:val="multilevel"/>
    <w:tmpl w:val="08090023"/>
    <w:styleLink w:val="ArticleSection"/>
    <w:lvl w:ilvl="0">
      <w:start w:val="1"/>
      <w:numFmt w:val="upperRoman"/>
      <w:lvlText w:val="Article %1."/>
      <w:lvlJc w:val="left"/>
      <w:pPr>
        <w:tabs>
          <w:tab w:val="num" w:pos="6120"/>
        </w:tabs>
        <w:ind w:left="0" w:firstLine="0"/>
      </w:pPr>
    </w:lvl>
    <w:lvl w:ilvl="1">
      <w:start w:val="1"/>
      <w:numFmt w:val="decimalZero"/>
      <w:isLgl/>
      <w:lvlText w:val="Section %1.%2"/>
      <w:lvlJc w:val="left"/>
      <w:pPr>
        <w:tabs>
          <w:tab w:val="num" w:pos="6840"/>
        </w:tabs>
        <w:ind w:left="0" w:firstLine="0"/>
      </w:pPr>
    </w:lvl>
    <w:lvl w:ilvl="2">
      <w:start w:val="1"/>
      <w:numFmt w:val="lowerLetter"/>
      <w:lvlText w:val="(%3)"/>
      <w:lvlJc w:val="left"/>
      <w:pPr>
        <w:tabs>
          <w:tab w:val="num" w:pos="208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2016"/>
        </w:tabs>
        <w:ind w:left="1008" w:hanging="432"/>
      </w:pPr>
    </w:lvl>
    <w:lvl w:ilvl="5">
      <w:start w:val="1"/>
      <w:numFmt w:val="lowerLetter"/>
      <w:lvlText w:val="%6)"/>
      <w:lvlJc w:val="left"/>
      <w:pPr>
        <w:tabs>
          <w:tab w:val="num" w:pos="216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2448"/>
        </w:tabs>
        <w:ind w:left="1440" w:hanging="432"/>
      </w:pPr>
    </w:lvl>
    <w:lvl w:ilvl="8">
      <w:start w:val="1"/>
      <w:numFmt w:val="lowerRoman"/>
      <w:lvlText w:val="%9."/>
      <w:lvlJc w:val="right"/>
      <w:pPr>
        <w:tabs>
          <w:tab w:val="num" w:pos="1584"/>
        </w:tabs>
        <w:ind w:left="1584" w:hanging="144"/>
      </w:pPr>
    </w:lvl>
  </w:abstractNum>
  <w:abstractNum w:abstractNumId="18">
    <w:nsid w:val="38415A20"/>
    <w:multiLevelType w:val="multilevel"/>
    <w:tmpl w:val="8A48932C"/>
    <w:lvl w:ilvl="0">
      <w:start w:val="1"/>
      <w:numFmt w:val="upperLetter"/>
      <w:pStyle w:val="Heading6"/>
      <w:lvlText w:val="Appendix %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B573698"/>
    <w:multiLevelType w:val="multilevel"/>
    <w:tmpl w:val="692A01F2"/>
    <w:lvl w:ilvl="0">
      <w:start w:val="1"/>
      <w:numFmt w:val="decimal"/>
      <w:pStyle w:val="Heading1"/>
      <w:lvlText w:val="%1"/>
      <w:lvlJc w:val="left"/>
      <w:pPr>
        <w:tabs>
          <w:tab w:val="num" w:pos="0"/>
        </w:tabs>
        <w:ind w:left="567" w:hanging="567"/>
      </w:pPr>
      <w:rPr>
        <w:rFonts w:hint="default"/>
      </w:rPr>
    </w:lvl>
    <w:lvl w:ilvl="1">
      <w:start w:val="1"/>
      <w:numFmt w:val="decimal"/>
      <w:pStyle w:val="Heading2"/>
      <w:lvlText w:val="%1.%2"/>
      <w:lvlJc w:val="left"/>
      <w:pPr>
        <w:tabs>
          <w:tab w:val="num" w:pos="0"/>
        </w:tabs>
        <w:ind w:left="567" w:hanging="567"/>
      </w:pPr>
      <w:rPr>
        <w:rFonts w:hint="default"/>
      </w:rPr>
    </w:lvl>
    <w:lvl w:ilvl="2">
      <w:start w:val="1"/>
      <w:numFmt w:val="decimal"/>
      <w:pStyle w:val="Heading3"/>
      <w:lvlText w:val="%1.%2.%3"/>
      <w:lvlJc w:val="left"/>
      <w:pPr>
        <w:tabs>
          <w:tab w:val="num" w:pos="0"/>
        </w:tabs>
        <w:ind w:left="851" w:hanging="851"/>
      </w:pPr>
      <w:rPr>
        <w:rFonts w:hint="default"/>
      </w:rPr>
    </w:lvl>
    <w:lvl w:ilvl="3">
      <w:start w:val="1"/>
      <w:numFmt w:val="none"/>
      <w:suff w:val="nothing"/>
      <w:lvlText w:val=""/>
      <w:lvlJc w:val="left"/>
      <w:pPr>
        <w:ind w:left="0" w:firstLine="0"/>
      </w:pPr>
      <w:rPr>
        <w:rFonts w:hint="default"/>
      </w:rPr>
    </w:lvl>
    <w:lvl w:ilvl="4">
      <w:start w:val="1"/>
      <w:numFmt w:val="upperLetter"/>
      <w:lvlText w:val="Appendix %5"/>
      <w:lvlJc w:val="left"/>
      <w:pPr>
        <w:tabs>
          <w:tab w:val="num" w:pos="2552"/>
        </w:tabs>
        <w:ind w:left="2552" w:hanging="2552"/>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5361051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420C6B"/>
    <w:multiLevelType w:val="hybridMultilevel"/>
    <w:tmpl w:val="4448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1A2A6B"/>
    <w:multiLevelType w:val="hybridMultilevel"/>
    <w:tmpl w:val="2294F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7A7D70B6"/>
    <w:multiLevelType w:val="hybridMultilevel"/>
    <w:tmpl w:val="5AD894F8"/>
    <w:lvl w:ilvl="0" w:tplc="E76A511E">
      <w:start w:val="1"/>
      <w:numFmt w:val="bullet"/>
      <w:lvlText w:val=""/>
      <w:lvlJc w:val="left"/>
      <w:pPr>
        <w:tabs>
          <w:tab w:val="num" w:pos="360"/>
        </w:tabs>
        <w:ind w:left="360" w:hanging="360"/>
      </w:pPr>
      <w:rPr>
        <w:rFonts w:ascii="Symbol" w:hAnsi="Symbol" w:hint="default"/>
        <w:color w:val="B4489B"/>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7"/>
  </w:num>
  <w:num w:numId="13">
    <w:abstractNumId w:val="19"/>
  </w:num>
  <w:num w:numId="14">
    <w:abstractNumId w:val="23"/>
  </w:num>
  <w:num w:numId="15">
    <w:abstractNumId w:val="14"/>
  </w:num>
  <w:num w:numId="16">
    <w:abstractNumId w:val="18"/>
  </w:num>
  <w:num w:numId="17">
    <w:abstractNumId w:val="13"/>
  </w:num>
  <w:num w:numId="18">
    <w:abstractNumId w:val="12"/>
  </w:num>
  <w:num w:numId="19">
    <w:abstractNumId w:val="21"/>
  </w:num>
  <w:num w:numId="20">
    <w:abstractNumId w:val="15"/>
  </w:num>
  <w:num w:numId="21">
    <w:abstractNumId w:val="16"/>
  </w:num>
  <w:num w:numId="22">
    <w:abstractNumId w:val="10"/>
  </w:num>
  <w:num w:numId="23">
    <w:abstractNumId w:val="19"/>
  </w:num>
  <w:num w:numId="24">
    <w:abstractNumId w:val="22"/>
  </w:num>
  <w:num w:numId="25">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evenAndOddHeaders/>
  <w:characterSpacingControl w:val="doNotCompress"/>
  <w:hdrShapeDefaults>
    <o:shapedefaults v:ext="edit" spidmax="113665">
      <o:colormru v:ext="edit" colors="#b4489b"/>
    </o:shapedefaults>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F6C"/>
    <w:rsid w:val="00000002"/>
    <w:rsid w:val="00000E59"/>
    <w:rsid w:val="0000106B"/>
    <w:rsid w:val="00001665"/>
    <w:rsid w:val="00001931"/>
    <w:rsid w:val="00002003"/>
    <w:rsid w:val="00002770"/>
    <w:rsid w:val="00002B9F"/>
    <w:rsid w:val="00003B5B"/>
    <w:rsid w:val="00004555"/>
    <w:rsid w:val="0000556D"/>
    <w:rsid w:val="00005586"/>
    <w:rsid w:val="0000561A"/>
    <w:rsid w:val="00005A04"/>
    <w:rsid w:val="00005B73"/>
    <w:rsid w:val="0000624F"/>
    <w:rsid w:val="00006423"/>
    <w:rsid w:val="00006BB7"/>
    <w:rsid w:val="00006CF4"/>
    <w:rsid w:val="00006E56"/>
    <w:rsid w:val="00006FCC"/>
    <w:rsid w:val="000079CC"/>
    <w:rsid w:val="00007B73"/>
    <w:rsid w:val="00010D47"/>
    <w:rsid w:val="00012010"/>
    <w:rsid w:val="00012C50"/>
    <w:rsid w:val="0001308F"/>
    <w:rsid w:val="000130E6"/>
    <w:rsid w:val="00013982"/>
    <w:rsid w:val="00013EC4"/>
    <w:rsid w:val="00014839"/>
    <w:rsid w:val="000148AE"/>
    <w:rsid w:val="00015243"/>
    <w:rsid w:val="00015625"/>
    <w:rsid w:val="0001677B"/>
    <w:rsid w:val="000171DE"/>
    <w:rsid w:val="000176D3"/>
    <w:rsid w:val="000203AB"/>
    <w:rsid w:val="00020574"/>
    <w:rsid w:val="00020FC7"/>
    <w:rsid w:val="00021952"/>
    <w:rsid w:val="00021C32"/>
    <w:rsid w:val="00021E1D"/>
    <w:rsid w:val="00021FA2"/>
    <w:rsid w:val="00022316"/>
    <w:rsid w:val="00022DBB"/>
    <w:rsid w:val="00022E87"/>
    <w:rsid w:val="0002339C"/>
    <w:rsid w:val="000233C9"/>
    <w:rsid w:val="000234D8"/>
    <w:rsid w:val="000239BB"/>
    <w:rsid w:val="00023D24"/>
    <w:rsid w:val="00023D6B"/>
    <w:rsid w:val="00024033"/>
    <w:rsid w:val="0002472B"/>
    <w:rsid w:val="00025DBA"/>
    <w:rsid w:val="00026435"/>
    <w:rsid w:val="00026C9B"/>
    <w:rsid w:val="000277CD"/>
    <w:rsid w:val="00027B83"/>
    <w:rsid w:val="00027CD0"/>
    <w:rsid w:val="000303D5"/>
    <w:rsid w:val="00030A02"/>
    <w:rsid w:val="000315F7"/>
    <w:rsid w:val="000316FB"/>
    <w:rsid w:val="00031774"/>
    <w:rsid w:val="00031F35"/>
    <w:rsid w:val="00032AC3"/>
    <w:rsid w:val="000332EB"/>
    <w:rsid w:val="00033AAF"/>
    <w:rsid w:val="0003424B"/>
    <w:rsid w:val="0003461A"/>
    <w:rsid w:val="00034C2E"/>
    <w:rsid w:val="0003530A"/>
    <w:rsid w:val="00035C73"/>
    <w:rsid w:val="00036281"/>
    <w:rsid w:val="00036503"/>
    <w:rsid w:val="00036934"/>
    <w:rsid w:val="00036A65"/>
    <w:rsid w:val="00037F80"/>
    <w:rsid w:val="000407D3"/>
    <w:rsid w:val="00040FE4"/>
    <w:rsid w:val="000411D1"/>
    <w:rsid w:val="00041428"/>
    <w:rsid w:val="000414D9"/>
    <w:rsid w:val="0004167C"/>
    <w:rsid w:val="00041C8C"/>
    <w:rsid w:val="00041DB5"/>
    <w:rsid w:val="00041E1E"/>
    <w:rsid w:val="000422B6"/>
    <w:rsid w:val="0004280D"/>
    <w:rsid w:val="00042E58"/>
    <w:rsid w:val="000430CC"/>
    <w:rsid w:val="0004330D"/>
    <w:rsid w:val="0004381B"/>
    <w:rsid w:val="00043AE3"/>
    <w:rsid w:val="00044567"/>
    <w:rsid w:val="00044ACC"/>
    <w:rsid w:val="0004522D"/>
    <w:rsid w:val="00045861"/>
    <w:rsid w:val="00045E6B"/>
    <w:rsid w:val="00046556"/>
    <w:rsid w:val="00046D92"/>
    <w:rsid w:val="0004752B"/>
    <w:rsid w:val="00047554"/>
    <w:rsid w:val="00047E81"/>
    <w:rsid w:val="00050017"/>
    <w:rsid w:val="00051421"/>
    <w:rsid w:val="00051CA4"/>
    <w:rsid w:val="00051E11"/>
    <w:rsid w:val="00051E9D"/>
    <w:rsid w:val="00052207"/>
    <w:rsid w:val="0005313F"/>
    <w:rsid w:val="0005339D"/>
    <w:rsid w:val="000535CC"/>
    <w:rsid w:val="00054CE5"/>
    <w:rsid w:val="0005502B"/>
    <w:rsid w:val="00055FEC"/>
    <w:rsid w:val="00056E04"/>
    <w:rsid w:val="00057470"/>
    <w:rsid w:val="00057A9B"/>
    <w:rsid w:val="0006044C"/>
    <w:rsid w:val="000610A0"/>
    <w:rsid w:val="0006160D"/>
    <w:rsid w:val="00061875"/>
    <w:rsid w:val="00061BA3"/>
    <w:rsid w:val="00062DF6"/>
    <w:rsid w:val="0006396D"/>
    <w:rsid w:val="00063A04"/>
    <w:rsid w:val="00063DCF"/>
    <w:rsid w:val="000640FE"/>
    <w:rsid w:val="00065560"/>
    <w:rsid w:val="00065F2D"/>
    <w:rsid w:val="00066242"/>
    <w:rsid w:val="00066805"/>
    <w:rsid w:val="00067565"/>
    <w:rsid w:val="000677A3"/>
    <w:rsid w:val="00067863"/>
    <w:rsid w:val="00067ACE"/>
    <w:rsid w:val="000700F4"/>
    <w:rsid w:val="0007034F"/>
    <w:rsid w:val="0007158B"/>
    <w:rsid w:val="0007251D"/>
    <w:rsid w:val="0007254E"/>
    <w:rsid w:val="000728D0"/>
    <w:rsid w:val="000729C0"/>
    <w:rsid w:val="00072E61"/>
    <w:rsid w:val="00072E83"/>
    <w:rsid w:val="00072F7F"/>
    <w:rsid w:val="00073294"/>
    <w:rsid w:val="000752FD"/>
    <w:rsid w:val="0007534B"/>
    <w:rsid w:val="00075C58"/>
    <w:rsid w:val="00076E3B"/>
    <w:rsid w:val="00076EDD"/>
    <w:rsid w:val="00077A77"/>
    <w:rsid w:val="00077B1D"/>
    <w:rsid w:val="00077F8D"/>
    <w:rsid w:val="00077FC0"/>
    <w:rsid w:val="00080941"/>
    <w:rsid w:val="00080DF2"/>
    <w:rsid w:val="00081CDE"/>
    <w:rsid w:val="00081FB2"/>
    <w:rsid w:val="00082D57"/>
    <w:rsid w:val="0008306A"/>
    <w:rsid w:val="0008394D"/>
    <w:rsid w:val="00083A11"/>
    <w:rsid w:val="00083A9C"/>
    <w:rsid w:val="00083CD1"/>
    <w:rsid w:val="00083E77"/>
    <w:rsid w:val="0008454F"/>
    <w:rsid w:val="000847C2"/>
    <w:rsid w:val="00085327"/>
    <w:rsid w:val="000853CA"/>
    <w:rsid w:val="000863E3"/>
    <w:rsid w:val="000869AD"/>
    <w:rsid w:val="00086E6F"/>
    <w:rsid w:val="00087F66"/>
    <w:rsid w:val="00087FA4"/>
    <w:rsid w:val="000904BB"/>
    <w:rsid w:val="000915FA"/>
    <w:rsid w:val="00091EBA"/>
    <w:rsid w:val="00091FCA"/>
    <w:rsid w:val="000926C9"/>
    <w:rsid w:val="00092A3B"/>
    <w:rsid w:val="000931AD"/>
    <w:rsid w:val="00093875"/>
    <w:rsid w:val="00093DF9"/>
    <w:rsid w:val="00094265"/>
    <w:rsid w:val="00094863"/>
    <w:rsid w:val="00094F27"/>
    <w:rsid w:val="0009522A"/>
    <w:rsid w:val="00095B06"/>
    <w:rsid w:val="00096479"/>
    <w:rsid w:val="00096702"/>
    <w:rsid w:val="000967D3"/>
    <w:rsid w:val="00097565"/>
    <w:rsid w:val="0009765E"/>
    <w:rsid w:val="000977FE"/>
    <w:rsid w:val="000A03E7"/>
    <w:rsid w:val="000A0E54"/>
    <w:rsid w:val="000A0F57"/>
    <w:rsid w:val="000A13A8"/>
    <w:rsid w:val="000A1B0D"/>
    <w:rsid w:val="000A1D96"/>
    <w:rsid w:val="000A224D"/>
    <w:rsid w:val="000A231E"/>
    <w:rsid w:val="000A2AD7"/>
    <w:rsid w:val="000A2EBB"/>
    <w:rsid w:val="000A2FAF"/>
    <w:rsid w:val="000A3B30"/>
    <w:rsid w:val="000A54D8"/>
    <w:rsid w:val="000A6322"/>
    <w:rsid w:val="000A66DA"/>
    <w:rsid w:val="000A6B40"/>
    <w:rsid w:val="000A71DD"/>
    <w:rsid w:val="000A77D9"/>
    <w:rsid w:val="000B0937"/>
    <w:rsid w:val="000B12C6"/>
    <w:rsid w:val="000B13D9"/>
    <w:rsid w:val="000B17E7"/>
    <w:rsid w:val="000B1DA9"/>
    <w:rsid w:val="000B1E23"/>
    <w:rsid w:val="000B2334"/>
    <w:rsid w:val="000B3451"/>
    <w:rsid w:val="000B3712"/>
    <w:rsid w:val="000B386A"/>
    <w:rsid w:val="000B38DF"/>
    <w:rsid w:val="000B3BC4"/>
    <w:rsid w:val="000B4348"/>
    <w:rsid w:val="000B43D8"/>
    <w:rsid w:val="000B44E9"/>
    <w:rsid w:val="000B45D6"/>
    <w:rsid w:val="000B508A"/>
    <w:rsid w:val="000B593E"/>
    <w:rsid w:val="000B635C"/>
    <w:rsid w:val="000B65FE"/>
    <w:rsid w:val="000B6EBC"/>
    <w:rsid w:val="000B6F68"/>
    <w:rsid w:val="000B75DE"/>
    <w:rsid w:val="000B779C"/>
    <w:rsid w:val="000B7859"/>
    <w:rsid w:val="000C00EC"/>
    <w:rsid w:val="000C0231"/>
    <w:rsid w:val="000C055F"/>
    <w:rsid w:val="000C0A56"/>
    <w:rsid w:val="000C0DE0"/>
    <w:rsid w:val="000C1196"/>
    <w:rsid w:val="000C11EE"/>
    <w:rsid w:val="000C1247"/>
    <w:rsid w:val="000C1594"/>
    <w:rsid w:val="000C1C62"/>
    <w:rsid w:val="000C2356"/>
    <w:rsid w:val="000C27EA"/>
    <w:rsid w:val="000C347F"/>
    <w:rsid w:val="000C3736"/>
    <w:rsid w:val="000C46B1"/>
    <w:rsid w:val="000C5178"/>
    <w:rsid w:val="000C534C"/>
    <w:rsid w:val="000C554D"/>
    <w:rsid w:val="000C6647"/>
    <w:rsid w:val="000C67D3"/>
    <w:rsid w:val="000C6881"/>
    <w:rsid w:val="000C6B7A"/>
    <w:rsid w:val="000C7F87"/>
    <w:rsid w:val="000C7FEC"/>
    <w:rsid w:val="000D0404"/>
    <w:rsid w:val="000D04FC"/>
    <w:rsid w:val="000D1294"/>
    <w:rsid w:val="000D14AF"/>
    <w:rsid w:val="000D2A52"/>
    <w:rsid w:val="000D3B54"/>
    <w:rsid w:val="000D4B5F"/>
    <w:rsid w:val="000D4E84"/>
    <w:rsid w:val="000D514F"/>
    <w:rsid w:val="000D51DD"/>
    <w:rsid w:val="000D5BF5"/>
    <w:rsid w:val="000D684F"/>
    <w:rsid w:val="000D6904"/>
    <w:rsid w:val="000D6B93"/>
    <w:rsid w:val="000D6BDA"/>
    <w:rsid w:val="000D70B5"/>
    <w:rsid w:val="000D7E03"/>
    <w:rsid w:val="000E000F"/>
    <w:rsid w:val="000E0038"/>
    <w:rsid w:val="000E08CE"/>
    <w:rsid w:val="000E09A3"/>
    <w:rsid w:val="000E0DCA"/>
    <w:rsid w:val="000E0F0B"/>
    <w:rsid w:val="000E14CB"/>
    <w:rsid w:val="000E1B7D"/>
    <w:rsid w:val="000E3465"/>
    <w:rsid w:val="000E3629"/>
    <w:rsid w:val="000E3D0A"/>
    <w:rsid w:val="000E4227"/>
    <w:rsid w:val="000E4817"/>
    <w:rsid w:val="000E4F16"/>
    <w:rsid w:val="000E5E09"/>
    <w:rsid w:val="000E6918"/>
    <w:rsid w:val="000E7070"/>
    <w:rsid w:val="000E747A"/>
    <w:rsid w:val="000E78A8"/>
    <w:rsid w:val="000E7A28"/>
    <w:rsid w:val="000F0468"/>
    <w:rsid w:val="000F04C2"/>
    <w:rsid w:val="000F0C82"/>
    <w:rsid w:val="000F1626"/>
    <w:rsid w:val="000F17E3"/>
    <w:rsid w:val="000F1870"/>
    <w:rsid w:val="000F2AD0"/>
    <w:rsid w:val="000F2F76"/>
    <w:rsid w:val="000F3047"/>
    <w:rsid w:val="000F345E"/>
    <w:rsid w:val="000F3B13"/>
    <w:rsid w:val="000F3EF6"/>
    <w:rsid w:val="000F42D0"/>
    <w:rsid w:val="000F4549"/>
    <w:rsid w:val="000F4BC3"/>
    <w:rsid w:val="000F4F67"/>
    <w:rsid w:val="000F51FB"/>
    <w:rsid w:val="000F525E"/>
    <w:rsid w:val="000F5C55"/>
    <w:rsid w:val="000F6889"/>
    <w:rsid w:val="000F73F6"/>
    <w:rsid w:val="000F79EA"/>
    <w:rsid w:val="00100602"/>
    <w:rsid w:val="00100780"/>
    <w:rsid w:val="00100B1E"/>
    <w:rsid w:val="00101097"/>
    <w:rsid w:val="0010171E"/>
    <w:rsid w:val="00101BD9"/>
    <w:rsid w:val="00101DDF"/>
    <w:rsid w:val="00102402"/>
    <w:rsid w:val="00102542"/>
    <w:rsid w:val="00102849"/>
    <w:rsid w:val="001029AA"/>
    <w:rsid w:val="00102D1F"/>
    <w:rsid w:val="00103202"/>
    <w:rsid w:val="00103277"/>
    <w:rsid w:val="0010351F"/>
    <w:rsid w:val="00103747"/>
    <w:rsid w:val="00104280"/>
    <w:rsid w:val="001052EC"/>
    <w:rsid w:val="00105818"/>
    <w:rsid w:val="00105F2C"/>
    <w:rsid w:val="001104F2"/>
    <w:rsid w:val="00110A0F"/>
    <w:rsid w:val="0011101B"/>
    <w:rsid w:val="00111519"/>
    <w:rsid w:val="00111FF1"/>
    <w:rsid w:val="001122EC"/>
    <w:rsid w:val="001125B2"/>
    <w:rsid w:val="00112A60"/>
    <w:rsid w:val="00112BC3"/>
    <w:rsid w:val="0011310D"/>
    <w:rsid w:val="00113CE2"/>
    <w:rsid w:val="00113F97"/>
    <w:rsid w:val="0011599E"/>
    <w:rsid w:val="00115AB2"/>
    <w:rsid w:val="0011625B"/>
    <w:rsid w:val="0011638C"/>
    <w:rsid w:val="00116609"/>
    <w:rsid w:val="00116B09"/>
    <w:rsid w:val="00116F6C"/>
    <w:rsid w:val="001172A4"/>
    <w:rsid w:val="00117689"/>
    <w:rsid w:val="001176F3"/>
    <w:rsid w:val="00117977"/>
    <w:rsid w:val="00117CD9"/>
    <w:rsid w:val="001205BC"/>
    <w:rsid w:val="00121A5A"/>
    <w:rsid w:val="00121B66"/>
    <w:rsid w:val="00122346"/>
    <w:rsid w:val="00122639"/>
    <w:rsid w:val="00122A12"/>
    <w:rsid w:val="00122FAB"/>
    <w:rsid w:val="0012311E"/>
    <w:rsid w:val="00123A6E"/>
    <w:rsid w:val="001241EF"/>
    <w:rsid w:val="00124323"/>
    <w:rsid w:val="001248D0"/>
    <w:rsid w:val="0012492F"/>
    <w:rsid w:val="00124B7D"/>
    <w:rsid w:val="00126B1C"/>
    <w:rsid w:val="001275A8"/>
    <w:rsid w:val="0013042F"/>
    <w:rsid w:val="00130FCB"/>
    <w:rsid w:val="00131929"/>
    <w:rsid w:val="00131FD9"/>
    <w:rsid w:val="00132048"/>
    <w:rsid w:val="00132208"/>
    <w:rsid w:val="00132294"/>
    <w:rsid w:val="0013248F"/>
    <w:rsid w:val="001325F8"/>
    <w:rsid w:val="00132A42"/>
    <w:rsid w:val="00132AB5"/>
    <w:rsid w:val="001330F3"/>
    <w:rsid w:val="001335CB"/>
    <w:rsid w:val="0013397A"/>
    <w:rsid w:val="00133BD7"/>
    <w:rsid w:val="00133E94"/>
    <w:rsid w:val="0013457C"/>
    <w:rsid w:val="00134DDB"/>
    <w:rsid w:val="001350CB"/>
    <w:rsid w:val="0013619E"/>
    <w:rsid w:val="00136217"/>
    <w:rsid w:val="001362FA"/>
    <w:rsid w:val="00136DB1"/>
    <w:rsid w:val="0013755F"/>
    <w:rsid w:val="00137BF2"/>
    <w:rsid w:val="0014081B"/>
    <w:rsid w:val="00140B7D"/>
    <w:rsid w:val="00140E17"/>
    <w:rsid w:val="0014138C"/>
    <w:rsid w:val="00141394"/>
    <w:rsid w:val="00143345"/>
    <w:rsid w:val="00143544"/>
    <w:rsid w:val="001435BB"/>
    <w:rsid w:val="00143CEA"/>
    <w:rsid w:val="00143E57"/>
    <w:rsid w:val="001443FF"/>
    <w:rsid w:val="0014475E"/>
    <w:rsid w:val="001457DC"/>
    <w:rsid w:val="00145DD6"/>
    <w:rsid w:val="0014610C"/>
    <w:rsid w:val="0014614F"/>
    <w:rsid w:val="001461BA"/>
    <w:rsid w:val="00146298"/>
    <w:rsid w:val="0014682E"/>
    <w:rsid w:val="00146AC8"/>
    <w:rsid w:val="00147461"/>
    <w:rsid w:val="00147509"/>
    <w:rsid w:val="00150318"/>
    <w:rsid w:val="00150521"/>
    <w:rsid w:val="001509A4"/>
    <w:rsid w:val="0015114A"/>
    <w:rsid w:val="001514E9"/>
    <w:rsid w:val="00151C46"/>
    <w:rsid w:val="00152FCE"/>
    <w:rsid w:val="00153B8A"/>
    <w:rsid w:val="001544F9"/>
    <w:rsid w:val="00155351"/>
    <w:rsid w:val="001556DC"/>
    <w:rsid w:val="00155806"/>
    <w:rsid w:val="00155A2A"/>
    <w:rsid w:val="00156A01"/>
    <w:rsid w:val="001574C7"/>
    <w:rsid w:val="00157E02"/>
    <w:rsid w:val="001600C3"/>
    <w:rsid w:val="001601C9"/>
    <w:rsid w:val="00160535"/>
    <w:rsid w:val="001605D8"/>
    <w:rsid w:val="001610A2"/>
    <w:rsid w:val="001617D3"/>
    <w:rsid w:val="00161C65"/>
    <w:rsid w:val="00161D63"/>
    <w:rsid w:val="00161EC7"/>
    <w:rsid w:val="00162F25"/>
    <w:rsid w:val="0016412A"/>
    <w:rsid w:val="001643DC"/>
    <w:rsid w:val="00164B7B"/>
    <w:rsid w:val="001650E0"/>
    <w:rsid w:val="0016584D"/>
    <w:rsid w:val="001661C8"/>
    <w:rsid w:val="00166245"/>
    <w:rsid w:val="00166480"/>
    <w:rsid w:val="001668E8"/>
    <w:rsid w:val="00167152"/>
    <w:rsid w:val="001701A7"/>
    <w:rsid w:val="00170266"/>
    <w:rsid w:val="00170499"/>
    <w:rsid w:val="0017049B"/>
    <w:rsid w:val="00170AE8"/>
    <w:rsid w:val="00170E7B"/>
    <w:rsid w:val="00170FC8"/>
    <w:rsid w:val="001723AD"/>
    <w:rsid w:val="00173480"/>
    <w:rsid w:val="00173D2A"/>
    <w:rsid w:val="00174317"/>
    <w:rsid w:val="001748E8"/>
    <w:rsid w:val="001750AF"/>
    <w:rsid w:val="00175B38"/>
    <w:rsid w:val="00175C3C"/>
    <w:rsid w:val="00175EE5"/>
    <w:rsid w:val="00176218"/>
    <w:rsid w:val="0017668B"/>
    <w:rsid w:val="00176B89"/>
    <w:rsid w:val="00176DAE"/>
    <w:rsid w:val="00176F98"/>
    <w:rsid w:val="001774BB"/>
    <w:rsid w:val="00177674"/>
    <w:rsid w:val="00177B50"/>
    <w:rsid w:val="00177C31"/>
    <w:rsid w:val="001801AA"/>
    <w:rsid w:val="001803D6"/>
    <w:rsid w:val="0018068B"/>
    <w:rsid w:val="00181447"/>
    <w:rsid w:val="0018149E"/>
    <w:rsid w:val="0018156B"/>
    <w:rsid w:val="00181AEC"/>
    <w:rsid w:val="00182B71"/>
    <w:rsid w:val="001830EE"/>
    <w:rsid w:val="00183180"/>
    <w:rsid w:val="00183579"/>
    <w:rsid w:val="00183749"/>
    <w:rsid w:val="00183833"/>
    <w:rsid w:val="001847A3"/>
    <w:rsid w:val="00184ACA"/>
    <w:rsid w:val="00184B63"/>
    <w:rsid w:val="00185068"/>
    <w:rsid w:val="00185AE6"/>
    <w:rsid w:val="00186204"/>
    <w:rsid w:val="00186DDA"/>
    <w:rsid w:val="00187002"/>
    <w:rsid w:val="001873B0"/>
    <w:rsid w:val="00187984"/>
    <w:rsid w:val="0019062F"/>
    <w:rsid w:val="00190CF5"/>
    <w:rsid w:val="0019173C"/>
    <w:rsid w:val="001921C9"/>
    <w:rsid w:val="00192500"/>
    <w:rsid w:val="001931A6"/>
    <w:rsid w:val="001940E7"/>
    <w:rsid w:val="00194EE3"/>
    <w:rsid w:val="001952F9"/>
    <w:rsid w:val="00195484"/>
    <w:rsid w:val="00195618"/>
    <w:rsid w:val="001956DA"/>
    <w:rsid w:val="00195A7A"/>
    <w:rsid w:val="00195AC7"/>
    <w:rsid w:val="00195B03"/>
    <w:rsid w:val="00195CB6"/>
    <w:rsid w:val="00195F46"/>
    <w:rsid w:val="00196404"/>
    <w:rsid w:val="001965E9"/>
    <w:rsid w:val="001968BB"/>
    <w:rsid w:val="00196A9A"/>
    <w:rsid w:val="00197093"/>
    <w:rsid w:val="00197D48"/>
    <w:rsid w:val="00197DAC"/>
    <w:rsid w:val="001A06E0"/>
    <w:rsid w:val="001A0C78"/>
    <w:rsid w:val="001A0FBB"/>
    <w:rsid w:val="001A1321"/>
    <w:rsid w:val="001A255D"/>
    <w:rsid w:val="001A2A0D"/>
    <w:rsid w:val="001A2AA9"/>
    <w:rsid w:val="001A345C"/>
    <w:rsid w:val="001A4425"/>
    <w:rsid w:val="001A49E4"/>
    <w:rsid w:val="001A4C2B"/>
    <w:rsid w:val="001A5169"/>
    <w:rsid w:val="001A5576"/>
    <w:rsid w:val="001A5CBF"/>
    <w:rsid w:val="001A5E87"/>
    <w:rsid w:val="001A5EF2"/>
    <w:rsid w:val="001A6525"/>
    <w:rsid w:val="001A65F7"/>
    <w:rsid w:val="001A67C3"/>
    <w:rsid w:val="001A68F1"/>
    <w:rsid w:val="001A7518"/>
    <w:rsid w:val="001A75E3"/>
    <w:rsid w:val="001B0309"/>
    <w:rsid w:val="001B03D2"/>
    <w:rsid w:val="001B0EEA"/>
    <w:rsid w:val="001B1267"/>
    <w:rsid w:val="001B19BD"/>
    <w:rsid w:val="001B1F9E"/>
    <w:rsid w:val="001B22EF"/>
    <w:rsid w:val="001B25C6"/>
    <w:rsid w:val="001B30BE"/>
    <w:rsid w:val="001B39A3"/>
    <w:rsid w:val="001B4178"/>
    <w:rsid w:val="001B41D9"/>
    <w:rsid w:val="001B4B06"/>
    <w:rsid w:val="001B4B7F"/>
    <w:rsid w:val="001B6082"/>
    <w:rsid w:val="001B6AE5"/>
    <w:rsid w:val="001B6BF5"/>
    <w:rsid w:val="001B6C1D"/>
    <w:rsid w:val="001B7038"/>
    <w:rsid w:val="001B7063"/>
    <w:rsid w:val="001B7804"/>
    <w:rsid w:val="001B7A57"/>
    <w:rsid w:val="001B7AFA"/>
    <w:rsid w:val="001B7D40"/>
    <w:rsid w:val="001C05E5"/>
    <w:rsid w:val="001C0930"/>
    <w:rsid w:val="001C09AC"/>
    <w:rsid w:val="001C0A12"/>
    <w:rsid w:val="001C0AA6"/>
    <w:rsid w:val="001C0B1E"/>
    <w:rsid w:val="001C1321"/>
    <w:rsid w:val="001C1516"/>
    <w:rsid w:val="001C1D41"/>
    <w:rsid w:val="001C2793"/>
    <w:rsid w:val="001C2BA9"/>
    <w:rsid w:val="001C2F01"/>
    <w:rsid w:val="001C3391"/>
    <w:rsid w:val="001C3F64"/>
    <w:rsid w:val="001C450B"/>
    <w:rsid w:val="001C461B"/>
    <w:rsid w:val="001C46B9"/>
    <w:rsid w:val="001C4E6A"/>
    <w:rsid w:val="001C6426"/>
    <w:rsid w:val="001C6B42"/>
    <w:rsid w:val="001C7986"/>
    <w:rsid w:val="001C7E6E"/>
    <w:rsid w:val="001C7FC7"/>
    <w:rsid w:val="001D071F"/>
    <w:rsid w:val="001D09E8"/>
    <w:rsid w:val="001D16CE"/>
    <w:rsid w:val="001D2292"/>
    <w:rsid w:val="001D28B5"/>
    <w:rsid w:val="001D3366"/>
    <w:rsid w:val="001D3B30"/>
    <w:rsid w:val="001D3D0E"/>
    <w:rsid w:val="001D3ED9"/>
    <w:rsid w:val="001D43F4"/>
    <w:rsid w:val="001D506B"/>
    <w:rsid w:val="001D5556"/>
    <w:rsid w:val="001D5C87"/>
    <w:rsid w:val="001D5D6D"/>
    <w:rsid w:val="001D5F6F"/>
    <w:rsid w:val="001D648D"/>
    <w:rsid w:val="001D7129"/>
    <w:rsid w:val="001D7838"/>
    <w:rsid w:val="001D7B12"/>
    <w:rsid w:val="001D7C40"/>
    <w:rsid w:val="001E064D"/>
    <w:rsid w:val="001E16F7"/>
    <w:rsid w:val="001E17BE"/>
    <w:rsid w:val="001E17C2"/>
    <w:rsid w:val="001E2368"/>
    <w:rsid w:val="001E2806"/>
    <w:rsid w:val="001E28F0"/>
    <w:rsid w:val="001E2C52"/>
    <w:rsid w:val="001E3276"/>
    <w:rsid w:val="001E36CD"/>
    <w:rsid w:val="001E4533"/>
    <w:rsid w:val="001E4CED"/>
    <w:rsid w:val="001E502A"/>
    <w:rsid w:val="001E5E28"/>
    <w:rsid w:val="001E6778"/>
    <w:rsid w:val="001E6851"/>
    <w:rsid w:val="001E6969"/>
    <w:rsid w:val="001E6C97"/>
    <w:rsid w:val="001E78C0"/>
    <w:rsid w:val="001F11F6"/>
    <w:rsid w:val="001F4A14"/>
    <w:rsid w:val="001F4A84"/>
    <w:rsid w:val="001F4FE7"/>
    <w:rsid w:val="001F56ED"/>
    <w:rsid w:val="001F5EDA"/>
    <w:rsid w:val="001F61FE"/>
    <w:rsid w:val="001F628E"/>
    <w:rsid w:val="001F6AE1"/>
    <w:rsid w:val="001F750E"/>
    <w:rsid w:val="001F7870"/>
    <w:rsid w:val="001F7879"/>
    <w:rsid w:val="00200218"/>
    <w:rsid w:val="0020092B"/>
    <w:rsid w:val="00200A05"/>
    <w:rsid w:val="00200A9F"/>
    <w:rsid w:val="00200D67"/>
    <w:rsid w:val="002019D5"/>
    <w:rsid w:val="00201FB5"/>
    <w:rsid w:val="002028BB"/>
    <w:rsid w:val="002033D3"/>
    <w:rsid w:val="002033EE"/>
    <w:rsid w:val="0020341E"/>
    <w:rsid w:val="0020375A"/>
    <w:rsid w:val="00203A0D"/>
    <w:rsid w:val="00203E61"/>
    <w:rsid w:val="002040BE"/>
    <w:rsid w:val="0020419F"/>
    <w:rsid w:val="002044B6"/>
    <w:rsid w:val="00205C8E"/>
    <w:rsid w:val="00205D82"/>
    <w:rsid w:val="00205ED7"/>
    <w:rsid w:val="0020679C"/>
    <w:rsid w:val="00206C06"/>
    <w:rsid w:val="00206E22"/>
    <w:rsid w:val="00206E97"/>
    <w:rsid w:val="002076FA"/>
    <w:rsid w:val="0021088F"/>
    <w:rsid w:val="00211264"/>
    <w:rsid w:val="00211312"/>
    <w:rsid w:val="002113D6"/>
    <w:rsid w:val="00211915"/>
    <w:rsid w:val="00211D0B"/>
    <w:rsid w:val="00212796"/>
    <w:rsid w:val="00213402"/>
    <w:rsid w:val="00213939"/>
    <w:rsid w:val="00213D6E"/>
    <w:rsid w:val="0021440B"/>
    <w:rsid w:val="002144EA"/>
    <w:rsid w:val="00215220"/>
    <w:rsid w:val="00215982"/>
    <w:rsid w:val="0021656C"/>
    <w:rsid w:val="002179F5"/>
    <w:rsid w:val="00217D5D"/>
    <w:rsid w:val="00221175"/>
    <w:rsid w:val="00221356"/>
    <w:rsid w:val="002213C6"/>
    <w:rsid w:val="00221CA3"/>
    <w:rsid w:val="00222495"/>
    <w:rsid w:val="002227CE"/>
    <w:rsid w:val="00222A06"/>
    <w:rsid w:val="00223DD7"/>
    <w:rsid w:val="002242F5"/>
    <w:rsid w:val="0022481A"/>
    <w:rsid w:val="002252C7"/>
    <w:rsid w:val="002253C7"/>
    <w:rsid w:val="00225524"/>
    <w:rsid w:val="002266DB"/>
    <w:rsid w:val="00227722"/>
    <w:rsid w:val="00232940"/>
    <w:rsid w:val="002329A5"/>
    <w:rsid w:val="0023390D"/>
    <w:rsid w:val="00233C33"/>
    <w:rsid w:val="00233C4F"/>
    <w:rsid w:val="0023413D"/>
    <w:rsid w:val="00235EC7"/>
    <w:rsid w:val="002368F6"/>
    <w:rsid w:val="0023690F"/>
    <w:rsid w:val="0023720B"/>
    <w:rsid w:val="00237720"/>
    <w:rsid w:val="00237B05"/>
    <w:rsid w:val="00237E9A"/>
    <w:rsid w:val="00237F72"/>
    <w:rsid w:val="002409AF"/>
    <w:rsid w:val="00240B1B"/>
    <w:rsid w:val="002423CB"/>
    <w:rsid w:val="00242849"/>
    <w:rsid w:val="00242866"/>
    <w:rsid w:val="002429E4"/>
    <w:rsid w:val="00242A26"/>
    <w:rsid w:val="002432AE"/>
    <w:rsid w:val="002438C5"/>
    <w:rsid w:val="002439AE"/>
    <w:rsid w:val="002443F9"/>
    <w:rsid w:val="00244EBF"/>
    <w:rsid w:val="00245403"/>
    <w:rsid w:val="00245B6C"/>
    <w:rsid w:val="0024633A"/>
    <w:rsid w:val="00246C9E"/>
    <w:rsid w:val="00251167"/>
    <w:rsid w:val="002512B4"/>
    <w:rsid w:val="002523E0"/>
    <w:rsid w:val="00252C3A"/>
    <w:rsid w:val="002530C1"/>
    <w:rsid w:val="002533F9"/>
    <w:rsid w:val="00253A6C"/>
    <w:rsid w:val="002552C2"/>
    <w:rsid w:val="00255B3E"/>
    <w:rsid w:val="00255E56"/>
    <w:rsid w:val="002565FA"/>
    <w:rsid w:val="00256CE7"/>
    <w:rsid w:val="00256DA5"/>
    <w:rsid w:val="0025700B"/>
    <w:rsid w:val="00257085"/>
    <w:rsid w:val="00257506"/>
    <w:rsid w:val="00260596"/>
    <w:rsid w:val="0026106A"/>
    <w:rsid w:val="00264027"/>
    <w:rsid w:val="002647F8"/>
    <w:rsid w:val="00265F61"/>
    <w:rsid w:val="00266287"/>
    <w:rsid w:val="0026672C"/>
    <w:rsid w:val="00266C2D"/>
    <w:rsid w:val="00266F27"/>
    <w:rsid w:val="00266F98"/>
    <w:rsid w:val="00267105"/>
    <w:rsid w:val="0026711D"/>
    <w:rsid w:val="002673CE"/>
    <w:rsid w:val="002675EB"/>
    <w:rsid w:val="0026772A"/>
    <w:rsid w:val="0026796B"/>
    <w:rsid w:val="00267A43"/>
    <w:rsid w:val="0027036C"/>
    <w:rsid w:val="0027057A"/>
    <w:rsid w:val="00270FEA"/>
    <w:rsid w:val="002712B4"/>
    <w:rsid w:val="0027196C"/>
    <w:rsid w:val="00271AEA"/>
    <w:rsid w:val="00272A40"/>
    <w:rsid w:val="002733A4"/>
    <w:rsid w:val="00274219"/>
    <w:rsid w:val="00274548"/>
    <w:rsid w:val="002746C7"/>
    <w:rsid w:val="0027494A"/>
    <w:rsid w:val="002749AA"/>
    <w:rsid w:val="00275220"/>
    <w:rsid w:val="00275DB1"/>
    <w:rsid w:val="0027634C"/>
    <w:rsid w:val="002767DF"/>
    <w:rsid w:val="002769B6"/>
    <w:rsid w:val="00277DCC"/>
    <w:rsid w:val="00277F69"/>
    <w:rsid w:val="00277FBB"/>
    <w:rsid w:val="002801F1"/>
    <w:rsid w:val="00280852"/>
    <w:rsid w:val="00280E62"/>
    <w:rsid w:val="00280F37"/>
    <w:rsid w:val="00281C58"/>
    <w:rsid w:val="0028237D"/>
    <w:rsid w:val="00282CFE"/>
    <w:rsid w:val="00282D4E"/>
    <w:rsid w:val="00283517"/>
    <w:rsid w:val="00283750"/>
    <w:rsid w:val="00283E0F"/>
    <w:rsid w:val="00284CEF"/>
    <w:rsid w:val="00285E40"/>
    <w:rsid w:val="002860B6"/>
    <w:rsid w:val="002862B1"/>
    <w:rsid w:val="002862FD"/>
    <w:rsid w:val="002866C8"/>
    <w:rsid w:val="00286A09"/>
    <w:rsid w:val="00286BE5"/>
    <w:rsid w:val="00286FCA"/>
    <w:rsid w:val="002875DB"/>
    <w:rsid w:val="002905A4"/>
    <w:rsid w:val="002905DB"/>
    <w:rsid w:val="00291444"/>
    <w:rsid w:val="0029188C"/>
    <w:rsid w:val="00292139"/>
    <w:rsid w:val="00292525"/>
    <w:rsid w:val="00292C34"/>
    <w:rsid w:val="00293013"/>
    <w:rsid w:val="002935F8"/>
    <w:rsid w:val="002940D4"/>
    <w:rsid w:val="00294746"/>
    <w:rsid w:val="00294EE4"/>
    <w:rsid w:val="00295095"/>
    <w:rsid w:val="002953F9"/>
    <w:rsid w:val="00296413"/>
    <w:rsid w:val="002972E4"/>
    <w:rsid w:val="00297839"/>
    <w:rsid w:val="00297B16"/>
    <w:rsid w:val="002A110D"/>
    <w:rsid w:val="002A24A8"/>
    <w:rsid w:val="002A26D2"/>
    <w:rsid w:val="002A290B"/>
    <w:rsid w:val="002A2BA3"/>
    <w:rsid w:val="002A2E0E"/>
    <w:rsid w:val="002A2FB0"/>
    <w:rsid w:val="002A3251"/>
    <w:rsid w:val="002A3941"/>
    <w:rsid w:val="002A5B66"/>
    <w:rsid w:val="002A5D55"/>
    <w:rsid w:val="002A5F17"/>
    <w:rsid w:val="002A6024"/>
    <w:rsid w:val="002A7188"/>
    <w:rsid w:val="002A740D"/>
    <w:rsid w:val="002A74CE"/>
    <w:rsid w:val="002B102C"/>
    <w:rsid w:val="002B1124"/>
    <w:rsid w:val="002B1175"/>
    <w:rsid w:val="002B1DD6"/>
    <w:rsid w:val="002B2455"/>
    <w:rsid w:val="002B2E57"/>
    <w:rsid w:val="002B2ECD"/>
    <w:rsid w:val="002B34E5"/>
    <w:rsid w:val="002B3693"/>
    <w:rsid w:val="002B3FC3"/>
    <w:rsid w:val="002B4587"/>
    <w:rsid w:val="002B45AF"/>
    <w:rsid w:val="002B5296"/>
    <w:rsid w:val="002B6FF9"/>
    <w:rsid w:val="002B706E"/>
    <w:rsid w:val="002B7516"/>
    <w:rsid w:val="002B780C"/>
    <w:rsid w:val="002B782E"/>
    <w:rsid w:val="002B7A21"/>
    <w:rsid w:val="002C0123"/>
    <w:rsid w:val="002C0632"/>
    <w:rsid w:val="002C111D"/>
    <w:rsid w:val="002C1205"/>
    <w:rsid w:val="002C1538"/>
    <w:rsid w:val="002C1B20"/>
    <w:rsid w:val="002C1E69"/>
    <w:rsid w:val="002C2094"/>
    <w:rsid w:val="002C2122"/>
    <w:rsid w:val="002C21F3"/>
    <w:rsid w:val="002C2D95"/>
    <w:rsid w:val="002C311C"/>
    <w:rsid w:val="002C37F9"/>
    <w:rsid w:val="002C3964"/>
    <w:rsid w:val="002C4C0A"/>
    <w:rsid w:val="002C4E87"/>
    <w:rsid w:val="002C5288"/>
    <w:rsid w:val="002C5CF7"/>
    <w:rsid w:val="002C5E4F"/>
    <w:rsid w:val="002C6527"/>
    <w:rsid w:val="002C76C7"/>
    <w:rsid w:val="002C76CF"/>
    <w:rsid w:val="002C7EF3"/>
    <w:rsid w:val="002D0269"/>
    <w:rsid w:val="002D11FD"/>
    <w:rsid w:val="002D17E2"/>
    <w:rsid w:val="002D2832"/>
    <w:rsid w:val="002D29F4"/>
    <w:rsid w:val="002D2AE1"/>
    <w:rsid w:val="002D2D4B"/>
    <w:rsid w:val="002D2D83"/>
    <w:rsid w:val="002D380F"/>
    <w:rsid w:val="002D3E3B"/>
    <w:rsid w:val="002D3F2E"/>
    <w:rsid w:val="002D40EE"/>
    <w:rsid w:val="002D454E"/>
    <w:rsid w:val="002D45E2"/>
    <w:rsid w:val="002D46A1"/>
    <w:rsid w:val="002D4B90"/>
    <w:rsid w:val="002D5064"/>
    <w:rsid w:val="002D75C9"/>
    <w:rsid w:val="002D774F"/>
    <w:rsid w:val="002D78AC"/>
    <w:rsid w:val="002D79A6"/>
    <w:rsid w:val="002D7CD1"/>
    <w:rsid w:val="002D7F44"/>
    <w:rsid w:val="002D7FD7"/>
    <w:rsid w:val="002E0122"/>
    <w:rsid w:val="002E019F"/>
    <w:rsid w:val="002E08F0"/>
    <w:rsid w:val="002E13D5"/>
    <w:rsid w:val="002E14E8"/>
    <w:rsid w:val="002E15B0"/>
    <w:rsid w:val="002E173B"/>
    <w:rsid w:val="002E2368"/>
    <w:rsid w:val="002E2B26"/>
    <w:rsid w:val="002E2C71"/>
    <w:rsid w:val="002E3A43"/>
    <w:rsid w:val="002E3E92"/>
    <w:rsid w:val="002E42B9"/>
    <w:rsid w:val="002E434F"/>
    <w:rsid w:val="002E6222"/>
    <w:rsid w:val="002E6584"/>
    <w:rsid w:val="002E684F"/>
    <w:rsid w:val="002E6FA6"/>
    <w:rsid w:val="002E7E7B"/>
    <w:rsid w:val="002F07EB"/>
    <w:rsid w:val="002F0E33"/>
    <w:rsid w:val="002F11A1"/>
    <w:rsid w:val="002F16FE"/>
    <w:rsid w:val="002F1A6F"/>
    <w:rsid w:val="002F2413"/>
    <w:rsid w:val="002F2642"/>
    <w:rsid w:val="002F28D2"/>
    <w:rsid w:val="002F32A2"/>
    <w:rsid w:val="002F3354"/>
    <w:rsid w:val="002F3C31"/>
    <w:rsid w:val="002F4067"/>
    <w:rsid w:val="002F46DB"/>
    <w:rsid w:val="002F4862"/>
    <w:rsid w:val="002F5737"/>
    <w:rsid w:val="002F57F6"/>
    <w:rsid w:val="002F6251"/>
    <w:rsid w:val="002F62B7"/>
    <w:rsid w:val="002F66E3"/>
    <w:rsid w:val="002F6748"/>
    <w:rsid w:val="002F6B44"/>
    <w:rsid w:val="002F7202"/>
    <w:rsid w:val="002F76A7"/>
    <w:rsid w:val="002F7819"/>
    <w:rsid w:val="002F7BE0"/>
    <w:rsid w:val="002F7CC9"/>
    <w:rsid w:val="0030152B"/>
    <w:rsid w:val="003018F2"/>
    <w:rsid w:val="003021F0"/>
    <w:rsid w:val="003037A6"/>
    <w:rsid w:val="00303AE2"/>
    <w:rsid w:val="00303F73"/>
    <w:rsid w:val="00304022"/>
    <w:rsid w:val="00304C2D"/>
    <w:rsid w:val="003059A2"/>
    <w:rsid w:val="003059E2"/>
    <w:rsid w:val="003061E3"/>
    <w:rsid w:val="003065AA"/>
    <w:rsid w:val="00306CA0"/>
    <w:rsid w:val="00306D86"/>
    <w:rsid w:val="0030713E"/>
    <w:rsid w:val="003072A0"/>
    <w:rsid w:val="00307324"/>
    <w:rsid w:val="00307586"/>
    <w:rsid w:val="00307A31"/>
    <w:rsid w:val="00307D70"/>
    <w:rsid w:val="00307DDB"/>
    <w:rsid w:val="003102CB"/>
    <w:rsid w:val="00310BDC"/>
    <w:rsid w:val="00310FAC"/>
    <w:rsid w:val="003116C5"/>
    <w:rsid w:val="00311E72"/>
    <w:rsid w:val="00311FB2"/>
    <w:rsid w:val="003129D3"/>
    <w:rsid w:val="003132FF"/>
    <w:rsid w:val="0031337F"/>
    <w:rsid w:val="00313D35"/>
    <w:rsid w:val="00314695"/>
    <w:rsid w:val="0031509C"/>
    <w:rsid w:val="003165BE"/>
    <w:rsid w:val="00316776"/>
    <w:rsid w:val="003169A7"/>
    <w:rsid w:val="0031710C"/>
    <w:rsid w:val="00317380"/>
    <w:rsid w:val="00317826"/>
    <w:rsid w:val="00317CAC"/>
    <w:rsid w:val="003203A1"/>
    <w:rsid w:val="003203CE"/>
    <w:rsid w:val="00320745"/>
    <w:rsid w:val="00320829"/>
    <w:rsid w:val="00321756"/>
    <w:rsid w:val="00321C8B"/>
    <w:rsid w:val="00323403"/>
    <w:rsid w:val="00323449"/>
    <w:rsid w:val="00324059"/>
    <w:rsid w:val="0032498A"/>
    <w:rsid w:val="0032602E"/>
    <w:rsid w:val="00326597"/>
    <w:rsid w:val="003266E5"/>
    <w:rsid w:val="003277BF"/>
    <w:rsid w:val="00327835"/>
    <w:rsid w:val="003302C9"/>
    <w:rsid w:val="00330A52"/>
    <w:rsid w:val="00331842"/>
    <w:rsid w:val="0033232F"/>
    <w:rsid w:val="003326AA"/>
    <w:rsid w:val="00332C9D"/>
    <w:rsid w:val="00332CE2"/>
    <w:rsid w:val="00332E0F"/>
    <w:rsid w:val="00333261"/>
    <w:rsid w:val="0033389A"/>
    <w:rsid w:val="00334649"/>
    <w:rsid w:val="00335A58"/>
    <w:rsid w:val="003360F7"/>
    <w:rsid w:val="00336269"/>
    <w:rsid w:val="003369BD"/>
    <w:rsid w:val="003374D1"/>
    <w:rsid w:val="003375E2"/>
    <w:rsid w:val="003400A2"/>
    <w:rsid w:val="00340858"/>
    <w:rsid w:val="003419FD"/>
    <w:rsid w:val="00342347"/>
    <w:rsid w:val="0034273D"/>
    <w:rsid w:val="00342A55"/>
    <w:rsid w:val="00342B7E"/>
    <w:rsid w:val="00343F3A"/>
    <w:rsid w:val="003441F8"/>
    <w:rsid w:val="0034487E"/>
    <w:rsid w:val="0034555A"/>
    <w:rsid w:val="00345BF4"/>
    <w:rsid w:val="00345C52"/>
    <w:rsid w:val="00346055"/>
    <w:rsid w:val="0034621F"/>
    <w:rsid w:val="003505F7"/>
    <w:rsid w:val="00350FC0"/>
    <w:rsid w:val="00351427"/>
    <w:rsid w:val="003519DA"/>
    <w:rsid w:val="00352CF3"/>
    <w:rsid w:val="00354042"/>
    <w:rsid w:val="003540B7"/>
    <w:rsid w:val="00355D3F"/>
    <w:rsid w:val="003561F1"/>
    <w:rsid w:val="003562F0"/>
    <w:rsid w:val="003563CD"/>
    <w:rsid w:val="003568D1"/>
    <w:rsid w:val="00357E63"/>
    <w:rsid w:val="0036040A"/>
    <w:rsid w:val="00361797"/>
    <w:rsid w:val="003617DF"/>
    <w:rsid w:val="00361D48"/>
    <w:rsid w:val="00361FA0"/>
    <w:rsid w:val="00362392"/>
    <w:rsid w:val="00362924"/>
    <w:rsid w:val="00362D79"/>
    <w:rsid w:val="00363701"/>
    <w:rsid w:val="00364A06"/>
    <w:rsid w:val="00364B1A"/>
    <w:rsid w:val="00365831"/>
    <w:rsid w:val="00366535"/>
    <w:rsid w:val="0036655B"/>
    <w:rsid w:val="003667B0"/>
    <w:rsid w:val="00366EAD"/>
    <w:rsid w:val="00366F69"/>
    <w:rsid w:val="003670ED"/>
    <w:rsid w:val="003673F6"/>
    <w:rsid w:val="00370CF3"/>
    <w:rsid w:val="003713F0"/>
    <w:rsid w:val="00371A7D"/>
    <w:rsid w:val="0037343B"/>
    <w:rsid w:val="00373450"/>
    <w:rsid w:val="003734EF"/>
    <w:rsid w:val="00373B0F"/>
    <w:rsid w:val="00373E08"/>
    <w:rsid w:val="003740F7"/>
    <w:rsid w:val="00374187"/>
    <w:rsid w:val="00374230"/>
    <w:rsid w:val="00374609"/>
    <w:rsid w:val="003752D6"/>
    <w:rsid w:val="003752EB"/>
    <w:rsid w:val="0037574C"/>
    <w:rsid w:val="00375C72"/>
    <w:rsid w:val="00376030"/>
    <w:rsid w:val="00376092"/>
    <w:rsid w:val="003801A2"/>
    <w:rsid w:val="003801AA"/>
    <w:rsid w:val="00380DEF"/>
    <w:rsid w:val="003810D8"/>
    <w:rsid w:val="00381279"/>
    <w:rsid w:val="00381335"/>
    <w:rsid w:val="00381C1A"/>
    <w:rsid w:val="00382608"/>
    <w:rsid w:val="003828FF"/>
    <w:rsid w:val="00383272"/>
    <w:rsid w:val="00383A67"/>
    <w:rsid w:val="00384037"/>
    <w:rsid w:val="003843FC"/>
    <w:rsid w:val="00384CD5"/>
    <w:rsid w:val="00385211"/>
    <w:rsid w:val="003857EF"/>
    <w:rsid w:val="003866EB"/>
    <w:rsid w:val="00386A87"/>
    <w:rsid w:val="00386AC7"/>
    <w:rsid w:val="00386C56"/>
    <w:rsid w:val="0038795E"/>
    <w:rsid w:val="003904B5"/>
    <w:rsid w:val="00391340"/>
    <w:rsid w:val="003913E4"/>
    <w:rsid w:val="00391453"/>
    <w:rsid w:val="00391832"/>
    <w:rsid w:val="00391DC1"/>
    <w:rsid w:val="003933E7"/>
    <w:rsid w:val="0039350F"/>
    <w:rsid w:val="003938A8"/>
    <w:rsid w:val="00393C62"/>
    <w:rsid w:val="00394412"/>
    <w:rsid w:val="0039450F"/>
    <w:rsid w:val="003948AE"/>
    <w:rsid w:val="00394C38"/>
    <w:rsid w:val="003952F7"/>
    <w:rsid w:val="003953C0"/>
    <w:rsid w:val="00395FD6"/>
    <w:rsid w:val="00397919"/>
    <w:rsid w:val="0039798C"/>
    <w:rsid w:val="003A031C"/>
    <w:rsid w:val="003A1535"/>
    <w:rsid w:val="003A195E"/>
    <w:rsid w:val="003A1DB8"/>
    <w:rsid w:val="003A2093"/>
    <w:rsid w:val="003A2151"/>
    <w:rsid w:val="003A2237"/>
    <w:rsid w:val="003A2629"/>
    <w:rsid w:val="003A2924"/>
    <w:rsid w:val="003A3FDB"/>
    <w:rsid w:val="003A4CD3"/>
    <w:rsid w:val="003A4D1F"/>
    <w:rsid w:val="003A56F7"/>
    <w:rsid w:val="003A69DF"/>
    <w:rsid w:val="003A6F9E"/>
    <w:rsid w:val="003A779E"/>
    <w:rsid w:val="003A7C14"/>
    <w:rsid w:val="003B0BD1"/>
    <w:rsid w:val="003B0C09"/>
    <w:rsid w:val="003B0CBE"/>
    <w:rsid w:val="003B0F58"/>
    <w:rsid w:val="003B118D"/>
    <w:rsid w:val="003B1682"/>
    <w:rsid w:val="003B1AF6"/>
    <w:rsid w:val="003B1B28"/>
    <w:rsid w:val="003B2478"/>
    <w:rsid w:val="003B25F5"/>
    <w:rsid w:val="003B3D31"/>
    <w:rsid w:val="003B4414"/>
    <w:rsid w:val="003B4915"/>
    <w:rsid w:val="003B4B03"/>
    <w:rsid w:val="003B5047"/>
    <w:rsid w:val="003B693D"/>
    <w:rsid w:val="003B6B0A"/>
    <w:rsid w:val="003B7204"/>
    <w:rsid w:val="003B7965"/>
    <w:rsid w:val="003C0E8D"/>
    <w:rsid w:val="003C1335"/>
    <w:rsid w:val="003C1661"/>
    <w:rsid w:val="003C240D"/>
    <w:rsid w:val="003C341F"/>
    <w:rsid w:val="003C38B0"/>
    <w:rsid w:val="003C39E6"/>
    <w:rsid w:val="003C3D4B"/>
    <w:rsid w:val="003C6ACD"/>
    <w:rsid w:val="003C6C01"/>
    <w:rsid w:val="003C6F77"/>
    <w:rsid w:val="003C7B16"/>
    <w:rsid w:val="003C7B7E"/>
    <w:rsid w:val="003D0DFD"/>
    <w:rsid w:val="003D117B"/>
    <w:rsid w:val="003D1389"/>
    <w:rsid w:val="003D16E2"/>
    <w:rsid w:val="003D1C20"/>
    <w:rsid w:val="003D26A0"/>
    <w:rsid w:val="003D2FDA"/>
    <w:rsid w:val="003D36E5"/>
    <w:rsid w:val="003D47AB"/>
    <w:rsid w:val="003D4CE3"/>
    <w:rsid w:val="003D52D2"/>
    <w:rsid w:val="003D53DD"/>
    <w:rsid w:val="003D625A"/>
    <w:rsid w:val="003D66D1"/>
    <w:rsid w:val="003D6A13"/>
    <w:rsid w:val="003D6C47"/>
    <w:rsid w:val="003D7168"/>
    <w:rsid w:val="003E0084"/>
    <w:rsid w:val="003E0E5A"/>
    <w:rsid w:val="003E12EA"/>
    <w:rsid w:val="003E1735"/>
    <w:rsid w:val="003E1B06"/>
    <w:rsid w:val="003E27E0"/>
    <w:rsid w:val="003E2B1D"/>
    <w:rsid w:val="003E44EB"/>
    <w:rsid w:val="003E4711"/>
    <w:rsid w:val="003E4AC4"/>
    <w:rsid w:val="003E4FC1"/>
    <w:rsid w:val="003E69F8"/>
    <w:rsid w:val="003E6AE4"/>
    <w:rsid w:val="003E6C56"/>
    <w:rsid w:val="003E7D20"/>
    <w:rsid w:val="003F01C8"/>
    <w:rsid w:val="003F034C"/>
    <w:rsid w:val="003F0503"/>
    <w:rsid w:val="003F05AF"/>
    <w:rsid w:val="003F075C"/>
    <w:rsid w:val="003F0828"/>
    <w:rsid w:val="003F096E"/>
    <w:rsid w:val="003F0F3E"/>
    <w:rsid w:val="003F0FE0"/>
    <w:rsid w:val="003F1B53"/>
    <w:rsid w:val="003F1DC7"/>
    <w:rsid w:val="003F25A1"/>
    <w:rsid w:val="003F2AE5"/>
    <w:rsid w:val="003F3252"/>
    <w:rsid w:val="003F3532"/>
    <w:rsid w:val="003F3FA2"/>
    <w:rsid w:val="003F4F23"/>
    <w:rsid w:val="003F5825"/>
    <w:rsid w:val="003F5D2B"/>
    <w:rsid w:val="003F5D3D"/>
    <w:rsid w:val="003F5E9A"/>
    <w:rsid w:val="003F5EF5"/>
    <w:rsid w:val="003F5F10"/>
    <w:rsid w:val="003F69A4"/>
    <w:rsid w:val="003F7769"/>
    <w:rsid w:val="003F7E53"/>
    <w:rsid w:val="003F7E70"/>
    <w:rsid w:val="00400880"/>
    <w:rsid w:val="00400F3A"/>
    <w:rsid w:val="00401C4A"/>
    <w:rsid w:val="00402FB3"/>
    <w:rsid w:val="00404EB7"/>
    <w:rsid w:val="00404F03"/>
    <w:rsid w:val="00404F94"/>
    <w:rsid w:val="0040514C"/>
    <w:rsid w:val="004058D4"/>
    <w:rsid w:val="00406B3B"/>
    <w:rsid w:val="00406EE5"/>
    <w:rsid w:val="00407004"/>
    <w:rsid w:val="004074D7"/>
    <w:rsid w:val="00407892"/>
    <w:rsid w:val="00407918"/>
    <w:rsid w:val="00407B26"/>
    <w:rsid w:val="00407FFA"/>
    <w:rsid w:val="0041007B"/>
    <w:rsid w:val="00410C32"/>
    <w:rsid w:val="00410F95"/>
    <w:rsid w:val="004111DD"/>
    <w:rsid w:val="004112B3"/>
    <w:rsid w:val="004114FD"/>
    <w:rsid w:val="0041228D"/>
    <w:rsid w:val="004124DA"/>
    <w:rsid w:val="0041265F"/>
    <w:rsid w:val="00413D89"/>
    <w:rsid w:val="00414033"/>
    <w:rsid w:val="004144EA"/>
    <w:rsid w:val="00414967"/>
    <w:rsid w:val="00414C2B"/>
    <w:rsid w:val="00417DC4"/>
    <w:rsid w:val="00420458"/>
    <w:rsid w:val="00420980"/>
    <w:rsid w:val="004209A0"/>
    <w:rsid w:val="00420C00"/>
    <w:rsid w:val="004215EB"/>
    <w:rsid w:val="00422453"/>
    <w:rsid w:val="00422CE3"/>
    <w:rsid w:val="00424225"/>
    <w:rsid w:val="004249B2"/>
    <w:rsid w:val="00424D21"/>
    <w:rsid w:val="0042530B"/>
    <w:rsid w:val="0042662E"/>
    <w:rsid w:val="00426CAA"/>
    <w:rsid w:val="0042707B"/>
    <w:rsid w:val="00427D98"/>
    <w:rsid w:val="00430A78"/>
    <w:rsid w:val="00430ABC"/>
    <w:rsid w:val="00430C79"/>
    <w:rsid w:val="004310F5"/>
    <w:rsid w:val="00431105"/>
    <w:rsid w:val="00431CE7"/>
    <w:rsid w:val="00431FF2"/>
    <w:rsid w:val="004328FF"/>
    <w:rsid w:val="0043290E"/>
    <w:rsid w:val="00432C53"/>
    <w:rsid w:val="00433300"/>
    <w:rsid w:val="0043342E"/>
    <w:rsid w:val="00433922"/>
    <w:rsid w:val="004349E6"/>
    <w:rsid w:val="0043555F"/>
    <w:rsid w:val="00435675"/>
    <w:rsid w:val="00435729"/>
    <w:rsid w:val="004359C4"/>
    <w:rsid w:val="004366BF"/>
    <w:rsid w:val="00436C4A"/>
    <w:rsid w:val="00437B8B"/>
    <w:rsid w:val="00437C1B"/>
    <w:rsid w:val="00440A69"/>
    <w:rsid w:val="0044181A"/>
    <w:rsid w:val="00441DA7"/>
    <w:rsid w:val="004426EE"/>
    <w:rsid w:val="00442854"/>
    <w:rsid w:val="00442B6F"/>
    <w:rsid w:val="00443B6A"/>
    <w:rsid w:val="00443EAC"/>
    <w:rsid w:val="00445BF6"/>
    <w:rsid w:val="00447087"/>
    <w:rsid w:val="0044757A"/>
    <w:rsid w:val="004501EA"/>
    <w:rsid w:val="004503A1"/>
    <w:rsid w:val="004505FA"/>
    <w:rsid w:val="00451020"/>
    <w:rsid w:val="00451861"/>
    <w:rsid w:val="00451976"/>
    <w:rsid w:val="00451B4F"/>
    <w:rsid w:val="00451E67"/>
    <w:rsid w:val="004527D7"/>
    <w:rsid w:val="00452855"/>
    <w:rsid w:val="00452B4D"/>
    <w:rsid w:val="00453297"/>
    <w:rsid w:val="00453742"/>
    <w:rsid w:val="004540CD"/>
    <w:rsid w:val="00454219"/>
    <w:rsid w:val="0045504D"/>
    <w:rsid w:val="004560C9"/>
    <w:rsid w:val="004565EC"/>
    <w:rsid w:val="00456C19"/>
    <w:rsid w:val="00456FC6"/>
    <w:rsid w:val="004572EA"/>
    <w:rsid w:val="0046011F"/>
    <w:rsid w:val="00460B81"/>
    <w:rsid w:val="00460CDE"/>
    <w:rsid w:val="00460D95"/>
    <w:rsid w:val="004613CC"/>
    <w:rsid w:val="00461811"/>
    <w:rsid w:val="004623BC"/>
    <w:rsid w:val="00462574"/>
    <w:rsid w:val="0046300A"/>
    <w:rsid w:val="004633CC"/>
    <w:rsid w:val="004645FF"/>
    <w:rsid w:val="00464AE2"/>
    <w:rsid w:val="00464C43"/>
    <w:rsid w:val="00465636"/>
    <w:rsid w:val="00465EC8"/>
    <w:rsid w:val="00465F30"/>
    <w:rsid w:val="0046604C"/>
    <w:rsid w:val="00466C35"/>
    <w:rsid w:val="00466CAA"/>
    <w:rsid w:val="00466D5B"/>
    <w:rsid w:val="00466D7C"/>
    <w:rsid w:val="004673BE"/>
    <w:rsid w:val="004674D7"/>
    <w:rsid w:val="00470003"/>
    <w:rsid w:val="004707F8"/>
    <w:rsid w:val="00470947"/>
    <w:rsid w:val="004709A4"/>
    <w:rsid w:val="004718A0"/>
    <w:rsid w:val="00471B51"/>
    <w:rsid w:val="00472050"/>
    <w:rsid w:val="004720DB"/>
    <w:rsid w:val="00472DBD"/>
    <w:rsid w:val="00472EDF"/>
    <w:rsid w:val="00473D5C"/>
    <w:rsid w:val="00473D66"/>
    <w:rsid w:val="00474DC9"/>
    <w:rsid w:val="0047501B"/>
    <w:rsid w:val="00475506"/>
    <w:rsid w:val="0047559B"/>
    <w:rsid w:val="004757E3"/>
    <w:rsid w:val="00475821"/>
    <w:rsid w:val="00475C91"/>
    <w:rsid w:val="00476E8B"/>
    <w:rsid w:val="0047714D"/>
    <w:rsid w:val="00477155"/>
    <w:rsid w:val="004772E0"/>
    <w:rsid w:val="00477616"/>
    <w:rsid w:val="00477C6B"/>
    <w:rsid w:val="00477C78"/>
    <w:rsid w:val="00477CC2"/>
    <w:rsid w:val="00477F31"/>
    <w:rsid w:val="00480145"/>
    <w:rsid w:val="00480225"/>
    <w:rsid w:val="004816ED"/>
    <w:rsid w:val="00482063"/>
    <w:rsid w:val="00482B5B"/>
    <w:rsid w:val="00483516"/>
    <w:rsid w:val="00483FDD"/>
    <w:rsid w:val="004846C8"/>
    <w:rsid w:val="00484D97"/>
    <w:rsid w:val="004856F1"/>
    <w:rsid w:val="00485980"/>
    <w:rsid w:val="004862D7"/>
    <w:rsid w:val="0048666A"/>
    <w:rsid w:val="004869E7"/>
    <w:rsid w:val="00490199"/>
    <w:rsid w:val="00490D44"/>
    <w:rsid w:val="00491413"/>
    <w:rsid w:val="00491F15"/>
    <w:rsid w:val="004921F1"/>
    <w:rsid w:val="004923CE"/>
    <w:rsid w:val="00492CE6"/>
    <w:rsid w:val="00493EDC"/>
    <w:rsid w:val="004941C7"/>
    <w:rsid w:val="004941DB"/>
    <w:rsid w:val="004943EA"/>
    <w:rsid w:val="00494A30"/>
    <w:rsid w:val="00494B3A"/>
    <w:rsid w:val="00494FD9"/>
    <w:rsid w:val="004950FE"/>
    <w:rsid w:val="00495397"/>
    <w:rsid w:val="0049568A"/>
    <w:rsid w:val="00496031"/>
    <w:rsid w:val="00496A23"/>
    <w:rsid w:val="00496AE6"/>
    <w:rsid w:val="0049735C"/>
    <w:rsid w:val="00497B41"/>
    <w:rsid w:val="00497F68"/>
    <w:rsid w:val="004A03FA"/>
    <w:rsid w:val="004A06C8"/>
    <w:rsid w:val="004A0E50"/>
    <w:rsid w:val="004A2CF5"/>
    <w:rsid w:val="004A30AA"/>
    <w:rsid w:val="004A320B"/>
    <w:rsid w:val="004A3262"/>
    <w:rsid w:val="004A37E7"/>
    <w:rsid w:val="004A3BF1"/>
    <w:rsid w:val="004A3FF4"/>
    <w:rsid w:val="004A403F"/>
    <w:rsid w:val="004A491E"/>
    <w:rsid w:val="004A548D"/>
    <w:rsid w:val="004A5901"/>
    <w:rsid w:val="004A5984"/>
    <w:rsid w:val="004A59F7"/>
    <w:rsid w:val="004A5C97"/>
    <w:rsid w:val="004A5CE4"/>
    <w:rsid w:val="004A65C0"/>
    <w:rsid w:val="004B0268"/>
    <w:rsid w:val="004B0B73"/>
    <w:rsid w:val="004B0BAB"/>
    <w:rsid w:val="004B0DBB"/>
    <w:rsid w:val="004B116A"/>
    <w:rsid w:val="004B1C04"/>
    <w:rsid w:val="004B1DE5"/>
    <w:rsid w:val="004B3415"/>
    <w:rsid w:val="004B574A"/>
    <w:rsid w:val="004B5D79"/>
    <w:rsid w:val="004B5ED9"/>
    <w:rsid w:val="004B6108"/>
    <w:rsid w:val="004B6A12"/>
    <w:rsid w:val="004B7522"/>
    <w:rsid w:val="004B752F"/>
    <w:rsid w:val="004B775A"/>
    <w:rsid w:val="004C1310"/>
    <w:rsid w:val="004C13DB"/>
    <w:rsid w:val="004C1479"/>
    <w:rsid w:val="004C283E"/>
    <w:rsid w:val="004C470F"/>
    <w:rsid w:val="004C4A77"/>
    <w:rsid w:val="004C5975"/>
    <w:rsid w:val="004C5EEA"/>
    <w:rsid w:val="004C63C8"/>
    <w:rsid w:val="004C69FD"/>
    <w:rsid w:val="004C7091"/>
    <w:rsid w:val="004C7B1D"/>
    <w:rsid w:val="004D0123"/>
    <w:rsid w:val="004D012F"/>
    <w:rsid w:val="004D0408"/>
    <w:rsid w:val="004D0953"/>
    <w:rsid w:val="004D0CF7"/>
    <w:rsid w:val="004D0E0D"/>
    <w:rsid w:val="004D0E58"/>
    <w:rsid w:val="004D209E"/>
    <w:rsid w:val="004D2FB7"/>
    <w:rsid w:val="004D3383"/>
    <w:rsid w:val="004D34CB"/>
    <w:rsid w:val="004D3C1A"/>
    <w:rsid w:val="004D3C9A"/>
    <w:rsid w:val="004D42C7"/>
    <w:rsid w:val="004D472F"/>
    <w:rsid w:val="004D49E4"/>
    <w:rsid w:val="004D4E94"/>
    <w:rsid w:val="004D502C"/>
    <w:rsid w:val="004D54B9"/>
    <w:rsid w:val="004D5711"/>
    <w:rsid w:val="004D5D1F"/>
    <w:rsid w:val="004D5E3C"/>
    <w:rsid w:val="004D61B1"/>
    <w:rsid w:val="004D69A0"/>
    <w:rsid w:val="004D6DE7"/>
    <w:rsid w:val="004D6F1D"/>
    <w:rsid w:val="004D70A0"/>
    <w:rsid w:val="004D70ED"/>
    <w:rsid w:val="004D7181"/>
    <w:rsid w:val="004E0368"/>
    <w:rsid w:val="004E14AA"/>
    <w:rsid w:val="004E1B5E"/>
    <w:rsid w:val="004E205E"/>
    <w:rsid w:val="004E28B7"/>
    <w:rsid w:val="004E3276"/>
    <w:rsid w:val="004E3667"/>
    <w:rsid w:val="004E4394"/>
    <w:rsid w:val="004E43E0"/>
    <w:rsid w:val="004E4726"/>
    <w:rsid w:val="004E4FD6"/>
    <w:rsid w:val="004E579D"/>
    <w:rsid w:val="004E5AF2"/>
    <w:rsid w:val="004E5F17"/>
    <w:rsid w:val="004E6EDE"/>
    <w:rsid w:val="004E7CCC"/>
    <w:rsid w:val="004E7CDD"/>
    <w:rsid w:val="004F0014"/>
    <w:rsid w:val="004F0065"/>
    <w:rsid w:val="004F1893"/>
    <w:rsid w:val="004F255A"/>
    <w:rsid w:val="004F26FE"/>
    <w:rsid w:val="004F2BF4"/>
    <w:rsid w:val="004F2DD9"/>
    <w:rsid w:val="004F2E38"/>
    <w:rsid w:val="004F3153"/>
    <w:rsid w:val="004F367C"/>
    <w:rsid w:val="004F3D43"/>
    <w:rsid w:val="004F477C"/>
    <w:rsid w:val="004F5561"/>
    <w:rsid w:val="004F5D89"/>
    <w:rsid w:val="004F5E8E"/>
    <w:rsid w:val="004F5EB8"/>
    <w:rsid w:val="004F6198"/>
    <w:rsid w:val="004F77AB"/>
    <w:rsid w:val="004F7E57"/>
    <w:rsid w:val="00500D1D"/>
    <w:rsid w:val="00501DD2"/>
    <w:rsid w:val="00501E91"/>
    <w:rsid w:val="005021D7"/>
    <w:rsid w:val="00502406"/>
    <w:rsid w:val="00502B2F"/>
    <w:rsid w:val="00502FF4"/>
    <w:rsid w:val="00503314"/>
    <w:rsid w:val="00503A9E"/>
    <w:rsid w:val="00503B6B"/>
    <w:rsid w:val="00504249"/>
    <w:rsid w:val="00504668"/>
    <w:rsid w:val="00504ED7"/>
    <w:rsid w:val="005058EC"/>
    <w:rsid w:val="00505EBB"/>
    <w:rsid w:val="00506171"/>
    <w:rsid w:val="005068B6"/>
    <w:rsid w:val="005068DD"/>
    <w:rsid w:val="0050710E"/>
    <w:rsid w:val="00507468"/>
    <w:rsid w:val="005074AB"/>
    <w:rsid w:val="0050799F"/>
    <w:rsid w:val="00507F17"/>
    <w:rsid w:val="005104BC"/>
    <w:rsid w:val="00510DBA"/>
    <w:rsid w:val="00510F65"/>
    <w:rsid w:val="00511DB2"/>
    <w:rsid w:val="00512EDE"/>
    <w:rsid w:val="00512EE5"/>
    <w:rsid w:val="00513120"/>
    <w:rsid w:val="005134F6"/>
    <w:rsid w:val="0051363E"/>
    <w:rsid w:val="005138F3"/>
    <w:rsid w:val="00513F60"/>
    <w:rsid w:val="00514AD3"/>
    <w:rsid w:val="00514C2A"/>
    <w:rsid w:val="00515698"/>
    <w:rsid w:val="005158BB"/>
    <w:rsid w:val="00515B86"/>
    <w:rsid w:val="00516075"/>
    <w:rsid w:val="00516195"/>
    <w:rsid w:val="00517646"/>
    <w:rsid w:val="005179B9"/>
    <w:rsid w:val="005203FF"/>
    <w:rsid w:val="00520468"/>
    <w:rsid w:val="00520516"/>
    <w:rsid w:val="00520F67"/>
    <w:rsid w:val="005222C0"/>
    <w:rsid w:val="005225D9"/>
    <w:rsid w:val="0052277E"/>
    <w:rsid w:val="00522B2F"/>
    <w:rsid w:val="00522F44"/>
    <w:rsid w:val="00522FC3"/>
    <w:rsid w:val="00523107"/>
    <w:rsid w:val="00523471"/>
    <w:rsid w:val="00523ACE"/>
    <w:rsid w:val="00524C16"/>
    <w:rsid w:val="00524D46"/>
    <w:rsid w:val="005256C1"/>
    <w:rsid w:val="005258CD"/>
    <w:rsid w:val="00525CFE"/>
    <w:rsid w:val="00525DDA"/>
    <w:rsid w:val="00526C1E"/>
    <w:rsid w:val="005273A8"/>
    <w:rsid w:val="00527CF2"/>
    <w:rsid w:val="00527F94"/>
    <w:rsid w:val="0053024A"/>
    <w:rsid w:val="00530316"/>
    <w:rsid w:val="0053137A"/>
    <w:rsid w:val="00531575"/>
    <w:rsid w:val="00531636"/>
    <w:rsid w:val="00531C75"/>
    <w:rsid w:val="00531DA0"/>
    <w:rsid w:val="005326BB"/>
    <w:rsid w:val="00532DEC"/>
    <w:rsid w:val="005336F9"/>
    <w:rsid w:val="005342BD"/>
    <w:rsid w:val="00534500"/>
    <w:rsid w:val="00534AD6"/>
    <w:rsid w:val="00534EC7"/>
    <w:rsid w:val="005351A9"/>
    <w:rsid w:val="0053526A"/>
    <w:rsid w:val="00535C8A"/>
    <w:rsid w:val="00535F33"/>
    <w:rsid w:val="0053614C"/>
    <w:rsid w:val="00536646"/>
    <w:rsid w:val="005369D1"/>
    <w:rsid w:val="00536AB6"/>
    <w:rsid w:val="005372D9"/>
    <w:rsid w:val="00537426"/>
    <w:rsid w:val="00537C0A"/>
    <w:rsid w:val="00537C54"/>
    <w:rsid w:val="00540D67"/>
    <w:rsid w:val="005417D0"/>
    <w:rsid w:val="0054193F"/>
    <w:rsid w:val="00541D78"/>
    <w:rsid w:val="00541DBB"/>
    <w:rsid w:val="00541FE7"/>
    <w:rsid w:val="00542EBD"/>
    <w:rsid w:val="005432FC"/>
    <w:rsid w:val="00543F33"/>
    <w:rsid w:val="0054408C"/>
    <w:rsid w:val="00544327"/>
    <w:rsid w:val="00544E50"/>
    <w:rsid w:val="00544E9C"/>
    <w:rsid w:val="005453F2"/>
    <w:rsid w:val="005455FE"/>
    <w:rsid w:val="00545F81"/>
    <w:rsid w:val="005462FC"/>
    <w:rsid w:val="0054664D"/>
    <w:rsid w:val="00546921"/>
    <w:rsid w:val="00546BC1"/>
    <w:rsid w:val="00547472"/>
    <w:rsid w:val="00547FF6"/>
    <w:rsid w:val="00550043"/>
    <w:rsid w:val="005503EF"/>
    <w:rsid w:val="005504AB"/>
    <w:rsid w:val="00550829"/>
    <w:rsid w:val="00551105"/>
    <w:rsid w:val="0055121D"/>
    <w:rsid w:val="005514A7"/>
    <w:rsid w:val="005514B1"/>
    <w:rsid w:val="00552256"/>
    <w:rsid w:val="005526B7"/>
    <w:rsid w:val="005526F3"/>
    <w:rsid w:val="005527BF"/>
    <w:rsid w:val="00553419"/>
    <w:rsid w:val="005549A4"/>
    <w:rsid w:val="00554AA4"/>
    <w:rsid w:val="00554B90"/>
    <w:rsid w:val="00554C74"/>
    <w:rsid w:val="00555792"/>
    <w:rsid w:val="00555C74"/>
    <w:rsid w:val="0055605B"/>
    <w:rsid w:val="00556B00"/>
    <w:rsid w:val="005604B3"/>
    <w:rsid w:val="00560E54"/>
    <w:rsid w:val="00561013"/>
    <w:rsid w:val="00561670"/>
    <w:rsid w:val="00561714"/>
    <w:rsid w:val="00561D9A"/>
    <w:rsid w:val="00562680"/>
    <w:rsid w:val="0056293A"/>
    <w:rsid w:val="005629B7"/>
    <w:rsid w:val="00562B96"/>
    <w:rsid w:val="00562ED7"/>
    <w:rsid w:val="005637D6"/>
    <w:rsid w:val="00563ED7"/>
    <w:rsid w:val="00564122"/>
    <w:rsid w:val="00564975"/>
    <w:rsid w:val="00564E5D"/>
    <w:rsid w:val="00564E9B"/>
    <w:rsid w:val="00564F85"/>
    <w:rsid w:val="00565108"/>
    <w:rsid w:val="005652D2"/>
    <w:rsid w:val="005657F3"/>
    <w:rsid w:val="00565D76"/>
    <w:rsid w:val="005660D4"/>
    <w:rsid w:val="00567620"/>
    <w:rsid w:val="0057054E"/>
    <w:rsid w:val="005706E1"/>
    <w:rsid w:val="00570A36"/>
    <w:rsid w:val="00570C50"/>
    <w:rsid w:val="00571009"/>
    <w:rsid w:val="00571A7C"/>
    <w:rsid w:val="00571CCD"/>
    <w:rsid w:val="00571F01"/>
    <w:rsid w:val="00572BE7"/>
    <w:rsid w:val="00573A4D"/>
    <w:rsid w:val="00573D01"/>
    <w:rsid w:val="00573D33"/>
    <w:rsid w:val="00574027"/>
    <w:rsid w:val="00574279"/>
    <w:rsid w:val="005745E4"/>
    <w:rsid w:val="005746F9"/>
    <w:rsid w:val="00574C15"/>
    <w:rsid w:val="00574DDC"/>
    <w:rsid w:val="00574E71"/>
    <w:rsid w:val="00574EB3"/>
    <w:rsid w:val="00575F24"/>
    <w:rsid w:val="00576B54"/>
    <w:rsid w:val="005771ED"/>
    <w:rsid w:val="00577C7B"/>
    <w:rsid w:val="00577E3A"/>
    <w:rsid w:val="00580DF0"/>
    <w:rsid w:val="00581036"/>
    <w:rsid w:val="00581481"/>
    <w:rsid w:val="0058246B"/>
    <w:rsid w:val="00583DCC"/>
    <w:rsid w:val="0058575F"/>
    <w:rsid w:val="00586181"/>
    <w:rsid w:val="00587B96"/>
    <w:rsid w:val="00587C0E"/>
    <w:rsid w:val="005908E2"/>
    <w:rsid w:val="00590CD0"/>
    <w:rsid w:val="00591983"/>
    <w:rsid w:val="00591D2D"/>
    <w:rsid w:val="00592411"/>
    <w:rsid w:val="005932A4"/>
    <w:rsid w:val="005937C7"/>
    <w:rsid w:val="00593991"/>
    <w:rsid w:val="00593CC4"/>
    <w:rsid w:val="0059521E"/>
    <w:rsid w:val="0059565F"/>
    <w:rsid w:val="00595822"/>
    <w:rsid w:val="0059602C"/>
    <w:rsid w:val="00596469"/>
    <w:rsid w:val="00597183"/>
    <w:rsid w:val="00597297"/>
    <w:rsid w:val="005979F5"/>
    <w:rsid w:val="005A02D8"/>
    <w:rsid w:val="005A0767"/>
    <w:rsid w:val="005A0AFE"/>
    <w:rsid w:val="005A0C9E"/>
    <w:rsid w:val="005A2567"/>
    <w:rsid w:val="005A257E"/>
    <w:rsid w:val="005A39E9"/>
    <w:rsid w:val="005A4C80"/>
    <w:rsid w:val="005A4DE9"/>
    <w:rsid w:val="005A51E7"/>
    <w:rsid w:val="005A68EF"/>
    <w:rsid w:val="005A6CAE"/>
    <w:rsid w:val="005A7808"/>
    <w:rsid w:val="005B0843"/>
    <w:rsid w:val="005B0B5C"/>
    <w:rsid w:val="005B25D9"/>
    <w:rsid w:val="005B46C7"/>
    <w:rsid w:val="005B472D"/>
    <w:rsid w:val="005B516C"/>
    <w:rsid w:val="005B5ABF"/>
    <w:rsid w:val="005B5C8E"/>
    <w:rsid w:val="005B5F97"/>
    <w:rsid w:val="005B6E0D"/>
    <w:rsid w:val="005B768D"/>
    <w:rsid w:val="005B7F39"/>
    <w:rsid w:val="005C00D7"/>
    <w:rsid w:val="005C0755"/>
    <w:rsid w:val="005C104B"/>
    <w:rsid w:val="005C1054"/>
    <w:rsid w:val="005C120B"/>
    <w:rsid w:val="005C136D"/>
    <w:rsid w:val="005C1CC9"/>
    <w:rsid w:val="005C254C"/>
    <w:rsid w:val="005C25AC"/>
    <w:rsid w:val="005C2791"/>
    <w:rsid w:val="005C39C0"/>
    <w:rsid w:val="005C3FF0"/>
    <w:rsid w:val="005C4275"/>
    <w:rsid w:val="005C4811"/>
    <w:rsid w:val="005C5A8E"/>
    <w:rsid w:val="005C5DEA"/>
    <w:rsid w:val="005C69C0"/>
    <w:rsid w:val="005C7146"/>
    <w:rsid w:val="005C72E1"/>
    <w:rsid w:val="005C739A"/>
    <w:rsid w:val="005C7897"/>
    <w:rsid w:val="005C7B34"/>
    <w:rsid w:val="005D01A1"/>
    <w:rsid w:val="005D0A02"/>
    <w:rsid w:val="005D0FAF"/>
    <w:rsid w:val="005D14EC"/>
    <w:rsid w:val="005D1644"/>
    <w:rsid w:val="005D2D25"/>
    <w:rsid w:val="005D31DD"/>
    <w:rsid w:val="005D35D9"/>
    <w:rsid w:val="005D3D76"/>
    <w:rsid w:val="005D46B1"/>
    <w:rsid w:val="005D4A76"/>
    <w:rsid w:val="005D5027"/>
    <w:rsid w:val="005D5097"/>
    <w:rsid w:val="005D5249"/>
    <w:rsid w:val="005D52D7"/>
    <w:rsid w:val="005D5BB6"/>
    <w:rsid w:val="005D5BE0"/>
    <w:rsid w:val="005D5EFC"/>
    <w:rsid w:val="005D7315"/>
    <w:rsid w:val="005D790A"/>
    <w:rsid w:val="005D7A2E"/>
    <w:rsid w:val="005D7F6B"/>
    <w:rsid w:val="005E00BD"/>
    <w:rsid w:val="005E0B91"/>
    <w:rsid w:val="005E0C09"/>
    <w:rsid w:val="005E0DBB"/>
    <w:rsid w:val="005E10B7"/>
    <w:rsid w:val="005E1895"/>
    <w:rsid w:val="005E1968"/>
    <w:rsid w:val="005E19F9"/>
    <w:rsid w:val="005E1BA7"/>
    <w:rsid w:val="005E2547"/>
    <w:rsid w:val="005E2888"/>
    <w:rsid w:val="005E3E00"/>
    <w:rsid w:val="005E40B6"/>
    <w:rsid w:val="005E480E"/>
    <w:rsid w:val="005E5DBD"/>
    <w:rsid w:val="005E5DF0"/>
    <w:rsid w:val="005E5ECD"/>
    <w:rsid w:val="005E61AD"/>
    <w:rsid w:val="005E6267"/>
    <w:rsid w:val="005E6449"/>
    <w:rsid w:val="005E6B20"/>
    <w:rsid w:val="005F04AD"/>
    <w:rsid w:val="005F0DB3"/>
    <w:rsid w:val="005F0DBC"/>
    <w:rsid w:val="005F0DF3"/>
    <w:rsid w:val="005F126C"/>
    <w:rsid w:val="005F16CE"/>
    <w:rsid w:val="005F19F9"/>
    <w:rsid w:val="005F226B"/>
    <w:rsid w:val="005F2E77"/>
    <w:rsid w:val="005F2F7F"/>
    <w:rsid w:val="005F328F"/>
    <w:rsid w:val="005F439A"/>
    <w:rsid w:val="005F445B"/>
    <w:rsid w:val="005F489C"/>
    <w:rsid w:val="005F5E64"/>
    <w:rsid w:val="005F5EB6"/>
    <w:rsid w:val="005F64E1"/>
    <w:rsid w:val="005F673F"/>
    <w:rsid w:val="005F683C"/>
    <w:rsid w:val="005F6892"/>
    <w:rsid w:val="005F7A33"/>
    <w:rsid w:val="005F7FF9"/>
    <w:rsid w:val="006002FA"/>
    <w:rsid w:val="006008EC"/>
    <w:rsid w:val="00600C1E"/>
    <w:rsid w:val="006023A9"/>
    <w:rsid w:val="0060264F"/>
    <w:rsid w:val="00602B18"/>
    <w:rsid w:val="00602D57"/>
    <w:rsid w:val="00604045"/>
    <w:rsid w:val="00604845"/>
    <w:rsid w:val="00604943"/>
    <w:rsid w:val="00604FDC"/>
    <w:rsid w:val="0060548E"/>
    <w:rsid w:val="006054F9"/>
    <w:rsid w:val="00605C88"/>
    <w:rsid w:val="0060703D"/>
    <w:rsid w:val="00607C76"/>
    <w:rsid w:val="00607E39"/>
    <w:rsid w:val="0061063E"/>
    <w:rsid w:val="0061071B"/>
    <w:rsid w:val="00611917"/>
    <w:rsid w:val="00611B14"/>
    <w:rsid w:val="006124DA"/>
    <w:rsid w:val="00612A80"/>
    <w:rsid w:val="00615079"/>
    <w:rsid w:val="0061548B"/>
    <w:rsid w:val="006157C0"/>
    <w:rsid w:val="00616F24"/>
    <w:rsid w:val="00617A6E"/>
    <w:rsid w:val="0062012C"/>
    <w:rsid w:val="00620514"/>
    <w:rsid w:val="00620C62"/>
    <w:rsid w:val="006216A9"/>
    <w:rsid w:val="006216DB"/>
    <w:rsid w:val="00621AA4"/>
    <w:rsid w:val="00622829"/>
    <w:rsid w:val="00622F5A"/>
    <w:rsid w:val="00623017"/>
    <w:rsid w:val="00623F35"/>
    <w:rsid w:val="00623FD4"/>
    <w:rsid w:val="00624555"/>
    <w:rsid w:val="0062458B"/>
    <w:rsid w:val="006255FF"/>
    <w:rsid w:val="00625A00"/>
    <w:rsid w:val="00627264"/>
    <w:rsid w:val="00627415"/>
    <w:rsid w:val="00627E2A"/>
    <w:rsid w:val="0063070F"/>
    <w:rsid w:val="00630A5B"/>
    <w:rsid w:val="00630E5B"/>
    <w:rsid w:val="00632E76"/>
    <w:rsid w:val="00632F31"/>
    <w:rsid w:val="0063337F"/>
    <w:rsid w:val="00633BA7"/>
    <w:rsid w:val="00634A68"/>
    <w:rsid w:val="006356B7"/>
    <w:rsid w:val="00635CF7"/>
    <w:rsid w:val="006365DE"/>
    <w:rsid w:val="00636798"/>
    <w:rsid w:val="00636D24"/>
    <w:rsid w:val="0063723A"/>
    <w:rsid w:val="006372BC"/>
    <w:rsid w:val="006375CE"/>
    <w:rsid w:val="006375FA"/>
    <w:rsid w:val="00637D91"/>
    <w:rsid w:val="00637F3F"/>
    <w:rsid w:val="00637F82"/>
    <w:rsid w:val="006400B4"/>
    <w:rsid w:val="00640BC9"/>
    <w:rsid w:val="006411D7"/>
    <w:rsid w:val="00641B7F"/>
    <w:rsid w:val="00641C9E"/>
    <w:rsid w:val="00641EE7"/>
    <w:rsid w:val="00642613"/>
    <w:rsid w:val="00642EB3"/>
    <w:rsid w:val="006436E3"/>
    <w:rsid w:val="00644D02"/>
    <w:rsid w:val="006451B3"/>
    <w:rsid w:val="00645DB8"/>
    <w:rsid w:val="006461CA"/>
    <w:rsid w:val="00646205"/>
    <w:rsid w:val="006471DB"/>
    <w:rsid w:val="006473A3"/>
    <w:rsid w:val="00647AD4"/>
    <w:rsid w:val="006503D1"/>
    <w:rsid w:val="006508EA"/>
    <w:rsid w:val="0065090B"/>
    <w:rsid w:val="00650DD6"/>
    <w:rsid w:val="00651716"/>
    <w:rsid w:val="00651995"/>
    <w:rsid w:val="006521E6"/>
    <w:rsid w:val="006522B5"/>
    <w:rsid w:val="00652E43"/>
    <w:rsid w:val="00652ED2"/>
    <w:rsid w:val="006530F3"/>
    <w:rsid w:val="006538C0"/>
    <w:rsid w:val="0065442C"/>
    <w:rsid w:val="00654D1D"/>
    <w:rsid w:val="00654D87"/>
    <w:rsid w:val="00654EA7"/>
    <w:rsid w:val="006550C1"/>
    <w:rsid w:val="00655190"/>
    <w:rsid w:val="00655324"/>
    <w:rsid w:val="006556FB"/>
    <w:rsid w:val="006557F1"/>
    <w:rsid w:val="00655A12"/>
    <w:rsid w:val="00655BCD"/>
    <w:rsid w:val="00655EDE"/>
    <w:rsid w:val="006569B5"/>
    <w:rsid w:val="00657203"/>
    <w:rsid w:val="006572DA"/>
    <w:rsid w:val="0066024F"/>
    <w:rsid w:val="00661513"/>
    <w:rsid w:val="00661C4E"/>
    <w:rsid w:val="0066227F"/>
    <w:rsid w:val="00663443"/>
    <w:rsid w:val="00663894"/>
    <w:rsid w:val="00663D72"/>
    <w:rsid w:val="00663D9E"/>
    <w:rsid w:val="00664133"/>
    <w:rsid w:val="006656F4"/>
    <w:rsid w:val="0066609F"/>
    <w:rsid w:val="0066653F"/>
    <w:rsid w:val="006667AB"/>
    <w:rsid w:val="00666E67"/>
    <w:rsid w:val="00671031"/>
    <w:rsid w:val="006716E4"/>
    <w:rsid w:val="006726EA"/>
    <w:rsid w:val="00673656"/>
    <w:rsid w:val="006736CA"/>
    <w:rsid w:val="00673CF9"/>
    <w:rsid w:val="00673E10"/>
    <w:rsid w:val="00674787"/>
    <w:rsid w:val="00674D28"/>
    <w:rsid w:val="0067523D"/>
    <w:rsid w:val="00675D77"/>
    <w:rsid w:val="00676167"/>
    <w:rsid w:val="006762A7"/>
    <w:rsid w:val="00677473"/>
    <w:rsid w:val="00677B46"/>
    <w:rsid w:val="00680566"/>
    <w:rsid w:val="00680DF6"/>
    <w:rsid w:val="006816F4"/>
    <w:rsid w:val="00681A27"/>
    <w:rsid w:val="00682747"/>
    <w:rsid w:val="00682831"/>
    <w:rsid w:val="00682E86"/>
    <w:rsid w:val="0068328B"/>
    <w:rsid w:val="00683353"/>
    <w:rsid w:val="0068353F"/>
    <w:rsid w:val="0068384E"/>
    <w:rsid w:val="00683E02"/>
    <w:rsid w:val="00683ED5"/>
    <w:rsid w:val="0068435B"/>
    <w:rsid w:val="00684604"/>
    <w:rsid w:val="006846D2"/>
    <w:rsid w:val="00684CF8"/>
    <w:rsid w:val="00686A18"/>
    <w:rsid w:val="00686E86"/>
    <w:rsid w:val="00687365"/>
    <w:rsid w:val="00687C3A"/>
    <w:rsid w:val="006900BC"/>
    <w:rsid w:val="00690401"/>
    <w:rsid w:val="00690AF4"/>
    <w:rsid w:val="00690D3B"/>
    <w:rsid w:val="006912C8"/>
    <w:rsid w:val="006914D2"/>
    <w:rsid w:val="00691F79"/>
    <w:rsid w:val="006923A7"/>
    <w:rsid w:val="0069275B"/>
    <w:rsid w:val="00692DE1"/>
    <w:rsid w:val="00692E41"/>
    <w:rsid w:val="006933B2"/>
    <w:rsid w:val="006933D4"/>
    <w:rsid w:val="006946CD"/>
    <w:rsid w:val="00694B58"/>
    <w:rsid w:val="006950EC"/>
    <w:rsid w:val="0069512D"/>
    <w:rsid w:val="00695163"/>
    <w:rsid w:val="00695772"/>
    <w:rsid w:val="00695D70"/>
    <w:rsid w:val="00696077"/>
    <w:rsid w:val="006962D2"/>
    <w:rsid w:val="00696B66"/>
    <w:rsid w:val="00697A38"/>
    <w:rsid w:val="00697C69"/>
    <w:rsid w:val="006A088D"/>
    <w:rsid w:val="006A0975"/>
    <w:rsid w:val="006A0A37"/>
    <w:rsid w:val="006A0AC4"/>
    <w:rsid w:val="006A0ADE"/>
    <w:rsid w:val="006A166E"/>
    <w:rsid w:val="006A29CA"/>
    <w:rsid w:val="006A29CC"/>
    <w:rsid w:val="006A29EE"/>
    <w:rsid w:val="006A3357"/>
    <w:rsid w:val="006A33E9"/>
    <w:rsid w:val="006A3CEA"/>
    <w:rsid w:val="006A51EC"/>
    <w:rsid w:val="006A565C"/>
    <w:rsid w:val="006A6B64"/>
    <w:rsid w:val="006A6E5D"/>
    <w:rsid w:val="006A71D6"/>
    <w:rsid w:val="006A7296"/>
    <w:rsid w:val="006A7624"/>
    <w:rsid w:val="006A7860"/>
    <w:rsid w:val="006A791E"/>
    <w:rsid w:val="006B0849"/>
    <w:rsid w:val="006B0993"/>
    <w:rsid w:val="006B0F7E"/>
    <w:rsid w:val="006B1307"/>
    <w:rsid w:val="006B1417"/>
    <w:rsid w:val="006B24EE"/>
    <w:rsid w:val="006B2C77"/>
    <w:rsid w:val="006B2EE0"/>
    <w:rsid w:val="006B399E"/>
    <w:rsid w:val="006B4D58"/>
    <w:rsid w:val="006B50EC"/>
    <w:rsid w:val="006B6531"/>
    <w:rsid w:val="006B6F39"/>
    <w:rsid w:val="006C04C7"/>
    <w:rsid w:val="006C0E97"/>
    <w:rsid w:val="006C10CE"/>
    <w:rsid w:val="006C1474"/>
    <w:rsid w:val="006C1555"/>
    <w:rsid w:val="006C26AD"/>
    <w:rsid w:val="006C2DE0"/>
    <w:rsid w:val="006C2E81"/>
    <w:rsid w:val="006C37EB"/>
    <w:rsid w:val="006C3808"/>
    <w:rsid w:val="006C3AD1"/>
    <w:rsid w:val="006C4FA9"/>
    <w:rsid w:val="006C5001"/>
    <w:rsid w:val="006C54DE"/>
    <w:rsid w:val="006C5566"/>
    <w:rsid w:val="006C6191"/>
    <w:rsid w:val="006C65F6"/>
    <w:rsid w:val="006C6AB9"/>
    <w:rsid w:val="006C6B10"/>
    <w:rsid w:val="006C6E05"/>
    <w:rsid w:val="006D0524"/>
    <w:rsid w:val="006D0A84"/>
    <w:rsid w:val="006D143F"/>
    <w:rsid w:val="006D1CEB"/>
    <w:rsid w:val="006D2F9D"/>
    <w:rsid w:val="006D3052"/>
    <w:rsid w:val="006D3B7D"/>
    <w:rsid w:val="006D3EF7"/>
    <w:rsid w:val="006D4213"/>
    <w:rsid w:val="006D4392"/>
    <w:rsid w:val="006D466F"/>
    <w:rsid w:val="006D4BCA"/>
    <w:rsid w:val="006D4C2F"/>
    <w:rsid w:val="006D4FE8"/>
    <w:rsid w:val="006D5566"/>
    <w:rsid w:val="006D59D1"/>
    <w:rsid w:val="006D5A7E"/>
    <w:rsid w:val="006D6052"/>
    <w:rsid w:val="006D63BB"/>
    <w:rsid w:val="006D72D9"/>
    <w:rsid w:val="006D7EA0"/>
    <w:rsid w:val="006E1632"/>
    <w:rsid w:val="006E2082"/>
    <w:rsid w:val="006E2119"/>
    <w:rsid w:val="006E26FA"/>
    <w:rsid w:val="006E272A"/>
    <w:rsid w:val="006E2A5F"/>
    <w:rsid w:val="006E2B50"/>
    <w:rsid w:val="006E3D60"/>
    <w:rsid w:val="006E3E45"/>
    <w:rsid w:val="006E436C"/>
    <w:rsid w:val="006E4A1F"/>
    <w:rsid w:val="006E5081"/>
    <w:rsid w:val="006E53A0"/>
    <w:rsid w:val="006E54DB"/>
    <w:rsid w:val="006E54F9"/>
    <w:rsid w:val="006E60C6"/>
    <w:rsid w:val="006E6606"/>
    <w:rsid w:val="006E69BF"/>
    <w:rsid w:val="006E6EDF"/>
    <w:rsid w:val="006E7D99"/>
    <w:rsid w:val="006E7DF6"/>
    <w:rsid w:val="006E7E98"/>
    <w:rsid w:val="006F053B"/>
    <w:rsid w:val="006F06B0"/>
    <w:rsid w:val="006F15C0"/>
    <w:rsid w:val="006F1EA0"/>
    <w:rsid w:val="006F2144"/>
    <w:rsid w:val="006F2612"/>
    <w:rsid w:val="006F3562"/>
    <w:rsid w:val="006F3615"/>
    <w:rsid w:val="006F4228"/>
    <w:rsid w:val="006F4695"/>
    <w:rsid w:val="006F475D"/>
    <w:rsid w:val="006F4933"/>
    <w:rsid w:val="006F4A65"/>
    <w:rsid w:val="006F4D9B"/>
    <w:rsid w:val="006F528D"/>
    <w:rsid w:val="006F5D5B"/>
    <w:rsid w:val="006F66E4"/>
    <w:rsid w:val="006F6866"/>
    <w:rsid w:val="0070039C"/>
    <w:rsid w:val="0070113F"/>
    <w:rsid w:val="00701640"/>
    <w:rsid w:val="007021CD"/>
    <w:rsid w:val="007021E3"/>
    <w:rsid w:val="0070254A"/>
    <w:rsid w:val="007027C9"/>
    <w:rsid w:val="00702ED4"/>
    <w:rsid w:val="007032C6"/>
    <w:rsid w:val="00703D55"/>
    <w:rsid w:val="00703EF8"/>
    <w:rsid w:val="00704470"/>
    <w:rsid w:val="007044C0"/>
    <w:rsid w:val="007046BB"/>
    <w:rsid w:val="00704CF2"/>
    <w:rsid w:val="00705EA1"/>
    <w:rsid w:val="007064F9"/>
    <w:rsid w:val="0070690F"/>
    <w:rsid w:val="00706ECF"/>
    <w:rsid w:val="00706FA0"/>
    <w:rsid w:val="0070738B"/>
    <w:rsid w:val="007073DC"/>
    <w:rsid w:val="00710118"/>
    <w:rsid w:val="00710256"/>
    <w:rsid w:val="00710DD4"/>
    <w:rsid w:val="00711141"/>
    <w:rsid w:val="0071117A"/>
    <w:rsid w:val="0071158A"/>
    <w:rsid w:val="00711F2B"/>
    <w:rsid w:val="007124B6"/>
    <w:rsid w:val="00712919"/>
    <w:rsid w:val="00712A57"/>
    <w:rsid w:val="0071351C"/>
    <w:rsid w:val="007137BA"/>
    <w:rsid w:val="0071397B"/>
    <w:rsid w:val="00713A53"/>
    <w:rsid w:val="00713DFF"/>
    <w:rsid w:val="00714416"/>
    <w:rsid w:val="007147B9"/>
    <w:rsid w:val="007150DE"/>
    <w:rsid w:val="007155ED"/>
    <w:rsid w:val="0071602B"/>
    <w:rsid w:val="0071654D"/>
    <w:rsid w:val="00716C91"/>
    <w:rsid w:val="0072068F"/>
    <w:rsid w:val="007207C8"/>
    <w:rsid w:val="00720C8B"/>
    <w:rsid w:val="007215CE"/>
    <w:rsid w:val="00721E10"/>
    <w:rsid w:val="00721EB5"/>
    <w:rsid w:val="00722840"/>
    <w:rsid w:val="00722E7A"/>
    <w:rsid w:val="00723979"/>
    <w:rsid w:val="00723AC3"/>
    <w:rsid w:val="00723E70"/>
    <w:rsid w:val="00723EE0"/>
    <w:rsid w:val="00724272"/>
    <w:rsid w:val="00724949"/>
    <w:rsid w:val="00724AFB"/>
    <w:rsid w:val="00724E1A"/>
    <w:rsid w:val="00724E36"/>
    <w:rsid w:val="00725068"/>
    <w:rsid w:val="0072507B"/>
    <w:rsid w:val="0072507F"/>
    <w:rsid w:val="00725346"/>
    <w:rsid w:val="00725E98"/>
    <w:rsid w:val="007260FB"/>
    <w:rsid w:val="0072679C"/>
    <w:rsid w:val="00726C3E"/>
    <w:rsid w:val="00727057"/>
    <w:rsid w:val="00727A09"/>
    <w:rsid w:val="00727BAA"/>
    <w:rsid w:val="00727FFA"/>
    <w:rsid w:val="007300D6"/>
    <w:rsid w:val="0073112A"/>
    <w:rsid w:val="007312C7"/>
    <w:rsid w:val="007324B8"/>
    <w:rsid w:val="00734077"/>
    <w:rsid w:val="0073671F"/>
    <w:rsid w:val="00736A56"/>
    <w:rsid w:val="00736F78"/>
    <w:rsid w:val="0073707C"/>
    <w:rsid w:val="007373A8"/>
    <w:rsid w:val="0074091A"/>
    <w:rsid w:val="007409E4"/>
    <w:rsid w:val="00741880"/>
    <w:rsid w:val="00741ECA"/>
    <w:rsid w:val="007424F3"/>
    <w:rsid w:val="0074254B"/>
    <w:rsid w:val="00743244"/>
    <w:rsid w:val="00743A6B"/>
    <w:rsid w:val="00743AD8"/>
    <w:rsid w:val="00743D43"/>
    <w:rsid w:val="007445C8"/>
    <w:rsid w:val="00744A85"/>
    <w:rsid w:val="00744B6F"/>
    <w:rsid w:val="00745848"/>
    <w:rsid w:val="0074610E"/>
    <w:rsid w:val="0074659F"/>
    <w:rsid w:val="00746F60"/>
    <w:rsid w:val="00747188"/>
    <w:rsid w:val="00747626"/>
    <w:rsid w:val="00747E4A"/>
    <w:rsid w:val="00750C61"/>
    <w:rsid w:val="00751515"/>
    <w:rsid w:val="007515C4"/>
    <w:rsid w:val="00751CC5"/>
    <w:rsid w:val="007524C3"/>
    <w:rsid w:val="00753288"/>
    <w:rsid w:val="00754288"/>
    <w:rsid w:val="0075460D"/>
    <w:rsid w:val="007549DE"/>
    <w:rsid w:val="0075660C"/>
    <w:rsid w:val="007573C1"/>
    <w:rsid w:val="00757781"/>
    <w:rsid w:val="0076043B"/>
    <w:rsid w:val="007605B3"/>
    <w:rsid w:val="00760A0E"/>
    <w:rsid w:val="00761252"/>
    <w:rsid w:val="00761CFB"/>
    <w:rsid w:val="00761DB4"/>
    <w:rsid w:val="00761F21"/>
    <w:rsid w:val="007625F0"/>
    <w:rsid w:val="00762BEF"/>
    <w:rsid w:val="00764110"/>
    <w:rsid w:val="00765159"/>
    <w:rsid w:val="007657B7"/>
    <w:rsid w:val="007659D0"/>
    <w:rsid w:val="0076617E"/>
    <w:rsid w:val="00766372"/>
    <w:rsid w:val="007667E9"/>
    <w:rsid w:val="00766F3D"/>
    <w:rsid w:val="007673CD"/>
    <w:rsid w:val="00767B05"/>
    <w:rsid w:val="00767C81"/>
    <w:rsid w:val="00767E08"/>
    <w:rsid w:val="0077000B"/>
    <w:rsid w:val="00771073"/>
    <w:rsid w:val="00771FA4"/>
    <w:rsid w:val="0077208E"/>
    <w:rsid w:val="00772179"/>
    <w:rsid w:val="007726C5"/>
    <w:rsid w:val="007726F4"/>
    <w:rsid w:val="00772DA5"/>
    <w:rsid w:val="00772F5D"/>
    <w:rsid w:val="00773451"/>
    <w:rsid w:val="00773DC1"/>
    <w:rsid w:val="00774714"/>
    <w:rsid w:val="00774AE6"/>
    <w:rsid w:val="00774BC7"/>
    <w:rsid w:val="00775356"/>
    <w:rsid w:val="00776648"/>
    <w:rsid w:val="00776947"/>
    <w:rsid w:val="00776D6B"/>
    <w:rsid w:val="007770A6"/>
    <w:rsid w:val="00780129"/>
    <w:rsid w:val="007804E6"/>
    <w:rsid w:val="00780B98"/>
    <w:rsid w:val="00782909"/>
    <w:rsid w:val="00782B5F"/>
    <w:rsid w:val="00782CC5"/>
    <w:rsid w:val="00782D95"/>
    <w:rsid w:val="00782E61"/>
    <w:rsid w:val="0078327F"/>
    <w:rsid w:val="00783412"/>
    <w:rsid w:val="007841A5"/>
    <w:rsid w:val="007846C4"/>
    <w:rsid w:val="007846FF"/>
    <w:rsid w:val="007847EC"/>
    <w:rsid w:val="00784911"/>
    <w:rsid w:val="00784C6F"/>
    <w:rsid w:val="007852B3"/>
    <w:rsid w:val="00785461"/>
    <w:rsid w:val="00785E8F"/>
    <w:rsid w:val="00786036"/>
    <w:rsid w:val="007868F2"/>
    <w:rsid w:val="00786907"/>
    <w:rsid w:val="007877DF"/>
    <w:rsid w:val="007916A8"/>
    <w:rsid w:val="0079197F"/>
    <w:rsid w:val="00792B9C"/>
    <w:rsid w:val="00792BFF"/>
    <w:rsid w:val="0079476F"/>
    <w:rsid w:val="007956B1"/>
    <w:rsid w:val="00795D08"/>
    <w:rsid w:val="00796523"/>
    <w:rsid w:val="00796567"/>
    <w:rsid w:val="00796587"/>
    <w:rsid w:val="00796AB5"/>
    <w:rsid w:val="00796B74"/>
    <w:rsid w:val="00797119"/>
    <w:rsid w:val="00797721"/>
    <w:rsid w:val="00797903"/>
    <w:rsid w:val="00797B8D"/>
    <w:rsid w:val="007A05BC"/>
    <w:rsid w:val="007A075E"/>
    <w:rsid w:val="007A0DC6"/>
    <w:rsid w:val="007A1916"/>
    <w:rsid w:val="007A2709"/>
    <w:rsid w:val="007A3388"/>
    <w:rsid w:val="007A38D2"/>
    <w:rsid w:val="007A3CA7"/>
    <w:rsid w:val="007A3CDB"/>
    <w:rsid w:val="007A4983"/>
    <w:rsid w:val="007A4F38"/>
    <w:rsid w:val="007A542B"/>
    <w:rsid w:val="007A542E"/>
    <w:rsid w:val="007A58F7"/>
    <w:rsid w:val="007A66B3"/>
    <w:rsid w:val="007A677C"/>
    <w:rsid w:val="007A6D5B"/>
    <w:rsid w:val="007A7B4A"/>
    <w:rsid w:val="007B0663"/>
    <w:rsid w:val="007B197D"/>
    <w:rsid w:val="007B1E90"/>
    <w:rsid w:val="007B1EC0"/>
    <w:rsid w:val="007B2779"/>
    <w:rsid w:val="007B32CA"/>
    <w:rsid w:val="007B3AFD"/>
    <w:rsid w:val="007B5729"/>
    <w:rsid w:val="007B6358"/>
    <w:rsid w:val="007B64B6"/>
    <w:rsid w:val="007B75D2"/>
    <w:rsid w:val="007C053A"/>
    <w:rsid w:val="007C116F"/>
    <w:rsid w:val="007C137E"/>
    <w:rsid w:val="007C186A"/>
    <w:rsid w:val="007C1F4A"/>
    <w:rsid w:val="007C26E3"/>
    <w:rsid w:val="007C2AC8"/>
    <w:rsid w:val="007C3247"/>
    <w:rsid w:val="007C355D"/>
    <w:rsid w:val="007C3905"/>
    <w:rsid w:val="007C3D4A"/>
    <w:rsid w:val="007C46D3"/>
    <w:rsid w:val="007C4972"/>
    <w:rsid w:val="007C511D"/>
    <w:rsid w:val="007C63F6"/>
    <w:rsid w:val="007C642A"/>
    <w:rsid w:val="007C7244"/>
    <w:rsid w:val="007C783B"/>
    <w:rsid w:val="007C7AB4"/>
    <w:rsid w:val="007C7DA8"/>
    <w:rsid w:val="007C7FB5"/>
    <w:rsid w:val="007D03FE"/>
    <w:rsid w:val="007D0453"/>
    <w:rsid w:val="007D0915"/>
    <w:rsid w:val="007D0B3C"/>
    <w:rsid w:val="007D1E55"/>
    <w:rsid w:val="007D1FD8"/>
    <w:rsid w:val="007D202A"/>
    <w:rsid w:val="007D2C5E"/>
    <w:rsid w:val="007D2C81"/>
    <w:rsid w:val="007D2DBE"/>
    <w:rsid w:val="007D3610"/>
    <w:rsid w:val="007D3A20"/>
    <w:rsid w:val="007D3AAD"/>
    <w:rsid w:val="007D3C90"/>
    <w:rsid w:val="007D457A"/>
    <w:rsid w:val="007D5062"/>
    <w:rsid w:val="007D5D9F"/>
    <w:rsid w:val="007D6BA0"/>
    <w:rsid w:val="007D6E28"/>
    <w:rsid w:val="007D7002"/>
    <w:rsid w:val="007D7220"/>
    <w:rsid w:val="007E011E"/>
    <w:rsid w:val="007E0A00"/>
    <w:rsid w:val="007E0D24"/>
    <w:rsid w:val="007E0E09"/>
    <w:rsid w:val="007E1749"/>
    <w:rsid w:val="007E192E"/>
    <w:rsid w:val="007E1E01"/>
    <w:rsid w:val="007E2143"/>
    <w:rsid w:val="007E2D9E"/>
    <w:rsid w:val="007E2FAF"/>
    <w:rsid w:val="007E3044"/>
    <w:rsid w:val="007E31C1"/>
    <w:rsid w:val="007E3E06"/>
    <w:rsid w:val="007E4115"/>
    <w:rsid w:val="007E4647"/>
    <w:rsid w:val="007E5CEA"/>
    <w:rsid w:val="007E6268"/>
    <w:rsid w:val="007E64CA"/>
    <w:rsid w:val="007E69AF"/>
    <w:rsid w:val="007E6FF5"/>
    <w:rsid w:val="007E71A5"/>
    <w:rsid w:val="007F0013"/>
    <w:rsid w:val="007F04EC"/>
    <w:rsid w:val="007F0F91"/>
    <w:rsid w:val="007F162D"/>
    <w:rsid w:val="007F1CE8"/>
    <w:rsid w:val="007F1DFB"/>
    <w:rsid w:val="007F1ED2"/>
    <w:rsid w:val="007F3677"/>
    <w:rsid w:val="007F3770"/>
    <w:rsid w:val="007F3B2D"/>
    <w:rsid w:val="007F4552"/>
    <w:rsid w:val="007F498C"/>
    <w:rsid w:val="007F50F1"/>
    <w:rsid w:val="007F6032"/>
    <w:rsid w:val="007F6EB1"/>
    <w:rsid w:val="007F774F"/>
    <w:rsid w:val="0080017E"/>
    <w:rsid w:val="0080085A"/>
    <w:rsid w:val="00800951"/>
    <w:rsid w:val="00800E76"/>
    <w:rsid w:val="0080150B"/>
    <w:rsid w:val="00801922"/>
    <w:rsid w:val="0080195F"/>
    <w:rsid w:val="008019E1"/>
    <w:rsid w:val="00801E46"/>
    <w:rsid w:val="008022D4"/>
    <w:rsid w:val="00802478"/>
    <w:rsid w:val="0080256A"/>
    <w:rsid w:val="00802F1F"/>
    <w:rsid w:val="00803108"/>
    <w:rsid w:val="008038D1"/>
    <w:rsid w:val="00804631"/>
    <w:rsid w:val="00804A27"/>
    <w:rsid w:val="00804D5D"/>
    <w:rsid w:val="0080560C"/>
    <w:rsid w:val="0080657D"/>
    <w:rsid w:val="00806863"/>
    <w:rsid w:val="00806DD7"/>
    <w:rsid w:val="00806DF9"/>
    <w:rsid w:val="00807590"/>
    <w:rsid w:val="008076C7"/>
    <w:rsid w:val="008079B5"/>
    <w:rsid w:val="0081070C"/>
    <w:rsid w:val="008120DB"/>
    <w:rsid w:val="008121E0"/>
    <w:rsid w:val="00812DF7"/>
    <w:rsid w:val="0081405A"/>
    <w:rsid w:val="00814AA3"/>
    <w:rsid w:val="008165AB"/>
    <w:rsid w:val="00816674"/>
    <w:rsid w:val="008167C2"/>
    <w:rsid w:val="0081686D"/>
    <w:rsid w:val="00816EC1"/>
    <w:rsid w:val="00820779"/>
    <w:rsid w:val="0082270D"/>
    <w:rsid w:val="00823143"/>
    <w:rsid w:val="00823D10"/>
    <w:rsid w:val="0082499E"/>
    <w:rsid w:val="0082519E"/>
    <w:rsid w:val="00825D6C"/>
    <w:rsid w:val="00825FFF"/>
    <w:rsid w:val="00826636"/>
    <w:rsid w:val="008267DA"/>
    <w:rsid w:val="00826CB8"/>
    <w:rsid w:val="00826EA3"/>
    <w:rsid w:val="008274B3"/>
    <w:rsid w:val="00827896"/>
    <w:rsid w:val="00827911"/>
    <w:rsid w:val="00827D12"/>
    <w:rsid w:val="008302E0"/>
    <w:rsid w:val="008305A7"/>
    <w:rsid w:val="00831596"/>
    <w:rsid w:val="00831620"/>
    <w:rsid w:val="00831DC3"/>
    <w:rsid w:val="00831E59"/>
    <w:rsid w:val="00832043"/>
    <w:rsid w:val="00832562"/>
    <w:rsid w:val="00832956"/>
    <w:rsid w:val="008330CC"/>
    <w:rsid w:val="008344B7"/>
    <w:rsid w:val="00834CE4"/>
    <w:rsid w:val="00835014"/>
    <w:rsid w:val="008355CC"/>
    <w:rsid w:val="00836A43"/>
    <w:rsid w:val="008372D4"/>
    <w:rsid w:val="00837972"/>
    <w:rsid w:val="00837A02"/>
    <w:rsid w:val="00837ACF"/>
    <w:rsid w:val="00837E66"/>
    <w:rsid w:val="00840415"/>
    <w:rsid w:val="00840975"/>
    <w:rsid w:val="00840BA3"/>
    <w:rsid w:val="00840E18"/>
    <w:rsid w:val="0084220D"/>
    <w:rsid w:val="00843201"/>
    <w:rsid w:val="00843BE1"/>
    <w:rsid w:val="00843C46"/>
    <w:rsid w:val="00845072"/>
    <w:rsid w:val="008456A9"/>
    <w:rsid w:val="00846504"/>
    <w:rsid w:val="00846570"/>
    <w:rsid w:val="0084662A"/>
    <w:rsid w:val="00847B40"/>
    <w:rsid w:val="00850733"/>
    <w:rsid w:val="00850A9B"/>
    <w:rsid w:val="00850ABE"/>
    <w:rsid w:val="008519B1"/>
    <w:rsid w:val="00851FFA"/>
    <w:rsid w:val="008525F9"/>
    <w:rsid w:val="00852678"/>
    <w:rsid w:val="00852A33"/>
    <w:rsid w:val="0085429A"/>
    <w:rsid w:val="00854449"/>
    <w:rsid w:val="0085488E"/>
    <w:rsid w:val="00854D2E"/>
    <w:rsid w:val="008553A9"/>
    <w:rsid w:val="00855E4E"/>
    <w:rsid w:val="008563AE"/>
    <w:rsid w:val="008564C6"/>
    <w:rsid w:val="00856867"/>
    <w:rsid w:val="008568C6"/>
    <w:rsid w:val="0085690D"/>
    <w:rsid w:val="008573D3"/>
    <w:rsid w:val="0086050A"/>
    <w:rsid w:val="008609E0"/>
    <w:rsid w:val="00860E66"/>
    <w:rsid w:val="008613C7"/>
    <w:rsid w:val="00861A96"/>
    <w:rsid w:val="00861E36"/>
    <w:rsid w:val="00862364"/>
    <w:rsid w:val="008630BE"/>
    <w:rsid w:val="00863D36"/>
    <w:rsid w:val="00863D40"/>
    <w:rsid w:val="00863E31"/>
    <w:rsid w:val="0086416D"/>
    <w:rsid w:val="00865A91"/>
    <w:rsid w:val="00865CED"/>
    <w:rsid w:val="00866012"/>
    <w:rsid w:val="00866343"/>
    <w:rsid w:val="0086664B"/>
    <w:rsid w:val="00866E87"/>
    <w:rsid w:val="00867735"/>
    <w:rsid w:val="00867A27"/>
    <w:rsid w:val="00867B5F"/>
    <w:rsid w:val="00870260"/>
    <w:rsid w:val="0087044C"/>
    <w:rsid w:val="0087057F"/>
    <w:rsid w:val="00870813"/>
    <w:rsid w:val="00871167"/>
    <w:rsid w:val="00871D37"/>
    <w:rsid w:val="00872075"/>
    <w:rsid w:val="00872A0D"/>
    <w:rsid w:val="00872C16"/>
    <w:rsid w:val="00872E84"/>
    <w:rsid w:val="00873071"/>
    <w:rsid w:val="00873163"/>
    <w:rsid w:val="008733C1"/>
    <w:rsid w:val="00873B0E"/>
    <w:rsid w:val="0087418F"/>
    <w:rsid w:val="0087445F"/>
    <w:rsid w:val="00875582"/>
    <w:rsid w:val="008775E6"/>
    <w:rsid w:val="00877FCE"/>
    <w:rsid w:val="00880D58"/>
    <w:rsid w:val="00880F6B"/>
    <w:rsid w:val="00881091"/>
    <w:rsid w:val="0088164A"/>
    <w:rsid w:val="0088190D"/>
    <w:rsid w:val="00882446"/>
    <w:rsid w:val="008827DD"/>
    <w:rsid w:val="00883807"/>
    <w:rsid w:val="00883AA2"/>
    <w:rsid w:val="00884701"/>
    <w:rsid w:val="00884710"/>
    <w:rsid w:val="00884A50"/>
    <w:rsid w:val="00884C44"/>
    <w:rsid w:val="0088547D"/>
    <w:rsid w:val="00885EA0"/>
    <w:rsid w:val="00886028"/>
    <w:rsid w:val="00886C37"/>
    <w:rsid w:val="008875D6"/>
    <w:rsid w:val="008875FA"/>
    <w:rsid w:val="008877EB"/>
    <w:rsid w:val="00887E57"/>
    <w:rsid w:val="00887E5A"/>
    <w:rsid w:val="00887F80"/>
    <w:rsid w:val="0089029F"/>
    <w:rsid w:val="0089065A"/>
    <w:rsid w:val="00891C92"/>
    <w:rsid w:val="00892063"/>
    <w:rsid w:val="00892A76"/>
    <w:rsid w:val="00892EF0"/>
    <w:rsid w:val="00893284"/>
    <w:rsid w:val="008934E7"/>
    <w:rsid w:val="0089563C"/>
    <w:rsid w:val="00896F0C"/>
    <w:rsid w:val="0089747B"/>
    <w:rsid w:val="00897579"/>
    <w:rsid w:val="00897CDC"/>
    <w:rsid w:val="008A0332"/>
    <w:rsid w:val="008A0959"/>
    <w:rsid w:val="008A0A9A"/>
    <w:rsid w:val="008A0B07"/>
    <w:rsid w:val="008A1141"/>
    <w:rsid w:val="008A1255"/>
    <w:rsid w:val="008A15B3"/>
    <w:rsid w:val="008A17B0"/>
    <w:rsid w:val="008A1C84"/>
    <w:rsid w:val="008A25EC"/>
    <w:rsid w:val="008A2C2E"/>
    <w:rsid w:val="008A2E34"/>
    <w:rsid w:val="008A34A3"/>
    <w:rsid w:val="008A3700"/>
    <w:rsid w:val="008A3941"/>
    <w:rsid w:val="008A4E5B"/>
    <w:rsid w:val="008A55FB"/>
    <w:rsid w:val="008A5702"/>
    <w:rsid w:val="008A5897"/>
    <w:rsid w:val="008A657B"/>
    <w:rsid w:val="008A672E"/>
    <w:rsid w:val="008A6CCC"/>
    <w:rsid w:val="008B047F"/>
    <w:rsid w:val="008B09CD"/>
    <w:rsid w:val="008B0B82"/>
    <w:rsid w:val="008B10CB"/>
    <w:rsid w:val="008B181C"/>
    <w:rsid w:val="008B2DAA"/>
    <w:rsid w:val="008B3C68"/>
    <w:rsid w:val="008B4A15"/>
    <w:rsid w:val="008B6453"/>
    <w:rsid w:val="008B6731"/>
    <w:rsid w:val="008B67C3"/>
    <w:rsid w:val="008B7E31"/>
    <w:rsid w:val="008C0138"/>
    <w:rsid w:val="008C013B"/>
    <w:rsid w:val="008C0681"/>
    <w:rsid w:val="008C117A"/>
    <w:rsid w:val="008C12C1"/>
    <w:rsid w:val="008C131F"/>
    <w:rsid w:val="008C1405"/>
    <w:rsid w:val="008C1A18"/>
    <w:rsid w:val="008C1C47"/>
    <w:rsid w:val="008C2167"/>
    <w:rsid w:val="008C33DB"/>
    <w:rsid w:val="008C4251"/>
    <w:rsid w:val="008C5546"/>
    <w:rsid w:val="008C559F"/>
    <w:rsid w:val="008C565F"/>
    <w:rsid w:val="008C5CE5"/>
    <w:rsid w:val="008C6B12"/>
    <w:rsid w:val="008C70F5"/>
    <w:rsid w:val="008C712E"/>
    <w:rsid w:val="008C7561"/>
    <w:rsid w:val="008D01A8"/>
    <w:rsid w:val="008D0252"/>
    <w:rsid w:val="008D04DC"/>
    <w:rsid w:val="008D0D3E"/>
    <w:rsid w:val="008D105C"/>
    <w:rsid w:val="008D10D4"/>
    <w:rsid w:val="008D1A8C"/>
    <w:rsid w:val="008D23AF"/>
    <w:rsid w:val="008D2CF1"/>
    <w:rsid w:val="008D3235"/>
    <w:rsid w:val="008D3795"/>
    <w:rsid w:val="008D3AB2"/>
    <w:rsid w:val="008D4F71"/>
    <w:rsid w:val="008D5019"/>
    <w:rsid w:val="008D5090"/>
    <w:rsid w:val="008D5D4E"/>
    <w:rsid w:val="008D6540"/>
    <w:rsid w:val="008D6D33"/>
    <w:rsid w:val="008D6DB1"/>
    <w:rsid w:val="008D6DEE"/>
    <w:rsid w:val="008D70B6"/>
    <w:rsid w:val="008D7173"/>
    <w:rsid w:val="008D796C"/>
    <w:rsid w:val="008E017D"/>
    <w:rsid w:val="008E0187"/>
    <w:rsid w:val="008E0E82"/>
    <w:rsid w:val="008E1523"/>
    <w:rsid w:val="008E1598"/>
    <w:rsid w:val="008E1ED9"/>
    <w:rsid w:val="008E2108"/>
    <w:rsid w:val="008E2255"/>
    <w:rsid w:val="008E2877"/>
    <w:rsid w:val="008E2993"/>
    <w:rsid w:val="008E2A9C"/>
    <w:rsid w:val="008E326C"/>
    <w:rsid w:val="008E374F"/>
    <w:rsid w:val="008E3768"/>
    <w:rsid w:val="008E37BB"/>
    <w:rsid w:val="008E388A"/>
    <w:rsid w:val="008E40A0"/>
    <w:rsid w:val="008E4221"/>
    <w:rsid w:val="008E4569"/>
    <w:rsid w:val="008E5512"/>
    <w:rsid w:val="008E6D17"/>
    <w:rsid w:val="008E72CF"/>
    <w:rsid w:val="008E74AA"/>
    <w:rsid w:val="008E7F5B"/>
    <w:rsid w:val="008F01A7"/>
    <w:rsid w:val="008F0BB0"/>
    <w:rsid w:val="008F0BEC"/>
    <w:rsid w:val="008F1DF4"/>
    <w:rsid w:val="008F243B"/>
    <w:rsid w:val="008F243D"/>
    <w:rsid w:val="008F3008"/>
    <w:rsid w:val="008F3392"/>
    <w:rsid w:val="008F37EE"/>
    <w:rsid w:val="008F482A"/>
    <w:rsid w:val="008F4994"/>
    <w:rsid w:val="008F4EC2"/>
    <w:rsid w:val="008F5203"/>
    <w:rsid w:val="008F5850"/>
    <w:rsid w:val="008F6B6B"/>
    <w:rsid w:val="008F6F03"/>
    <w:rsid w:val="008F70F2"/>
    <w:rsid w:val="008F72F4"/>
    <w:rsid w:val="008F767B"/>
    <w:rsid w:val="009002A9"/>
    <w:rsid w:val="009005D1"/>
    <w:rsid w:val="00900666"/>
    <w:rsid w:val="00900F8E"/>
    <w:rsid w:val="00901A87"/>
    <w:rsid w:val="009021C2"/>
    <w:rsid w:val="0090224F"/>
    <w:rsid w:val="009029F0"/>
    <w:rsid w:val="00902F5F"/>
    <w:rsid w:val="00903AFC"/>
    <w:rsid w:val="009046CB"/>
    <w:rsid w:val="009048AC"/>
    <w:rsid w:val="00904E43"/>
    <w:rsid w:val="00905220"/>
    <w:rsid w:val="0090570D"/>
    <w:rsid w:val="00905782"/>
    <w:rsid w:val="00906032"/>
    <w:rsid w:val="009060B7"/>
    <w:rsid w:val="00906272"/>
    <w:rsid w:val="00906700"/>
    <w:rsid w:val="00906764"/>
    <w:rsid w:val="0090693D"/>
    <w:rsid w:val="00906A21"/>
    <w:rsid w:val="00906AA8"/>
    <w:rsid w:val="00906AEA"/>
    <w:rsid w:val="00906B5E"/>
    <w:rsid w:val="0090754D"/>
    <w:rsid w:val="00907FDA"/>
    <w:rsid w:val="00910060"/>
    <w:rsid w:val="00910134"/>
    <w:rsid w:val="00912A6F"/>
    <w:rsid w:val="00913488"/>
    <w:rsid w:val="00913A4C"/>
    <w:rsid w:val="00914594"/>
    <w:rsid w:val="00914A63"/>
    <w:rsid w:val="00914E62"/>
    <w:rsid w:val="00917502"/>
    <w:rsid w:val="00920089"/>
    <w:rsid w:val="009204EB"/>
    <w:rsid w:val="00920EAA"/>
    <w:rsid w:val="00920EFF"/>
    <w:rsid w:val="0092106D"/>
    <w:rsid w:val="00921A28"/>
    <w:rsid w:val="00921B06"/>
    <w:rsid w:val="00922204"/>
    <w:rsid w:val="00922977"/>
    <w:rsid w:val="00922AF7"/>
    <w:rsid w:val="00922DE5"/>
    <w:rsid w:val="00922DFB"/>
    <w:rsid w:val="0092337E"/>
    <w:rsid w:val="009234EB"/>
    <w:rsid w:val="00923901"/>
    <w:rsid w:val="00926EE1"/>
    <w:rsid w:val="00927736"/>
    <w:rsid w:val="00927758"/>
    <w:rsid w:val="009303DC"/>
    <w:rsid w:val="00930DFD"/>
    <w:rsid w:val="00931680"/>
    <w:rsid w:val="009316DC"/>
    <w:rsid w:val="00931D46"/>
    <w:rsid w:val="0093205C"/>
    <w:rsid w:val="0093320C"/>
    <w:rsid w:val="0093355F"/>
    <w:rsid w:val="00933B41"/>
    <w:rsid w:val="0093405D"/>
    <w:rsid w:val="009355C6"/>
    <w:rsid w:val="00935CC4"/>
    <w:rsid w:val="00936B14"/>
    <w:rsid w:val="00936D95"/>
    <w:rsid w:val="00937194"/>
    <w:rsid w:val="00937250"/>
    <w:rsid w:val="0093783A"/>
    <w:rsid w:val="00937E9B"/>
    <w:rsid w:val="0094064F"/>
    <w:rsid w:val="00940DAB"/>
    <w:rsid w:val="00941767"/>
    <w:rsid w:val="0094335D"/>
    <w:rsid w:val="009436BE"/>
    <w:rsid w:val="0094383F"/>
    <w:rsid w:val="00943BB5"/>
    <w:rsid w:val="00943F1D"/>
    <w:rsid w:val="00943F84"/>
    <w:rsid w:val="0094436C"/>
    <w:rsid w:val="0094483C"/>
    <w:rsid w:val="00944D2F"/>
    <w:rsid w:val="00945F05"/>
    <w:rsid w:val="00946671"/>
    <w:rsid w:val="00946A65"/>
    <w:rsid w:val="00946FF3"/>
    <w:rsid w:val="009471E3"/>
    <w:rsid w:val="00947DF0"/>
    <w:rsid w:val="0095194B"/>
    <w:rsid w:val="0095196C"/>
    <w:rsid w:val="0095199D"/>
    <w:rsid w:val="00951AA1"/>
    <w:rsid w:val="00951DA2"/>
    <w:rsid w:val="00952142"/>
    <w:rsid w:val="009521AF"/>
    <w:rsid w:val="009522B6"/>
    <w:rsid w:val="00953124"/>
    <w:rsid w:val="009538BC"/>
    <w:rsid w:val="00953975"/>
    <w:rsid w:val="00953B3F"/>
    <w:rsid w:val="00953B9C"/>
    <w:rsid w:val="00953BDA"/>
    <w:rsid w:val="00953C54"/>
    <w:rsid w:val="009541EA"/>
    <w:rsid w:val="009546C8"/>
    <w:rsid w:val="00954C9F"/>
    <w:rsid w:val="009559DD"/>
    <w:rsid w:val="00955ABC"/>
    <w:rsid w:val="00955BD4"/>
    <w:rsid w:val="00956369"/>
    <w:rsid w:val="009570B8"/>
    <w:rsid w:val="00957165"/>
    <w:rsid w:val="009575C6"/>
    <w:rsid w:val="009576A2"/>
    <w:rsid w:val="00957D1E"/>
    <w:rsid w:val="00957F83"/>
    <w:rsid w:val="009600AE"/>
    <w:rsid w:val="00960ACF"/>
    <w:rsid w:val="009613ED"/>
    <w:rsid w:val="009613F7"/>
    <w:rsid w:val="009614EC"/>
    <w:rsid w:val="009617AF"/>
    <w:rsid w:val="009632A0"/>
    <w:rsid w:val="00963500"/>
    <w:rsid w:val="00963647"/>
    <w:rsid w:val="00963C92"/>
    <w:rsid w:val="009641F5"/>
    <w:rsid w:val="00964A84"/>
    <w:rsid w:val="00964FE8"/>
    <w:rsid w:val="009653A2"/>
    <w:rsid w:val="00965755"/>
    <w:rsid w:val="00965ADA"/>
    <w:rsid w:val="00966056"/>
    <w:rsid w:val="00966515"/>
    <w:rsid w:val="00966592"/>
    <w:rsid w:val="00966750"/>
    <w:rsid w:val="00966954"/>
    <w:rsid w:val="00966A6A"/>
    <w:rsid w:val="00966E22"/>
    <w:rsid w:val="009672A6"/>
    <w:rsid w:val="00967473"/>
    <w:rsid w:val="00967664"/>
    <w:rsid w:val="00967BB5"/>
    <w:rsid w:val="00967D4E"/>
    <w:rsid w:val="00967F65"/>
    <w:rsid w:val="00970DEF"/>
    <w:rsid w:val="00970E0A"/>
    <w:rsid w:val="00970F7B"/>
    <w:rsid w:val="0097105F"/>
    <w:rsid w:val="009715B6"/>
    <w:rsid w:val="00971898"/>
    <w:rsid w:val="00971FE5"/>
    <w:rsid w:val="00972284"/>
    <w:rsid w:val="00972488"/>
    <w:rsid w:val="009738FF"/>
    <w:rsid w:val="0097417E"/>
    <w:rsid w:val="00974251"/>
    <w:rsid w:val="00974629"/>
    <w:rsid w:val="00974FAD"/>
    <w:rsid w:val="00975C5F"/>
    <w:rsid w:val="0097655F"/>
    <w:rsid w:val="00977808"/>
    <w:rsid w:val="00977947"/>
    <w:rsid w:val="00977A57"/>
    <w:rsid w:val="00980491"/>
    <w:rsid w:val="00980BDC"/>
    <w:rsid w:val="00980D65"/>
    <w:rsid w:val="00980FAE"/>
    <w:rsid w:val="00980FE6"/>
    <w:rsid w:val="0098214C"/>
    <w:rsid w:val="009821C7"/>
    <w:rsid w:val="0098244A"/>
    <w:rsid w:val="00982728"/>
    <w:rsid w:val="00982E04"/>
    <w:rsid w:val="00982E0E"/>
    <w:rsid w:val="009834BA"/>
    <w:rsid w:val="00983CF2"/>
    <w:rsid w:val="00983EDB"/>
    <w:rsid w:val="00984877"/>
    <w:rsid w:val="009849E6"/>
    <w:rsid w:val="0098502E"/>
    <w:rsid w:val="00985533"/>
    <w:rsid w:val="00986C3F"/>
    <w:rsid w:val="00986F77"/>
    <w:rsid w:val="009871BF"/>
    <w:rsid w:val="00987747"/>
    <w:rsid w:val="00987A0D"/>
    <w:rsid w:val="00987B09"/>
    <w:rsid w:val="00990091"/>
    <w:rsid w:val="0099021D"/>
    <w:rsid w:val="00991633"/>
    <w:rsid w:val="009917BA"/>
    <w:rsid w:val="009926B0"/>
    <w:rsid w:val="00992B5E"/>
    <w:rsid w:val="00993007"/>
    <w:rsid w:val="00993230"/>
    <w:rsid w:val="0099396F"/>
    <w:rsid w:val="00993C14"/>
    <w:rsid w:val="009940EE"/>
    <w:rsid w:val="00994410"/>
    <w:rsid w:val="00994490"/>
    <w:rsid w:val="00994C5E"/>
    <w:rsid w:val="00994D61"/>
    <w:rsid w:val="00995BE4"/>
    <w:rsid w:val="0099604C"/>
    <w:rsid w:val="009963E6"/>
    <w:rsid w:val="00997C29"/>
    <w:rsid w:val="009A03DB"/>
    <w:rsid w:val="009A098B"/>
    <w:rsid w:val="009A0D2C"/>
    <w:rsid w:val="009A0FDA"/>
    <w:rsid w:val="009A1223"/>
    <w:rsid w:val="009A12E1"/>
    <w:rsid w:val="009A15E2"/>
    <w:rsid w:val="009A16F8"/>
    <w:rsid w:val="009A1DFF"/>
    <w:rsid w:val="009A2416"/>
    <w:rsid w:val="009A3819"/>
    <w:rsid w:val="009A3B9D"/>
    <w:rsid w:val="009A40C3"/>
    <w:rsid w:val="009A4556"/>
    <w:rsid w:val="009A4B08"/>
    <w:rsid w:val="009A4FD9"/>
    <w:rsid w:val="009A50F7"/>
    <w:rsid w:val="009A5403"/>
    <w:rsid w:val="009A6131"/>
    <w:rsid w:val="009A6895"/>
    <w:rsid w:val="009A6CEB"/>
    <w:rsid w:val="009A6E02"/>
    <w:rsid w:val="009A73CE"/>
    <w:rsid w:val="009A73E8"/>
    <w:rsid w:val="009A7ACF"/>
    <w:rsid w:val="009B1AA3"/>
    <w:rsid w:val="009B1C1C"/>
    <w:rsid w:val="009B1D24"/>
    <w:rsid w:val="009B2173"/>
    <w:rsid w:val="009B357F"/>
    <w:rsid w:val="009B37F4"/>
    <w:rsid w:val="009B3E72"/>
    <w:rsid w:val="009B4821"/>
    <w:rsid w:val="009B4FB0"/>
    <w:rsid w:val="009B540C"/>
    <w:rsid w:val="009B6225"/>
    <w:rsid w:val="009B6B40"/>
    <w:rsid w:val="009B7C06"/>
    <w:rsid w:val="009C00C7"/>
    <w:rsid w:val="009C00E4"/>
    <w:rsid w:val="009C062B"/>
    <w:rsid w:val="009C184D"/>
    <w:rsid w:val="009C2426"/>
    <w:rsid w:val="009C318C"/>
    <w:rsid w:val="009C3E3C"/>
    <w:rsid w:val="009C44F4"/>
    <w:rsid w:val="009C5023"/>
    <w:rsid w:val="009C582A"/>
    <w:rsid w:val="009C63C5"/>
    <w:rsid w:val="009C64D0"/>
    <w:rsid w:val="009C66F0"/>
    <w:rsid w:val="009D0C62"/>
    <w:rsid w:val="009D0CFE"/>
    <w:rsid w:val="009D11FD"/>
    <w:rsid w:val="009D125E"/>
    <w:rsid w:val="009D13DE"/>
    <w:rsid w:val="009D1BD9"/>
    <w:rsid w:val="009D1D0E"/>
    <w:rsid w:val="009D1EF4"/>
    <w:rsid w:val="009D2377"/>
    <w:rsid w:val="009D3118"/>
    <w:rsid w:val="009D5E08"/>
    <w:rsid w:val="009D5FE7"/>
    <w:rsid w:val="009D6484"/>
    <w:rsid w:val="009D6A6A"/>
    <w:rsid w:val="009D70F2"/>
    <w:rsid w:val="009D7122"/>
    <w:rsid w:val="009D7608"/>
    <w:rsid w:val="009E03C6"/>
    <w:rsid w:val="009E0E86"/>
    <w:rsid w:val="009E127F"/>
    <w:rsid w:val="009E222E"/>
    <w:rsid w:val="009E2394"/>
    <w:rsid w:val="009E255D"/>
    <w:rsid w:val="009E2F75"/>
    <w:rsid w:val="009E30FC"/>
    <w:rsid w:val="009E31B2"/>
    <w:rsid w:val="009E3683"/>
    <w:rsid w:val="009E3F71"/>
    <w:rsid w:val="009E48A9"/>
    <w:rsid w:val="009E4AA6"/>
    <w:rsid w:val="009E5557"/>
    <w:rsid w:val="009E5579"/>
    <w:rsid w:val="009E5DA4"/>
    <w:rsid w:val="009E62E7"/>
    <w:rsid w:val="009E66BD"/>
    <w:rsid w:val="009E6BBD"/>
    <w:rsid w:val="009E745E"/>
    <w:rsid w:val="009E7E87"/>
    <w:rsid w:val="009F01D2"/>
    <w:rsid w:val="009F0BC7"/>
    <w:rsid w:val="009F15F3"/>
    <w:rsid w:val="009F1A83"/>
    <w:rsid w:val="009F1C0F"/>
    <w:rsid w:val="009F1D1D"/>
    <w:rsid w:val="009F2542"/>
    <w:rsid w:val="009F2672"/>
    <w:rsid w:val="009F2946"/>
    <w:rsid w:val="009F2B28"/>
    <w:rsid w:val="009F2CC1"/>
    <w:rsid w:val="009F330D"/>
    <w:rsid w:val="009F3F1E"/>
    <w:rsid w:val="009F4A9D"/>
    <w:rsid w:val="009F59E9"/>
    <w:rsid w:val="009F5EA0"/>
    <w:rsid w:val="009F6750"/>
    <w:rsid w:val="009F6EB6"/>
    <w:rsid w:val="009F77EB"/>
    <w:rsid w:val="009F7D2B"/>
    <w:rsid w:val="00A000AF"/>
    <w:rsid w:val="00A0014C"/>
    <w:rsid w:val="00A00504"/>
    <w:rsid w:val="00A0094F"/>
    <w:rsid w:val="00A00B29"/>
    <w:rsid w:val="00A0148D"/>
    <w:rsid w:val="00A018E9"/>
    <w:rsid w:val="00A01960"/>
    <w:rsid w:val="00A01E3A"/>
    <w:rsid w:val="00A02B6B"/>
    <w:rsid w:val="00A03097"/>
    <w:rsid w:val="00A03BFC"/>
    <w:rsid w:val="00A044FD"/>
    <w:rsid w:val="00A04B7A"/>
    <w:rsid w:val="00A05C56"/>
    <w:rsid w:val="00A05EF0"/>
    <w:rsid w:val="00A0601B"/>
    <w:rsid w:val="00A064A5"/>
    <w:rsid w:val="00A0676D"/>
    <w:rsid w:val="00A06C33"/>
    <w:rsid w:val="00A06DEA"/>
    <w:rsid w:val="00A0702B"/>
    <w:rsid w:val="00A075F8"/>
    <w:rsid w:val="00A079CA"/>
    <w:rsid w:val="00A10745"/>
    <w:rsid w:val="00A10B28"/>
    <w:rsid w:val="00A1125F"/>
    <w:rsid w:val="00A1169B"/>
    <w:rsid w:val="00A11959"/>
    <w:rsid w:val="00A11CB7"/>
    <w:rsid w:val="00A11E82"/>
    <w:rsid w:val="00A13608"/>
    <w:rsid w:val="00A13C5D"/>
    <w:rsid w:val="00A13E04"/>
    <w:rsid w:val="00A13E08"/>
    <w:rsid w:val="00A14268"/>
    <w:rsid w:val="00A14531"/>
    <w:rsid w:val="00A145A7"/>
    <w:rsid w:val="00A14874"/>
    <w:rsid w:val="00A14E46"/>
    <w:rsid w:val="00A158B7"/>
    <w:rsid w:val="00A15BF8"/>
    <w:rsid w:val="00A15E8B"/>
    <w:rsid w:val="00A16214"/>
    <w:rsid w:val="00A16982"/>
    <w:rsid w:val="00A16DAF"/>
    <w:rsid w:val="00A17BD4"/>
    <w:rsid w:val="00A17BE3"/>
    <w:rsid w:val="00A20985"/>
    <w:rsid w:val="00A20E09"/>
    <w:rsid w:val="00A20E32"/>
    <w:rsid w:val="00A21162"/>
    <w:rsid w:val="00A2154D"/>
    <w:rsid w:val="00A21873"/>
    <w:rsid w:val="00A22306"/>
    <w:rsid w:val="00A22C32"/>
    <w:rsid w:val="00A233EC"/>
    <w:rsid w:val="00A235D6"/>
    <w:rsid w:val="00A2378A"/>
    <w:rsid w:val="00A24052"/>
    <w:rsid w:val="00A240B3"/>
    <w:rsid w:val="00A242A6"/>
    <w:rsid w:val="00A249B3"/>
    <w:rsid w:val="00A24C37"/>
    <w:rsid w:val="00A25281"/>
    <w:rsid w:val="00A252BB"/>
    <w:rsid w:val="00A26B3B"/>
    <w:rsid w:val="00A26B7E"/>
    <w:rsid w:val="00A26C0D"/>
    <w:rsid w:val="00A2727B"/>
    <w:rsid w:val="00A27B0F"/>
    <w:rsid w:val="00A30CCF"/>
    <w:rsid w:val="00A30DA4"/>
    <w:rsid w:val="00A30DB8"/>
    <w:rsid w:val="00A3113E"/>
    <w:rsid w:val="00A313D5"/>
    <w:rsid w:val="00A31578"/>
    <w:rsid w:val="00A31836"/>
    <w:rsid w:val="00A31D39"/>
    <w:rsid w:val="00A321E0"/>
    <w:rsid w:val="00A3229E"/>
    <w:rsid w:val="00A322D7"/>
    <w:rsid w:val="00A326BE"/>
    <w:rsid w:val="00A34B72"/>
    <w:rsid w:val="00A353F5"/>
    <w:rsid w:val="00A35F3C"/>
    <w:rsid w:val="00A367F6"/>
    <w:rsid w:val="00A36A1A"/>
    <w:rsid w:val="00A36F09"/>
    <w:rsid w:val="00A37A7D"/>
    <w:rsid w:val="00A37EE0"/>
    <w:rsid w:val="00A401E3"/>
    <w:rsid w:val="00A40505"/>
    <w:rsid w:val="00A40D43"/>
    <w:rsid w:val="00A40DDD"/>
    <w:rsid w:val="00A419B5"/>
    <w:rsid w:val="00A41D04"/>
    <w:rsid w:val="00A4261E"/>
    <w:rsid w:val="00A429C4"/>
    <w:rsid w:val="00A42E18"/>
    <w:rsid w:val="00A438C9"/>
    <w:rsid w:val="00A4406D"/>
    <w:rsid w:val="00A44940"/>
    <w:rsid w:val="00A44A9D"/>
    <w:rsid w:val="00A44CDC"/>
    <w:rsid w:val="00A44E31"/>
    <w:rsid w:val="00A454C2"/>
    <w:rsid w:val="00A458C6"/>
    <w:rsid w:val="00A45B77"/>
    <w:rsid w:val="00A460A5"/>
    <w:rsid w:val="00A469A7"/>
    <w:rsid w:val="00A47360"/>
    <w:rsid w:val="00A474CC"/>
    <w:rsid w:val="00A47542"/>
    <w:rsid w:val="00A475FB"/>
    <w:rsid w:val="00A478BC"/>
    <w:rsid w:val="00A47C1E"/>
    <w:rsid w:val="00A50B40"/>
    <w:rsid w:val="00A51940"/>
    <w:rsid w:val="00A51FCC"/>
    <w:rsid w:val="00A52B51"/>
    <w:rsid w:val="00A52FA3"/>
    <w:rsid w:val="00A5307F"/>
    <w:rsid w:val="00A535B6"/>
    <w:rsid w:val="00A5418E"/>
    <w:rsid w:val="00A54446"/>
    <w:rsid w:val="00A5516C"/>
    <w:rsid w:val="00A56058"/>
    <w:rsid w:val="00A56CC1"/>
    <w:rsid w:val="00A56CDC"/>
    <w:rsid w:val="00A56F42"/>
    <w:rsid w:val="00A574C5"/>
    <w:rsid w:val="00A57A70"/>
    <w:rsid w:val="00A57CD0"/>
    <w:rsid w:val="00A60A5F"/>
    <w:rsid w:val="00A6131A"/>
    <w:rsid w:val="00A61742"/>
    <w:rsid w:val="00A61AD1"/>
    <w:rsid w:val="00A61E98"/>
    <w:rsid w:val="00A62352"/>
    <w:rsid w:val="00A62CD6"/>
    <w:rsid w:val="00A63566"/>
    <w:rsid w:val="00A650C7"/>
    <w:rsid w:val="00A651BD"/>
    <w:rsid w:val="00A661D5"/>
    <w:rsid w:val="00A67176"/>
    <w:rsid w:val="00A6766D"/>
    <w:rsid w:val="00A67A2B"/>
    <w:rsid w:val="00A70990"/>
    <w:rsid w:val="00A70AEF"/>
    <w:rsid w:val="00A71142"/>
    <w:rsid w:val="00A71481"/>
    <w:rsid w:val="00A7181E"/>
    <w:rsid w:val="00A71DFC"/>
    <w:rsid w:val="00A72461"/>
    <w:rsid w:val="00A72E5D"/>
    <w:rsid w:val="00A72F1A"/>
    <w:rsid w:val="00A736DF"/>
    <w:rsid w:val="00A73734"/>
    <w:rsid w:val="00A73BB9"/>
    <w:rsid w:val="00A73D40"/>
    <w:rsid w:val="00A7400F"/>
    <w:rsid w:val="00A745DD"/>
    <w:rsid w:val="00A756DA"/>
    <w:rsid w:val="00A77982"/>
    <w:rsid w:val="00A8124A"/>
    <w:rsid w:val="00A81442"/>
    <w:rsid w:val="00A819C0"/>
    <w:rsid w:val="00A82199"/>
    <w:rsid w:val="00A82F7E"/>
    <w:rsid w:val="00A83BEB"/>
    <w:rsid w:val="00A83EF9"/>
    <w:rsid w:val="00A840E6"/>
    <w:rsid w:val="00A84B30"/>
    <w:rsid w:val="00A84C0F"/>
    <w:rsid w:val="00A855FB"/>
    <w:rsid w:val="00A85F38"/>
    <w:rsid w:val="00A86176"/>
    <w:rsid w:val="00A862C8"/>
    <w:rsid w:val="00A86500"/>
    <w:rsid w:val="00A86B6B"/>
    <w:rsid w:val="00A87D18"/>
    <w:rsid w:val="00A87F9B"/>
    <w:rsid w:val="00A905DD"/>
    <w:rsid w:val="00A90A6B"/>
    <w:rsid w:val="00A90FD0"/>
    <w:rsid w:val="00A914AE"/>
    <w:rsid w:val="00A9183D"/>
    <w:rsid w:val="00A91C56"/>
    <w:rsid w:val="00A9211C"/>
    <w:rsid w:val="00A9267E"/>
    <w:rsid w:val="00A9299B"/>
    <w:rsid w:val="00A92DFC"/>
    <w:rsid w:val="00A92EDD"/>
    <w:rsid w:val="00A93C94"/>
    <w:rsid w:val="00A9456F"/>
    <w:rsid w:val="00A95920"/>
    <w:rsid w:val="00A96684"/>
    <w:rsid w:val="00A97412"/>
    <w:rsid w:val="00AA01DD"/>
    <w:rsid w:val="00AA0C3E"/>
    <w:rsid w:val="00AA1724"/>
    <w:rsid w:val="00AA1817"/>
    <w:rsid w:val="00AA1AC8"/>
    <w:rsid w:val="00AA202F"/>
    <w:rsid w:val="00AA2763"/>
    <w:rsid w:val="00AA27E9"/>
    <w:rsid w:val="00AA3477"/>
    <w:rsid w:val="00AA370A"/>
    <w:rsid w:val="00AA3984"/>
    <w:rsid w:val="00AA4111"/>
    <w:rsid w:val="00AA5255"/>
    <w:rsid w:val="00AA5639"/>
    <w:rsid w:val="00AA5971"/>
    <w:rsid w:val="00AA5C0C"/>
    <w:rsid w:val="00AA6DF7"/>
    <w:rsid w:val="00AA72FE"/>
    <w:rsid w:val="00AB0540"/>
    <w:rsid w:val="00AB0B4C"/>
    <w:rsid w:val="00AB0F6E"/>
    <w:rsid w:val="00AB1048"/>
    <w:rsid w:val="00AB10AA"/>
    <w:rsid w:val="00AB17FB"/>
    <w:rsid w:val="00AB1C0F"/>
    <w:rsid w:val="00AB1D86"/>
    <w:rsid w:val="00AB2421"/>
    <w:rsid w:val="00AB313C"/>
    <w:rsid w:val="00AB356E"/>
    <w:rsid w:val="00AB3DB6"/>
    <w:rsid w:val="00AB48C8"/>
    <w:rsid w:val="00AB5244"/>
    <w:rsid w:val="00AB608E"/>
    <w:rsid w:val="00AB6217"/>
    <w:rsid w:val="00AB68C7"/>
    <w:rsid w:val="00AB6FF7"/>
    <w:rsid w:val="00AB7938"/>
    <w:rsid w:val="00AB7E4E"/>
    <w:rsid w:val="00AB7F29"/>
    <w:rsid w:val="00AC074F"/>
    <w:rsid w:val="00AC097B"/>
    <w:rsid w:val="00AC0BEA"/>
    <w:rsid w:val="00AC19A8"/>
    <w:rsid w:val="00AC19CD"/>
    <w:rsid w:val="00AC1BA7"/>
    <w:rsid w:val="00AC2759"/>
    <w:rsid w:val="00AC2F7E"/>
    <w:rsid w:val="00AC3246"/>
    <w:rsid w:val="00AC3417"/>
    <w:rsid w:val="00AC34CF"/>
    <w:rsid w:val="00AC3D05"/>
    <w:rsid w:val="00AC4070"/>
    <w:rsid w:val="00AC4646"/>
    <w:rsid w:val="00AC4765"/>
    <w:rsid w:val="00AC4AB8"/>
    <w:rsid w:val="00AC55C6"/>
    <w:rsid w:val="00AC57BF"/>
    <w:rsid w:val="00AC5901"/>
    <w:rsid w:val="00AC655C"/>
    <w:rsid w:val="00AC67C9"/>
    <w:rsid w:val="00AC6DEE"/>
    <w:rsid w:val="00AC7125"/>
    <w:rsid w:val="00AC7356"/>
    <w:rsid w:val="00AC7439"/>
    <w:rsid w:val="00AC7E87"/>
    <w:rsid w:val="00AD00CA"/>
    <w:rsid w:val="00AD091E"/>
    <w:rsid w:val="00AD0D19"/>
    <w:rsid w:val="00AD0EB6"/>
    <w:rsid w:val="00AD1D80"/>
    <w:rsid w:val="00AD263D"/>
    <w:rsid w:val="00AD308C"/>
    <w:rsid w:val="00AD319D"/>
    <w:rsid w:val="00AD3A52"/>
    <w:rsid w:val="00AD46AC"/>
    <w:rsid w:val="00AD4C8F"/>
    <w:rsid w:val="00AD4E60"/>
    <w:rsid w:val="00AD601E"/>
    <w:rsid w:val="00AD7150"/>
    <w:rsid w:val="00AD7CD4"/>
    <w:rsid w:val="00AD7F30"/>
    <w:rsid w:val="00AE036D"/>
    <w:rsid w:val="00AE0FAF"/>
    <w:rsid w:val="00AE1156"/>
    <w:rsid w:val="00AE1A75"/>
    <w:rsid w:val="00AE20C3"/>
    <w:rsid w:val="00AE2447"/>
    <w:rsid w:val="00AE2B71"/>
    <w:rsid w:val="00AE2B86"/>
    <w:rsid w:val="00AE2C23"/>
    <w:rsid w:val="00AE3DD5"/>
    <w:rsid w:val="00AE40B7"/>
    <w:rsid w:val="00AE44D9"/>
    <w:rsid w:val="00AE45E9"/>
    <w:rsid w:val="00AE4CF7"/>
    <w:rsid w:val="00AE5C5B"/>
    <w:rsid w:val="00AE5E8A"/>
    <w:rsid w:val="00AE6353"/>
    <w:rsid w:val="00AE67B6"/>
    <w:rsid w:val="00AE693C"/>
    <w:rsid w:val="00AE6952"/>
    <w:rsid w:val="00AE699D"/>
    <w:rsid w:val="00AE69FD"/>
    <w:rsid w:val="00AE7281"/>
    <w:rsid w:val="00AE7339"/>
    <w:rsid w:val="00AE754A"/>
    <w:rsid w:val="00AE7C13"/>
    <w:rsid w:val="00AE7E12"/>
    <w:rsid w:val="00AE7F5E"/>
    <w:rsid w:val="00AF0142"/>
    <w:rsid w:val="00AF03E6"/>
    <w:rsid w:val="00AF0BD4"/>
    <w:rsid w:val="00AF1250"/>
    <w:rsid w:val="00AF125E"/>
    <w:rsid w:val="00AF13A1"/>
    <w:rsid w:val="00AF1475"/>
    <w:rsid w:val="00AF1799"/>
    <w:rsid w:val="00AF1A6B"/>
    <w:rsid w:val="00AF1C14"/>
    <w:rsid w:val="00AF22B9"/>
    <w:rsid w:val="00AF2448"/>
    <w:rsid w:val="00AF25CD"/>
    <w:rsid w:val="00AF2B0D"/>
    <w:rsid w:val="00AF4863"/>
    <w:rsid w:val="00AF4A57"/>
    <w:rsid w:val="00AF4D3C"/>
    <w:rsid w:val="00AF531B"/>
    <w:rsid w:val="00AF595D"/>
    <w:rsid w:val="00AF680B"/>
    <w:rsid w:val="00AF7AE0"/>
    <w:rsid w:val="00B020F7"/>
    <w:rsid w:val="00B03193"/>
    <w:rsid w:val="00B034C0"/>
    <w:rsid w:val="00B034FB"/>
    <w:rsid w:val="00B038A2"/>
    <w:rsid w:val="00B03F8E"/>
    <w:rsid w:val="00B041F4"/>
    <w:rsid w:val="00B04A90"/>
    <w:rsid w:val="00B04D23"/>
    <w:rsid w:val="00B04FB2"/>
    <w:rsid w:val="00B05DF2"/>
    <w:rsid w:val="00B0719A"/>
    <w:rsid w:val="00B07E0D"/>
    <w:rsid w:val="00B1063C"/>
    <w:rsid w:val="00B137D2"/>
    <w:rsid w:val="00B137E2"/>
    <w:rsid w:val="00B14936"/>
    <w:rsid w:val="00B14D38"/>
    <w:rsid w:val="00B14DBF"/>
    <w:rsid w:val="00B1505D"/>
    <w:rsid w:val="00B16B78"/>
    <w:rsid w:val="00B17455"/>
    <w:rsid w:val="00B175D4"/>
    <w:rsid w:val="00B20D28"/>
    <w:rsid w:val="00B20DD7"/>
    <w:rsid w:val="00B21115"/>
    <w:rsid w:val="00B2152F"/>
    <w:rsid w:val="00B21564"/>
    <w:rsid w:val="00B21C83"/>
    <w:rsid w:val="00B23598"/>
    <w:rsid w:val="00B23A0E"/>
    <w:rsid w:val="00B23A72"/>
    <w:rsid w:val="00B23D46"/>
    <w:rsid w:val="00B24714"/>
    <w:rsid w:val="00B24833"/>
    <w:rsid w:val="00B2498B"/>
    <w:rsid w:val="00B251D1"/>
    <w:rsid w:val="00B2541D"/>
    <w:rsid w:val="00B25603"/>
    <w:rsid w:val="00B257F3"/>
    <w:rsid w:val="00B25C0F"/>
    <w:rsid w:val="00B26357"/>
    <w:rsid w:val="00B26CEA"/>
    <w:rsid w:val="00B30837"/>
    <w:rsid w:val="00B30EFE"/>
    <w:rsid w:val="00B31044"/>
    <w:rsid w:val="00B31686"/>
    <w:rsid w:val="00B32E2F"/>
    <w:rsid w:val="00B33E55"/>
    <w:rsid w:val="00B34050"/>
    <w:rsid w:val="00B344AD"/>
    <w:rsid w:val="00B3483B"/>
    <w:rsid w:val="00B35749"/>
    <w:rsid w:val="00B35E6D"/>
    <w:rsid w:val="00B35F07"/>
    <w:rsid w:val="00B36C6E"/>
    <w:rsid w:val="00B36FDF"/>
    <w:rsid w:val="00B37576"/>
    <w:rsid w:val="00B40753"/>
    <w:rsid w:val="00B40A27"/>
    <w:rsid w:val="00B40F22"/>
    <w:rsid w:val="00B420CD"/>
    <w:rsid w:val="00B4215D"/>
    <w:rsid w:val="00B42321"/>
    <w:rsid w:val="00B425A1"/>
    <w:rsid w:val="00B4273C"/>
    <w:rsid w:val="00B435A7"/>
    <w:rsid w:val="00B436CE"/>
    <w:rsid w:val="00B446B5"/>
    <w:rsid w:val="00B44799"/>
    <w:rsid w:val="00B4489C"/>
    <w:rsid w:val="00B460B0"/>
    <w:rsid w:val="00B46F50"/>
    <w:rsid w:val="00B47519"/>
    <w:rsid w:val="00B50484"/>
    <w:rsid w:val="00B5122A"/>
    <w:rsid w:val="00B51521"/>
    <w:rsid w:val="00B517A7"/>
    <w:rsid w:val="00B51DF8"/>
    <w:rsid w:val="00B5297D"/>
    <w:rsid w:val="00B52A3B"/>
    <w:rsid w:val="00B52C86"/>
    <w:rsid w:val="00B53329"/>
    <w:rsid w:val="00B53332"/>
    <w:rsid w:val="00B53E3F"/>
    <w:rsid w:val="00B54316"/>
    <w:rsid w:val="00B54688"/>
    <w:rsid w:val="00B5483A"/>
    <w:rsid w:val="00B54F5C"/>
    <w:rsid w:val="00B56CB4"/>
    <w:rsid w:val="00B57F48"/>
    <w:rsid w:val="00B57F58"/>
    <w:rsid w:val="00B60141"/>
    <w:rsid w:val="00B60346"/>
    <w:rsid w:val="00B604DF"/>
    <w:rsid w:val="00B6066C"/>
    <w:rsid w:val="00B64757"/>
    <w:rsid w:val="00B64EAA"/>
    <w:rsid w:val="00B64FFC"/>
    <w:rsid w:val="00B65A16"/>
    <w:rsid w:val="00B65F77"/>
    <w:rsid w:val="00B66703"/>
    <w:rsid w:val="00B66BAD"/>
    <w:rsid w:val="00B66F6C"/>
    <w:rsid w:val="00B67401"/>
    <w:rsid w:val="00B702A1"/>
    <w:rsid w:val="00B704D1"/>
    <w:rsid w:val="00B70A3B"/>
    <w:rsid w:val="00B71BD5"/>
    <w:rsid w:val="00B71E72"/>
    <w:rsid w:val="00B72FCB"/>
    <w:rsid w:val="00B73B07"/>
    <w:rsid w:val="00B73BAD"/>
    <w:rsid w:val="00B74957"/>
    <w:rsid w:val="00B755E8"/>
    <w:rsid w:val="00B75C00"/>
    <w:rsid w:val="00B75CD3"/>
    <w:rsid w:val="00B76EDE"/>
    <w:rsid w:val="00B76F76"/>
    <w:rsid w:val="00B77D33"/>
    <w:rsid w:val="00B77EE9"/>
    <w:rsid w:val="00B77F12"/>
    <w:rsid w:val="00B8095B"/>
    <w:rsid w:val="00B80F7A"/>
    <w:rsid w:val="00B813A3"/>
    <w:rsid w:val="00B813CC"/>
    <w:rsid w:val="00B814BC"/>
    <w:rsid w:val="00B8158E"/>
    <w:rsid w:val="00B819A5"/>
    <w:rsid w:val="00B822EA"/>
    <w:rsid w:val="00B82311"/>
    <w:rsid w:val="00B829CA"/>
    <w:rsid w:val="00B84851"/>
    <w:rsid w:val="00B848F0"/>
    <w:rsid w:val="00B84B4E"/>
    <w:rsid w:val="00B8573C"/>
    <w:rsid w:val="00B85952"/>
    <w:rsid w:val="00B85B12"/>
    <w:rsid w:val="00B86BCF"/>
    <w:rsid w:val="00B87114"/>
    <w:rsid w:val="00B874DF"/>
    <w:rsid w:val="00B87749"/>
    <w:rsid w:val="00B87771"/>
    <w:rsid w:val="00B87CE8"/>
    <w:rsid w:val="00B87DF6"/>
    <w:rsid w:val="00B902AD"/>
    <w:rsid w:val="00B91670"/>
    <w:rsid w:val="00B91E1C"/>
    <w:rsid w:val="00B9314A"/>
    <w:rsid w:val="00B93B1C"/>
    <w:rsid w:val="00B94109"/>
    <w:rsid w:val="00B94190"/>
    <w:rsid w:val="00B947B1"/>
    <w:rsid w:val="00B9511A"/>
    <w:rsid w:val="00B95236"/>
    <w:rsid w:val="00B954DB"/>
    <w:rsid w:val="00B95571"/>
    <w:rsid w:val="00B95B79"/>
    <w:rsid w:val="00B95D11"/>
    <w:rsid w:val="00B96624"/>
    <w:rsid w:val="00B96AAD"/>
    <w:rsid w:val="00B96F8E"/>
    <w:rsid w:val="00B972D8"/>
    <w:rsid w:val="00B97459"/>
    <w:rsid w:val="00B97CB2"/>
    <w:rsid w:val="00B97DEF"/>
    <w:rsid w:val="00B97E9F"/>
    <w:rsid w:val="00BA0397"/>
    <w:rsid w:val="00BA054F"/>
    <w:rsid w:val="00BA0A64"/>
    <w:rsid w:val="00BA1199"/>
    <w:rsid w:val="00BA15EC"/>
    <w:rsid w:val="00BA1779"/>
    <w:rsid w:val="00BA1C8B"/>
    <w:rsid w:val="00BA1D88"/>
    <w:rsid w:val="00BA1FB4"/>
    <w:rsid w:val="00BA486E"/>
    <w:rsid w:val="00BA4A55"/>
    <w:rsid w:val="00BA4CCF"/>
    <w:rsid w:val="00BA5E84"/>
    <w:rsid w:val="00BA6420"/>
    <w:rsid w:val="00BA6B0F"/>
    <w:rsid w:val="00BA733A"/>
    <w:rsid w:val="00BA7482"/>
    <w:rsid w:val="00BA7768"/>
    <w:rsid w:val="00BB0109"/>
    <w:rsid w:val="00BB049C"/>
    <w:rsid w:val="00BB093B"/>
    <w:rsid w:val="00BB0DC5"/>
    <w:rsid w:val="00BB1A95"/>
    <w:rsid w:val="00BB223F"/>
    <w:rsid w:val="00BB27CC"/>
    <w:rsid w:val="00BB2ABF"/>
    <w:rsid w:val="00BB2CF0"/>
    <w:rsid w:val="00BB2D1F"/>
    <w:rsid w:val="00BB2DD1"/>
    <w:rsid w:val="00BB38F9"/>
    <w:rsid w:val="00BB409B"/>
    <w:rsid w:val="00BB47A0"/>
    <w:rsid w:val="00BB5959"/>
    <w:rsid w:val="00BB5A6C"/>
    <w:rsid w:val="00BB7E8C"/>
    <w:rsid w:val="00BC0404"/>
    <w:rsid w:val="00BC0D40"/>
    <w:rsid w:val="00BC0FC5"/>
    <w:rsid w:val="00BC1810"/>
    <w:rsid w:val="00BC1943"/>
    <w:rsid w:val="00BC198D"/>
    <w:rsid w:val="00BC1C78"/>
    <w:rsid w:val="00BC1E28"/>
    <w:rsid w:val="00BC1E62"/>
    <w:rsid w:val="00BC2733"/>
    <w:rsid w:val="00BC354D"/>
    <w:rsid w:val="00BC36CC"/>
    <w:rsid w:val="00BC38FD"/>
    <w:rsid w:val="00BC523B"/>
    <w:rsid w:val="00BC57DF"/>
    <w:rsid w:val="00BC585E"/>
    <w:rsid w:val="00BC5DC4"/>
    <w:rsid w:val="00BC6138"/>
    <w:rsid w:val="00BC64E9"/>
    <w:rsid w:val="00BC7F2A"/>
    <w:rsid w:val="00BD03BA"/>
    <w:rsid w:val="00BD09DB"/>
    <w:rsid w:val="00BD0FCF"/>
    <w:rsid w:val="00BD12E7"/>
    <w:rsid w:val="00BD1527"/>
    <w:rsid w:val="00BD285D"/>
    <w:rsid w:val="00BD349A"/>
    <w:rsid w:val="00BD3F72"/>
    <w:rsid w:val="00BD42DF"/>
    <w:rsid w:val="00BD490E"/>
    <w:rsid w:val="00BD4932"/>
    <w:rsid w:val="00BD4B40"/>
    <w:rsid w:val="00BD529D"/>
    <w:rsid w:val="00BD52C3"/>
    <w:rsid w:val="00BD5433"/>
    <w:rsid w:val="00BD5779"/>
    <w:rsid w:val="00BD57E1"/>
    <w:rsid w:val="00BD5CD7"/>
    <w:rsid w:val="00BD7718"/>
    <w:rsid w:val="00BD7DF6"/>
    <w:rsid w:val="00BD7F23"/>
    <w:rsid w:val="00BE0616"/>
    <w:rsid w:val="00BE0720"/>
    <w:rsid w:val="00BE0A37"/>
    <w:rsid w:val="00BE11BC"/>
    <w:rsid w:val="00BE11F3"/>
    <w:rsid w:val="00BE1E11"/>
    <w:rsid w:val="00BE2D72"/>
    <w:rsid w:val="00BE2F61"/>
    <w:rsid w:val="00BE324E"/>
    <w:rsid w:val="00BE3447"/>
    <w:rsid w:val="00BE34D7"/>
    <w:rsid w:val="00BE36DC"/>
    <w:rsid w:val="00BE3B8E"/>
    <w:rsid w:val="00BE3CCF"/>
    <w:rsid w:val="00BE4932"/>
    <w:rsid w:val="00BE4C28"/>
    <w:rsid w:val="00BE4F92"/>
    <w:rsid w:val="00BE54C7"/>
    <w:rsid w:val="00BE5795"/>
    <w:rsid w:val="00BE621D"/>
    <w:rsid w:val="00BE67BF"/>
    <w:rsid w:val="00BE73E0"/>
    <w:rsid w:val="00BE740C"/>
    <w:rsid w:val="00BE79C1"/>
    <w:rsid w:val="00BE7B1A"/>
    <w:rsid w:val="00BF0232"/>
    <w:rsid w:val="00BF0AF2"/>
    <w:rsid w:val="00BF1815"/>
    <w:rsid w:val="00BF2596"/>
    <w:rsid w:val="00BF29D0"/>
    <w:rsid w:val="00BF2A71"/>
    <w:rsid w:val="00BF307B"/>
    <w:rsid w:val="00BF3128"/>
    <w:rsid w:val="00BF317B"/>
    <w:rsid w:val="00BF36BB"/>
    <w:rsid w:val="00BF389D"/>
    <w:rsid w:val="00BF46F3"/>
    <w:rsid w:val="00BF49D2"/>
    <w:rsid w:val="00BF4FDB"/>
    <w:rsid w:val="00BF529F"/>
    <w:rsid w:val="00BF5703"/>
    <w:rsid w:val="00BF59AF"/>
    <w:rsid w:val="00BF5CA3"/>
    <w:rsid w:val="00BF668C"/>
    <w:rsid w:val="00BF68CB"/>
    <w:rsid w:val="00BF7CB3"/>
    <w:rsid w:val="00C0093D"/>
    <w:rsid w:val="00C00A88"/>
    <w:rsid w:val="00C01AFB"/>
    <w:rsid w:val="00C01D72"/>
    <w:rsid w:val="00C02FF8"/>
    <w:rsid w:val="00C041A1"/>
    <w:rsid w:val="00C04A09"/>
    <w:rsid w:val="00C04EA3"/>
    <w:rsid w:val="00C05608"/>
    <w:rsid w:val="00C05D77"/>
    <w:rsid w:val="00C05F3F"/>
    <w:rsid w:val="00C066AB"/>
    <w:rsid w:val="00C0742A"/>
    <w:rsid w:val="00C07F1E"/>
    <w:rsid w:val="00C10005"/>
    <w:rsid w:val="00C10417"/>
    <w:rsid w:val="00C10506"/>
    <w:rsid w:val="00C10947"/>
    <w:rsid w:val="00C10D7D"/>
    <w:rsid w:val="00C11BA3"/>
    <w:rsid w:val="00C11C8E"/>
    <w:rsid w:val="00C1280F"/>
    <w:rsid w:val="00C13BD0"/>
    <w:rsid w:val="00C13D5C"/>
    <w:rsid w:val="00C14194"/>
    <w:rsid w:val="00C14E4B"/>
    <w:rsid w:val="00C15656"/>
    <w:rsid w:val="00C156D1"/>
    <w:rsid w:val="00C15836"/>
    <w:rsid w:val="00C159EA"/>
    <w:rsid w:val="00C15A19"/>
    <w:rsid w:val="00C160EF"/>
    <w:rsid w:val="00C165B7"/>
    <w:rsid w:val="00C166AC"/>
    <w:rsid w:val="00C1689D"/>
    <w:rsid w:val="00C16A7F"/>
    <w:rsid w:val="00C177B5"/>
    <w:rsid w:val="00C179EF"/>
    <w:rsid w:val="00C17E3B"/>
    <w:rsid w:val="00C20197"/>
    <w:rsid w:val="00C204C1"/>
    <w:rsid w:val="00C209A0"/>
    <w:rsid w:val="00C20A99"/>
    <w:rsid w:val="00C20AF7"/>
    <w:rsid w:val="00C20C5A"/>
    <w:rsid w:val="00C210D4"/>
    <w:rsid w:val="00C213E4"/>
    <w:rsid w:val="00C223CC"/>
    <w:rsid w:val="00C224AB"/>
    <w:rsid w:val="00C227A1"/>
    <w:rsid w:val="00C234C8"/>
    <w:rsid w:val="00C2479D"/>
    <w:rsid w:val="00C24D5E"/>
    <w:rsid w:val="00C25418"/>
    <w:rsid w:val="00C25431"/>
    <w:rsid w:val="00C257D9"/>
    <w:rsid w:val="00C25C1F"/>
    <w:rsid w:val="00C273FB"/>
    <w:rsid w:val="00C27544"/>
    <w:rsid w:val="00C30543"/>
    <w:rsid w:val="00C313F9"/>
    <w:rsid w:val="00C31544"/>
    <w:rsid w:val="00C31547"/>
    <w:rsid w:val="00C3183B"/>
    <w:rsid w:val="00C31B1E"/>
    <w:rsid w:val="00C32856"/>
    <w:rsid w:val="00C33031"/>
    <w:rsid w:val="00C3305C"/>
    <w:rsid w:val="00C33BD4"/>
    <w:rsid w:val="00C34327"/>
    <w:rsid w:val="00C350A8"/>
    <w:rsid w:val="00C35253"/>
    <w:rsid w:val="00C35570"/>
    <w:rsid w:val="00C356DF"/>
    <w:rsid w:val="00C35986"/>
    <w:rsid w:val="00C35A6C"/>
    <w:rsid w:val="00C36112"/>
    <w:rsid w:val="00C36820"/>
    <w:rsid w:val="00C36FDF"/>
    <w:rsid w:val="00C37400"/>
    <w:rsid w:val="00C376FA"/>
    <w:rsid w:val="00C37BDE"/>
    <w:rsid w:val="00C37F51"/>
    <w:rsid w:val="00C4029B"/>
    <w:rsid w:val="00C40555"/>
    <w:rsid w:val="00C41353"/>
    <w:rsid w:val="00C41484"/>
    <w:rsid w:val="00C415A0"/>
    <w:rsid w:val="00C4176D"/>
    <w:rsid w:val="00C417D6"/>
    <w:rsid w:val="00C4191D"/>
    <w:rsid w:val="00C4232B"/>
    <w:rsid w:val="00C42888"/>
    <w:rsid w:val="00C43DDC"/>
    <w:rsid w:val="00C4412E"/>
    <w:rsid w:val="00C44737"/>
    <w:rsid w:val="00C44FB6"/>
    <w:rsid w:val="00C451C7"/>
    <w:rsid w:val="00C453B6"/>
    <w:rsid w:val="00C45A9A"/>
    <w:rsid w:val="00C45CED"/>
    <w:rsid w:val="00C4622B"/>
    <w:rsid w:val="00C4677B"/>
    <w:rsid w:val="00C46902"/>
    <w:rsid w:val="00C477CD"/>
    <w:rsid w:val="00C47845"/>
    <w:rsid w:val="00C47AAD"/>
    <w:rsid w:val="00C47DDE"/>
    <w:rsid w:val="00C5060D"/>
    <w:rsid w:val="00C507C6"/>
    <w:rsid w:val="00C5089B"/>
    <w:rsid w:val="00C5133B"/>
    <w:rsid w:val="00C515A4"/>
    <w:rsid w:val="00C51766"/>
    <w:rsid w:val="00C51ABD"/>
    <w:rsid w:val="00C52567"/>
    <w:rsid w:val="00C5267A"/>
    <w:rsid w:val="00C52AD9"/>
    <w:rsid w:val="00C53A02"/>
    <w:rsid w:val="00C5411A"/>
    <w:rsid w:val="00C542CA"/>
    <w:rsid w:val="00C5482A"/>
    <w:rsid w:val="00C564C2"/>
    <w:rsid w:val="00C56B73"/>
    <w:rsid w:val="00C56F20"/>
    <w:rsid w:val="00C57078"/>
    <w:rsid w:val="00C572E2"/>
    <w:rsid w:val="00C57B7E"/>
    <w:rsid w:val="00C60681"/>
    <w:rsid w:val="00C60728"/>
    <w:rsid w:val="00C60982"/>
    <w:rsid w:val="00C6154F"/>
    <w:rsid w:val="00C6181E"/>
    <w:rsid w:val="00C61983"/>
    <w:rsid w:val="00C619BC"/>
    <w:rsid w:val="00C62146"/>
    <w:rsid w:val="00C621C0"/>
    <w:rsid w:val="00C63295"/>
    <w:rsid w:val="00C636C1"/>
    <w:rsid w:val="00C63AE1"/>
    <w:rsid w:val="00C6415E"/>
    <w:rsid w:val="00C641A4"/>
    <w:rsid w:val="00C641F9"/>
    <w:rsid w:val="00C642D3"/>
    <w:rsid w:val="00C6456E"/>
    <w:rsid w:val="00C646AA"/>
    <w:rsid w:val="00C6497C"/>
    <w:rsid w:val="00C65514"/>
    <w:rsid w:val="00C66022"/>
    <w:rsid w:val="00C6607A"/>
    <w:rsid w:val="00C66627"/>
    <w:rsid w:val="00C668AA"/>
    <w:rsid w:val="00C66FA3"/>
    <w:rsid w:val="00C67160"/>
    <w:rsid w:val="00C67277"/>
    <w:rsid w:val="00C677D5"/>
    <w:rsid w:val="00C67E49"/>
    <w:rsid w:val="00C7120E"/>
    <w:rsid w:val="00C71EF4"/>
    <w:rsid w:val="00C724FB"/>
    <w:rsid w:val="00C72CE0"/>
    <w:rsid w:val="00C72D00"/>
    <w:rsid w:val="00C72DC4"/>
    <w:rsid w:val="00C73574"/>
    <w:rsid w:val="00C73612"/>
    <w:rsid w:val="00C73B66"/>
    <w:rsid w:val="00C74108"/>
    <w:rsid w:val="00C7483B"/>
    <w:rsid w:val="00C74F07"/>
    <w:rsid w:val="00C757F7"/>
    <w:rsid w:val="00C761DC"/>
    <w:rsid w:val="00C76D6F"/>
    <w:rsid w:val="00C76FD6"/>
    <w:rsid w:val="00C77CDA"/>
    <w:rsid w:val="00C8044A"/>
    <w:rsid w:val="00C80B67"/>
    <w:rsid w:val="00C81175"/>
    <w:rsid w:val="00C8143E"/>
    <w:rsid w:val="00C81471"/>
    <w:rsid w:val="00C81794"/>
    <w:rsid w:val="00C820FF"/>
    <w:rsid w:val="00C82DF9"/>
    <w:rsid w:val="00C82F2F"/>
    <w:rsid w:val="00C83006"/>
    <w:rsid w:val="00C83379"/>
    <w:rsid w:val="00C8342D"/>
    <w:rsid w:val="00C83A8A"/>
    <w:rsid w:val="00C84224"/>
    <w:rsid w:val="00C8426C"/>
    <w:rsid w:val="00C846E3"/>
    <w:rsid w:val="00C84711"/>
    <w:rsid w:val="00C85047"/>
    <w:rsid w:val="00C85086"/>
    <w:rsid w:val="00C85198"/>
    <w:rsid w:val="00C852EB"/>
    <w:rsid w:val="00C8547D"/>
    <w:rsid w:val="00C85B52"/>
    <w:rsid w:val="00C85F20"/>
    <w:rsid w:val="00C861D4"/>
    <w:rsid w:val="00C8650C"/>
    <w:rsid w:val="00C8693D"/>
    <w:rsid w:val="00C87330"/>
    <w:rsid w:val="00C8760B"/>
    <w:rsid w:val="00C876A0"/>
    <w:rsid w:val="00C879C5"/>
    <w:rsid w:val="00C87CB9"/>
    <w:rsid w:val="00C9010B"/>
    <w:rsid w:val="00C90119"/>
    <w:rsid w:val="00C90377"/>
    <w:rsid w:val="00C9049F"/>
    <w:rsid w:val="00C907BC"/>
    <w:rsid w:val="00C90D40"/>
    <w:rsid w:val="00C91725"/>
    <w:rsid w:val="00C91845"/>
    <w:rsid w:val="00C91AE7"/>
    <w:rsid w:val="00C91CEE"/>
    <w:rsid w:val="00C9271B"/>
    <w:rsid w:val="00C92C65"/>
    <w:rsid w:val="00C935DB"/>
    <w:rsid w:val="00C93BD5"/>
    <w:rsid w:val="00C93D57"/>
    <w:rsid w:val="00C94390"/>
    <w:rsid w:val="00C95AE2"/>
    <w:rsid w:val="00C963C3"/>
    <w:rsid w:val="00C9698A"/>
    <w:rsid w:val="00C96B18"/>
    <w:rsid w:val="00C97347"/>
    <w:rsid w:val="00CA0121"/>
    <w:rsid w:val="00CA0709"/>
    <w:rsid w:val="00CA0FFE"/>
    <w:rsid w:val="00CA169D"/>
    <w:rsid w:val="00CA239A"/>
    <w:rsid w:val="00CA274F"/>
    <w:rsid w:val="00CA29F6"/>
    <w:rsid w:val="00CA3263"/>
    <w:rsid w:val="00CA57CB"/>
    <w:rsid w:val="00CA5818"/>
    <w:rsid w:val="00CA5C92"/>
    <w:rsid w:val="00CA66AC"/>
    <w:rsid w:val="00CA7895"/>
    <w:rsid w:val="00CA792A"/>
    <w:rsid w:val="00CB047B"/>
    <w:rsid w:val="00CB082C"/>
    <w:rsid w:val="00CB18A4"/>
    <w:rsid w:val="00CB3E0C"/>
    <w:rsid w:val="00CB4A79"/>
    <w:rsid w:val="00CB53CD"/>
    <w:rsid w:val="00CB59A6"/>
    <w:rsid w:val="00CB5DB4"/>
    <w:rsid w:val="00CB6BAA"/>
    <w:rsid w:val="00CB6D00"/>
    <w:rsid w:val="00CB6E2B"/>
    <w:rsid w:val="00CC07CD"/>
    <w:rsid w:val="00CC08F0"/>
    <w:rsid w:val="00CC0A1D"/>
    <w:rsid w:val="00CC0C8A"/>
    <w:rsid w:val="00CC0E75"/>
    <w:rsid w:val="00CC13EC"/>
    <w:rsid w:val="00CC1647"/>
    <w:rsid w:val="00CC1885"/>
    <w:rsid w:val="00CC18C3"/>
    <w:rsid w:val="00CC1C62"/>
    <w:rsid w:val="00CC2009"/>
    <w:rsid w:val="00CC2046"/>
    <w:rsid w:val="00CC2711"/>
    <w:rsid w:val="00CC2F8A"/>
    <w:rsid w:val="00CC3288"/>
    <w:rsid w:val="00CC3D8B"/>
    <w:rsid w:val="00CC423E"/>
    <w:rsid w:val="00CC4A22"/>
    <w:rsid w:val="00CC4DF3"/>
    <w:rsid w:val="00CC4E62"/>
    <w:rsid w:val="00CC51BD"/>
    <w:rsid w:val="00CC5217"/>
    <w:rsid w:val="00CC543C"/>
    <w:rsid w:val="00CC5625"/>
    <w:rsid w:val="00CC65F4"/>
    <w:rsid w:val="00CC6851"/>
    <w:rsid w:val="00CD06A4"/>
    <w:rsid w:val="00CD07C0"/>
    <w:rsid w:val="00CD1D40"/>
    <w:rsid w:val="00CD20FF"/>
    <w:rsid w:val="00CD252E"/>
    <w:rsid w:val="00CD2542"/>
    <w:rsid w:val="00CD3ADB"/>
    <w:rsid w:val="00CD3B6B"/>
    <w:rsid w:val="00CD4535"/>
    <w:rsid w:val="00CD630B"/>
    <w:rsid w:val="00CD6476"/>
    <w:rsid w:val="00CD6719"/>
    <w:rsid w:val="00CD73A6"/>
    <w:rsid w:val="00CD763E"/>
    <w:rsid w:val="00CD78C7"/>
    <w:rsid w:val="00CD7AF3"/>
    <w:rsid w:val="00CE08B5"/>
    <w:rsid w:val="00CE092D"/>
    <w:rsid w:val="00CE0F1C"/>
    <w:rsid w:val="00CE1DF4"/>
    <w:rsid w:val="00CE239E"/>
    <w:rsid w:val="00CE2F72"/>
    <w:rsid w:val="00CE329B"/>
    <w:rsid w:val="00CE3BC4"/>
    <w:rsid w:val="00CE415E"/>
    <w:rsid w:val="00CE4B33"/>
    <w:rsid w:val="00CE50D7"/>
    <w:rsid w:val="00CE5C27"/>
    <w:rsid w:val="00CE60BC"/>
    <w:rsid w:val="00CE6CC8"/>
    <w:rsid w:val="00CE7314"/>
    <w:rsid w:val="00CE73F8"/>
    <w:rsid w:val="00CE77A7"/>
    <w:rsid w:val="00CE797B"/>
    <w:rsid w:val="00CE7E18"/>
    <w:rsid w:val="00CE7E20"/>
    <w:rsid w:val="00CF0C80"/>
    <w:rsid w:val="00CF0D11"/>
    <w:rsid w:val="00CF11C1"/>
    <w:rsid w:val="00CF1575"/>
    <w:rsid w:val="00CF181E"/>
    <w:rsid w:val="00CF1B1B"/>
    <w:rsid w:val="00CF2834"/>
    <w:rsid w:val="00CF2978"/>
    <w:rsid w:val="00CF2B70"/>
    <w:rsid w:val="00CF2C09"/>
    <w:rsid w:val="00CF2CED"/>
    <w:rsid w:val="00CF2E8B"/>
    <w:rsid w:val="00CF3284"/>
    <w:rsid w:val="00CF459A"/>
    <w:rsid w:val="00CF4E83"/>
    <w:rsid w:val="00CF51BA"/>
    <w:rsid w:val="00CF5996"/>
    <w:rsid w:val="00CF5B83"/>
    <w:rsid w:val="00CF5F73"/>
    <w:rsid w:val="00CF60A7"/>
    <w:rsid w:val="00CF6304"/>
    <w:rsid w:val="00CF63D3"/>
    <w:rsid w:val="00CF6684"/>
    <w:rsid w:val="00CF688A"/>
    <w:rsid w:val="00CF7186"/>
    <w:rsid w:val="00CF7547"/>
    <w:rsid w:val="00CF7A08"/>
    <w:rsid w:val="00CF7A67"/>
    <w:rsid w:val="00D0099D"/>
    <w:rsid w:val="00D009AF"/>
    <w:rsid w:val="00D009BE"/>
    <w:rsid w:val="00D00EF7"/>
    <w:rsid w:val="00D016FE"/>
    <w:rsid w:val="00D01F01"/>
    <w:rsid w:val="00D02190"/>
    <w:rsid w:val="00D022EF"/>
    <w:rsid w:val="00D02AA2"/>
    <w:rsid w:val="00D038B6"/>
    <w:rsid w:val="00D049E1"/>
    <w:rsid w:val="00D04D16"/>
    <w:rsid w:val="00D04F80"/>
    <w:rsid w:val="00D07032"/>
    <w:rsid w:val="00D0778A"/>
    <w:rsid w:val="00D1003A"/>
    <w:rsid w:val="00D10F85"/>
    <w:rsid w:val="00D11050"/>
    <w:rsid w:val="00D113F7"/>
    <w:rsid w:val="00D11B09"/>
    <w:rsid w:val="00D11E1E"/>
    <w:rsid w:val="00D120A3"/>
    <w:rsid w:val="00D1241E"/>
    <w:rsid w:val="00D1256F"/>
    <w:rsid w:val="00D131B1"/>
    <w:rsid w:val="00D1338B"/>
    <w:rsid w:val="00D13A09"/>
    <w:rsid w:val="00D13B06"/>
    <w:rsid w:val="00D147B2"/>
    <w:rsid w:val="00D14C49"/>
    <w:rsid w:val="00D14ED7"/>
    <w:rsid w:val="00D157FB"/>
    <w:rsid w:val="00D1582D"/>
    <w:rsid w:val="00D16D45"/>
    <w:rsid w:val="00D17042"/>
    <w:rsid w:val="00D1717B"/>
    <w:rsid w:val="00D204F7"/>
    <w:rsid w:val="00D20523"/>
    <w:rsid w:val="00D20D24"/>
    <w:rsid w:val="00D21402"/>
    <w:rsid w:val="00D21F55"/>
    <w:rsid w:val="00D2288C"/>
    <w:rsid w:val="00D23195"/>
    <w:rsid w:val="00D23437"/>
    <w:rsid w:val="00D23721"/>
    <w:rsid w:val="00D23A1D"/>
    <w:rsid w:val="00D23FB3"/>
    <w:rsid w:val="00D24692"/>
    <w:rsid w:val="00D24BC1"/>
    <w:rsid w:val="00D26460"/>
    <w:rsid w:val="00D26788"/>
    <w:rsid w:val="00D267C3"/>
    <w:rsid w:val="00D27384"/>
    <w:rsid w:val="00D27C25"/>
    <w:rsid w:val="00D27D1C"/>
    <w:rsid w:val="00D302B3"/>
    <w:rsid w:val="00D30466"/>
    <w:rsid w:val="00D30F38"/>
    <w:rsid w:val="00D3117C"/>
    <w:rsid w:val="00D3179B"/>
    <w:rsid w:val="00D31B3D"/>
    <w:rsid w:val="00D31F97"/>
    <w:rsid w:val="00D32CD8"/>
    <w:rsid w:val="00D33233"/>
    <w:rsid w:val="00D347FA"/>
    <w:rsid w:val="00D3555E"/>
    <w:rsid w:val="00D35FA1"/>
    <w:rsid w:val="00D360B5"/>
    <w:rsid w:val="00D36340"/>
    <w:rsid w:val="00D36667"/>
    <w:rsid w:val="00D36E3A"/>
    <w:rsid w:val="00D37439"/>
    <w:rsid w:val="00D37A43"/>
    <w:rsid w:val="00D40221"/>
    <w:rsid w:val="00D40C38"/>
    <w:rsid w:val="00D40DD1"/>
    <w:rsid w:val="00D41743"/>
    <w:rsid w:val="00D41E5D"/>
    <w:rsid w:val="00D41F2A"/>
    <w:rsid w:val="00D41FDF"/>
    <w:rsid w:val="00D42093"/>
    <w:rsid w:val="00D42108"/>
    <w:rsid w:val="00D42309"/>
    <w:rsid w:val="00D4261C"/>
    <w:rsid w:val="00D42639"/>
    <w:rsid w:val="00D42715"/>
    <w:rsid w:val="00D4359A"/>
    <w:rsid w:val="00D437CC"/>
    <w:rsid w:val="00D43BF5"/>
    <w:rsid w:val="00D43DA9"/>
    <w:rsid w:val="00D45571"/>
    <w:rsid w:val="00D46002"/>
    <w:rsid w:val="00D47747"/>
    <w:rsid w:val="00D4795E"/>
    <w:rsid w:val="00D47E7B"/>
    <w:rsid w:val="00D5008C"/>
    <w:rsid w:val="00D50858"/>
    <w:rsid w:val="00D50C6F"/>
    <w:rsid w:val="00D51072"/>
    <w:rsid w:val="00D514AA"/>
    <w:rsid w:val="00D52021"/>
    <w:rsid w:val="00D52659"/>
    <w:rsid w:val="00D527C8"/>
    <w:rsid w:val="00D52E3B"/>
    <w:rsid w:val="00D53295"/>
    <w:rsid w:val="00D538D9"/>
    <w:rsid w:val="00D53E78"/>
    <w:rsid w:val="00D54241"/>
    <w:rsid w:val="00D54329"/>
    <w:rsid w:val="00D54AD1"/>
    <w:rsid w:val="00D556DF"/>
    <w:rsid w:val="00D564BE"/>
    <w:rsid w:val="00D5738B"/>
    <w:rsid w:val="00D573E1"/>
    <w:rsid w:val="00D57BCC"/>
    <w:rsid w:val="00D605C7"/>
    <w:rsid w:val="00D60F4D"/>
    <w:rsid w:val="00D61278"/>
    <w:rsid w:val="00D61EDD"/>
    <w:rsid w:val="00D63121"/>
    <w:rsid w:val="00D631BD"/>
    <w:rsid w:val="00D6344F"/>
    <w:rsid w:val="00D637D6"/>
    <w:rsid w:val="00D6395C"/>
    <w:rsid w:val="00D64507"/>
    <w:rsid w:val="00D651FA"/>
    <w:rsid w:val="00D65267"/>
    <w:rsid w:val="00D65CB3"/>
    <w:rsid w:val="00D66474"/>
    <w:rsid w:val="00D66D54"/>
    <w:rsid w:val="00D670C4"/>
    <w:rsid w:val="00D67533"/>
    <w:rsid w:val="00D67B8E"/>
    <w:rsid w:val="00D701E0"/>
    <w:rsid w:val="00D7051F"/>
    <w:rsid w:val="00D70D9A"/>
    <w:rsid w:val="00D70FC7"/>
    <w:rsid w:val="00D710A5"/>
    <w:rsid w:val="00D71646"/>
    <w:rsid w:val="00D7272B"/>
    <w:rsid w:val="00D7337A"/>
    <w:rsid w:val="00D737E4"/>
    <w:rsid w:val="00D744D7"/>
    <w:rsid w:val="00D74974"/>
    <w:rsid w:val="00D74EAD"/>
    <w:rsid w:val="00D74EE5"/>
    <w:rsid w:val="00D75040"/>
    <w:rsid w:val="00D7526E"/>
    <w:rsid w:val="00D7549B"/>
    <w:rsid w:val="00D758BE"/>
    <w:rsid w:val="00D75950"/>
    <w:rsid w:val="00D770F0"/>
    <w:rsid w:val="00D778DF"/>
    <w:rsid w:val="00D77E23"/>
    <w:rsid w:val="00D80984"/>
    <w:rsid w:val="00D80CD2"/>
    <w:rsid w:val="00D8104A"/>
    <w:rsid w:val="00D810FE"/>
    <w:rsid w:val="00D812B0"/>
    <w:rsid w:val="00D81697"/>
    <w:rsid w:val="00D81F10"/>
    <w:rsid w:val="00D821B1"/>
    <w:rsid w:val="00D83454"/>
    <w:rsid w:val="00D8371E"/>
    <w:rsid w:val="00D84B09"/>
    <w:rsid w:val="00D84CE5"/>
    <w:rsid w:val="00D856AA"/>
    <w:rsid w:val="00D85A51"/>
    <w:rsid w:val="00D85E30"/>
    <w:rsid w:val="00D8621E"/>
    <w:rsid w:val="00D8681A"/>
    <w:rsid w:val="00D87064"/>
    <w:rsid w:val="00D87578"/>
    <w:rsid w:val="00D875AE"/>
    <w:rsid w:val="00D87B90"/>
    <w:rsid w:val="00D90552"/>
    <w:rsid w:val="00D9055A"/>
    <w:rsid w:val="00D908EB"/>
    <w:rsid w:val="00D90D3F"/>
    <w:rsid w:val="00D9115E"/>
    <w:rsid w:val="00D918C5"/>
    <w:rsid w:val="00D92FC0"/>
    <w:rsid w:val="00D93A13"/>
    <w:rsid w:val="00D93BBF"/>
    <w:rsid w:val="00D93D72"/>
    <w:rsid w:val="00D94533"/>
    <w:rsid w:val="00D949A9"/>
    <w:rsid w:val="00D958D1"/>
    <w:rsid w:val="00D95F9B"/>
    <w:rsid w:val="00D96859"/>
    <w:rsid w:val="00D97809"/>
    <w:rsid w:val="00D97B14"/>
    <w:rsid w:val="00D97B9E"/>
    <w:rsid w:val="00DA051C"/>
    <w:rsid w:val="00DA0E61"/>
    <w:rsid w:val="00DA120D"/>
    <w:rsid w:val="00DA1E1E"/>
    <w:rsid w:val="00DA237A"/>
    <w:rsid w:val="00DA2974"/>
    <w:rsid w:val="00DA2DB4"/>
    <w:rsid w:val="00DA2ED6"/>
    <w:rsid w:val="00DA332F"/>
    <w:rsid w:val="00DA35A5"/>
    <w:rsid w:val="00DA37E4"/>
    <w:rsid w:val="00DA3D4A"/>
    <w:rsid w:val="00DA49CA"/>
    <w:rsid w:val="00DA4DCF"/>
    <w:rsid w:val="00DA508B"/>
    <w:rsid w:val="00DA5C5B"/>
    <w:rsid w:val="00DA731A"/>
    <w:rsid w:val="00DA7451"/>
    <w:rsid w:val="00DB111F"/>
    <w:rsid w:val="00DB12C7"/>
    <w:rsid w:val="00DB1913"/>
    <w:rsid w:val="00DB26A2"/>
    <w:rsid w:val="00DB2FA8"/>
    <w:rsid w:val="00DB3681"/>
    <w:rsid w:val="00DB395E"/>
    <w:rsid w:val="00DB3A03"/>
    <w:rsid w:val="00DB3BAB"/>
    <w:rsid w:val="00DB3BF9"/>
    <w:rsid w:val="00DB4014"/>
    <w:rsid w:val="00DB441F"/>
    <w:rsid w:val="00DB44E9"/>
    <w:rsid w:val="00DB5470"/>
    <w:rsid w:val="00DB5554"/>
    <w:rsid w:val="00DB5710"/>
    <w:rsid w:val="00DB5C4A"/>
    <w:rsid w:val="00DB5F60"/>
    <w:rsid w:val="00DB6052"/>
    <w:rsid w:val="00DB63C9"/>
    <w:rsid w:val="00DB6EF5"/>
    <w:rsid w:val="00DB7086"/>
    <w:rsid w:val="00DB78A4"/>
    <w:rsid w:val="00DB7AD1"/>
    <w:rsid w:val="00DB7F6B"/>
    <w:rsid w:val="00DB7FCD"/>
    <w:rsid w:val="00DB7FD4"/>
    <w:rsid w:val="00DC00EC"/>
    <w:rsid w:val="00DC0ACB"/>
    <w:rsid w:val="00DC1A9E"/>
    <w:rsid w:val="00DC2134"/>
    <w:rsid w:val="00DC22D3"/>
    <w:rsid w:val="00DC273D"/>
    <w:rsid w:val="00DC2B4F"/>
    <w:rsid w:val="00DC4D33"/>
    <w:rsid w:val="00DC62B5"/>
    <w:rsid w:val="00DC6562"/>
    <w:rsid w:val="00DC6583"/>
    <w:rsid w:val="00DC6ADE"/>
    <w:rsid w:val="00DC6D49"/>
    <w:rsid w:val="00DD07EE"/>
    <w:rsid w:val="00DD11D0"/>
    <w:rsid w:val="00DD162D"/>
    <w:rsid w:val="00DD1F12"/>
    <w:rsid w:val="00DD2525"/>
    <w:rsid w:val="00DD2D7E"/>
    <w:rsid w:val="00DD34C7"/>
    <w:rsid w:val="00DD381D"/>
    <w:rsid w:val="00DD383F"/>
    <w:rsid w:val="00DD62CB"/>
    <w:rsid w:val="00DD6685"/>
    <w:rsid w:val="00DD6CED"/>
    <w:rsid w:val="00DE058B"/>
    <w:rsid w:val="00DE0F83"/>
    <w:rsid w:val="00DE0FC5"/>
    <w:rsid w:val="00DE1479"/>
    <w:rsid w:val="00DE1EED"/>
    <w:rsid w:val="00DE207E"/>
    <w:rsid w:val="00DE2324"/>
    <w:rsid w:val="00DE26F2"/>
    <w:rsid w:val="00DE3199"/>
    <w:rsid w:val="00DE328C"/>
    <w:rsid w:val="00DE38B0"/>
    <w:rsid w:val="00DE3EC3"/>
    <w:rsid w:val="00DE42F9"/>
    <w:rsid w:val="00DE436E"/>
    <w:rsid w:val="00DE52B0"/>
    <w:rsid w:val="00DE53E6"/>
    <w:rsid w:val="00DE59AB"/>
    <w:rsid w:val="00DE6A19"/>
    <w:rsid w:val="00DE7661"/>
    <w:rsid w:val="00DE7E6F"/>
    <w:rsid w:val="00DF00F8"/>
    <w:rsid w:val="00DF0A8D"/>
    <w:rsid w:val="00DF0E30"/>
    <w:rsid w:val="00DF1405"/>
    <w:rsid w:val="00DF1BC5"/>
    <w:rsid w:val="00DF1D8A"/>
    <w:rsid w:val="00DF2794"/>
    <w:rsid w:val="00DF2D3A"/>
    <w:rsid w:val="00DF2D99"/>
    <w:rsid w:val="00DF32B3"/>
    <w:rsid w:val="00DF49BC"/>
    <w:rsid w:val="00DF4A27"/>
    <w:rsid w:val="00DF4D44"/>
    <w:rsid w:val="00DF4E82"/>
    <w:rsid w:val="00DF4FFB"/>
    <w:rsid w:val="00DF5048"/>
    <w:rsid w:val="00DF55BB"/>
    <w:rsid w:val="00DF5CA4"/>
    <w:rsid w:val="00DF5DE9"/>
    <w:rsid w:val="00DF5E78"/>
    <w:rsid w:val="00DF5FEA"/>
    <w:rsid w:val="00DF644E"/>
    <w:rsid w:val="00DF64DC"/>
    <w:rsid w:val="00DF6973"/>
    <w:rsid w:val="00DF7B21"/>
    <w:rsid w:val="00E00297"/>
    <w:rsid w:val="00E00A07"/>
    <w:rsid w:val="00E01198"/>
    <w:rsid w:val="00E016E4"/>
    <w:rsid w:val="00E01986"/>
    <w:rsid w:val="00E01DA5"/>
    <w:rsid w:val="00E01DF6"/>
    <w:rsid w:val="00E02327"/>
    <w:rsid w:val="00E0245F"/>
    <w:rsid w:val="00E02DC9"/>
    <w:rsid w:val="00E03962"/>
    <w:rsid w:val="00E0410A"/>
    <w:rsid w:val="00E05398"/>
    <w:rsid w:val="00E0549C"/>
    <w:rsid w:val="00E054EE"/>
    <w:rsid w:val="00E05E3B"/>
    <w:rsid w:val="00E05F97"/>
    <w:rsid w:val="00E063E3"/>
    <w:rsid w:val="00E068DF"/>
    <w:rsid w:val="00E06E9C"/>
    <w:rsid w:val="00E07029"/>
    <w:rsid w:val="00E07E90"/>
    <w:rsid w:val="00E07F20"/>
    <w:rsid w:val="00E10974"/>
    <w:rsid w:val="00E1152B"/>
    <w:rsid w:val="00E116BA"/>
    <w:rsid w:val="00E12060"/>
    <w:rsid w:val="00E12BD5"/>
    <w:rsid w:val="00E13221"/>
    <w:rsid w:val="00E14194"/>
    <w:rsid w:val="00E153C1"/>
    <w:rsid w:val="00E15A4F"/>
    <w:rsid w:val="00E15C83"/>
    <w:rsid w:val="00E16852"/>
    <w:rsid w:val="00E16A4A"/>
    <w:rsid w:val="00E16C7E"/>
    <w:rsid w:val="00E16F45"/>
    <w:rsid w:val="00E17298"/>
    <w:rsid w:val="00E1754F"/>
    <w:rsid w:val="00E17AA2"/>
    <w:rsid w:val="00E20538"/>
    <w:rsid w:val="00E20BE1"/>
    <w:rsid w:val="00E2288E"/>
    <w:rsid w:val="00E22C1F"/>
    <w:rsid w:val="00E22C8D"/>
    <w:rsid w:val="00E22DF7"/>
    <w:rsid w:val="00E23DCE"/>
    <w:rsid w:val="00E248B3"/>
    <w:rsid w:val="00E257FA"/>
    <w:rsid w:val="00E2631A"/>
    <w:rsid w:val="00E26E14"/>
    <w:rsid w:val="00E271AE"/>
    <w:rsid w:val="00E27A4B"/>
    <w:rsid w:val="00E27B99"/>
    <w:rsid w:val="00E300B8"/>
    <w:rsid w:val="00E30750"/>
    <w:rsid w:val="00E30818"/>
    <w:rsid w:val="00E308EE"/>
    <w:rsid w:val="00E30937"/>
    <w:rsid w:val="00E30E8E"/>
    <w:rsid w:val="00E310A1"/>
    <w:rsid w:val="00E31C04"/>
    <w:rsid w:val="00E31CB7"/>
    <w:rsid w:val="00E32235"/>
    <w:rsid w:val="00E32A98"/>
    <w:rsid w:val="00E3386F"/>
    <w:rsid w:val="00E33D07"/>
    <w:rsid w:val="00E33F11"/>
    <w:rsid w:val="00E3401A"/>
    <w:rsid w:val="00E34101"/>
    <w:rsid w:val="00E349B1"/>
    <w:rsid w:val="00E3590C"/>
    <w:rsid w:val="00E36F4C"/>
    <w:rsid w:val="00E37621"/>
    <w:rsid w:val="00E3768B"/>
    <w:rsid w:val="00E379F1"/>
    <w:rsid w:val="00E37D73"/>
    <w:rsid w:val="00E4012B"/>
    <w:rsid w:val="00E4169A"/>
    <w:rsid w:val="00E41C6B"/>
    <w:rsid w:val="00E41F4F"/>
    <w:rsid w:val="00E421D9"/>
    <w:rsid w:val="00E42518"/>
    <w:rsid w:val="00E43C6C"/>
    <w:rsid w:val="00E448FA"/>
    <w:rsid w:val="00E44CE0"/>
    <w:rsid w:val="00E45572"/>
    <w:rsid w:val="00E463E2"/>
    <w:rsid w:val="00E47678"/>
    <w:rsid w:val="00E47B41"/>
    <w:rsid w:val="00E47B56"/>
    <w:rsid w:val="00E504E5"/>
    <w:rsid w:val="00E52322"/>
    <w:rsid w:val="00E525A3"/>
    <w:rsid w:val="00E52C06"/>
    <w:rsid w:val="00E52C7C"/>
    <w:rsid w:val="00E531BB"/>
    <w:rsid w:val="00E535BB"/>
    <w:rsid w:val="00E54171"/>
    <w:rsid w:val="00E54C42"/>
    <w:rsid w:val="00E54DD3"/>
    <w:rsid w:val="00E555C8"/>
    <w:rsid w:val="00E556CC"/>
    <w:rsid w:val="00E5593A"/>
    <w:rsid w:val="00E56BF1"/>
    <w:rsid w:val="00E57360"/>
    <w:rsid w:val="00E5757F"/>
    <w:rsid w:val="00E577BA"/>
    <w:rsid w:val="00E57CE7"/>
    <w:rsid w:val="00E57E76"/>
    <w:rsid w:val="00E60AA0"/>
    <w:rsid w:val="00E61387"/>
    <w:rsid w:val="00E61591"/>
    <w:rsid w:val="00E619E1"/>
    <w:rsid w:val="00E62A10"/>
    <w:rsid w:val="00E62EA6"/>
    <w:rsid w:val="00E63436"/>
    <w:rsid w:val="00E634CD"/>
    <w:rsid w:val="00E636C8"/>
    <w:rsid w:val="00E63A08"/>
    <w:rsid w:val="00E63A61"/>
    <w:rsid w:val="00E63A68"/>
    <w:rsid w:val="00E651F3"/>
    <w:rsid w:val="00E653F3"/>
    <w:rsid w:val="00E661DE"/>
    <w:rsid w:val="00E666DA"/>
    <w:rsid w:val="00E67B9B"/>
    <w:rsid w:val="00E709FD"/>
    <w:rsid w:val="00E70E2E"/>
    <w:rsid w:val="00E70E66"/>
    <w:rsid w:val="00E714AE"/>
    <w:rsid w:val="00E714FC"/>
    <w:rsid w:val="00E71D6E"/>
    <w:rsid w:val="00E728ED"/>
    <w:rsid w:val="00E72F44"/>
    <w:rsid w:val="00E737FC"/>
    <w:rsid w:val="00E73BEB"/>
    <w:rsid w:val="00E74D7F"/>
    <w:rsid w:val="00E74DE5"/>
    <w:rsid w:val="00E7536E"/>
    <w:rsid w:val="00E75602"/>
    <w:rsid w:val="00E76049"/>
    <w:rsid w:val="00E7663C"/>
    <w:rsid w:val="00E76C71"/>
    <w:rsid w:val="00E772B2"/>
    <w:rsid w:val="00E77925"/>
    <w:rsid w:val="00E77CB9"/>
    <w:rsid w:val="00E80E26"/>
    <w:rsid w:val="00E80E41"/>
    <w:rsid w:val="00E81334"/>
    <w:rsid w:val="00E816E6"/>
    <w:rsid w:val="00E81B1B"/>
    <w:rsid w:val="00E82B6E"/>
    <w:rsid w:val="00E82E71"/>
    <w:rsid w:val="00E83441"/>
    <w:rsid w:val="00E8372C"/>
    <w:rsid w:val="00E83DA9"/>
    <w:rsid w:val="00E83FA7"/>
    <w:rsid w:val="00E84606"/>
    <w:rsid w:val="00E8517A"/>
    <w:rsid w:val="00E85A9A"/>
    <w:rsid w:val="00E85CC8"/>
    <w:rsid w:val="00E86049"/>
    <w:rsid w:val="00E863E5"/>
    <w:rsid w:val="00E873CA"/>
    <w:rsid w:val="00E91294"/>
    <w:rsid w:val="00E91534"/>
    <w:rsid w:val="00E917E2"/>
    <w:rsid w:val="00E9197E"/>
    <w:rsid w:val="00E919CF"/>
    <w:rsid w:val="00E91D33"/>
    <w:rsid w:val="00E91F77"/>
    <w:rsid w:val="00E92450"/>
    <w:rsid w:val="00E92C5B"/>
    <w:rsid w:val="00E9336D"/>
    <w:rsid w:val="00E935A1"/>
    <w:rsid w:val="00E93F82"/>
    <w:rsid w:val="00E94E83"/>
    <w:rsid w:val="00E955A3"/>
    <w:rsid w:val="00E95630"/>
    <w:rsid w:val="00E95FD2"/>
    <w:rsid w:val="00E96BD1"/>
    <w:rsid w:val="00E978D0"/>
    <w:rsid w:val="00E9797D"/>
    <w:rsid w:val="00EA0279"/>
    <w:rsid w:val="00EA0DF4"/>
    <w:rsid w:val="00EA1481"/>
    <w:rsid w:val="00EA17F1"/>
    <w:rsid w:val="00EA2116"/>
    <w:rsid w:val="00EA216A"/>
    <w:rsid w:val="00EA25B6"/>
    <w:rsid w:val="00EA25B9"/>
    <w:rsid w:val="00EA29D3"/>
    <w:rsid w:val="00EA2E61"/>
    <w:rsid w:val="00EA2F69"/>
    <w:rsid w:val="00EA30C0"/>
    <w:rsid w:val="00EA360A"/>
    <w:rsid w:val="00EA3991"/>
    <w:rsid w:val="00EA3CCD"/>
    <w:rsid w:val="00EA3D51"/>
    <w:rsid w:val="00EA3ED4"/>
    <w:rsid w:val="00EA41E9"/>
    <w:rsid w:val="00EA4A30"/>
    <w:rsid w:val="00EA4E57"/>
    <w:rsid w:val="00EA5ABF"/>
    <w:rsid w:val="00EA6F53"/>
    <w:rsid w:val="00EA6FFB"/>
    <w:rsid w:val="00EA7473"/>
    <w:rsid w:val="00EA778F"/>
    <w:rsid w:val="00EB05B8"/>
    <w:rsid w:val="00EB0B61"/>
    <w:rsid w:val="00EB1C63"/>
    <w:rsid w:val="00EB22F2"/>
    <w:rsid w:val="00EB22F5"/>
    <w:rsid w:val="00EB3C6B"/>
    <w:rsid w:val="00EB3CEB"/>
    <w:rsid w:val="00EB4019"/>
    <w:rsid w:val="00EB412A"/>
    <w:rsid w:val="00EB428B"/>
    <w:rsid w:val="00EB436D"/>
    <w:rsid w:val="00EB48B0"/>
    <w:rsid w:val="00EB4BCE"/>
    <w:rsid w:val="00EB4CAC"/>
    <w:rsid w:val="00EB52DE"/>
    <w:rsid w:val="00EB5856"/>
    <w:rsid w:val="00EB5FE4"/>
    <w:rsid w:val="00EB674E"/>
    <w:rsid w:val="00EB755C"/>
    <w:rsid w:val="00EC097C"/>
    <w:rsid w:val="00EC0C67"/>
    <w:rsid w:val="00EC16F8"/>
    <w:rsid w:val="00EC1ADB"/>
    <w:rsid w:val="00EC1D66"/>
    <w:rsid w:val="00EC21FB"/>
    <w:rsid w:val="00EC2999"/>
    <w:rsid w:val="00EC327A"/>
    <w:rsid w:val="00EC3A42"/>
    <w:rsid w:val="00EC42A0"/>
    <w:rsid w:val="00EC585C"/>
    <w:rsid w:val="00EC5C02"/>
    <w:rsid w:val="00EC6224"/>
    <w:rsid w:val="00EC6564"/>
    <w:rsid w:val="00EC6B33"/>
    <w:rsid w:val="00EC71C9"/>
    <w:rsid w:val="00ED026C"/>
    <w:rsid w:val="00ED0680"/>
    <w:rsid w:val="00ED107A"/>
    <w:rsid w:val="00ED1D47"/>
    <w:rsid w:val="00ED1FB3"/>
    <w:rsid w:val="00ED2E10"/>
    <w:rsid w:val="00ED3172"/>
    <w:rsid w:val="00ED39C6"/>
    <w:rsid w:val="00ED4172"/>
    <w:rsid w:val="00ED448A"/>
    <w:rsid w:val="00ED455D"/>
    <w:rsid w:val="00ED45A5"/>
    <w:rsid w:val="00ED49B3"/>
    <w:rsid w:val="00ED4A0D"/>
    <w:rsid w:val="00ED570B"/>
    <w:rsid w:val="00ED5BBF"/>
    <w:rsid w:val="00ED5DE0"/>
    <w:rsid w:val="00ED6983"/>
    <w:rsid w:val="00ED718C"/>
    <w:rsid w:val="00ED73EB"/>
    <w:rsid w:val="00ED7C53"/>
    <w:rsid w:val="00EE00F6"/>
    <w:rsid w:val="00EE0142"/>
    <w:rsid w:val="00EE1297"/>
    <w:rsid w:val="00EE1333"/>
    <w:rsid w:val="00EE177E"/>
    <w:rsid w:val="00EE17A9"/>
    <w:rsid w:val="00EE1D52"/>
    <w:rsid w:val="00EE1F39"/>
    <w:rsid w:val="00EE20D4"/>
    <w:rsid w:val="00EE23B0"/>
    <w:rsid w:val="00EE2561"/>
    <w:rsid w:val="00EE271C"/>
    <w:rsid w:val="00EE2A88"/>
    <w:rsid w:val="00EE3030"/>
    <w:rsid w:val="00EE321E"/>
    <w:rsid w:val="00EE38E1"/>
    <w:rsid w:val="00EE3CDD"/>
    <w:rsid w:val="00EE3E04"/>
    <w:rsid w:val="00EE4DEE"/>
    <w:rsid w:val="00EE52E8"/>
    <w:rsid w:val="00EE5694"/>
    <w:rsid w:val="00EE57CE"/>
    <w:rsid w:val="00EE5FE9"/>
    <w:rsid w:val="00EE62BD"/>
    <w:rsid w:val="00EE64BE"/>
    <w:rsid w:val="00EE6B81"/>
    <w:rsid w:val="00EE6DB1"/>
    <w:rsid w:val="00EE6F90"/>
    <w:rsid w:val="00EE7089"/>
    <w:rsid w:val="00EE7399"/>
    <w:rsid w:val="00EE7620"/>
    <w:rsid w:val="00EE7C83"/>
    <w:rsid w:val="00EF0C94"/>
    <w:rsid w:val="00EF10C4"/>
    <w:rsid w:val="00EF219D"/>
    <w:rsid w:val="00EF277C"/>
    <w:rsid w:val="00EF2BA5"/>
    <w:rsid w:val="00EF2FD6"/>
    <w:rsid w:val="00EF37D3"/>
    <w:rsid w:val="00EF3824"/>
    <w:rsid w:val="00EF3928"/>
    <w:rsid w:val="00EF3B67"/>
    <w:rsid w:val="00EF3D5B"/>
    <w:rsid w:val="00EF45F5"/>
    <w:rsid w:val="00EF4F17"/>
    <w:rsid w:val="00EF6022"/>
    <w:rsid w:val="00EF653F"/>
    <w:rsid w:val="00EF7055"/>
    <w:rsid w:val="00F00045"/>
    <w:rsid w:val="00F00267"/>
    <w:rsid w:val="00F002EA"/>
    <w:rsid w:val="00F0112C"/>
    <w:rsid w:val="00F0133A"/>
    <w:rsid w:val="00F0173B"/>
    <w:rsid w:val="00F02233"/>
    <w:rsid w:val="00F02328"/>
    <w:rsid w:val="00F02413"/>
    <w:rsid w:val="00F02AFF"/>
    <w:rsid w:val="00F02D7A"/>
    <w:rsid w:val="00F03340"/>
    <w:rsid w:val="00F03863"/>
    <w:rsid w:val="00F03E15"/>
    <w:rsid w:val="00F04D12"/>
    <w:rsid w:val="00F04FAE"/>
    <w:rsid w:val="00F06020"/>
    <w:rsid w:val="00F061B9"/>
    <w:rsid w:val="00F066ED"/>
    <w:rsid w:val="00F074EA"/>
    <w:rsid w:val="00F076ED"/>
    <w:rsid w:val="00F07C65"/>
    <w:rsid w:val="00F10DE9"/>
    <w:rsid w:val="00F11E86"/>
    <w:rsid w:val="00F11EFC"/>
    <w:rsid w:val="00F124F9"/>
    <w:rsid w:val="00F12817"/>
    <w:rsid w:val="00F13014"/>
    <w:rsid w:val="00F143ED"/>
    <w:rsid w:val="00F14720"/>
    <w:rsid w:val="00F15C0E"/>
    <w:rsid w:val="00F1678B"/>
    <w:rsid w:val="00F16D9E"/>
    <w:rsid w:val="00F16E97"/>
    <w:rsid w:val="00F17266"/>
    <w:rsid w:val="00F17EE2"/>
    <w:rsid w:val="00F205FB"/>
    <w:rsid w:val="00F206F0"/>
    <w:rsid w:val="00F207A5"/>
    <w:rsid w:val="00F20CDC"/>
    <w:rsid w:val="00F20E58"/>
    <w:rsid w:val="00F20F53"/>
    <w:rsid w:val="00F21995"/>
    <w:rsid w:val="00F21C20"/>
    <w:rsid w:val="00F21D91"/>
    <w:rsid w:val="00F21DC9"/>
    <w:rsid w:val="00F21E35"/>
    <w:rsid w:val="00F224BF"/>
    <w:rsid w:val="00F240FE"/>
    <w:rsid w:val="00F24D5D"/>
    <w:rsid w:val="00F2522C"/>
    <w:rsid w:val="00F261B3"/>
    <w:rsid w:val="00F2719C"/>
    <w:rsid w:val="00F2780F"/>
    <w:rsid w:val="00F27FA0"/>
    <w:rsid w:val="00F309D4"/>
    <w:rsid w:val="00F312BD"/>
    <w:rsid w:val="00F31A8C"/>
    <w:rsid w:val="00F31AE3"/>
    <w:rsid w:val="00F321DD"/>
    <w:rsid w:val="00F3233E"/>
    <w:rsid w:val="00F3279B"/>
    <w:rsid w:val="00F32F90"/>
    <w:rsid w:val="00F360AA"/>
    <w:rsid w:val="00F3663A"/>
    <w:rsid w:val="00F37475"/>
    <w:rsid w:val="00F400E8"/>
    <w:rsid w:val="00F4022E"/>
    <w:rsid w:val="00F41634"/>
    <w:rsid w:val="00F419ED"/>
    <w:rsid w:val="00F42657"/>
    <w:rsid w:val="00F42F88"/>
    <w:rsid w:val="00F43116"/>
    <w:rsid w:val="00F4374A"/>
    <w:rsid w:val="00F43EEE"/>
    <w:rsid w:val="00F43FB8"/>
    <w:rsid w:val="00F4423A"/>
    <w:rsid w:val="00F44902"/>
    <w:rsid w:val="00F44C94"/>
    <w:rsid w:val="00F450E7"/>
    <w:rsid w:val="00F450E8"/>
    <w:rsid w:val="00F455B7"/>
    <w:rsid w:val="00F45727"/>
    <w:rsid w:val="00F4583E"/>
    <w:rsid w:val="00F45F0A"/>
    <w:rsid w:val="00F4614E"/>
    <w:rsid w:val="00F46722"/>
    <w:rsid w:val="00F4675E"/>
    <w:rsid w:val="00F46AF8"/>
    <w:rsid w:val="00F46CC5"/>
    <w:rsid w:val="00F470EC"/>
    <w:rsid w:val="00F476E8"/>
    <w:rsid w:val="00F47BAF"/>
    <w:rsid w:val="00F5043B"/>
    <w:rsid w:val="00F51573"/>
    <w:rsid w:val="00F51D08"/>
    <w:rsid w:val="00F536E2"/>
    <w:rsid w:val="00F537D7"/>
    <w:rsid w:val="00F53814"/>
    <w:rsid w:val="00F538ED"/>
    <w:rsid w:val="00F54FC0"/>
    <w:rsid w:val="00F55690"/>
    <w:rsid w:val="00F55F75"/>
    <w:rsid w:val="00F56776"/>
    <w:rsid w:val="00F56C78"/>
    <w:rsid w:val="00F57664"/>
    <w:rsid w:val="00F57786"/>
    <w:rsid w:val="00F57A75"/>
    <w:rsid w:val="00F57DE4"/>
    <w:rsid w:val="00F60B9B"/>
    <w:rsid w:val="00F60D39"/>
    <w:rsid w:val="00F61071"/>
    <w:rsid w:val="00F62330"/>
    <w:rsid w:val="00F628EF"/>
    <w:rsid w:val="00F635C5"/>
    <w:rsid w:val="00F63603"/>
    <w:rsid w:val="00F63893"/>
    <w:rsid w:val="00F63F29"/>
    <w:rsid w:val="00F6444B"/>
    <w:rsid w:val="00F64E10"/>
    <w:rsid w:val="00F65391"/>
    <w:rsid w:val="00F66835"/>
    <w:rsid w:val="00F66AA1"/>
    <w:rsid w:val="00F6711F"/>
    <w:rsid w:val="00F705BB"/>
    <w:rsid w:val="00F70E9D"/>
    <w:rsid w:val="00F70F4A"/>
    <w:rsid w:val="00F717EF"/>
    <w:rsid w:val="00F71F5D"/>
    <w:rsid w:val="00F72388"/>
    <w:rsid w:val="00F7270E"/>
    <w:rsid w:val="00F72A6E"/>
    <w:rsid w:val="00F73755"/>
    <w:rsid w:val="00F73A65"/>
    <w:rsid w:val="00F73C2B"/>
    <w:rsid w:val="00F73E0B"/>
    <w:rsid w:val="00F74A24"/>
    <w:rsid w:val="00F74A69"/>
    <w:rsid w:val="00F74D67"/>
    <w:rsid w:val="00F74E28"/>
    <w:rsid w:val="00F75AE4"/>
    <w:rsid w:val="00F76A2A"/>
    <w:rsid w:val="00F77568"/>
    <w:rsid w:val="00F80356"/>
    <w:rsid w:val="00F80753"/>
    <w:rsid w:val="00F80D23"/>
    <w:rsid w:val="00F81509"/>
    <w:rsid w:val="00F8156A"/>
    <w:rsid w:val="00F82704"/>
    <w:rsid w:val="00F83408"/>
    <w:rsid w:val="00F83AB1"/>
    <w:rsid w:val="00F84077"/>
    <w:rsid w:val="00F8419A"/>
    <w:rsid w:val="00F84577"/>
    <w:rsid w:val="00F84BEF"/>
    <w:rsid w:val="00F855C3"/>
    <w:rsid w:val="00F859D1"/>
    <w:rsid w:val="00F85D2B"/>
    <w:rsid w:val="00F85DF2"/>
    <w:rsid w:val="00F86318"/>
    <w:rsid w:val="00F8670A"/>
    <w:rsid w:val="00F87222"/>
    <w:rsid w:val="00F87DE7"/>
    <w:rsid w:val="00F87F2F"/>
    <w:rsid w:val="00F9008F"/>
    <w:rsid w:val="00F90F16"/>
    <w:rsid w:val="00F91054"/>
    <w:rsid w:val="00F9123B"/>
    <w:rsid w:val="00F91BF1"/>
    <w:rsid w:val="00F9266D"/>
    <w:rsid w:val="00F92C5F"/>
    <w:rsid w:val="00F93FBC"/>
    <w:rsid w:val="00F94507"/>
    <w:rsid w:val="00F94E03"/>
    <w:rsid w:val="00F954F0"/>
    <w:rsid w:val="00F9588E"/>
    <w:rsid w:val="00F959F5"/>
    <w:rsid w:val="00F96297"/>
    <w:rsid w:val="00F96CC8"/>
    <w:rsid w:val="00F96FD9"/>
    <w:rsid w:val="00F975D1"/>
    <w:rsid w:val="00F975F2"/>
    <w:rsid w:val="00F975FD"/>
    <w:rsid w:val="00F9766A"/>
    <w:rsid w:val="00F977C2"/>
    <w:rsid w:val="00F97C45"/>
    <w:rsid w:val="00FA0FE7"/>
    <w:rsid w:val="00FA1189"/>
    <w:rsid w:val="00FA18D7"/>
    <w:rsid w:val="00FA18DC"/>
    <w:rsid w:val="00FA1C92"/>
    <w:rsid w:val="00FA42EC"/>
    <w:rsid w:val="00FA4400"/>
    <w:rsid w:val="00FA4543"/>
    <w:rsid w:val="00FA4575"/>
    <w:rsid w:val="00FA4913"/>
    <w:rsid w:val="00FA4BAF"/>
    <w:rsid w:val="00FA598E"/>
    <w:rsid w:val="00FA5F46"/>
    <w:rsid w:val="00FA60ED"/>
    <w:rsid w:val="00FA64D5"/>
    <w:rsid w:val="00FA7C47"/>
    <w:rsid w:val="00FB08E4"/>
    <w:rsid w:val="00FB0CEE"/>
    <w:rsid w:val="00FB110E"/>
    <w:rsid w:val="00FB137A"/>
    <w:rsid w:val="00FB1676"/>
    <w:rsid w:val="00FB17EE"/>
    <w:rsid w:val="00FB247B"/>
    <w:rsid w:val="00FB24B6"/>
    <w:rsid w:val="00FB2662"/>
    <w:rsid w:val="00FB2924"/>
    <w:rsid w:val="00FB305D"/>
    <w:rsid w:val="00FB3BA7"/>
    <w:rsid w:val="00FB3C59"/>
    <w:rsid w:val="00FB3F66"/>
    <w:rsid w:val="00FB417D"/>
    <w:rsid w:val="00FB4445"/>
    <w:rsid w:val="00FB4F11"/>
    <w:rsid w:val="00FB52FD"/>
    <w:rsid w:val="00FB5674"/>
    <w:rsid w:val="00FB5C6C"/>
    <w:rsid w:val="00FB5ED7"/>
    <w:rsid w:val="00FB70E5"/>
    <w:rsid w:val="00FC052E"/>
    <w:rsid w:val="00FC0647"/>
    <w:rsid w:val="00FC06E0"/>
    <w:rsid w:val="00FC103C"/>
    <w:rsid w:val="00FC15A6"/>
    <w:rsid w:val="00FC1724"/>
    <w:rsid w:val="00FC173F"/>
    <w:rsid w:val="00FC17B3"/>
    <w:rsid w:val="00FC2286"/>
    <w:rsid w:val="00FC2923"/>
    <w:rsid w:val="00FC3011"/>
    <w:rsid w:val="00FC3AC8"/>
    <w:rsid w:val="00FC3C8D"/>
    <w:rsid w:val="00FC4292"/>
    <w:rsid w:val="00FC4344"/>
    <w:rsid w:val="00FC4F28"/>
    <w:rsid w:val="00FC5189"/>
    <w:rsid w:val="00FC5636"/>
    <w:rsid w:val="00FC65D4"/>
    <w:rsid w:val="00FC68DA"/>
    <w:rsid w:val="00FC73BE"/>
    <w:rsid w:val="00FC7C70"/>
    <w:rsid w:val="00FD0112"/>
    <w:rsid w:val="00FD0497"/>
    <w:rsid w:val="00FD0A69"/>
    <w:rsid w:val="00FD2CEB"/>
    <w:rsid w:val="00FD2FA7"/>
    <w:rsid w:val="00FD3161"/>
    <w:rsid w:val="00FD440C"/>
    <w:rsid w:val="00FD486E"/>
    <w:rsid w:val="00FD5302"/>
    <w:rsid w:val="00FD551D"/>
    <w:rsid w:val="00FD5CE2"/>
    <w:rsid w:val="00FD60F6"/>
    <w:rsid w:val="00FD6A2A"/>
    <w:rsid w:val="00FD6BF6"/>
    <w:rsid w:val="00FD6FBC"/>
    <w:rsid w:val="00FD75E5"/>
    <w:rsid w:val="00FD77D0"/>
    <w:rsid w:val="00FD7F57"/>
    <w:rsid w:val="00FE03F0"/>
    <w:rsid w:val="00FE05CE"/>
    <w:rsid w:val="00FE0721"/>
    <w:rsid w:val="00FE0F9C"/>
    <w:rsid w:val="00FE101E"/>
    <w:rsid w:val="00FE1132"/>
    <w:rsid w:val="00FE140A"/>
    <w:rsid w:val="00FE16BE"/>
    <w:rsid w:val="00FE17F0"/>
    <w:rsid w:val="00FE1D2F"/>
    <w:rsid w:val="00FE206A"/>
    <w:rsid w:val="00FE2F22"/>
    <w:rsid w:val="00FE3F49"/>
    <w:rsid w:val="00FE44DF"/>
    <w:rsid w:val="00FE4898"/>
    <w:rsid w:val="00FE4C5C"/>
    <w:rsid w:val="00FE4C88"/>
    <w:rsid w:val="00FE4D14"/>
    <w:rsid w:val="00FE561E"/>
    <w:rsid w:val="00FE589D"/>
    <w:rsid w:val="00FE6352"/>
    <w:rsid w:val="00FE6977"/>
    <w:rsid w:val="00FE7C39"/>
    <w:rsid w:val="00FF01BE"/>
    <w:rsid w:val="00FF022E"/>
    <w:rsid w:val="00FF0383"/>
    <w:rsid w:val="00FF0761"/>
    <w:rsid w:val="00FF09E9"/>
    <w:rsid w:val="00FF0ADA"/>
    <w:rsid w:val="00FF0C29"/>
    <w:rsid w:val="00FF10F8"/>
    <w:rsid w:val="00FF1D91"/>
    <w:rsid w:val="00FF23D8"/>
    <w:rsid w:val="00FF26BC"/>
    <w:rsid w:val="00FF3642"/>
    <w:rsid w:val="00FF387E"/>
    <w:rsid w:val="00FF3B85"/>
    <w:rsid w:val="00FF40D7"/>
    <w:rsid w:val="00FF4E81"/>
    <w:rsid w:val="00FF59CA"/>
    <w:rsid w:val="00FF601F"/>
    <w:rsid w:val="00FF6033"/>
    <w:rsid w:val="00FF71B4"/>
    <w:rsid w:val="00FF7F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colormru v:ext="edit" colors="#b4489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note text" w:uiPriority="99"/>
    <w:lsdException w:name="header" w:uiPriority="99"/>
    <w:lsdException w:name="footer" w:uiPriority="99"/>
    <w:lsdException w:name="caption" w:locked="1"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locked="1" w:semiHidden="0" w:uiPriority="99" w:unhideWhenUsed="0" w:qFormat="1"/>
    <w:lsdException w:name="Closing" w:uiPriority="99"/>
    <w:lsdException w:name="Signature" w:uiPriority="99"/>
    <w:lsdException w:name="Default Paragraph Font" w:locked="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locked="1"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locked="1" w:semiHidden="0" w:unhideWhenUsed="0" w:qFormat="1"/>
    <w:lsdException w:name="Emphasis" w:locked="1" w:semiHidden="0" w:uiPriority="20" w:unhideWhenUsed="0" w:qFormat="1"/>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locked="1"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99F"/>
    <w:pPr>
      <w:spacing w:after="200" w:line="276" w:lineRule="auto"/>
    </w:pPr>
    <w:rPr>
      <w:rFonts w:asciiTheme="minorHAnsi" w:eastAsiaTheme="minorHAnsi" w:hAnsiTheme="minorHAnsi" w:cstheme="minorBidi"/>
      <w:sz w:val="22"/>
      <w:szCs w:val="22"/>
      <w:lang w:eastAsia="en-US"/>
    </w:rPr>
  </w:style>
  <w:style w:type="paragraph" w:styleId="Heading1">
    <w:name w:val="heading 1"/>
    <w:next w:val="BodyCopy"/>
    <w:link w:val="Heading1Char"/>
    <w:qFormat/>
    <w:rsid w:val="009005D1"/>
    <w:pPr>
      <w:pageBreakBefore/>
      <w:numPr>
        <w:numId w:val="13"/>
      </w:numPr>
      <w:spacing w:before="360" w:after="120" w:line="300" w:lineRule="auto"/>
      <w:outlineLvl w:val="0"/>
    </w:pPr>
    <w:rPr>
      <w:rFonts w:ascii="Arial" w:eastAsia="Times New Roman" w:hAnsi="Arial"/>
      <w:b/>
      <w:sz w:val="44"/>
    </w:rPr>
  </w:style>
  <w:style w:type="paragraph" w:styleId="Heading2">
    <w:name w:val="heading 2"/>
    <w:next w:val="BodyCopy"/>
    <w:link w:val="Heading2Char"/>
    <w:qFormat/>
    <w:locked/>
    <w:rsid w:val="009005D1"/>
    <w:pPr>
      <w:numPr>
        <w:ilvl w:val="1"/>
        <w:numId w:val="13"/>
      </w:numPr>
      <w:spacing w:before="360" w:after="100"/>
      <w:outlineLvl w:val="1"/>
    </w:pPr>
    <w:rPr>
      <w:rFonts w:ascii="Arial" w:eastAsia="Times New Roman" w:hAnsi="Arial"/>
      <w:color w:val="B4489B"/>
      <w:sz w:val="40"/>
    </w:rPr>
  </w:style>
  <w:style w:type="paragraph" w:styleId="Heading3">
    <w:name w:val="heading 3"/>
    <w:next w:val="BodyCopy"/>
    <w:link w:val="Heading3Char"/>
    <w:qFormat/>
    <w:locked/>
    <w:rsid w:val="009005D1"/>
    <w:pPr>
      <w:keepNext/>
      <w:numPr>
        <w:ilvl w:val="2"/>
        <w:numId w:val="13"/>
      </w:numPr>
      <w:spacing w:before="360" w:after="100"/>
      <w:outlineLvl w:val="2"/>
    </w:pPr>
    <w:rPr>
      <w:rFonts w:ascii="Arial" w:eastAsia="Times New Roman" w:hAnsi="Arial"/>
      <w:color w:val="000000"/>
      <w:sz w:val="32"/>
    </w:rPr>
  </w:style>
  <w:style w:type="paragraph" w:styleId="Heading4">
    <w:name w:val="heading 4"/>
    <w:next w:val="BodyCopy"/>
    <w:link w:val="Heading4Char"/>
    <w:qFormat/>
    <w:locked/>
    <w:rsid w:val="00095B06"/>
    <w:pPr>
      <w:spacing w:before="360" w:after="100"/>
      <w:jc w:val="both"/>
      <w:outlineLvl w:val="3"/>
    </w:pPr>
    <w:rPr>
      <w:rFonts w:ascii="Arial" w:eastAsia="Times New Roman" w:hAnsi="Arial"/>
      <w:sz w:val="28"/>
    </w:rPr>
  </w:style>
  <w:style w:type="paragraph" w:styleId="Heading5">
    <w:name w:val="heading 5"/>
    <w:next w:val="BodyCopy"/>
    <w:link w:val="Heading5Char"/>
    <w:qFormat/>
    <w:locked/>
    <w:rsid w:val="00095B06"/>
    <w:pPr>
      <w:spacing w:before="240"/>
      <w:outlineLvl w:val="4"/>
    </w:pPr>
    <w:rPr>
      <w:rFonts w:ascii="Arial" w:eastAsia="Times New Roman" w:hAnsi="Arial"/>
      <w:b/>
      <w:color w:val="000000"/>
      <w:sz w:val="22"/>
    </w:rPr>
  </w:style>
  <w:style w:type="paragraph" w:styleId="Heading6">
    <w:name w:val="heading 6"/>
    <w:next w:val="BodyCopy"/>
    <w:link w:val="Heading6Char"/>
    <w:qFormat/>
    <w:locked/>
    <w:rsid w:val="00095B06"/>
    <w:pPr>
      <w:pageBreakBefore/>
      <w:numPr>
        <w:numId w:val="16"/>
      </w:numPr>
      <w:tabs>
        <w:tab w:val="clear" w:pos="360"/>
        <w:tab w:val="left" w:pos="2835"/>
      </w:tabs>
      <w:spacing w:before="360" w:after="120" w:line="300" w:lineRule="auto"/>
      <w:ind w:left="0" w:firstLine="0"/>
      <w:outlineLvl w:val="5"/>
    </w:pPr>
    <w:rPr>
      <w:rFonts w:ascii="Arial" w:eastAsia="Times New Roman" w:hAnsi="Arial"/>
      <w:sz w:val="44"/>
    </w:rPr>
  </w:style>
  <w:style w:type="paragraph" w:styleId="Heading7">
    <w:name w:val="heading 7"/>
    <w:basedOn w:val="Normal"/>
    <w:next w:val="Normal"/>
    <w:link w:val="Heading7Char"/>
    <w:uiPriority w:val="99"/>
    <w:semiHidden/>
    <w:qFormat/>
    <w:locked/>
    <w:rsid w:val="0087445F"/>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semiHidden/>
    <w:qFormat/>
    <w:locked/>
    <w:rsid w:val="0087445F"/>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semiHidden/>
    <w:qFormat/>
    <w:locked/>
    <w:rsid w:val="0087445F"/>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1"/>
    <w:next w:val="BodyCopy"/>
    <w:autoRedefine/>
    <w:uiPriority w:val="39"/>
    <w:locked/>
    <w:rsid w:val="00095B06"/>
    <w:pPr>
      <w:tabs>
        <w:tab w:val="clear" w:pos="8296"/>
        <w:tab w:val="left" w:pos="1134"/>
        <w:tab w:val="left" w:pos="1985"/>
        <w:tab w:val="right" w:leader="dot" w:pos="8295"/>
      </w:tabs>
      <w:spacing w:after="40" w:line="240" w:lineRule="auto"/>
      <w:ind w:left="1134" w:hanging="1134"/>
    </w:pPr>
    <w:rPr>
      <w:color w:val="auto"/>
      <w:sz w:val="22"/>
    </w:rPr>
  </w:style>
  <w:style w:type="paragraph" w:customStyle="1" w:styleId="CoverSub-title">
    <w:name w:val="¬Cover_Sub-title"/>
    <w:uiPriority w:val="99"/>
    <w:rsid w:val="009005D1"/>
    <w:pPr>
      <w:spacing w:before="360"/>
      <w:contextualSpacing/>
    </w:pPr>
    <w:rPr>
      <w:rFonts w:ascii="Arial" w:eastAsia="Times New Roman" w:hAnsi="Arial"/>
      <w:b/>
      <w:bCs/>
      <w:color w:val="B4489B"/>
      <w:sz w:val="72"/>
    </w:rPr>
  </w:style>
  <w:style w:type="paragraph" w:customStyle="1" w:styleId="CoverTitle">
    <w:name w:val="¬Cover_Title"/>
    <w:uiPriority w:val="99"/>
    <w:rsid w:val="009005D1"/>
    <w:pPr>
      <w:spacing w:before="2400"/>
      <w:contextualSpacing/>
    </w:pPr>
    <w:rPr>
      <w:rFonts w:ascii="Arial" w:eastAsia="Times New Roman" w:hAnsi="Arial"/>
      <w:b/>
      <w:color w:val="000000"/>
      <w:sz w:val="120"/>
    </w:rPr>
  </w:style>
  <w:style w:type="paragraph" w:customStyle="1" w:styleId="NatCendetails">
    <w:name w:val="¬NatCen details"/>
    <w:uiPriority w:val="99"/>
    <w:rsid w:val="009005D1"/>
    <w:rPr>
      <w:rFonts w:ascii="Arial" w:eastAsia="Times New Roman" w:hAnsi="Arial"/>
    </w:rPr>
  </w:style>
  <w:style w:type="paragraph" w:customStyle="1" w:styleId="GraphicC">
    <w:name w:val="¬Graphic_C"/>
    <w:basedOn w:val="BodyCopy"/>
    <w:next w:val="BodyCopy"/>
    <w:uiPriority w:val="99"/>
    <w:rsid w:val="00A3113E"/>
    <w:pPr>
      <w:spacing w:before="40" w:after="40"/>
      <w:jc w:val="center"/>
    </w:pPr>
    <w:rPr>
      <w:noProof/>
    </w:rPr>
  </w:style>
  <w:style w:type="paragraph" w:customStyle="1" w:styleId="CaptionTables">
    <w:name w:val="¬Caption_Tables"/>
    <w:basedOn w:val="CaptionFigures"/>
    <w:uiPriority w:val="99"/>
    <w:rsid w:val="00494FD9"/>
  </w:style>
  <w:style w:type="paragraph" w:customStyle="1" w:styleId="Contentsheading">
    <w:name w:val="¬Contents heading"/>
    <w:uiPriority w:val="99"/>
    <w:semiHidden/>
    <w:rsid w:val="009005D1"/>
    <w:pPr>
      <w:spacing w:before="1440"/>
    </w:pPr>
    <w:rPr>
      <w:rFonts w:ascii="Arial" w:eastAsia="Times New Roman" w:hAnsi="Arial"/>
      <w:bCs/>
      <w:sz w:val="72"/>
    </w:rPr>
  </w:style>
  <w:style w:type="paragraph" w:styleId="BalloonText">
    <w:name w:val="Balloon Text"/>
    <w:basedOn w:val="Normal"/>
    <w:link w:val="BalloonTextChar"/>
    <w:uiPriority w:val="99"/>
    <w:semiHidden/>
    <w:rsid w:val="00CB082C"/>
    <w:pPr>
      <w:spacing w:after="0" w:line="240" w:lineRule="auto"/>
    </w:pPr>
    <w:rPr>
      <w:rFonts w:ascii="Tahoma" w:hAnsi="Tahoma" w:cs="Tahoma"/>
      <w:sz w:val="16"/>
      <w:szCs w:val="16"/>
    </w:rPr>
  </w:style>
  <w:style w:type="paragraph" w:styleId="Footer">
    <w:name w:val="footer"/>
    <w:basedOn w:val="Normal"/>
    <w:link w:val="FooterChar"/>
    <w:uiPriority w:val="99"/>
    <w:semiHidden/>
    <w:rsid w:val="00F0173B"/>
    <w:pPr>
      <w:tabs>
        <w:tab w:val="center" w:pos="4153"/>
        <w:tab w:val="right" w:pos="8306"/>
      </w:tabs>
    </w:pPr>
  </w:style>
  <w:style w:type="paragraph" w:styleId="Header">
    <w:name w:val="header"/>
    <w:basedOn w:val="Normal"/>
    <w:link w:val="HeaderChar"/>
    <w:uiPriority w:val="99"/>
    <w:semiHidden/>
    <w:rsid w:val="00F0173B"/>
    <w:pPr>
      <w:tabs>
        <w:tab w:val="center" w:pos="4153"/>
        <w:tab w:val="right" w:pos="8306"/>
      </w:tabs>
    </w:pPr>
  </w:style>
  <w:style w:type="paragraph" w:customStyle="1" w:styleId="Coverblankrow">
    <w:name w:val="¬Cover_blank row"/>
    <w:basedOn w:val="BodyCopy"/>
    <w:uiPriority w:val="99"/>
    <w:semiHidden/>
    <w:rsid w:val="00E92C5B"/>
    <w:rPr>
      <w:sz w:val="12"/>
    </w:rPr>
  </w:style>
  <w:style w:type="character" w:customStyle="1" w:styleId="BalloonTextChar">
    <w:name w:val="Balloon Text Char"/>
    <w:basedOn w:val="DefaultParagraphFont"/>
    <w:link w:val="BalloonText"/>
    <w:uiPriority w:val="99"/>
    <w:semiHidden/>
    <w:rsid w:val="00F628EF"/>
    <w:rPr>
      <w:rFonts w:ascii="Tahoma" w:eastAsia="Times New Roman" w:hAnsi="Tahoma" w:cs="Tahoma"/>
      <w:sz w:val="16"/>
      <w:szCs w:val="16"/>
      <w:lang w:val="en-US" w:eastAsia="en-US"/>
    </w:rPr>
  </w:style>
  <w:style w:type="character" w:customStyle="1" w:styleId="BodyCopyChar">
    <w:name w:val="¬Body Copy Char"/>
    <w:basedOn w:val="DefaultParagraphFont"/>
    <w:link w:val="BodyCopy"/>
    <w:rsid w:val="00404F94"/>
    <w:rPr>
      <w:rFonts w:ascii="Arial" w:eastAsia="Times New Roman" w:hAnsi="Arial"/>
      <w:sz w:val="22"/>
    </w:rPr>
  </w:style>
  <w:style w:type="table" w:styleId="TableGrid">
    <w:name w:val="Table Grid"/>
    <w:basedOn w:val="TableNormal"/>
    <w:rsid w:val="008C5C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opy">
    <w:name w:val="¬Body Copy"/>
    <w:link w:val="BodyCopyChar"/>
    <w:rsid w:val="00404F94"/>
    <w:rPr>
      <w:rFonts w:ascii="Arial" w:eastAsia="Times New Roman" w:hAnsi="Arial"/>
      <w:sz w:val="22"/>
    </w:rPr>
  </w:style>
  <w:style w:type="numbering" w:styleId="111111">
    <w:name w:val="Outline List 2"/>
    <w:basedOn w:val="NoList"/>
    <w:semiHidden/>
    <w:rsid w:val="00286FCA"/>
  </w:style>
  <w:style w:type="character" w:customStyle="1" w:styleId="CommentTextChar">
    <w:name w:val="Comment Text Char"/>
    <w:basedOn w:val="DefaultParagraphFont"/>
    <w:link w:val="CommentText"/>
    <w:rsid w:val="00CB082C"/>
    <w:rPr>
      <w:rFonts w:eastAsia="Times New Roman"/>
      <w:lang w:val="en-US" w:eastAsia="en-US"/>
    </w:rPr>
  </w:style>
  <w:style w:type="paragraph" w:customStyle="1" w:styleId="TabletextL">
    <w:name w:val="¬Table text_L"/>
    <w:uiPriority w:val="99"/>
    <w:qFormat/>
    <w:rsid w:val="00A56CDC"/>
    <w:pPr>
      <w:spacing w:before="40" w:after="40"/>
    </w:pPr>
    <w:rPr>
      <w:rFonts w:ascii="Arial" w:eastAsia="Times New Roman" w:hAnsi="Arial" w:cs="Arial"/>
      <w:lang w:val="en-US" w:eastAsia="en-US"/>
    </w:rPr>
  </w:style>
  <w:style w:type="paragraph" w:customStyle="1" w:styleId="HighlighttextPurple">
    <w:name w:val="¬Highlight text_Purple"/>
    <w:uiPriority w:val="99"/>
    <w:rsid w:val="009005D1"/>
    <w:rPr>
      <w:rFonts w:ascii="Arial" w:eastAsia="Times New Roman" w:hAnsi="Arial"/>
      <w:color w:val="B4489B"/>
      <w:sz w:val="36"/>
      <w:lang w:val="fr-FR"/>
    </w:rPr>
  </w:style>
  <w:style w:type="table" w:customStyle="1" w:styleId="Style1">
    <w:name w:val="Style1"/>
    <w:semiHidden/>
    <w:rsid w:val="006946CD"/>
    <w:rPr>
      <w:rFonts w:ascii="Helvetica 55 Roman" w:eastAsia="Times New Roman" w:hAnsi="Helvetica 55 Roman"/>
    </w:rPr>
    <w:tblPr>
      <w:tblInd w:w="0" w:type="dxa"/>
      <w:tblCellMar>
        <w:top w:w="0" w:type="dxa"/>
        <w:left w:w="108" w:type="dxa"/>
        <w:bottom w:w="0" w:type="dxa"/>
        <w:right w:w="108" w:type="dxa"/>
      </w:tblCellMar>
    </w:tblPr>
  </w:style>
  <w:style w:type="paragraph" w:styleId="TableofFigures">
    <w:name w:val="table of figures"/>
    <w:basedOn w:val="Normal"/>
    <w:next w:val="Normal"/>
    <w:uiPriority w:val="99"/>
    <w:semiHidden/>
    <w:rsid w:val="00EA4E57"/>
  </w:style>
  <w:style w:type="paragraph" w:customStyle="1" w:styleId="FooterL">
    <w:name w:val="¬Footer_L"/>
    <w:uiPriority w:val="99"/>
    <w:semiHidden/>
    <w:rsid w:val="009005D1"/>
    <w:pPr>
      <w:spacing w:before="120"/>
    </w:pPr>
    <w:rPr>
      <w:rFonts w:ascii="Arial" w:eastAsia="Times New Roman" w:hAnsi="Arial" w:cs="ArialMT"/>
      <w:sz w:val="18"/>
      <w:szCs w:val="14"/>
      <w:lang w:val="en-US" w:eastAsia="en-US"/>
    </w:rPr>
  </w:style>
  <w:style w:type="paragraph" w:customStyle="1" w:styleId="PagenumberL">
    <w:name w:val="¬Page number_L"/>
    <w:basedOn w:val="PagenumberR"/>
    <w:uiPriority w:val="99"/>
    <w:semiHidden/>
    <w:rsid w:val="006E2B50"/>
    <w:pPr>
      <w:jc w:val="left"/>
    </w:pPr>
  </w:style>
  <w:style w:type="paragraph" w:customStyle="1" w:styleId="Hiddentextlarge">
    <w:name w:val="¬Hidden text_large"/>
    <w:basedOn w:val="Hiddentext"/>
    <w:uiPriority w:val="99"/>
    <w:semiHidden/>
    <w:rsid w:val="00C876A0"/>
    <w:rPr>
      <w:b/>
      <w:sz w:val="24"/>
    </w:rPr>
  </w:style>
  <w:style w:type="paragraph" w:styleId="TOC2">
    <w:name w:val="toc 2"/>
    <w:basedOn w:val="TOC1"/>
    <w:next w:val="TOC3"/>
    <w:autoRedefine/>
    <w:uiPriority w:val="39"/>
    <w:rsid w:val="00573D01"/>
    <w:pPr>
      <w:tabs>
        <w:tab w:val="clear" w:pos="540"/>
        <w:tab w:val="left" w:pos="567"/>
      </w:tabs>
      <w:ind w:left="567" w:hanging="567"/>
    </w:pPr>
    <w:rPr>
      <w:color w:val="auto"/>
      <w:sz w:val="24"/>
    </w:rPr>
  </w:style>
  <w:style w:type="paragraph" w:styleId="TOC1">
    <w:name w:val="toc 1"/>
    <w:next w:val="TOC2"/>
    <w:autoRedefine/>
    <w:uiPriority w:val="39"/>
    <w:rsid w:val="00095B06"/>
    <w:pPr>
      <w:tabs>
        <w:tab w:val="left" w:pos="540"/>
        <w:tab w:val="left" w:pos="1800"/>
        <w:tab w:val="right" w:leader="dot" w:pos="8296"/>
      </w:tabs>
      <w:spacing w:line="300" w:lineRule="auto"/>
    </w:pPr>
    <w:rPr>
      <w:rFonts w:ascii="Arial" w:eastAsia="Times New Roman" w:hAnsi="Arial"/>
      <w:noProof/>
      <w:color w:val="B4489B"/>
      <w:sz w:val="32"/>
    </w:rPr>
  </w:style>
  <w:style w:type="paragraph" w:styleId="TOC3">
    <w:name w:val="toc 3"/>
    <w:basedOn w:val="TOC1"/>
    <w:next w:val="TOC4"/>
    <w:autoRedefine/>
    <w:uiPriority w:val="39"/>
    <w:rsid w:val="00EA4E57"/>
    <w:pPr>
      <w:tabs>
        <w:tab w:val="clear" w:pos="540"/>
        <w:tab w:val="left" w:pos="1134"/>
      </w:tabs>
      <w:ind w:left="567" w:right="302"/>
    </w:pPr>
    <w:rPr>
      <w:color w:val="auto"/>
      <w:sz w:val="22"/>
    </w:rPr>
  </w:style>
  <w:style w:type="numbering" w:styleId="1ai">
    <w:name w:val="Outline List 1"/>
    <w:basedOn w:val="NoList"/>
    <w:semiHidden/>
    <w:rsid w:val="00286FCA"/>
    <w:pPr>
      <w:numPr>
        <w:numId w:val="11"/>
      </w:numPr>
    </w:pPr>
  </w:style>
  <w:style w:type="numbering" w:styleId="ArticleSection">
    <w:name w:val="Outline List 3"/>
    <w:basedOn w:val="NoList"/>
    <w:semiHidden/>
    <w:rsid w:val="00286FCA"/>
    <w:pPr>
      <w:numPr>
        <w:numId w:val="12"/>
      </w:numPr>
    </w:pPr>
  </w:style>
  <w:style w:type="paragraph" w:styleId="BlockText">
    <w:name w:val="Block Text"/>
    <w:basedOn w:val="Normal"/>
    <w:uiPriority w:val="99"/>
    <w:semiHidden/>
    <w:rsid w:val="00286FCA"/>
    <w:pPr>
      <w:spacing w:after="120"/>
      <w:ind w:left="1440" w:right="1440"/>
    </w:pPr>
  </w:style>
  <w:style w:type="paragraph" w:styleId="BodyText">
    <w:name w:val="Body Text"/>
    <w:basedOn w:val="Normal"/>
    <w:link w:val="BodyTextChar"/>
    <w:uiPriority w:val="99"/>
    <w:semiHidden/>
    <w:rsid w:val="00286FCA"/>
    <w:pPr>
      <w:spacing w:after="120"/>
    </w:pPr>
  </w:style>
  <w:style w:type="paragraph" w:styleId="BodyText2">
    <w:name w:val="Body Text 2"/>
    <w:basedOn w:val="Normal"/>
    <w:link w:val="BodyText2Char"/>
    <w:uiPriority w:val="99"/>
    <w:semiHidden/>
    <w:rsid w:val="00286FCA"/>
    <w:pPr>
      <w:spacing w:after="120" w:line="480" w:lineRule="auto"/>
    </w:pPr>
  </w:style>
  <w:style w:type="paragraph" w:styleId="BodyText3">
    <w:name w:val="Body Text 3"/>
    <w:basedOn w:val="Normal"/>
    <w:link w:val="BodyText3Char"/>
    <w:uiPriority w:val="99"/>
    <w:semiHidden/>
    <w:rsid w:val="00286FCA"/>
    <w:pPr>
      <w:spacing w:after="120"/>
    </w:pPr>
    <w:rPr>
      <w:sz w:val="16"/>
      <w:szCs w:val="16"/>
    </w:rPr>
  </w:style>
  <w:style w:type="paragraph" w:styleId="BodyTextFirstIndent">
    <w:name w:val="Body Text First Indent"/>
    <w:basedOn w:val="BodyText"/>
    <w:link w:val="BodyTextFirstIndentChar"/>
    <w:uiPriority w:val="99"/>
    <w:semiHidden/>
    <w:rsid w:val="00286FCA"/>
    <w:pPr>
      <w:ind w:firstLine="210"/>
    </w:pPr>
  </w:style>
  <w:style w:type="paragraph" w:styleId="BodyTextIndent">
    <w:name w:val="Body Text Indent"/>
    <w:basedOn w:val="Normal"/>
    <w:link w:val="BodyTextIndentChar"/>
    <w:uiPriority w:val="99"/>
    <w:semiHidden/>
    <w:rsid w:val="00286FCA"/>
    <w:pPr>
      <w:spacing w:after="120"/>
      <w:ind w:left="283"/>
    </w:pPr>
  </w:style>
  <w:style w:type="paragraph" w:styleId="BodyTextFirstIndent2">
    <w:name w:val="Body Text First Indent 2"/>
    <w:basedOn w:val="BodyTextIndent"/>
    <w:link w:val="BodyTextFirstIndent2Char"/>
    <w:uiPriority w:val="99"/>
    <w:semiHidden/>
    <w:rsid w:val="00286FCA"/>
    <w:pPr>
      <w:ind w:firstLine="210"/>
    </w:pPr>
  </w:style>
  <w:style w:type="paragraph" w:styleId="BodyTextIndent2">
    <w:name w:val="Body Text Indent 2"/>
    <w:basedOn w:val="Normal"/>
    <w:link w:val="BodyTextIndent2Char"/>
    <w:uiPriority w:val="99"/>
    <w:semiHidden/>
    <w:rsid w:val="00286FCA"/>
    <w:pPr>
      <w:spacing w:after="120" w:line="480" w:lineRule="auto"/>
      <w:ind w:left="283"/>
    </w:pPr>
  </w:style>
  <w:style w:type="paragraph" w:styleId="BodyTextIndent3">
    <w:name w:val="Body Text Indent 3"/>
    <w:basedOn w:val="Normal"/>
    <w:link w:val="BodyTextIndent3Char"/>
    <w:uiPriority w:val="99"/>
    <w:semiHidden/>
    <w:rsid w:val="00286FCA"/>
    <w:pPr>
      <w:spacing w:after="120"/>
      <w:ind w:left="283"/>
    </w:pPr>
    <w:rPr>
      <w:sz w:val="16"/>
      <w:szCs w:val="16"/>
    </w:rPr>
  </w:style>
  <w:style w:type="paragraph" w:styleId="Closing">
    <w:name w:val="Closing"/>
    <w:basedOn w:val="Normal"/>
    <w:link w:val="ClosingChar"/>
    <w:uiPriority w:val="99"/>
    <w:semiHidden/>
    <w:rsid w:val="00286FCA"/>
    <w:pPr>
      <w:ind w:left="4252"/>
    </w:pPr>
  </w:style>
  <w:style w:type="paragraph" w:styleId="Date">
    <w:name w:val="Date"/>
    <w:basedOn w:val="Normal"/>
    <w:next w:val="Normal"/>
    <w:link w:val="DateChar"/>
    <w:uiPriority w:val="99"/>
    <w:semiHidden/>
    <w:rsid w:val="00286FCA"/>
  </w:style>
  <w:style w:type="paragraph" w:styleId="E-mailSignature">
    <w:name w:val="E-mail Signature"/>
    <w:basedOn w:val="Normal"/>
    <w:link w:val="E-mailSignatureChar"/>
    <w:uiPriority w:val="99"/>
    <w:semiHidden/>
    <w:rsid w:val="00286FCA"/>
  </w:style>
  <w:style w:type="character" w:styleId="Emphasis">
    <w:name w:val="Emphasis"/>
    <w:basedOn w:val="DefaultParagraphFont"/>
    <w:uiPriority w:val="20"/>
    <w:qFormat/>
    <w:locked/>
    <w:rsid w:val="00DE328C"/>
    <w:rPr>
      <w:i/>
      <w:iCs/>
    </w:rPr>
  </w:style>
  <w:style w:type="paragraph" w:styleId="EnvelopeAddress">
    <w:name w:val="envelope address"/>
    <w:basedOn w:val="Normal"/>
    <w:uiPriority w:val="99"/>
    <w:semiHidden/>
    <w:rsid w:val="00286FCA"/>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286FCA"/>
    <w:rPr>
      <w:sz w:val="20"/>
      <w:szCs w:val="20"/>
    </w:rPr>
  </w:style>
  <w:style w:type="character" w:styleId="FollowedHyperlink">
    <w:name w:val="FollowedHyperlink"/>
    <w:semiHidden/>
    <w:rsid w:val="00286FCA"/>
    <w:rPr>
      <w:color w:val="800080"/>
      <w:u w:val="single"/>
    </w:rPr>
  </w:style>
  <w:style w:type="character" w:styleId="HTMLAcronym">
    <w:name w:val="HTML Acronym"/>
    <w:basedOn w:val="DefaultParagraphFont"/>
    <w:semiHidden/>
    <w:rsid w:val="00286FCA"/>
  </w:style>
  <w:style w:type="paragraph" w:styleId="HTMLAddress">
    <w:name w:val="HTML Address"/>
    <w:basedOn w:val="Normal"/>
    <w:link w:val="HTMLAddressChar"/>
    <w:semiHidden/>
    <w:rsid w:val="00286FCA"/>
    <w:rPr>
      <w:i/>
      <w:iCs/>
    </w:rPr>
  </w:style>
  <w:style w:type="character" w:styleId="HTMLCite">
    <w:name w:val="HTML Cite"/>
    <w:semiHidden/>
    <w:rsid w:val="00286FCA"/>
    <w:rPr>
      <w:i/>
      <w:iCs/>
    </w:rPr>
  </w:style>
  <w:style w:type="character" w:styleId="HTMLCode">
    <w:name w:val="HTML Code"/>
    <w:semiHidden/>
    <w:rsid w:val="00286FCA"/>
    <w:rPr>
      <w:rFonts w:ascii="Courier New" w:hAnsi="Courier New"/>
      <w:sz w:val="20"/>
      <w:szCs w:val="20"/>
    </w:rPr>
  </w:style>
  <w:style w:type="character" w:styleId="HTMLDefinition">
    <w:name w:val="HTML Definition"/>
    <w:semiHidden/>
    <w:rsid w:val="00286FCA"/>
    <w:rPr>
      <w:i/>
      <w:iCs/>
    </w:rPr>
  </w:style>
  <w:style w:type="character" w:styleId="HTMLKeyboard">
    <w:name w:val="HTML Keyboard"/>
    <w:semiHidden/>
    <w:rsid w:val="00286FCA"/>
    <w:rPr>
      <w:rFonts w:ascii="Courier New" w:hAnsi="Courier New"/>
      <w:sz w:val="20"/>
      <w:szCs w:val="20"/>
    </w:rPr>
  </w:style>
  <w:style w:type="paragraph" w:styleId="HTMLPreformatted">
    <w:name w:val="HTML Preformatted"/>
    <w:basedOn w:val="Normal"/>
    <w:link w:val="HTMLPreformattedChar"/>
    <w:semiHidden/>
    <w:rsid w:val="00286FCA"/>
    <w:rPr>
      <w:rFonts w:ascii="Courier New" w:hAnsi="Courier New"/>
      <w:sz w:val="20"/>
      <w:szCs w:val="20"/>
    </w:rPr>
  </w:style>
  <w:style w:type="character" w:styleId="HTMLSample">
    <w:name w:val="HTML Sample"/>
    <w:semiHidden/>
    <w:rsid w:val="00286FCA"/>
    <w:rPr>
      <w:rFonts w:ascii="Courier New" w:hAnsi="Courier New"/>
    </w:rPr>
  </w:style>
  <w:style w:type="character" w:styleId="HTMLTypewriter">
    <w:name w:val="HTML Typewriter"/>
    <w:semiHidden/>
    <w:rsid w:val="00286FCA"/>
    <w:rPr>
      <w:rFonts w:ascii="Courier New" w:hAnsi="Courier New"/>
      <w:sz w:val="20"/>
      <w:szCs w:val="20"/>
    </w:rPr>
  </w:style>
  <w:style w:type="character" w:styleId="HTMLVariable">
    <w:name w:val="HTML Variable"/>
    <w:semiHidden/>
    <w:rsid w:val="00286FCA"/>
    <w:rPr>
      <w:i/>
      <w:iCs/>
    </w:rPr>
  </w:style>
  <w:style w:type="character" w:styleId="Hyperlink">
    <w:name w:val="Hyperlink"/>
    <w:uiPriority w:val="99"/>
    <w:rsid w:val="000C6B7A"/>
    <w:rPr>
      <w:color w:val="B4489B"/>
      <w:u w:val="single"/>
    </w:rPr>
  </w:style>
  <w:style w:type="character" w:styleId="LineNumber">
    <w:name w:val="line number"/>
    <w:basedOn w:val="DefaultParagraphFont"/>
    <w:semiHidden/>
    <w:rsid w:val="00286FCA"/>
  </w:style>
  <w:style w:type="paragraph" w:styleId="List">
    <w:name w:val="List"/>
    <w:basedOn w:val="Normal"/>
    <w:uiPriority w:val="99"/>
    <w:semiHidden/>
    <w:rsid w:val="00286FCA"/>
    <w:pPr>
      <w:ind w:left="283" w:hanging="283"/>
    </w:pPr>
  </w:style>
  <w:style w:type="paragraph" w:styleId="List2">
    <w:name w:val="List 2"/>
    <w:basedOn w:val="Normal"/>
    <w:uiPriority w:val="99"/>
    <w:semiHidden/>
    <w:rsid w:val="00286FCA"/>
    <w:pPr>
      <w:ind w:left="566" w:hanging="283"/>
    </w:pPr>
  </w:style>
  <w:style w:type="paragraph" w:styleId="List3">
    <w:name w:val="List 3"/>
    <w:basedOn w:val="Normal"/>
    <w:uiPriority w:val="99"/>
    <w:semiHidden/>
    <w:rsid w:val="00286FCA"/>
    <w:pPr>
      <w:ind w:left="849" w:hanging="283"/>
    </w:pPr>
  </w:style>
  <w:style w:type="paragraph" w:styleId="List4">
    <w:name w:val="List 4"/>
    <w:basedOn w:val="Normal"/>
    <w:uiPriority w:val="99"/>
    <w:semiHidden/>
    <w:rsid w:val="00286FCA"/>
    <w:pPr>
      <w:ind w:left="1132" w:hanging="283"/>
    </w:pPr>
  </w:style>
  <w:style w:type="paragraph" w:styleId="List5">
    <w:name w:val="List 5"/>
    <w:basedOn w:val="Normal"/>
    <w:uiPriority w:val="99"/>
    <w:semiHidden/>
    <w:rsid w:val="00286FCA"/>
    <w:pPr>
      <w:ind w:left="1415" w:hanging="283"/>
    </w:pPr>
  </w:style>
  <w:style w:type="paragraph" w:styleId="ListBullet">
    <w:name w:val="List Bullet"/>
    <w:basedOn w:val="Normal"/>
    <w:uiPriority w:val="99"/>
    <w:semiHidden/>
    <w:rsid w:val="00286FCA"/>
    <w:pPr>
      <w:numPr>
        <w:numId w:val="1"/>
      </w:numPr>
    </w:pPr>
  </w:style>
  <w:style w:type="paragraph" w:styleId="ListBullet2">
    <w:name w:val="List Bullet 2"/>
    <w:basedOn w:val="Normal"/>
    <w:uiPriority w:val="99"/>
    <w:semiHidden/>
    <w:rsid w:val="00286FCA"/>
    <w:pPr>
      <w:numPr>
        <w:numId w:val="2"/>
      </w:numPr>
    </w:pPr>
  </w:style>
  <w:style w:type="paragraph" w:styleId="ListBullet3">
    <w:name w:val="List Bullet 3"/>
    <w:basedOn w:val="Normal"/>
    <w:uiPriority w:val="99"/>
    <w:semiHidden/>
    <w:rsid w:val="00286FCA"/>
    <w:pPr>
      <w:numPr>
        <w:numId w:val="3"/>
      </w:numPr>
    </w:pPr>
  </w:style>
  <w:style w:type="paragraph" w:styleId="ListBullet4">
    <w:name w:val="List Bullet 4"/>
    <w:basedOn w:val="Normal"/>
    <w:semiHidden/>
    <w:rsid w:val="00286FCA"/>
    <w:pPr>
      <w:numPr>
        <w:numId w:val="4"/>
      </w:numPr>
    </w:pPr>
  </w:style>
  <w:style w:type="paragraph" w:styleId="ListBullet5">
    <w:name w:val="List Bullet 5"/>
    <w:basedOn w:val="Normal"/>
    <w:uiPriority w:val="99"/>
    <w:semiHidden/>
    <w:rsid w:val="00286FCA"/>
    <w:pPr>
      <w:numPr>
        <w:numId w:val="5"/>
      </w:numPr>
    </w:pPr>
  </w:style>
  <w:style w:type="paragraph" w:styleId="ListContinue">
    <w:name w:val="List Continue"/>
    <w:basedOn w:val="Normal"/>
    <w:uiPriority w:val="99"/>
    <w:semiHidden/>
    <w:rsid w:val="00286FCA"/>
    <w:pPr>
      <w:spacing w:after="120"/>
      <w:ind w:left="283"/>
    </w:pPr>
  </w:style>
  <w:style w:type="paragraph" w:styleId="ListContinue2">
    <w:name w:val="List Continue 2"/>
    <w:basedOn w:val="Normal"/>
    <w:uiPriority w:val="99"/>
    <w:semiHidden/>
    <w:rsid w:val="00286FCA"/>
    <w:pPr>
      <w:spacing w:after="120"/>
      <w:ind w:left="566"/>
    </w:pPr>
  </w:style>
  <w:style w:type="paragraph" w:styleId="ListContinue3">
    <w:name w:val="List Continue 3"/>
    <w:basedOn w:val="Normal"/>
    <w:uiPriority w:val="99"/>
    <w:semiHidden/>
    <w:rsid w:val="00286FCA"/>
    <w:pPr>
      <w:spacing w:after="120"/>
      <w:ind w:left="849"/>
    </w:pPr>
  </w:style>
  <w:style w:type="paragraph" w:styleId="ListContinue4">
    <w:name w:val="List Continue 4"/>
    <w:basedOn w:val="Normal"/>
    <w:uiPriority w:val="99"/>
    <w:semiHidden/>
    <w:rsid w:val="00286FCA"/>
    <w:pPr>
      <w:spacing w:after="120"/>
      <w:ind w:left="1132"/>
    </w:pPr>
  </w:style>
  <w:style w:type="paragraph" w:styleId="ListContinue5">
    <w:name w:val="List Continue 5"/>
    <w:basedOn w:val="Normal"/>
    <w:uiPriority w:val="99"/>
    <w:semiHidden/>
    <w:rsid w:val="00286FCA"/>
    <w:pPr>
      <w:spacing w:after="120"/>
      <w:ind w:left="1415"/>
    </w:pPr>
  </w:style>
  <w:style w:type="paragraph" w:styleId="ListNumber">
    <w:name w:val="List Number"/>
    <w:basedOn w:val="Normal"/>
    <w:uiPriority w:val="99"/>
    <w:semiHidden/>
    <w:rsid w:val="00286FCA"/>
    <w:pPr>
      <w:numPr>
        <w:numId w:val="6"/>
      </w:numPr>
    </w:pPr>
  </w:style>
  <w:style w:type="paragraph" w:styleId="ListNumber2">
    <w:name w:val="List Number 2"/>
    <w:basedOn w:val="Normal"/>
    <w:uiPriority w:val="99"/>
    <w:semiHidden/>
    <w:rsid w:val="00286FCA"/>
    <w:pPr>
      <w:numPr>
        <w:numId w:val="7"/>
      </w:numPr>
    </w:pPr>
  </w:style>
  <w:style w:type="paragraph" w:styleId="ListNumber3">
    <w:name w:val="List Number 3"/>
    <w:basedOn w:val="Normal"/>
    <w:uiPriority w:val="99"/>
    <w:semiHidden/>
    <w:rsid w:val="00286FCA"/>
    <w:pPr>
      <w:numPr>
        <w:numId w:val="8"/>
      </w:numPr>
    </w:pPr>
  </w:style>
  <w:style w:type="paragraph" w:styleId="ListNumber4">
    <w:name w:val="List Number 4"/>
    <w:basedOn w:val="Normal"/>
    <w:uiPriority w:val="99"/>
    <w:semiHidden/>
    <w:rsid w:val="00286FCA"/>
    <w:pPr>
      <w:numPr>
        <w:numId w:val="9"/>
      </w:numPr>
    </w:pPr>
  </w:style>
  <w:style w:type="paragraph" w:styleId="ListNumber5">
    <w:name w:val="List Number 5"/>
    <w:basedOn w:val="Normal"/>
    <w:uiPriority w:val="99"/>
    <w:semiHidden/>
    <w:rsid w:val="00286FCA"/>
    <w:pPr>
      <w:numPr>
        <w:numId w:val="10"/>
      </w:numPr>
    </w:pPr>
  </w:style>
  <w:style w:type="paragraph" w:styleId="MessageHeader">
    <w:name w:val="Message Header"/>
    <w:basedOn w:val="Normal"/>
    <w:link w:val="MessageHeaderChar"/>
    <w:uiPriority w:val="99"/>
    <w:semiHidden/>
    <w:rsid w:val="00286FCA"/>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99"/>
    <w:rsid w:val="00286FCA"/>
    <w:rPr>
      <w:rFonts w:ascii="Times New Roman" w:hAnsi="Times New Roman"/>
      <w:sz w:val="24"/>
      <w:szCs w:val="24"/>
    </w:rPr>
  </w:style>
  <w:style w:type="paragraph" w:styleId="NormalIndent">
    <w:name w:val="Normal Indent"/>
    <w:basedOn w:val="Normal"/>
    <w:uiPriority w:val="99"/>
    <w:semiHidden/>
    <w:rsid w:val="00286FCA"/>
    <w:pPr>
      <w:ind w:left="720"/>
    </w:pPr>
  </w:style>
  <w:style w:type="paragraph" w:styleId="NoteHeading">
    <w:name w:val="Note Heading"/>
    <w:basedOn w:val="Normal"/>
    <w:next w:val="Normal"/>
    <w:link w:val="NoteHeadingChar"/>
    <w:uiPriority w:val="99"/>
    <w:semiHidden/>
    <w:rsid w:val="00286FCA"/>
  </w:style>
  <w:style w:type="character" w:styleId="PageNumber">
    <w:name w:val="page number"/>
    <w:basedOn w:val="DefaultParagraphFont"/>
    <w:semiHidden/>
    <w:rsid w:val="00286FCA"/>
  </w:style>
  <w:style w:type="paragraph" w:styleId="PlainText">
    <w:name w:val="Plain Text"/>
    <w:basedOn w:val="Normal"/>
    <w:link w:val="PlainTextChar"/>
    <w:uiPriority w:val="99"/>
    <w:semiHidden/>
    <w:rsid w:val="00286FCA"/>
    <w:rPr>
      <w:rFonts w:ascii="Courier New" w:hAnsi="Courier New"/>
      <w:sz w:val="20"/>
      <w:szCs w:val="20"/>
    </w:rPr>
  </w:style>
  <w:style w:type="paragraph" w:styleId="Salutation">
    <w:name w:val="Salutation"/>
    <w:basedOn w:val="Normal"/>
    <w:next w:val="Normal"/>
    <w:link w:val="SalutationChar"/>
    <w:uiPriority w:val="99"/>
    <w:semiHidden/>
    <w:rsid w:val="00286FCA"/>
  </w:style>
  <w:style w:type="paragraph" w:styleId="Signature">
    <w:name w:val="Signature"/>
    <w:basedOn w:val="Normal"/>
    <w:link w:val="SignatureChar"/>
    <w:uiPriority w:val="99"/>
    <w:semiHidden/>
    <w:rsid w:val="00286FCA"/>
    <w:pPr>
      <w:ind w:left="4252"/>
    </w:pPr>
  </w:style>
  <w:style w:type="character" w:styleId="Strong">
    <w:name w:val="Strong"/>
    <w:semiHidden/>
    <w:qFormat/>
    <w:locked/>
    <w:rsid w:val="00286FCA"/>
    <w:rPr>
      <w:b/>
      <w:bCs/>
    </w:rPr>
  </w:style>
  <w:style w:type="paragraph" w:styleId="Subtitle">
    <w:name w:val="Subtitle"/>
    <w:basedOn w:val="Normal"/>
    <w:link w:val="SubtitleChar"/>
    <w:uiPriority w:val="99"/>
    <w:qFormat/>
    <w:locked/>
    <w:rsid w:val="00286FCA"/>
    <w:pPr>
      <w:spacing w:after="60"/>
      <w:jc w:val="center"/>
      <w:outlineLvl w:val="1"/>
    </w:pPr>
    <w:rPr>
      <w:sz w:val="24"/>
      <w:szCs w:val="24"/>
    </w:rPr>
  </w:style>
  <w:style w:type="table" w:styleId="Table3Deffects1">
    <w:name w:val="Table 3D effects 1"/>
    <w:basedOn w:val="TableNormal"/>
    <w:semiHidden/>
    <w:rsid w:val="00286FCA"/>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86FCA"/>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86FCA"/>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86FCA"/>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86FCA"/>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86FCA"/>
    <w:pPr>
      <w:spacing w:after="200" w:line="276"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86FCA"/>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86FCA"/>
    <w:pPr>
      <w:spacing w:after="200" w:line="276"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86FCA"/>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86FCA"/>
    <w:pPr>
      <w:spacing w:after="200" w:line="276"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86FCA"/>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86FCA"/>
    <w:pPr>
      <w:spacing w:after="200" w:line="276"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86FCA"/>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86FCA"/>
    <w:pPr>
      <w:spacing w:after="200" w:line="276"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86FCA"/>
    <w:pPr>
      <w:spacing w:after="200" w:line="276"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86FCA"/>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86FCA"/>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86FCA"/>
    <w:pPr>
      <w:spacing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86FCA"/>
    <w:pPr>
      <w:spacing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86FCA"/>
    <w:pPr>
      <w:spacing w:after="200" w:line="276"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86FCA"/>
    <w:pPr>
      <w:spacing w:after="200" w:line="276"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86FCA"/>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86FCA"/>
    <w:pPr>
      <w:spacing w:after="200" w:line="276"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86FCA"/>
    <w:pPr>
      <w:spacing w:after="200" w:line="276"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86FCA"/>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86FCA"/>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86FCA"/>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86FCA"/>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86FCA"/>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86FCA"/>
    <w:pPr>
      <w:spacing w:after="200" w:line="276"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86FCA"/>
    <w:pPr>
      <w:spacing w:after="200" w:line="276"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86FCA"/>
    <w:pPr>
      <w:spacing w:after="2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86FC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86FCA"/>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86FCA"/>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86FCA"/>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locked/>
    <w:rsid w:val="00286FCA"/>
    <w:pPr>
      <w:spacing w:before="240" w:after="60"/>
      <w:jc w:val="center"/>
      <w:outlineLvl w:val="0"/>
    </w:pPr>
    <w:rPr>
      <w:b/>
      <w:bCs/>
      <w:kern w:val="28"/>
      <w:sz w:val="32"/>
      <w:szCs w:val="32"/>
    </w:rPr>
  </w:style>
  <w:style w:type="character" w:customStyle="1" w:styleId="TextBold">
    <w:name w:val="¬Text_Bold"/>
    <w:rsid w:val="00095B06"/>
    <w:rPr>
      <w:rFonts w:ascii="Arial" w:hAnsi="Arial"/>
      <w:b/>
    </w:rPr>
  </w:style>
  <w:style w:type="paragraph" w:customStyle="1" w:styleId="PagenumberR">
    <w:name w:val="¬Page number_R"/>
    <w:uiPriority w:val="99"/>
    <w:semiHidden/>
    <w:rsid w:val="009005D1"/>
    <w:pPr>
      <w:spacing w:before="120"/>
      <w:jc w:val="right"/>
    </w:pPr>
    <w:rPr>
      <w:rFonts w:ascii="Arial" w:eastAsia="Times New Roman" w:hAnsi="Arial"/>
      <w:color w:val="B4489B"/>
      <w:sz w:val="18"/>
    </w:rPr>
  </w:style>
  <w:style w:type="paragraph" w:customStyle="1" w:styleId="FooterR">
    <w:name w:val="¬Footer_R"/>
    <w:basedOn w:val="FooterL"/>
    <w:uiPriority w:val="99"/>
    <w:semiHidden/>
    <w:rsid w:val="006E2B50"/>
    <w:pPr>
      <w:jc w:val="right"/>
    </w:pPr>
  </w:style>
  <w:style w:type="paragraph" w:customStyle="1" w:styleId="TabletextR">
    <w:name w:val="¬Table text_R"/>
    <w:basedOn w:val="TabletextL"/>
    <w:uiPriority w:val="99"/>
    <w:qFormat/>
    <w:rsid w:val="00A56CDC"/>
    <w:pPr>
      <w:jc w:val="right"/>
    </w:pPr>
  </w:style>
  <w:style w:type="paragraph" w:customStyle="1" w:styleId="CaptionFigures">
    <w:name w:val="¬Caption_Figures"/>
    <w:uiPriority w:val="99"/>
    <w:rsid w:val="009005D1"/>
    <w:pPr>
      <w:tabs>
        <w:tab w:val="left" w:pos="1440"/>
        <w:tab w:val="left" w:pos="2340"/>
      </w:tabs>
      <w:spacing w:before="120" w:after="120"/>
      <w:ind w:left="1440" w:hanging="1440"/>
    </w:pPr>
    <w:rPr>
      <w:rFonts w:ascii="Arial" w:eastAsia="Times New Roman" w:hAnsi="Arial"/>
      <w:color w:val="FFFFFF"/>
      <w:sz w:val="24"/>
    </w:rPr>
  </w:style>
  <w:style w:type="paragraph" w:customStyle="1" w:styleId="Heading1nonumber">
    <w:name w:val="Heading 1_no number"/>
    <w:next w:val="BodyCopy"/>
    <w:uiPriority w:val="99"/>
    <w:rsid w:val="009005D1"/>
    <w:pPr>
      <w:pageBreakBefore/>
      <w:spacing w:before="360" w:after="120" w:line="300" w:lineRule="auto"/>
    </w:pPr>
    <w:rPr>
      <w:rFonts w:ascii="Arial" w:eastAsia="Times New Roman" w:hAnsi="Arial"/>
      <w:b/>
      <w:sz w:val="44"/>
    </w:rPr>
  </w:style>
  <w:style w:type="paragraph" w:customStyle="1" w:styleId="Hiddentext">
    <w:name w:val="¬Hidden text"/>
    <w:basedOn w:val="BodyCopy"/>
    <w:uiPriority w:val="99"/>
    <w:semiHidden/>
    <w:rsid w:val="00D5008C"/>
    <w:rPr>
      <w:vanish/>
      <w:color w:val="FF0000"/>
      <w:lang w:eastAsia="ja-JP"/>
    </w:rPr>
  </w:style>
  <w:style w:type="paragraph" w:customStyle="1" w:styleId="Coverdetails">
    <w:name w:val="¬Cover_details"/>
    <w:uiPriority w:val="99"/>
    <w:rsid w:val="009005D1"/>
    <w:rPr>
      <w:rFonts w:ascii="Arial" w:eastAsia="Times New Roman" w:hAnsi="Arial"/>
      <w:sz w:val="24"/>
      <w:szCs w:val="24"/>
    </w:rPr>
  </w:style>
  <w:style w:type="paragraph" w:customStyle="1" w:styleId="Intropagetext">
    <w:name w:val="¬Intro page text"/>
    <w:uiPriority w:val="99"/>
    <w:semiHidden/>
    <w:rsid w:val="009005D1"/>
    <w:pPr>
      <w:contextualSpacing/>
    </w:pPr>
    <w:rPr>
      <w:rFonts w:ascii="Arial" w:eastAsia="MS Mincho" w:hAnsi="Arial"/>
      <w:sz w:val="36"/>
      <w:szCs w:val="24"/>
      <w:lang w:eastAsia="ja-JP"/>
    </w:rPr>
  </w:style>
  <w:style w:type="paragraph" w:styleId="CommentText">
    <w:name w:val="annotation text"/>
    <w:basedOn w:val="Normal"/>
    <w:link w:val="CommentTextChar"/>
    <w:rsid w:val="00581036"/>
    <w:rPr>
      <w:sz w:val="20"/>
      <w:szCs w:val="20"/>
    </w:rPr>
  </w:style>
  <w:style w:type="paragraph" w:customStyle="1" w:styleId="Bullet1">
    <w:name w:val="¬Bullet 1"/>
    <w:qFormat/>
    <w:rsid w:val="009005D1"/>
    <w:pPr>
      <w:spacing w:before="120" w:after="120"/>
    </w:pPr>
    <w:rPr>
      <w:rFonts w:ascii="Arial" w:eastAsia="Times New Roman" w:hAnsi="Arial"/>
      <w:sz w:val="22"/>
    </w:rPr>
  </w:style>
  <w:style w:type="paragraph" w:customStyle="1" w:styleId="Bullet2">
    <w:name w:val="¬Bullet 2"/>
    <w:basedOn w:val="Bullet1"/>
    <w:uiPriority w:val="99"/>
    <w:rsid w:val="00AE1A75"/>
    <w:pPr>
      <w:numPr>
        <w:ilvl w:val="1"/>
        <w:numId w:val="15"/>
      </w:numPr>
      <w:tabs>
        <w:tab w:val="clear" w:pos="1080"/>
        <w:tab w:val="num" w:pos="720"/>
      </w:tabs>
      <w:ind w:left="720"/>
    </w:pPr>
  </w:style>
  <w:style w:type="paragraph" w:customStyle="1" w:styleId="HighlighttextPink">
    <w:name w:val="¬Highlight text_Pink"/>
    <w:basedOn w:val="HighlighttextPurple"/>
    <w:uiPriority w:val="99"/>
    <w:rsid w:val="00DF5DE9"/>
    <w:rPr>
      <w:color w:val="ED2C88"/>
    </w:rPr>
  </w:style>
  <w:style w:type="paragraph" w:customStyle="1" w:styleId="PulloutPurple">
    <w:name w:val="¬Pull out_Purple"/>
    <w:uiPriority w:val="99"/>
    <w:rsid w:val="009005D1"/>
    <w:pPr>
      <w:pBdr>
        <w:top w:val="single" w:sz="24" w:space="1" w:color="B4489B"/>
        <w:left w:val="single" w:sz="24" w:space="1" w:color="B4489B"/>
        <w:bottom w:val="single" w:sz="24" w:space="1" w:color="B4489B"/>
        <w:right w:val="single" w:sz="24" w:space="1" w:color="B4489B"/>
      </w:pBdr>
      <w:shd w:val="clear" w:color="auto" w:fill="B4489B"/>
    </w:pPr>
    <w:rPr>
      <w:rFonts w:ascii="Arial" w:eastAsia="Times New Roman" w:hAnsi="Arial"/>
      <w:color w:val="FFFFFF"/>
      <w:sz w:val="36"/>
      <w:lang w:val="fr-FR"/>
    </w:rPr>
  </w:style>
  <w:style w:type="paragraph" w:customStyle="1" w:styleId="HighlighttextYellow">
    <w:name w:val="¬Highlight text_Yellow"/>
    <w:basedOn w:val="HighlighttextPurple"/>
    <w:uiPriority w:val="99"/>
    <w:rsid w:val="00DF5DE9"/>
    <w:rPr>
      <w:color w:val="FCB645"/>
    </w:rPr>
  </w:style>
  <w:style w:type="paragraph" w:customStyle="1" w:styleId="PulloutTurquoise">
    <w:name w:val="¬Pull out_Turquoise"/>
    <w:basedOn w:val="PulloutPurple"/>
    <w:uiPriority w:val="99"/>
    <w:rsid w:val="00DF5DE9"/>
    <w:pPr>
      <w:pBdr>
        <w:top w:val="single" w:sz="24" w:space="1" w:color="00B7B4"/>
        <w:left w:val="single" w:sz="24" w:space="1" w:color="00B7B4"/>
        <w:bottom w:val="single" w:sz="24" w:space="1" w:color="00B7B4"/>
        <w:right w:val="single" w:sz="24" w:space="1" w:color="00B7B4"/>
      </w:pBdr>
      <w:shd w:val="clear" w:color="auto" w:fill="00B7B4"/>
    </w:pPr>
  </w:style>
  <w:style w:type="paragraph" w:customStyle="1" w:styleId="PulloutYellow">
    <w:name w:val="¬Pull out_Yellow"/>
    <w:basedOn w:val="PulloutPurple"/>
    <w:uiPriority w:val="99"/>
    <w:rsid w:val="00DF5DE9"/>
    <w:pPr>
      <w:pBdr>
        <w:top w:val="single" w:sz="24" w:space="1" w:color="FCB645"/>
        <w:left w:val="single" w:sz="24" w:space="1" w:color="FCB645"/>
        <w:bottom w:val="single" w:sz="24" w:space="1" w:color="FCB645"/>
        <w:right w:val="single" w:sz="24" w:space="1" w:color="FCB645"/>
      </w:pBdr>
      <w:shd w:val="clear" w:color="auto" w:fill="FCB645"/>
    </w:pPr>
  </w:style>
  <w:style w:type="paragraph" w:customStyle="1" w:styleId="PulloutPink">
    <w:name w:val="¬Pull out_Pink"/>
    <w:basedOn w:val="PulloutPurple"/>
    <w:uiPriority w:val="99"/>
    <w:rsid w:val="00DF5DE9"/>
    <w:pPr>
      <w:pBdr>
        <w:top w:val="single" w:sz="24" w:space="1" w:color="ED2C88"/>
        <w:left w:val="single" w:sz="24" w:space="1" w:color="ED2C88"/>
        <w:bottom w:val="single" w:sz="24" w:space="1" w:color="ED2C88"/>
        <w:right w:val="single" w:sz="24" w:space="1" w:color="ED2C88"/>
      </w:pBdr>
      <w:shd w:val="clear" w:color="auto" w:fill="ED2C88"/>
    </w:pPr>
  </w:style>
  <w:style w:type="paragraph" w:customStyle="1" w:styleId="HighlighttextTurquoise">
    <w:name w:val="¬Highlight text_Turquoise"/>
    <w:basedOn w:val="HighlighttextPurple"/>
    <w:uiPriority w:val="99"/>
    <w:rsid w:val="00DF5DE9"/>
    <w:rPr>
      <w:color w:val="00B7B4"/>
    </w:rPr>
  </w:style>
  <w:style w:type="paragraph" w:customStyle="1" w:styleId="GraphicL">
    <w:name w:val="¬Graphic_L"/>
    <w:basedOn w:val="GraphicC"/>
    <w:next w:val="BodyCopy"/>
    <w:uiPriority w:val="99"/>
    <w:rsid w:val="00555C74"/>
    <w:pPr>
      <w:jc w:val="left"/>
    </w:pPr>
  </w:style>
  <w:style w:type="paragraph" w:customStyle="1" w:styleId="GraphicR">
    <w:name w:val="¬Graphic_R"/>
    <w:basedOn w:val="GraphicC"/>
    <w:next w:val="BodyCopy"/>
    <w:uiPriority w:val="99"/>
    <w:rsid w:val="00555C74"/>
    <w:pPr>
      <w:jc w:val="right"/>
    </w:pPr>
  </w:style>
  <w:style w:type="paragraph" w:styleId="Caption">
    <w:name w:val="caption"/>
    <w:basedOn w:val="Normal"/>
    <w:next w:val="Normal"/>
    <w:semiHidden/>
    <w:qFormat/>
    <w:locked/>
    <w:rsid w:val="00143345"/>
    <w:rPr>
      <w:b/>
      <w:bCs/>
      <w:sz w:val="20"/>
      <w:szCs w:val="20"/>
    </w:rPr>
  </w:style>
  <w:style w:type="paragraph" w:customStyle="1" w:styleId="TabletextC">
    <w:name w:val="¬Table text_C"/>
    <w:basedOn w:val="TabletextL"/>
    <w:uiPriority w:val="99"/>
    <w:qFormat/>
    <w:rsid w:val="00A56CDC"/>
    <w:pPr>
      <w:jc w:val="center"/>
    </w:pPr>
  </w:style>
  <w:style w:type="character" w:customStyle="1" w:styleId="TextItalics">
    <w:name w:val="¬Text_Italics"/>
    <w:basedOn w:val="DefaultParagraphFont"/>
    <w:rsid w:val="00095B06"/>
    <w:rPr>
      <w:rFonts w:ascii="Arial" w:hAnsi="Arial"/>
      <w:i/>
    </w:rPr>
  </w:style>
  <w:style w:type="table" w:customStyle="1" w:styleId="NatCenTable">
    <w:name w:val="¬NatCen_Table"/>
    <w:basedOn w:val="TableNormal"/>
    <w:uiPriority w:val="99"/>
    <w:rsid w:val="00D13B06"/>
    <w:rPr>
      <w:rFonts w:ascii="Arial" w:hAnsi="Arial"/>
    </w:rPr>
    <w:tblPr>
      <w:tblInd w:w="0" w:type="dxa"/>
      <w:tblBorders>
        <w:top w:val="single" w:sz="4" w:space="0" w:color="B4489B"/>
        <w:left w:val="single" w:sz="4" w:space="0" w:color="B4489B"/>
        <w:bottom w:val="single" w:sz="4" w:space="0" w:color="B4489B"/>
        <w:right w:val="single" w:sz="4" w:space="0" w:color="B4489B"/>
        <w:insideH w:val="single" w:sz="4" w:space="0" w:color="B4489B"/>
        <w:insideV w:val="single" w:sz="4" w:space="0" w:color="B4489B"/>
      </w:tblBorders>
      <w:tblCellMar>
        <w:top w:w="0" w:type="dxa"/>
        <w:left w:w="108" w:type="dxa"/>
        <w:bottom w:w="0" w:type="dxa"/>
        <w:right w:w="108" w:type="dxa"/>
      </w:tblCellMar>
    </w:tblPr>
    <w:tblStylePr w:type="firstRow">
      <w:rPr>
        <w:rFonts w:ascii="Arial" w:hAnsi="Arial"/>
        <w:color w:val="FFFFFF" w:themeColor="background1"/>
        <w:sz w:val="24"/>
      </w:rPr>
      <w:tblPr/>
      <w:tcPr>
        <w:shd w:val="clear" w:color="auto" w:fill="B4489B"/>
      </w:tcPr>
    </w:tblStylePr>
  </w:style>
  <w:style w:type="paragraph" w:customStyle="1" w:styleId="Headerboldline">
    <w:name w:val="¬Header bold line"/>
    <w:uiPriority w:val="99"/>
    <w:semiHidden/>
    <w:qFormat/>
    <w:rsid w:val="006530F3"/>
    <w:pPr>
      <w:pBdr>
        <w:bottom w:val="single" w:sz="48" w:space="1" w:color="000000" w:themeColor="text1"/>
      </w:pBdr>
    </w:pPr>
    <w:rPr>
      <w:rFonts w:ascii="Arial" w:eastAsia="Times New Roman" w:hAnsi="Arial"/>
      <w:sz w:val="22"/>
      <w:szCs w:val="22"/>
      <w:lang w:val="en-US" w:eastAsia="en-US"/>
    </w:rPr>
  </w:style>
  <w:style w:type="paragraph" w:styleId="FootnoteText">
    <w:name w:val="footnote text"/>
    <w:basedOn w:val="Normal"/>
    <w:link w:val="FootnoteTextChar"/>
    <w:uiPriority w:val="99"/>
    <w:semiHidden/>
    <w:rsid w:val="00A56C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6CDC"/>
    <w:rPr>
      <w:rFonts w:eastAsia="Times New Roman"/>
      <w:lang w:val="en-US" w:eastAsia="en-US"/>
    </w:rPr>
  </w:style>
  <w:style w:type="character" w:styleId="FootnoteReference">
    <w:name w:val="footnote reference"/>
    <w:basedOn w:val="DefaultParagraphFont"/>
    <w:uiPriority w:val="99"/>
    <w:semiHidden/>
    <w:rsid w:val="00A56CDC"/>
    <w:rPr>
      <w:vertAlign w:val="superscript"/>
    </w:rPr>
  </w:style>
  <w:style w:type="paragraph" w:customStyle="1" w:styleId="FootnoteEndnote">
    <w:name w:val="¬Footnote &amp; Endnote"/>
    <w:uiPriority w:val="99"/>
    <w:qFormat/>
    <w:rsid w:val="00B36C6E"/>
    <w:rPr>
      <w:rFonts w:ascii="Arial" w:eastAsia="Times New Roman" w:hAnsi="Arial"/>
      <w:sz w:val="18"/>
      <w:lang w:val="en-US" w:eastAsia="en-US"/>
    </w:rPr>
  </w:style>
  <w:style w:type="paragraph" w:styleId="EndnoteText">
    <w:name w:val="endnote text"/>
    <w:basedOn w:val="Normal"/>
    <w:link w:val="EndnoteTextChar"/>
    <w:uiPriority w:val="99"/>
    <w:semiHidden/>
    <w:rsid w:val="00B546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88"/>
    <w:rPr>
      <w:rFonts w:eastAsia="Times New Roman"/>
      <w:lang w:val="en-US" w:eastAsia="en-US"/>
    </w:rPr>
  </w:style>
  <w:style w:type="character" w:styleId="EndnoteReference">
    <w:name w:val="endnote reference"/>
    <w:basedOn w:val="DefaultParagraphFont"/>
    <w:uiPriority w:val="99"/>
    <w:semiHidden/>
    <w:rsid w:val="00B54688"/>
    <w:rPr>
      <w:vertAlign w:val="superscript"/>
    </w:rPr>
  </w:style>
  <w:style w:type="paragraph" w:customStyle="1" w:styleId="SummaryPurple">
    <w:name w:val="¬Summary_Purple"/>
    <w:basedOn w:val="CommentText"/>
    <w:next w:val="BodyCopy"/>
    <w:uiPriority w:val="99"/>
    <w:qFormat/>
    <w:rsid w:val="00A40505"/>
    <w:pPr>
      <w:spacing w:before="480" w:after="0" w:line="240" w:lineRule="auto"/>
    </w:pPr>
    <w:rPr>
      <w:rFonts w:ascii="HelveticaNeue LT 67 MdCn" w:hAnsi="HelveticaNeue LT 67 MdCn"/>
      <w:color w:val="B4489B"/>
      <w:sz w:val="36"/>
      <w:lang w:eastAsia="en-GB"/>
    </w:rPr>
  </w:style>
  <w:style w:type="paragraph" w:styleId="ListParagraph">
    <w:name w:val="List Paragraph"/>
    <w:basedOn w:val="Normal"/>
    <w:uiPriority w:val="34"/>
    <w:qFormat/>
    <w:rsid w:val="0016412A"/>
    <w:pPr>
      <w:ind w:left="720"/>
      <w:contextualSpacing/>
    </w:pPr>
  </w:style>
  <w:style w:type="character" w:styleId="CommentReference">
    <w:name w:val="annotation reference"/>
    <w:basedOn w:val="DefaultParagraphFont"/>
    <w:uiPriority w:val="99"/>
    <w:semiHidden/>
    <w:unhideWhenUsed/>
    <w:rsid w:val="0016412A"/>
    <w:rPr>
      <w:sz w:val="16"/>
      <w:szCs w:val="16"/>
    </w:rPr>
  </w:style>
  <w:style w:type="paragraph" w:styleId="CommentSubject">
    <w:name w:val="annotation subject"/>
    <w:basedOn w:val="CommentText"/>
    <w:next w:val="CommentText"/>
    <w:link w:val="CommentSubjectChar"/>
    <w:uiPriority w:val="99"/>
    <w:semiHidden/>
    <w:rsid w:val="00D36E3A"/>
    <w:pPr>
      <w:spacing w:line="240" w:lineRule="auto"/>
    </w:pPr>
    <w:rPr>
      <w:b/>
      <w:bCs/>
    </w:rPr>
  </w:style>
  <w:style w:type="character" w:customStyle="1" w:styleId="CommentSubjectChar">
    <w:name w:val="Comment Subject Char"/>
    <w:basedOn w:val="CommentTextChar"/>
    <w:link w:val="CommentSubject"/>
    <w:uiPriority w:val="99"/>
    <w:semiHidden/>
    <w:rsid w:val="00D36E3A"/>
    <w:rPr>
      <w:rFonts w:asciiTheme="minorHAnsi" w:eastAsiaTheme="minorHAnsi" w:hAnsiTheme="minorHAnsi" w:cstheme="minorBidi"/>
      <w:b/>
      <w:bCs/>
      <w:lang w:val="en-US" w:eastAsia="en-US"/>
    </w:rPr>
  </w:style>
  <w:style w:type="paragraph" w:styleId="Revision">
    <w:name w:val="Revision"/>
    <w:hidden/>
    <w:uiPriority w:val="99"/>
    <w:semiHidden/>
    <w:rsid w:val="00EA360A"/>
    <w:rPr>
      <w:rFonts w:asciiTheme="minorHAnsi" w:eastAsiaTheme="minorHAnsi" w:hAnsiTheme="minorHAnsi" w:cstheme="minorBidi"/>
      <w:sz w:val="22"/>
      <w:szCs w:val="22"/>
      <w:lang w:eastAsia="en-US"/>
    </w:rPr>
  </w:style>
  <w:style w:type="paragraph" w:customStyle="1" w:styleId="Default">
    <w:name w:val="Default"/>
    <w:rsid w:val="001F4A84"/>
    <w:pPr>
      <w:autoSpaceDE w:val="0"/>
      <w:autoSpaceDN w:val="0"/>
      <w:adjustRightInd w:val="0"/>
    </w:pPr>
    <w:rPr>
      <w:rFonts w:ascii="Arial" w:hAnsi="Arial" w:cs="Arial"/>
      <w:color w:val="000000"/>
      <w:sz w:val="24"/>
      <w:szCs w:val="24"/>
    </w:rPr>
  </w:style>
  <w:style w:type="character" w:customStyle="1" w:styleId="HTMLMarkup">
    <w:name w:val="HTML Markup"/>
    <w:rsid w:val="00A00B29"/>
    <w:rPr>
      <w:vanish/>
      <w:color w:val="FF0000"/>
    </w:rPr>
  </w:style>
  <w:style w:type="character" w:customStyle="1" w:styleId="Heading3Char">
    <w:name w:val="Heading 3 Char"/>
    <w:basedOn w:val="DefaultParagraphFont"/>
    <w:link w:val="Heading3"/>
    <w:rsid w:val="002647F8"/>
    <w:rPr>
      <w:rFonts w:ascii="Arial" w:eastAsia="Times New Roman" w:hAnsi="Arial"/>
      <w:color w:val="000000"/>
      <w:sz w:val="32"/>
    </w:rPr>
  </w:style>
  <w:style w:type="paragraph" w:customStyle="1" w:styleId="BSATableHeading">
    <w:name w:val="BSA Table Heading"/>
    <w:basedOn w:val="Normal"/>
    <w:rsid w:val="00663D9E"/>
    <w:pPr>
      <w:keepNext/>
      <w:keepLines/>
      <w:spacing w:before="120" w:after="240" w:line="240" w:lineRule="auto"/>
    </w:pPr>
    <w:rPr>
      <w:rFonts w:ascii="Arial" w:eastAsia="Times New Roman" w:hAnsi="Arial" w:cs="Times New Roman"/>
      <w:b/>
      <w:sz w:val="18"/>
      <w:szCs w:val="20"/>
    </w:rPr>
  </w:style>
  <w:style w:type="paragraph" w:customStyle="1" w:styleId="BSATableText">
    <w:name w:val="BSA Table Text"/>
    <w:basedOn w:val="Normal"/>
    <w:rsid w:val="00663D9E"/>
    <w:pPr>
      <w:keepNext/>
      <w:spacing w:after="60" w:line="240" w:lineRule="exact"/>
      <w:ind w:left="142" w:hanging="142"/>
      <w:jc w:val="both"/>
    </w:pPr>
    <w:rPr>
      <w:rFonts w:ascii="Arial" w:eastAsia="Times New Roman" w:hAnsi="Arial" w:cs="Times New Roman"/>
      <w:sz w:val="18"/>
      <w:szCs w:val="20"/>
    </w:rPr>
  </w:style>
  <w:style w:type="paragraph" w:customStyle="1" w:styleId="BSATableNumber">
    <w:name w:val="BSA Table Number"/>
    <w:basedOn w:val="Normal"/>
    <w:rsid w:val="00663D9E"/>
    <w:pPr>
      <w:keepNext/>
      <w:tabs>
        <w:tab w:val="decimal" w:pos="128"/>
        <w:tab w:val="decimal" w:pos="454"/>
      </w:tabs>
      <w:spacing w:after="0" w:line="240" w:lineRule="auto"/>
      <w:jc w:val="right"/>
    </w:pPr>
    <w:rPr>
      <w:rFonts w:ascii="Arial" w:eastAsia="Times New Roman" w:hAnsi="Arial" w:cs="Times New Roman"/>
      <w:sz w:val="18"/>
      <w:szCs w:val="20"/>
    </w:rPr>
  </w:style>
  <w:style w:type="paragraph" w:customStyle="1" w:styleId="BSATableBase">
    <w:name w:val="BSA Table Base"/>
    <w:basedOn w:val="Heading4"/>
    <w:rsid w:val="00663D9E"/>
    <w:pPr>
      <w:spacing w:before="60" w:after="60"/>
      <w:jc w:val="left"/>
    </w:pPr>
    <w:rPr>
      <w:i/>
      <w:sz w:val="16"/>
      <w:lang w:eastAsia="en-US"/>
    </w:rPr>
  </w:style>
  <w:style w:type="paragraph" w:customStyle="1" w:styleId="BSATableBaseNumber">
    <w:name w:val="BSA Table Base Number"/>
    <w:basedOn w:val="BSATableBase"/>
    <w:rsid w:val="00663D9E"/>
    <w:pPr>
      <w:jc w:val="right"/>
    </w:pPr>
  </w:style>
  <w:style w:type="character" w:customStyle="1" w:styleId="Heading5Char">
    <w:name w:val="Heading 5 Char"/>
    <w:basedOn w:val="DefaultParagraphFont"/>
    <w:link w:val="Heading5"/>
    <w:rsid w:val="009715B6"/>
    <w:rPr>
      <w:rFonts w:ascii="Arial" w:eastAsia="Times New Roman" w:hAnsi="Arial"/>
      <w:b/>
      <w:color w:val="000000"/>
      <w:sz w:val="22"/>
    </w:rPr>
  </w:style>
  <w:style w:type="character" w:customStyle="1" w:styleId="citation">
    <w:name w:val="citation"/>
    <w:basedOn w:val="DefaultParagraphFont"/>
    <w:rsid w:val="00EE1333"/>
  </w:style>
  <w:style w:type="character" w:customStyle="1" w:styleId="Heading1Char">
    <w:name w:val="Heading 1 Char"/>
    <w:basedOn w:val="DefaultParagraphFont"/>
    <w:link w:val="Heading1"/>
    <w:rsid w:val="00836A43"/>
    <w:rPr>
      <w:rFonts w:ascii="Arial" w:eastAsia="Times New Roman" w:hAnsi="Arial"/>
      <w:b/>
      <w:sz w:val="44"/>
    </w:rPr>
  </w:style>
  <w:style w:type="character" w:customStyle="1" w:styleId="Heading2Char">
    <w:name w:val="Heading 2 Char"/>
    <w:basedOn w:val="DefaultParagraphFont"/>
    <w:link w:val="Heading2"/>
    <w:rsid w:val="00836A43"/>
    <w:rPr>
      <w:rFonts w:ascii="Arial" w:eastAsia="Times New Roman" w:hAnsi="Arial"/>
      <w:color w:val="B4489B"/>
      <w:sz w:val="40"/>
    </w:rPr>
  </w:style>
  <w:style w:type="character" w:customStyle="1" w:styleId="Heading4Char">
    <w:name w:val="Heading 4 Char"/>
    <w:basedOn w:val="DefaultParagraphFont"/>
    <w:link w:val="Heading4"/>
    <w:rsid w:val="00836A43"/>
    <w:rPr>
      <w:rFonts w:ascii="Arial" w:eastAsia="Times New Roman" w:hAnsi="Arial"/>
      <w:sz w:val="28"/>
    </w:rPr>
  </w:style>
  <w:style w:type="character" w:customStyle="1" w:styleId="Heading6Char">
    <w:name w:val="Heading 6 Char"/>
    <w:basedOn w:val="DefaultParagraphFont"/>
    <w:link w:val="Heading6"/>
    <w:rsid w:val="00836A43"/>
    <w:rPr>
      <w:rFonts w:ascii="Arial" w:eastAsia="Times New Roman" w:hAnsi="Arial"/>
      <w:sz w:val="44"/>
    </w:rPr>
  </w:style>
  <w:style w:type="character" w:customStyle="1" w:styleId="Heading7Char">
    <w:name w:val="Heading 7 Char"/>
    <w:basedOn w:val="DefaultParagraphFont"/>
    <w:link w:val="Heading7"/>
    <w:uiPriority w:val="99"/>
    <w:semiHidden/>
    <w:rsid w:val="00836A43"/>
    <w:rPr>
      <w:rFonts w:ascii="Times New Roman" w:eastAsiaTheme="minorHAnsi" w:hAnsi="Times New Roman" w:cstheme="minorBidi"/>
      <w:sz w:val="24"/>
      <w:szCs w:val="24"/>
      <w:lang w:eastAsia="en-US"/>
    </w:rPr>
  </w:style>
  <w:style w:type="character" w:customStyle="1" w:styleId="Heading8Char">
    <w:name w:val="Heading 8 Char"/>
    <w:basedOn w:val="DefaultParagraphFont"/>
    <w:link w:val="Heading8"/>
    <w:uiPriority w:val="99"/>
    <w:semiHidden/>
    <w:rsid w:val="00836A43"/>
    <w:rPr>
      <w:rFonts w:ascii="Times New Roman" w:eastAsiaTheme="minorHAnsi" w:hAnsi="Times New Roman" w:cstheme="minorBidi"/>
      <w:i/>
      <w:iCs/>
      <w:sz w:val="24"/>
      <w:szCs w:val="24"/>
      <w:lang w:eastAsia="en-US"/>
    </w:rPr>
  </w:style>
  <w:style w:type="character" w:customStyle="1" w:styleId="Heading9Char">
    <w:name w:val="Heading 9 Char"/>
    <w:basedOn w:val="DefaultParagraphFont"/>
    <w:link w:val="Heading9"/>
    <w:uiPriority w:val="99"/>
    <w:semiHidden/>
    <w:rsid w:val="00836A43"/>
    <w:rPr>
      <w:rFonts w:asciiTheme="minorHAnsi" w:eastAsiaTheme="minorHAnsi" w:hAnsiTheme="minorHAnsi" w:cstheme="minorBidi"/>
      <w:sz w:val="22"/>
      <w:szCs w:val="22"/>
      <w:lang w:eastAsia="en-US"/>
    </w:rPr>
  </w:style>
  <w:style w:type="character" w:customStyle="1" w:styleId="HTMLAddressChar">
    <w:name w:val="HTML Address Char"/>
    <w:basedOn w:val="DefaultParagraphFont"/>
    <w:link w:val="HTMLAddress"/>
    <w:semiHidden/>
    <w:rsid w:val="00836A43"/>
    <w:rPr>
      <w:rFonts w:asciiTheme="minorHAnsi" w:eastAsiaTheme="minorHAnsi" w:hAnsiTheme="minorHAnsi" w:cstheme="minorBidi"/>
      <w:i/>
      <w:iCs/>
      <w:sz w:val="22"/>
      <w:szCs w:val="22"/>
      <w:lang w:eastAsia="en-US"/>
    </w:rPr>
  </w:style>
  <w:style w:type="character" w:customStyle="1" w:styleId="HTMLPreformattedChar">
    <w:name w:val="HTML Preformatted Char"/>
    <w:basedOn w:val="DefaultParagraphFont"/>
    <w:link w:val="HTMLPreformatted"/>
    <w:semiHidden/>
    <w:rsid w:val="00836A43"/>
    <w:rPr>
      <w:rFonts w:ascii="Courier New" w:eastAsiaTheme="minorHAnsi" w:hAnsi="Courier New" w:cstheme="minorBidi"/>
      <w:lang w:eastAsia="en-US"/>
    </w:rPr>
  </w:style>
  <w:style w:type="character" w:customStyle="1" w:styleId="HeaderChar">
    <w:name w:val="Header Char"/>
    <w:basedOn w:val="DefaultParagraphFont"/>
    <w:link w:val="Header"/>
    <w:uiPriority w:val="99"/>
    <w:semiHidden/>
    <w:rsid w:val="00836A43"/>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emiHidden/>
    <w:rsid w:val="00836A43"/>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uiPriority w:val="99"/>
    <w:rsid w:val="00836A43"/>
    <w:rPr>
      <w:rFonts w:asciiTheme="minorHAnsi" w:eastAsiaTheme="minorHAnsi" w:hAnsiTheme="minorHAnsi" w:cstheme="minorBidi"/>
      <w:b/>
      <w:bCs/>
      <w:kern w:val="28"/>
      <w:sz w:val="32"/>
      <w:szCs w:val="32"/>
      <w:lang w:eastAsia="en-US"/>
    </w:rPr>
  </w:style>
  <w:style w:type="character" w:customStyle="1" w:styleId="ClosingChar">
    <w:name w:val="Closing Char"/>
    <w:basedOn w:val="DefaultParagraphFont"/>
    <w:link w:val="Closing"/>
    <w:uiPriority w:val="99"/>
    <w:semiHidden/>
    <w:rsid w:val="00836A43"/>
    <w:rPr>
      <w:rFonts w:asciiTheme="minorHAnsi" w:eastAsiaTheme="minorHAnsi" w:hAnsiTheme="minorHAnsi" w:cstheme="minorBidi"/>
      <w:sz w:val="22"/>
      <w:szCs w:val="22"/>
      <w:lang w:eastAsia="en-US"/>
    </w:rPr>
  </w:style>
  <w:style w:type="character" w:customStyle="1" w:styleId="SignatureChar">
    <w:name w:val="Signature Char"/>
    <w:basedOn w:val="DefaultParagraphFont"/>
    <w:link w:val="Signature"/>
    <w:uiPriority w:val="99"/>
    <w:semiHidden/>
    <w:rsid w:val="00836A43"/>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semiHidden/>
    <w:rsid w:val="00836A43"/>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836A43"/>
    <w:rPr>
      <w:rFonts w:asciiTheme="minorHAnsi" w:eastAsiaTheme="minorHAnsi" w:hAnsiTheme="minorHAnsi" w:cstheme="minorBidi"/>
      <w:sz w:val="22"/>
      <w:szCs w:val="22"/>
      <w:lang w:eastAsia="en-US"/>
    </w:rPr>
  </w:style>
  <w:style w:type="character" w:customStyle="1" w:styleId="MessageHeaderChar">
    <w:name w:val="Message Header Char"/>
    <w:basedOn w:val="DefaultParagraphFont"/>
    <w:link w:val="MessageHeader"/>
    <w:uiPriority w:val="99"/>
    <w:semiHidden/>
    <w:rsid w:val="00836A43"/>
    <w:rPr>
      <w:rFonts w:asciiTheme="minorHAnsi" w:eastAsiaTheme="minorHAnsi" w:hAnsiTheme="minorHAnsi" w:cstheme="minorBidi"/>
      <w:sz w:val="24"/>
      <w:szCs w:val="24"/>
      <w:shd w:val="pct20" w:color="auto" w:fill="auto"/>
      <w:lang w:eastAsia="en-US"/>
    </w:rPr>
  </w:style>
  <w:style w:type="character" w:customStyle="1" w:styleId="SubtitleChar">
    <w:name w:val="Subtitle Char"/>
    <w:basedOn w:val="DefaultParagraphFont"/>
    <w:link w:val="Subtitle"/>
    <w:uiPriority w:val="99"/>
    <w:rsid w:val="00836A43"/>
    <w:rPr>
      <w:rFonts w:asciiTheme="minorHAnsi" w:eastAsiaTheme="minorHAnsi" w:hAnsiTheme="minorHAnsi" w:cstheme="minorBidi"/>
      <w:sz w:val="24"/>
      <w:szCs w:val="24"/>
      <w:lang w:eastAsia="en-US"/>
    </w:rPr>
  </w:style>
  <w:style w:type="character" w:customStyle="1" w:styleId="SalutationChar">
    <w:name w:val="Salutation Char"/>
    <w:basedOn w:val="DefaultParagraphFont"/>
    <w:link w:val="Salutation"/>
    <w:uiPriority w:val="99"/>
    <w:semiHidden/>
    <w:rsid w:val="00836A43"/>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836A43"/>
    <w:rPr>
      <w:rFonts w:asciiTheme="minorHAnsi" w:eastAsiaTheme="minorHAnsi" w:hAnsiTheme="minorHAnsi" w:cstheme="minorBidi"/>
      <w:sz w:val="22"/>
      <w:szCs w:val="22"/>
      <w:lang w:eastAsia="en-US"/>
    </w:rPr>
  </w:style>
  <w:style w:type="character" w:customStyle="1" w:styleId="BodyTextFirstIndentChar">
    <w:name w:val="Body Text First Indent Char"/>
    <w:basedOn w:val="BodyTextChar"/>
    <w:link w:val="BodyTextFirstIndent"/>
    <w:uiPriority w:val="99"/>
    <w:semiHidden/>
    <w:rsid w:val="00836A43"/>
    <w:rPr>
      <w:rFonts w:asciiTheme="minorHAnsi" w:eastAsiaTheme="minorHAnsi" w:hAnsiTheme="minorHAnsi" w:cstheme="minorBidi"/>
      <w:sz w:val="22"/>
      <w:szCs w:val="22"/>
      <w:lang w:eastAsia="en-US"/>
    </w:rPr>
  </w:style>
  <w:style w:type="character" w:customStyle="1" w:styleId="BodyTextFirstIndent2Char">
    <w:name w:val="Body Text First Indent 2 Char"/>
    <w:basedOn w:val="BodyTextIndentChar"/>
    <w:link w:val="BodyTextFirstIndent2"/>
    <w:uiPriority w:val="99"/>
    <w:semiHidden/>
    <w:rsid w:val="00836A43"/>
    <w:rPr>
      <w:rFonts w:asciiTheme="minorHAnsi" w:eastAsiaTheme="minorHAnsi" w:hAnsiTheme="minorHAnsi" w:cstheme="minorBidi"/>
      <w:sz w:val="22"/>
      <w:szCs w:val="22"/>
      <w:lang w:eastAsia="en-US"/>
    </w:rPr>
  </w:style>
  <w:style w:type="character" w:customStyle="1" w:styleId="NoteHeadingChar">
    <w:name w:val="Note Heading Char"/>
    <w:basedOn w:val="DefaultParagraphFont"/>
    <w:link w:val="NoteHeading"/>
    <w:uiPriority w:val="99"/>
    <w:semiHidden/>
    <w:rsid w:val="00836A43"/>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836A43"/>
    <w:rPr>
      <w:rFonts w:asciiTheme="minorHAnsi" w:eastAsiaTheme="minorHAnsi" w:hAnsiTheme="minorHAnsi" w:cstheme="minorBidi"/>
      <w:sz w:val="22"/>
      <w:szCs w:val="22"/>
      <w:lang w:eastAsia="en-US"/>
    </w:rPr>
  </w:style>
  <w:style w:type="character" w:customStyle="1" w:styleId="BodyText3Char">
    <w:name w:val="Body Text 3 Char"/>
    <w:basedOn w:val="DefaultParagraphFont"/>
    <w:link w:val="BodyText3"/>
    <w:uiPriority w:val="99"/>
    <w:semiHidden/>
    <w:rsid w:val="00836A43"/>
    <w:rPr>
      <w:rFonts w:asciiTheme="minorHAnsi" w:eastAsiaTheme="minorHAnsi" w:hAnsiTheme="minorHAnsi" w:cstheme="minorBidi"/>
      <w:sz w:val="16"/>
      <w:szCs w:val="16"/>
      <w:lang w:eastAsia="en-US"/>
    </w:rPr>
  </w:style>
  <w:style w:type="character" w:customStyle="1" w:styleId="BodyTextIndent2Char">
    <w:name w:val="Body Text Indent 2 Char"/>
    <w:basedOn w:val="DefaultParagraphFont"/>
    <w:link w:val="BodyTextIndent2"/>
    <w:uiPriority w:val="99"/>
    <w:semiHidden/>
    <w:rsid w:val="00836A43"/>
    <w:rPr>
      <w:rFonts w:asciiTheme="minorHAnsi" w:eastAsiaTheme="minorHAnsi" w:hAnsiTheme="minorHAnsi" w:cstheme="minorBidi"/>
      <w:sz w:val="22"/>
      <w:szCs w:val="22"/>
      <w:lang w:eastAsia="en-US"/>
    </w:rPr>
  </w:style>
  <w:style w:type="character" w:customStyle="1" w:styleId="BodyTextIndent3Char">
    <w:name w:val="Body Text Indent 3 Char"/>
    <w:basedOn w:val="DefaultParagraphFont"/>
    <w:link w:val="BodyTextIndent3"/>
    <w:uiPriority w:val="99"/>
    <w:semiHidden/>
    <w:rsid w:val="00836A43"/>
    <w:rPr>
      <w:rFonts w:asciiTheme="minorHAnsi" w:eastAsiaTheme="minorHAnsi" w:hAnsiTheme="minorHAnsi" w:cstheme="minorBidi"/>
      <w:sz w:val="16"/>
      <w:szCs w:val="16"/>
      <w:lang w:eastAsia="en-US"/>
    </w:rPr>
  </w:style>
  <w:style w:type="character" w:customStyle="1" w:styleId="PlainTextChar">
    <w:name w:val="Plain Text Char"/>
    <w:basedOn w:val="DefaultParagraphFont"/>
    <w:link w:val="PlainText"/>
    <w:uiPriority w:val="99"/>
    <w:semiHidden/>
    <w:rsid w:val="00836A43"/>
    <w:rPr>
      <w:rFonts w:ascii="Courier New" w:eastAsiaTheme="minorHAnsi" w:hAnsi="Courier New" w:cstheme="minorBidi"/>
      <w:lang w:eastAsia="en-US"/>
    </w:rPr>
  </w:style>
  <w:style w:type="character" w:customStyle="1" w:styleId="E-mailSignatureChar">
    <w:name w:val="E-mail Signature Char"/>
    <w:basedOn w:val="DefaultParagraphFont"/>
    <w:link w:val="E-mailSignature"/>
    <w:uiPriority w:val="99"/>
    <w:semiHidden/>
    <w:rsid w:val="00836A43"/>
    <w:rPr>
      <w:rFonts w:asciiTheme="minorHAnsi" w:eastAsiaTheme="minorHAnsi" w:hAnsiTheme="minorHAnsi" w:cstheme="minorBidi"/>
      <w:sz w:val="22"/>
      <w:szCs w:val="22"/>
      <w:lang w:eastAsia="en-US"/>
    </w:rPr>
  </w:style>
  <w:style w:type="character" w:customStyle="1" w:styleId="CommentTextChar1">
    <w:name w:val="Comment Text Char1"/>
    <w:basedOn w:val="DefaultParagraphFont"/>
    <w:uiPriority w:val="99"/>
    <w:semiHidden/>
    <w:rsid w:val="00836A43"/>
    <w:rPr>
      <w:rFonts w:asciiTheme="minorHAnsi" w:eastAsiaTheme="minorHAnsi" w:hAnsiTheme="minorHAnsi" w:cstheme="minorBidi" w:hint="default"/>
      <w:lang w:eastAsia="en-US"/>
    </w:rPr>
  </w:style>
  <w:style w:type="paragraph" w:styleId="TOC5">
    <w:name w:val="toc 5"/>
    <w:basedOn w:val="Normal"/>
    <w:next w:val="Normal"/>
    <w:autoRedefine/>
    <w:uiPriority w:val="39"/>
    <w:unhideWhenUsed/>
    <w:locked/>
    <w:rsid w:val="00D573E1"/>
    <w:pPr>
      <w:spacing w:after="100"/>
      <w:ind w:left="880"/>
    </w:pPr>
    <w:rPr>
      <w:rFonts w:eastAsiaTheme="minorEastAsia"/>
      <w:lang w:eastAsia="en-GB"/>
    </w:rPr>
  </w:style>
  <w:style w:type="paragraph" w:styleId="TOC6">
    <w:name w:val="toc 6"/>
    <w:basedOn w:val="Normal"/>
    <w:next w:val="Normal"/>
    <w:autoRedefine/>
    <w:uiPriority w:val="39"/>
    <w:unhideWhenUsed/>
    <w:locked/>
    <w:rsid w:val="00D573E1"/>
    <w:pPr>
      <w:spacing w:after="100"/>
      <w:ind w:left="1100"/>
    </w:pPr>
    <w:rPr>
      <w:rFonts w:eastAsiaTheme="minorEastAsia"/>
      <w:lang w:eastAsia="en-GB"/>
    </w:rPr>
  </w:style>
  <w:style w:type="paragraph" w:styleId="TOC7">
    <w:name w:val="toc 7"/>
    <w:basedOn w:val="Normal"/>
    <w:next w:val="Normal"/>
    <w:autoRedefine/>
    <w:uiPriority w:val="39"/>
    <w:unhideWhenUsed/>
    <w:locked/>
    <w:rsid w:val="00D573E1"/>
    <w:pPr>
      <w:spacing w:after="100"/>
      <w:ind w:left="1320"/>
    </w:pPr>
    <w:rPr>
      <w:rFonts w:eastAsiaTheme="minorEastAsia"/>
      <w:lang w:eastAsia="en-GB"/>
    </w:rPr>
  </w:style>
  <w:style w:type="paragraph" w:styleId="TOC8">
    <w:name w:val="toc 8"/>
    <w:basedOn w:val="Normal"/>
    <w:next w:val="Normal"/>
    <w:autoRedefine/>
    <w:uiPriority w:val="39"/>
    <w:unhideWhenUsed/>
    <w:locked/>
    <w:rsid w:val="00D573E1"/>
    <w:pPr>
      <w:spacing w:after="100"/>
      <w:ind w:left="1540"/>
    </w:pPr>
    <w:rPr>
      <w:rFonts w:eastAsiaTheme="minorEastAsia"/>
      <w:lang w:eastAsia="en-GB"/>
    </w:rPr>
  </w:style>
  <w:style w:type="paragraph" w:styleId="TOC9">
    <w:name w:val="toc 9"/>
    <w:basedOn w:val="Normal"/>
    <w:next w:val="Normal"/>
    <w:autoRedefine/>
    <w:uiPriority w:val="39"/>
    <w:unhideWhenUsed/>
    <w:locked/>
    <w:rsid w:val="00D573E1"/>
    <w:pPr>
      <w:spacing w:after="100"/>
      <w:ind w:left="1760"/>
    </w:pPr>
    <w:rPr>
      <w:rFonts w:eastAsiaTheme="minorEastAsia"/>
      <w:lang w:eastAsia="en-GB"/>
    </w:rPr>
  </w:style>
  <w:style w:type="paragraph" w:styleId="TOCHeading">
    <w:name w:val="TOC Heading"/>
    <w:basedOn w:val="Heading1"/>
    <w:next w:val="Normal"/>
    <w:uiPriority w:val="39"/>
    <w:semiHidden/>
    <w:unhideWhenUsed/>
    <w:qFormat/>
    <w:rsid w:val="00D573E1"/>
    <w:pPr>
      <w:keepNext/>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gmail-msolistparagraph">
    <w:name w:val="gmail-msolistparagraph"/>
    <w:basedOn w:val="Normal"/>
    <w:uiPriority w:val="99"/>
    <w:rsid w:val="00D573E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lfld-contribauthor">
    <w:name w:val="hlfld-contribauthor"/>
    <w:basedOn w:val="DefaultParagraphFont"/>
    <w:rsid w:val="00C4029B"/>
  </w:style>
  <w:style w:type="character" w:customStyle="1" w:styleId="apple-converted-space">
    <w:name w:val="apple-converted-space"/>
    <w:basedOn w:val="DefaultParagraphFont"/>
    <w:rsid w:val="00C4029B"/>
  </w:style>
  <w:style w:type="character" w:customStyle="1" w:styleId="nlmgiven-names">
    <w:name w:val="nlm_given-names"/>
    <w:basedOn w:val="DefaultParagraphFont"/>
    <w:rsid w:val="00C4029B"/>
  </w:style>
  <w:style w:type="character" w:customStyle="1" w:styleId="nlmyear">
    <w:name w:val="nlm_year"/>
    <w:basedOn w:val="DefaultParagraphFont"/>
    <w:rsid w:val="00C4029B"/>
  </w:style>
  <w:style w:type="character" w:customStyle="1" w:styleId="nlmarticle-title">
    <w:name w:val="nlm_article-title"/>
    <w:basedOn w:val="DefaultParagraphFont"/>
    <w:rsid w:val="00C4029B"/>
  </w:style>
  <w:style w:type="character" w:customStyle="1" w:styleId="nlmfpage">
    <w:name w:val="nlm_fpage"/>
    <w:basedOn w:val="DefaultParagraphFont"/>
    <w:rsid w:val="00C4029B"/>
  </w:style>
  <w:style w:type="character" w:customStyle="1" w:styleId="nlmlpage">
    <w:name w:val="nlm_lpage"/>
    <w:basedOn w:val="DefaultParagraphFont"/>
    <w:rsid w:val="00C40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99" w:qFormat="1"/>
    <w:lsdException w:name="heading 8" w:locked="1" w:uiPriority="99" w:qFormat="1"/>
    <w:lsdException w:name="heading 9" w:locked="1" w:uiPriority="9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99"/>
    <w:lsdException w:name="footnote text" w:uiPriority="99"/>
    <w:lsdException w:name="header" w:uiPriority="99"/>
    <w:lsdException w:name="footer" w:uiPriority="99"/>
    <w:lsdException w:name="caption" w:locked="1"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endnote reference" w:uiPriority="99"/>
    <w:lsdException w:name="endnote text"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5" w:uiPriority="99"/>
    <w:lsdException w:name="List Number 2" w:uiPriority="99"/>
    <w:lsdException w:name="List Number 3" w:uiPriority="99"/>
    <w:lsdException w:name="List Number 4" w:uiPriority="99"/>
    <w:lsdException w:name="List Number 5" w:uiPriority="99"/>
    <w:lsdException w:name="Title" w:locked="1" w:semiHidden="0" w:uiPriority="99" w:unhideWhenUsed="0" w:qFormat="1"/>
    <w:lsdException w:name="Closing" w:uiPriority="99"/>
    <w:lsdException w:name="Signature" w:uiPriority="99"/>
    <w:lsdException w:name="Default Paragraph Font" w:locked="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locked="1"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locked="1" w:semiHidden="0" w:unhideWhenUsed="0" w:qFormat="1"/>
    <w:lsdException w:name="Emphasis" w:locked="1" w:semiHidden="0" w:uiPriority="20" w:unhideWhenUsed="0" w:qFormat="1"/>
    <w:lsdException w:name="Plain Text" w:uiPriority="99"/>
    <w:lsdException w:name="E-mail Signature" w:uiPriority="99"/>
    <w:lsdException w:name="Normal (Web)" w:uiPriority="99"/>
    <w:lsdException w:name="annotation subject" w:uiPriority="99"/>
    <w:lsdException w:name="No List" w:uiPriority="99"/>
    <w:lsdException w:name="Balloon Text" w:uiPriority="99"/>
    <w:lsdException w:name="Table Grid" w:locked="1"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99F"/>
    <w:pPr>
      <w:spacing w:after="200" w:line="276" w:lineRule="auto"/>
    </w:pPr>
    <w:rPr>
      <w:rFonts w:asciiTheme="minorHAnsi" w:eastAsiaTheme="minorHAnsi" w:hAnsiTheme="minorHAnsi" w:cstheme="minorBidi"/>
      <w:sz w:val="22"/>
      <w:szCs w:val="22"/>
      <w:lang w:eastAsia="en-US"/>
    </w:rPr>
  </w:style>
  <w:style w:type="paragraph" w:styleId="Heading1">
    <w:name w:val="heading 1"/>
    <w:next w:val="BodyCopy"/>
    <w:link w:val="Heading1Char"/>
    <w:qFormat/>
    <w:rsid w:val="009005D1"/>
    <w:pPr>
      <w:pageBreakBefore/>
      <w:numPr>
        <w:numId w:val="13"/>
      </w:numPr>
      <w:spacing w:before="360" w:after="120" w:line="300" w:lineRule="auto"/>
      <w:outlineLvl w:val="0"/>
    </w:pPr>
    <w:rPr>
      <w:rFonts w:ascii="Arial" w:eastAsia="Times New Roman" w:hAnsi="Arial"/>
      <w:b/>
      <w:sz w:val="44"/>
    </w:rPr>
  </w:style>
  <w:style w:type="paragraph" w:styleId="Heading2">
    <w:name w:val="heading 2"/>
    <w:next w:val="BodyCopy"/>
    <w:link w:val="Heading2Char"/>
    <w:qFormat/>
    <w:locked/>
    <w:rsid w:val="009005D1"/>
    <w:pPr>
      <w:numPr>
        <w:ilvl w:val="1"/>
        <w:numId w:val="13"/>
      </w:numPr>
      <w:spacing w:before="360" w:after="100"/>
      <w:outlineLvl w:val="1"/>
    </w:pPr>
    <w:rPr>
      <w:rFonts w:ascii="Arial" w:eastAsia="Times New Roman" w:hAnsi="Arial"/>
      <w:color w:val="B4489B"/>
      <w:sz w:val="40"/>
    </w:rPr>
  </w:style>
  <w:style w:type="paragraph" w:styleId="Heading3">
    <w:name w:val="heading 3"/>
    <w:next w:val="BodyCopy"/>
    <w:link w:val="Heading3Char"/>
    <w:qFormat/>
    <w:locked/>
    <w:rsid w:val="009005D1"/>
    <w:pPr>
      <w:keepNext/>
      <w:numPr>
        <w:ilvl w:val="2"/>
        <w:numId w:val="13"/>
      </w:numPr>
      <w:spacing w:before="360" w:after="100"/>
      <w:outlineLvl w:val="2"/>
    </w:pPr>
    <w:rPr>
      <w:rFonts w:ascii="Arial" w:eastAsia="Times New Roman" w:hAnsi="Arial"/>
      <w:color w:val="000000"/>
      <w:sz w:val="32"/>
    </w:rPr>
  </w:style>
  <w:style w:type="paragraph" w:styleId="Heading4">
    <w:name w:val="heading 4"/>
    <w:next w:val="BodyCopy"/>
    <w:link w:val="Heading4Char"/>
    <w:qFormat/>
    <w:locked/>
    <w:rsid w:val="00095B06"/>
    <w:pPr>
      <w:spacing w:before="360" w:after="100"/>
      <w:jc w:val="both"/>
      <w:outlineLvl w:val="3"/>
    </w:pPr>
    <w:rPr>
      <w:rFonts w:ascii="Arial" w:eastAsia="Times New Roman" w:hAnsi="Arial"/>
      <w:sz w:val="28"/>
    </w:rPr>
  </w:style>
  <w:style w:type="paragraph" w:styleId="Heading5">
    <w:name w:val="heading 5"/>
    <w:next w:val="BodyCopy"/>
    <w:link w:val="Heading5Char"/>
    <w:qFormat/>
    <w:locked/>
    <w:rsid w:val="00095B06"/>
    <w:pPr>
      <w:spacing w:before="240"/>
      <w:outlineLvl w:val="4"/>
    </w:pPr>
    <w:rPr>
      <w:rFonts w:ascii="Arial" w:eastAsia="Times New Roman" w:hAnsi="Arial"/>
      <w:b/>
      <w:color w:val="000000"/>
      <w:sz w:val="22"/>
    </w:rPr>
  </w:style>
  <w:style w:type="paragraph" w:styleId="Heading6">
    <w:name w:val="heading 6"/>
    <w:next w:val="BodyCopy"/>
    <w:link w:val="Heading6Char"/>
    <w:qFormat/>
    <w:locked/>
    <w:rsid w:val="00095B06"/>
    <w:pPr>
      <w:pageBreakBefore/>
      <w:numPr>
        <w:numId w:val="16"/>
      </w:numPr>
      <w:tabs>
        <w:tab w:val="clear" w:pos="360"/>
        <w:tab w:val="left" w:pos="2835"/>
      </w:tabs>
      <w:spacing w:before="360" w:after="120" w:line="300" w:lineRule="auto"/>
      <w:ind w:left="0" w:firstLine="0"/>
      <w:outlineLvl w:val="5"/>
    </w:pPr>
    <w:rPr>
      <w:rFonts w:ascii="Arial" w:eastAsia="Times New Roman" w:hAnsi="Arial"/>
      <w:sz w:val="44"/>
    </w:rPr>
  </w:style>
  <w:style w:type="paragraph" w:styleId="Heading7">
    <w:name w:val="heading 7"/>
    <w:basedOn w:val="Normal"/>
    <w:next w:val="Normal"/>
    <w:link w:val="Heading7Char"/>
    <w:uiPriority w:val="99"/>
    <w:semiHidden/>
    <w:qFormat/>
    <w:locked/>
    <w:rsid w:val="0087445F"/>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semiHidden/>
    <w:qFormat/>
    <w:locked/>
    <w:rsid w:val="0087445F"/>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semiHidden/>
    <w:qFormat/>
    <w:locked/>
    <w:rsid w:val="0087445F"/>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TOC1"/>
    <w:next w:val="BodyCopy"/>
    <w:autoRedefine/>
    <w:uiPriority w:val="39"/>
    <w:locked/>
    <w:rsid w:val="00095B06"/>
    <w:pPr>
      <w:tabs>
        <w:tab w:val="clear" w:pos="8296"/>
        <w:tab w:val="left" w:pos="1134"/>
        <w:tab w:val="left" w:pos="1985"/>
        <w:tab w:val="right" w:leader="dot" w:pos="8295"/>
      </w:tabs>
      <w:spacing w:after="40" w:line="240" w:lineRule="auto"/>
      <w:ind w:left="1134" w:hanging="1134"/>
    </w:pPr>
    <w:rPr>
      <w:color w:val="auto"/>
      <w:sz w:val="22"/>
    </w:rPr>
  </w:style>
  <w:style w:type="paragraph" w:customStyle="1" w:styleId="CoverSub-title">
    <w:name w:val="¬Cover_Sub-title"/>
    <w:uiPriority w:val="99"/>
    <w:rsid w:val="009005D1"/>
    <w:pPr>
      <w:spacing w:before="360"/>
      <w:contextualSpacing/>
    </w:pPr>
    <w:rPr>
      <w:rFonts w:ascii="Arial" w:eastAsia="Times New Roman" w:hAnsi="Arial"/>
      <w:b/>
      <w:bCs/>
      <w:color w:val="B4489B"/>
      <w:sz w:val="72"/>
    </w:rPr>
  </w:style>
  <w:style w:type="paragraph" w:customStyle="1" w:styleId="CoverTitle">
    <w:name w:val="¬Cover_Title"/>
    <w:uiPriority w:val="99"/>
    <w:rsid w:val="009005D1"/>
    <w:pPr>
      <w:spacing w:before="2400"/>
      <w:contextualSpacing/>
    </w:pPr>
    <w:rPr>
      <w:rFonts w:ascii="Arial" w:eastAsia="Times New Roman" w:hAnsi="Arial"/>
      <w:b/>
      <w:color w:val="000000"/>
      <w:sz w:val="120"/>
    </w:rPr>
  </w:style>
  <w:style w:type="paragraph" w:customStyle="1" w:styleId="NatCendetails">
    <w:name w:val="¬NatCen details"/>
    <w:uiPriority w:val="99"/>
    <w:rsid w:val="009005D1"/>
    <w:rPr>
      <w:rFonts w:ascii="Arial" w:eastAsia="Times New Roman" w:hAnsi="Arial"/>
    </w:rPr>
  </w:style>
  <w:style w:type="paragraph" w:customStyle="1" w:styleId="GraphicC">
    <w:name w:val="¬Graphic_C"/>
    <w:basedOn w:val="BodyCopy"/>
    <w:next w:val="BodyCopy"/>
    <w:uiPriority w:val="99"/>
    <w:rsid w:val="00A3113E"/>
    <w:pPr>
      <w:spacing w:before="40" w:after="40"/>
      <w:jc w:val="center"/>
    </w:pPr>
    <w:rPr>
      <w:noProof/>
    </w:rPr>
  </w:style>
  <w:style w:type="paragraph" w:customStyle="1" w:styleId="CaptionTables">
    <w:name w:val="¬Caption_Tables"/>
    <w:basedOn w:val="CaptionFigures"/>
    <w:uiPriority w:val="99"/>
    <w:rsid w:val="00494FD9"/>
  </w:style>
  <w:style w:type="paragraph" w:customStyle="1" w:styleId="Contentsheading">
    <w:name w:val="¬Contents heading"/>
    <w:uiPriority w:val="99"/>
    <w:semiHidden/>
    <w:rsid w:val="009005D1"/>
    <w:pPr>
      <w:spacing w:before="1440"/>
    </w:pPr>
    <w:rPr>
      <w:rFonts w:ascii="Arial" w:eastAsia="Times New Roman" w:hAnsi="Arial"/>
      <w:bCs/>
      <w:sz w:val="72"/>
    </w:rPr>
  </w:style>
  <w:style w:type="paragraph" w:styleId="BalloonText">
    <w:name w:val="Balloon Text"/>
    <w:basedOn w:val="Normal"/>
    <w:link w:val="BalloonTextChar"/>
    <w:uiPriority w:val="99"/>
    <w:semiHidden/>
    <w:rsid w:val="00CB082C"/>
    <w:pPr>
      <w:spacing w:after="0" w:line="240" w:lineRule="auto"/>
    </w:pPr>
    <w:rPr>
      <w:rFonts w:ascii="Tahoma" w:hAnsi="Tahoma" w:cs="Tahoma"/>
      <w:sz w:val="16"/>
      <w:szCs w:val="16"/>
    </w:rPr>
  </w:style>
  <w:style w:type="paragraph" w:styleId="Footer">
    <w:name w:val="footer"/>
    <w:basedOn w:val="Normal"/>
    <w:link w:val="FooterChar"/>
    <w:uiPriority w:val="99"/>
    <w:semiHidden/>
    <w:rsid w:val="00F0173B"/>
    <w:pPr>
      <w:tabs>
        <w:tab w:val="center" w:pos="4153"/>
        <w:tab w:val="right" w:pos="8306"/>
      </w:tabs>
    </w:pPr>
  </w:style>
  <w:style w:type="paragraph" w:styleId="Header">
    <w:name w:val="header"/>
    <w:basedOn w:val="Normal"/>
    <w:link w:val="HeaderChar"/>
    <w:uiPriority w:val="99"/>
    <w:semiHidden/>
    <w:rsid w:val="00F0173B"/>
    <w:pPr>
      <w:tabs>
        <w:tab w:val="center" w:pos="4153"/>
        <w:tab w:val="right" w:pos="8306"/>
      </w:tabs>
    </w:pPr>
  </w:style>
  <w:style w:type="paragraph" w:customStyle="1" w:styleId="Coverblankrow">
    <w:name w:val="¬Cover_blank row"/>
    <w:basedOn w:val="BodyCopy"/>
    <w:uiPriority w:val="99"/>
    <w:semiHidden/>
    <w:rsid w:val="00E92C5B"/>
    <w:rPr>
      <w:sz w:val="12"/>
    </w:rPr>
  </w:style>
  <w:style w:type="character" w:customStyle="1" w:styleId="BalloonTextChar">
    <w:name w:val="Balloon Text Char"/>
    <w:basedOn w:val="DefaultParagraphFont"/>
    <w:link w:val="BalloonText"/>
    <w:uiPriority w:val="99"/>
    <w:semiHidden/>
    <w:rsid w:val="00F628EF"/>
    <w:rPr>
      <w:rFonts w:ascii="Tahoma" w:eastAsia="Times New Roman" w:hAnsi="Tahoma" w:cs="Tahoma"/>
      <w:sz w:val="16"/>
      <w:szCs w:val="16"/>
      <w:lang w:val="en-US" w:eastAsia="en-US"/>
    </w:rPr>
  </w:style>
  <w:style w:type="character" w:customStyle="1" w:styleId="BodyCopyChar">
    <w:name w:val="¬Body Copy Char"/>
    <w:basedOn w:val="DefaultParagraphFont"/>
    <w:link w:val="BodyCopy"/>
    <w:rsid w:val="00404F94"/>
    <w:rPr>
      <w:rFonts w:ascii="Arial" w:eastAsia="Times New Roman" w:hAnsi="Arial"/>
      <w:sz w:val="22"/>
    </w:rPr>
  </w:style>
  <w:style w:type="table" w:styleId="TableGrid">
    <w:name w:val="Table Grid"/>
    <w:basedOn w:val="TableNormal"/>
    <w:rsid w:val="008C5CE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Copy">
    <w:name w:val="¬Body Copy"/>
    <w:link w:val="BodyCopyChar"/>
    <w:rsid w:val="00404F94"/>
    <w:rPr>
      <w:rFonts w:ascii="Arial" w:eastAsia="Times New Roman" w:hAnsi="Arial"/>
      <w:sz w:val="22"/>
    </w:rPr>
  </w:style>
  <w:style w:type="numbering" w:styleId="111111">
    <w:name w:val="Outline List 2"/>
    <w:basedOn w:val="NoList"/>
    <w:semiHidden/>
    <w:rsid w:val="00286FCA"/>
  </w:style>
  <w:style w:type="character" w:customStyle="1" w:styleId="CommentTextChar">
    <w:name w:val="Comment Text Char"/>
    <w:basedOn w:val="DefaultParagraphFont"/>
    <w:link w:val="CommentText"/>
    <w:rsid w:val="00CB082C"/>
    <w:rPr>
      <w:rFonts w:eastAsia="Times New Roman"/>
      <w:lang w:val="en-US" w:eastAsia="en-US"/>
    </w:rPr>
  </w:style>
  <w:style w:type="paragraph" w:customStyle="1" w:styleId="TabletextL">
    <w:name w:val="¬Table text_L"/>
    <w:uiPriority w:val="99"/>
    <w:qFormat/>
    <w:rsid w:val="00A56CDC"/>
    <w:pPr>
      <w:spacing w:before="40" w:after="40"/>
    </w:pPr>
    <w:rPr>
      <w:rFonts w:ascii="Arial" w:eastAsia="Times New Roman" w:hAnsi="Arial" w:cs="Arial"/>
      <w:lang w:val="en-US" w:eastAsia="en-US"/>
    </w:rPr>
  </w:style>
  <w:style w:type="paragraph" w:customStyle="1" w:styleId="HighlighttextPurple">
    <w:name w:val="¬Highlight text_Purple"/>
    <w:uiPriority w:val="99"/>
    <w:rsid w:val="009005D1"/>
    <w:rPr>
      <w:rFonts w:ascii="Arial" w:eastAsia="Times New Roman" w:hAnsi="Arial"/>
      <w:color w:val="B4489B"/>
      <w:sz w:val="36"/>
      <w:lang w:val="fr-FR"/>
    </w:rPr>
  </w:style>
  <w:style w:type="table" w:customStyle="1" w:styleId="Style1">
    <w:name w:val="Style1"/>
    <w:semiHidden/>
    <w:rsid w:val="006946CD"/>
    <w:rPr>
      <w:rFonts w:ascii="Helvetica 55 Roman" w:eastAsia="Times New Roman" w:hAnsi="Helvetica 55 Roman"/>
    </w:rPr>
    <w:tblPr>
      <w:tblInd w:w="0" w:type="dxa"/>
      <w:tblCellMar>
        <w:top w:w="0" w:type="dxa"/>
        <w:left w:w="108" w:type="dxa"/>
        <w:bottom w:w="0" w:type="dxa"/>
        <w:right w:w="108" w:type="dxa"/>
      </w:tblCellMar>
    </w:tblPr>
  </w:style>
  <w:style w:type="paragraph" w:styleId="TableofFigures">
    <w:name w:val="table of figures"/>
    <w:basedOn w:val="Normal"/>
    <w:next w:val="Normal"/>
    <w:uiPriority w:val="99"/>
    <w:semiHidden/>
    <w:rsid w:val="00EA4E57"/>
  </w:style>
  <w:style w:type="paragraph" w:customStyle="1" w:styleId="FooterL">
    <w:name w:val="¬Footer_L"/>
    <w:uiPriority w:val="99"/>
    <w:semiHidden/>
    <w:rsid w:val="009005D1"/>
    <w:pPr>
      <w:spacing w:before="120"/>
    </w:pPr>
    <w:rPr>
      <w:rFonts w:ascii="Arial" w:eastAsia="Times New Roman" w:hAnsi="Arial" w:cs="ArialMT"/>
      <w:sz w:val="18"/>
      <w:szCs w:val="14"/>
      <w:lang w:val="en-US" w:eastAsia="en-US"/>
    </w:rPr>
  </w:style>
  <w:style w:type="paragraph" w:customStyle="1" w:styleId="PagenumberL">
    <w:name w:val="¬Page number_L"/>
    <w:basedOn w:val="PagenumberR"/>
    <w:uiPriority w:val="99"/>
    <w:semiHidden/>
    <w:rsid w:val="006E2B50"/>
    <w:pPr>
      <w:jc w:val="left"/>
    </w:pPr>
  </w:style>
  <w:style w:type="paragraph" w:customStyle="1" w:styleId="Hiddentextlarge">
    <w:name w:val="¬Hidden text_large"/>
    <w:basedOn w:val="Hiddentext"/>
    <w:uiPriority w:val="99"/>
    <w:semiHidden/>
    <w:rsid w:val="00C876A0"/>
    <w:rPr>
      <w:b/>
      <w:sz w:val="24"/>
    </w:rPr>
  </w:style>
  <w:style w:type="paragraph" w:styleId="TOC2">
    <w:name w:val="toc 2"/>
    <w:basedOn w:val="TOC1"/>
    <w:next w:val="TOC3"/>
    <w:autoRedefine/>
    <w:uiPriority w:val="39"/>
    <w:rsid w:val="00573D01"/>
    <w:pPr>
      <w:tabs>
        <w:tab w:val="clear" w:pos="540"/>
        <w:tab w:val="left" w:pos="567"/>
      </w:tabs>
      <w:ind w:left="567" w:hanging="567"/>
    </w:pPr>
    <w:rPr>
      <w:color w:val="auto"/>
      <w:sz w:val="24"/>
    </w:rPr>
  </w:style>
  <w:style w:type="paragraph" w:styleId="TOC1">
    <w:name w:val="toc 1"/>
    <w:next w:val="TOC2"/>
    <w:autoRedefine/>
    <w:uiPriority w:val="39"/>
    <w:rsid w:val="00095B06"/>
    <w:pPr>
      <w:tabs>
        <w:tab w:val="left" w:pos="540"/>
        <w:tab w:val="left" w:pos="1800"/>
        <w:tab w:val="right" w:leader="dot" w:pos="8296"/>
      </w:tabs>
      <w:spacing w:line="300" w:lineRule="auto"/>
    </w:pPr>
    <w:rPr>
      <w:rFonts w:ascii="Arial" w:eastAsia="Times New Roman" w:hAnsi="Arial"/>
      <w:noProof/>
      <w:color w:val="B4489B"/>
      <w:sz w:val="32"/>
    </w:rPr>
  </w:style>
  <w:style w:type="paragraph" w:styleId="TOC3">
    <w:name w:val="toc 3"/>
    <w:basedOn w:val="TOC1"/>
    <w:next w:val="TOC4"/>
    <w:autoRedefine/>
    <w:uiPriority w:val="39"/>
    <w:rsid w:val="00EA4E57"/>
    <w:pPr>
      <w:tabs>
        <w:tab w:val="clear" w:pos="540"/>
        <w:tab w:val="left" w:pos="1134"/>
      </w:tabs>
      <w:ind w:left="567" w:right="302"/>
    </w:pPr>
    <w:rPr>
      <w:color w:val="auto"/>
      <w:sz w:val="22"/>
    </w:rPr>
  </w:style>
  <w:style w:type="numbering" w:styleId="1ai">
    <w:name w:val="Outline List 1"/>
    <w:basedOn w:val="NoList"/>
    <w:semiHidden/>
    <w:rsid w:val="00286FCA"/>
    <w:pPr>
      <w:numPr>
        <w:numId w:val="11"/>
      </w:numPr>
    </w:pPr>
  </w:style>
  <w:style w:type="numbering" w:styleId="ArticleSection">
    <w:name w:val="Outline List 3"/>
    <w:basedOn w:val="NoList"/>
    <w:semiHidden/>
    <w:rsid w:val="00286FCA"/>
    <w:pPr>
      <w:numPr>
        <w:numId w:val="12"/>
      </w:numPr>
    </w:pPr>
  </w:style>
  <w:style w:type="paragraph" w:styleId="BlockText">
    <w:name w:val="Block Text"/>
    <w:basedOn w:val="Normal"/>
    <w:uiPriority w:val="99"/>
    <w:semiHidden/>
    <w:rsid w:val="00286FCA"/>
    <w:pPr>
      <w:spacing w:after="120"/>
      <w:ind w:left="1440" w:right="1440"/>
    </w:pPr>
  </w:style>
  <w:style w:type="paragraph" w:styleId="BodyText">
    <w:name w:val="Body Text"/>
    <w:basedOn w:val="Normal"/>
    <w:link w:val="BodyTextChar"/>
    <w:uiPriority w:val="99"/>
    <w:semiHidden/>
    <w:rsid w:val="00286FCA"/>
    <w:pPr>
      <w:spacing w:after="120"/>
    </w:pPr>
  </w:style>
  <w:style w:type="paragraph" w:styleId="BodyText2">
    <w:name w:val="Body Text 2"/>
    <w:basedOn w:val="Normal"/>
    <w:link w:val="BodyText2Char"/>
    <w:uiPriority w:val="99"/>
    <w:semiHidden/>
    <w:rsid w:val="00286FCA"/>
    <w:pPr>
      <w:spacing w:after="120" w:line="480" w:lineRule="auto"/>
    </w:pPr>
  </w:style>
  <w:style w:type="paragraph" w:styleId="BodyText3">
    <w:name w:val="Body Text 3"/>
    <w:basedOn w:val="Normal"/>
    <w:link w:val="BodyText3Char"/>
    <w:uiPriority w:val="99"/>
    <w:semiHidden/>
    <w:rsid w:val="00286FCA"/>
    <w:pPr>
      <w:spacing w:after="120"/>
    </w:pPr>
    <w:rPr>
      <w:sz w:val="16"/>
      <w:szCs w:val="16"/>
    </w:rPr>
  </w:style>
  <w:style w:type="paragraph" w:styleId="BodyTextFirstIndent">
    <w:name w:val="Body Text First Indent"/>
    <w:basedOn w:val="BodyText"/>
    <w:link w:val="BodyTextFirstIndentChar"/>
    <w:uiPriority w:val="99"/>
    <w:semiHidden/>
    <w:rsid w:val="00286FCA"/>
    <w:pPr>
      <w:ind w:firstLine="210"/>
    </w:pPr>
  </w:style>
  <w:style w:type="paragraph" w:styleId="BodyTextIndent">
    <w:name w:val="Body Text Indent"/>
    <w:basedOn w:val="Normal"/>
    <w:link w:val="BodyTextIndentChar"/>
    <w:uiPriority w:val="99"/>
    <w:semiHidden/>
    <w:rsid w:val="00286FCA"/>
    <w:pPr>
      <w:spacing w:after="120"/>
      <w:ind w:left="283"/>
    </w:pPr>
  </w:style>
  <w:style w:type="paragraph" w:styleId="BodyTextFirstIndent2">
    <w:name w:val="Body Text First Indent 2"/>
    <w:basedOn w:val="BodyTextIndent"/>
    <w:link w:val="BodyTextFirstIndent2Char"/>
    <w:uiPriority w:val="99"/>
    <w:semiHidden/>
    <w:rsid w:val="00286FCA"/>
    <w:pPr>
      <w:ind w:firstLine="210"/>
    </w:pPr>
  </w:style>
  <w:style w:type="paragraph" w:styleId="BodyTextIndent2">
    <w:name w:val="Body Text Indent 2"/>
    <w:basedOn w:val="Normal"/>
    <w:link w:val="BodyTextIndent2Char"/>
    <w:uiPriority w:val="99"/>
    <w:semiHidden/>
    <w:rsid w:val="00286FCA"/>
    <w:pPr>
      <w:spacing w:after="120" w:line="480" w:lineRule="auto"/>
      <w:ind w:left="283"/>
    </w:pPr>
  </w:style>
  <w:style w:type="paragraph" w:styleId="BodyTextIndent3">
    <w:name w:val="Body Text Indent 3"/>
    <w:basedOn w:val="Normal"/>
    <w:link w:val="BodyTextIndent3Char"/>
    <w:uiPriority w:val="99"/>
    <w:semiHidden/>
    <w:rsid w:val="00286FCA"/>
    <w:pPr>
      <w:spacing w:after="120"/>
      <w:ind w:left="283"/>
    </w:pPr>
    <w:rPr>
      <w:sz w:val="16"/>
      <w:szCs w:val="16"/>
    </w:rPr>
  </w:style>
  <w:style w:type="paragraph" w:styleId="Closing">
    <w:name w:val="Closing"/>
    <w:basedOn w:val="Normal"/>
    <w:link w:val="ClosingChar"/>
    <w:uiPriority w:val="99"/>
    <w:semiHidden/>
    <w:rsid w:val="00286FCA"/>
    <w:pPr>
      <w:ind w:left="4252"/>
    </w:pPr>
  </w:style>
  <w:style w:type="paragraph" w:styleId="Date">
    <w:name w:val="Date"/>
    <w:basedOn w:val="Normal"/>
    <w:next w:val="Normal"/>
    <w:link w:val="DateChar"/>
    <w:uiPriority w:val="99"/>
    <w:semiHidden/>
    <w:rsid w:val="00286FCA"/>
  </w:style>
  <w:style w:type="paragraph" w:styleId="E-mailSignature">
    <w:name w:val="E-mail Signature"/>
    <w:basedOn w:val="Normal"/>
    <w:link w:val="E-mailSignatureChar"/>
    <w:uiPriority w:val="99"/>
    <w:semiHidden/>
    <w:rsid w:val="00286FCA"/>
  </w:style>
  <w:style w:type="character" w:styleId="Emphasis">
    <w:name w:val="Emphasis"/>
    <w:basedOn w:val="DefaultParagraphFont"/>
    <w:uiPriority w:val="20"/>
    <w:qFormat/>
    <w:locked/>
    <w:rsid w:val="00DE328C"/>
    <w:rPr>
      <w:i/>
      <w:iCs/>
    </w:rPr>
  </w:style>
  <w:style w:type="paragraph" w:styleId="EnvelopeAddress">
    <w:name w:val="envelope address"/>
    <w:basedOn w:val="Normal"/>
    <w:uiPriority w:val="99"/>
    <w:semiHidden/>
    <w:rsid w:val="00286FCA"/>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286FCA"/>
    <w:rPr>
      <w:sz w:val="20"/>
      <w:szCs w:val="20"/>
    </w:rPr>
  </w:style>
  <w:style w:type="character" w:styleId="FollowedHyperlink">
    <w:name w:val="FollowedHyperlink"/>
    <w:semiHidden/>
    <w:rsid w:val="00286FCA"/>
    <w:rPr>
      <w:color w:val="800080"/>
      <w:u w:val="single"/>
    </w:rPr>
  </w:style>
  <w:style w:type="character" w:styleId="HTMLAcronym">
    <w:name w:val="HTML Acronym"/>
    <w:basedOn w:val="DefaultParagraphFont"/>
    <w:semiHidden/>
    <w:rsid w:val="00286FCA"/>
  </w:style>
  <w:style w:type="paragraph" w:styleId="HTMLAddress">
    <w:name w:val="HTML Address"/>
    <w:basedOn w:val="Normal"/>
    <w:link w:val="HTMLAddressChar"/>
    <w:semiHidden/>
    <w:rsid w:val="00286FCA"/>
    <w:rPr>
      <w:i/>
      <w:iCs/>
    </w:rPr>
  </w:style>
  <w:style w:type="character" w:styleId="HTMLCite">
    <w:name w:val="HTML Cite"/>
    <w:semiHidden/>
    <w:rsid w:val="00286FCA"/>
    <w:rPr>
      <w:i/>
      <w:iCs/>
    </w:rPr>
  </w:style>
  <w:style w:type="character" w:styleId="HTMLCode">
    <w:name w:val="HTML Code"/>
    <w:semiHidden/>
    <w:rsid w:val="00286FCA"/>
    <w:rPr>
      <w:rFonts w:ascii="Courier New" w:hAnsi="Courier New"/>
      <w:sz w:val="20"/>
      <w:szCs w:val="20"/>
    </w:rPr>
  </w:style>
  <w:style w:type="character" w:styleId="HTMLDefinition">
    <w:name w:val="HTML Definition"/>
    <w:semiHidden/>
    <w:rsid w:val="00286FCA"/>
    <w:rPr>
      <w:i/>
      <w:iCs/>
    </w:rPr>
  </w:style>
  <w:style w:type="character" w:styleId="HTMLKeyboard">
    <w:name w:val="HTML Keyboard"/>
    <w:semiHidden/>
    <w:rsid w:val="00286FCA"/>
    <w:rPr>
      <w:rFonts w:ascii="Courier New" w:hAnsi="Courier New"/>
      <w:sz w:val="20"/>
      <w:szCs w:val="20"/>
    </w:rPr>
  </w:style>
  <w:style w:type="paragraph" w:styleId="HTMLPreformatted">
    <w:name w:val="HTML Preformatted"/>
    <w:basedOn w:val="Normal"/>
    <w:link w:val="HTMLPreformattedChar"/>
    <w:semiHidden/>
    <w:rsid w:val="00286FCA"/>
    <w:rPr>
      <w:rFonts w:ascii="Courier New" w:hAnsi="Courier New"/>
      <w:sz w:val="20"/>
      <w:szCs w:val="20"/>
    </w:rPr>
  </w:style>
  <w:style w:type="character" w:styleId="HTMLSample">
    <w:name w:val="HTML Sample"/>
    <w:semiHidden/>
    <w:rsid w:val="00286FCA"/>
    <w:rPr>
      <w:rFonts w:ascii="Courier New" w:hAnsi="Courier New"/>
    </w:rPr>
  </w:style>
  <w:style w:type="character" w:styleId="HTMLTypewriter">
    <w:name w:val="HTML Typewriter"/>
    <w:semiHidden/>
    <w:rsid w:val="00286FCA"/>
    <w:rPr>
      <w:rFonts w:ascii="Courier New" w:hAnsi="Courier New"/>
      <w:sz w:val="20"/>
      <w:szCs w:val="20"/>
    </w:rPr>
  </w:style>
  <w:style w:type="character" w:styleId="HTMLVariable">
    <w:name w:val="HTML Variable"/>
    <w:semiHidden/>
    <w:rsid w:val="00286FCA"/>
    <w:rPr>
      <w:i/>
      <w:iCs/>
    </w:rPr>
  </w:style>
  <w:style w:type="character" w:styleId="Hyperlink">
    <w:name w:val="Hyperlink"/>
    <w:uiPriority w:val="99"/>
    <w:rsid w:val="000C6B7A"/>
    <w:rPr>
      <w:color w:val="B4489B"/>
      <w:u w:val="single"/>
    </w:rPr>
  </w:style>
  <w:style w:type="character" w:styleId="LineNumber">
    <w:name w:val="line number"/>
    <w:basedOn w:val="DefaultParagraphFont"/>
    <w:semiHidden/>
    <w:rsid w:val="00286FCA"/>
  </w:style>
  <w:style w:type="paragraph" w:styleId="List">
    <w:name w:val="List"/>
    <w:basedOn w:val="Normal"/>
    <w:uiPriority w:val="99"/>
    <w:semiHidden/>
    <w:rsid w:val="00286FCA"/>
    <w:pPr>
      <w:ind w:left="283" w:hanging="283"/>
    </w:pPr>
  </w:style>
  <w:style w:type="paragraph" w:styleId="List2">
    <w:name w:val="List 2"/>
    <w:basedOn w:val="Normal"/>
    <w:uiPriority w:val="99"/>
    <w:semiHidden/>
    <w:rsid w:val="00286FCA"/>
    <w:pPr>
      <w:ind w:left="566" w:hanging="283"/>
    </w:pPr>
  </w:style>
  <w:style w:type="paragraph" w:styleId="List3">
    <w:name w:val="List 3"/>
    <w:basedOn w:val="Normal"/>
    <w:uiPriority w:val="99"/>
    <w:semiHidden/>
    <w:rsid w:val="00286FCA"/>
    <w:pPr>
      <w:ind w:left="849" w:hanging="283"/>
    </w:pPr>
  </w:style>
  <w:style w:type="paragraph" w:styleId="List4">
    <w:name w:val="List 4"/>
    <w:basedOn w:val="Normal"/>
    <w:uiPriority w:val="99"/>
    <w:semiHidden/>
    <w:rsid w:val="00286FCA"/>
    <w:pPr>
      <w:ind w:left="1132" w:hanging="283"/>
    </w:pPr>
  </w:style>
  <w:style w:type="paragraph" w:styleId="List5">
    <w:name w:val="List 5"/>
    <w:basedOn w:val="Normal"/>
    <w:uiPriority w:val="99"/>
    <w:semiHidden/>
    <w:rsid w:val="00286FCA"/>
    <w:pPr>
      <w:ind w:left="1415" w:hanging="283"/>
    </w:pPr>
  </w:style>
  <w:style w:type="paragraph" w:styleId="ListBullet">
    <w:name w:val="List Bullet"/>
    <w:basedOn w:val="Normal"/>
    <w:uiPriority w:val="99"/>
    <w:semiHidden/>
    <w:rsid w:val="00286FCA"/>
    <w:pPr>
      <w:numPr>
        <w:numId w:val="1"/>
      </w:numPr>
    </w:pPr>
  </w:style>
  <w:style w:type="paragraph" w:styleId="ListBullet2">
    <w:name w:val="List Bullet 2"/>
    <w:basedOn w:val="Normal"/>
    <w:uiPriority w:val="99"/>
    <w:semiHidden/>
    <w:rsid w:val="00286FCA"/>
    <w:pPr>
      <w:numPr>
        <w:numId w:val="2"/>
      </w:numPr>
    </w:pPr>
  </w:style>
  <w:style w:type="paragraph" w:styleId="ListBullet3">
    <w:name w:val="List Bullet 3"/>
    <w:basedOn w:val="Normal"/>
    <w:uiPriority w:val="99"/>
    <w:semiHidden/>
    <w:rsid w:val="00286FCA"/>
    <w:pPr>
      <w:numPr>
        <w:numId w:val="3"/>
      </w:numPr>
    </w:pPr>
  </w:style>
  <w:style w:type="paragraph" w:styleId="ListBullet4">
    <w:name w:val="List Bullet 4"/>
    <w:basedOn w:val="Normal"/>
    <w:semiHidden/>
    <w:rsid w:val="00286FCA"/>
    <w:pPr>
      <w:numPr>
        <w:numId w:val="4"/>
      </w:numPr>
    </w:pPr>
  </w:style>
  <w:style w:type="paragraph" w:styleId="ListBullet5">
    <w:name w:val="List Bullet 5"/>
    <w:basedOn w:val="Normal"/>
    <w:uiPriority w:val="99"/>
    <w:semiHidden/>
    <w:rsid w:val="00286FCA"/>
    <w:pPr>
      <w:numPr>
        <w:numId w:val="5"/>
      </w:numPr>
    </w:pPr>
  </w:style>
  <w:style w:type="paragraph" w:styleId="ListContinue">
    <w:name w:val="List Continue"/>
    <w:basedOn w:val="Normal"/>
    <w:uiPriority w:val="99"/>
    <w:semiHidden/>
    <w:rsid w:val="00286FCA"/>
    <w:pPr>
      <w:spacing w:after="120"/>
      <w:ind w:left="283"/>
    </w:pPr>
  </w:style>
  <w:style w:type="paragraph" w:styleId="ListContinue2">
    <w:name w:val="List Continue 2"/>
    <w:basedOn w:val="Normal"/>
    <w:uiPriority w:val="99"/>
    <w:semiHidden/>
    <w:rsid w:val="00286FCA"/>
    <w:pPr>
      <w:spacing w:after="120"/>
      <w:ind w:left="566"/>
    </w:pPr>
  </w:style>
  <w:style w:type="paragraph" w:styleId="ListContinue3">
    <w:name w:val="List Continue 3"/>
    <w:basedOn w:val="Normal"/>
    <w:uiPriority w:val="99"/>
    <w:semiHidden/>
    <w:rsid w:val="00286FCA"/>
    <w:pPr>
      <w:spacing w:after="120"/>
      <w:ind w:left="849"/>
    </w:pPr>
  </w:style>
  <w:style w:type="paragraph" w:styleId="ListContinue4">
    <w:name w:val="List Continue 4"/>
    <w:basedOn w:val="Normal"/>
    <w:uiPriority w:val="99"/>
    <w:semiHidden/>
    <w:rsid w:val="00286FCA"/>
    <w:pPr>
      <w:spacing w:after="120"/>
      <w:ind w:left="1132"/>
    </w:pPr>
  </w:style>
  <w:style w:type="paragraph" w:styleId="ListContinue5">
    <w:name w:val="List Continue 5"/>
    <w:basedOn w:val="Normal"/>
    <w:uiPriority w:val="99"/>
    <w:semiHidden/>
    <w:rsid w:val="00286FCA"/>
    <w:pPr>
      <w:spacing w:after="120"/>
      <w:ind w:left="1415"/>
    </w:pPr>
  </w:style>
  <w:style w:type="paragraph" w:styleId="ListNumber">
    <w:name w:val="List Number"/>
    <w:basedOn w:val="Normal"/>
    <w:uiPriority w:val="99"/>
    <w:semiHidden/>
    <w:rsid w:val="00286FCA"/>
    <w:pPr>
      <w:numPr>
        <w:numId w:val="6"/>
      </w:numPr>
    </w:pPr>
  </w:style>
  <w:style w:type="paragraph" w:styleId="ListNumber2">
    <w:name w:val="List Number 2"/>
    <w:basedOn w:val="Normal"/>
    <w:uiPriority w:val="99"/>
    <w:semiHidden/>
    <w:rsid w:val="00286FCA"/>
    <w:pPr>
      <w:numPr>
        <w:numId w:val="7"/>
      </w:numPr>
    </w:pPr>
  </w:style>
  <w:style w:type="paragraph" w:styleId="ListNumber3">
    <w:name w:val="List Number 3"/>
    <w:basedOn w:val="Normal"/>
    <w:uiPriority w:val="99"/>
    <w:semiHidden/>
    <w:rsid w:val="00286FCA"/>
    <w:pPr>
      <w:numPr>
        <w:numId w:val="8"/>
      </w:numPr>
    </w:pPr>
  </w:style>
  <w:style w:type="paragraph" w:styleId="ListNumber4">
    <w:name w:val="List Number 4"/>
    <w:basedOn w:val="Normal"/>
    <w:uiPriority w:val="99"/>
    <w:semiHidden/>
    <w:rsid w:val="00286FCA"/>
    <w:pPr>
      <w:numPr>
        <w:numId w:val="9"/>
      </w:numPr>
    </w:pPr>
  </w:style>
  <w:style w:type="paragraph" w:styleId="ListNumber5">
    <w:name w:val="List Number 5"/>
    <w:basedOn w:val="Normal"/>
    <w:uiPriority w:val="99"/>
    <w:semiHidden/>
    <w:rsid w:val="00286FCA"/>
    <w:pPr>
      <w:numPr>
        <w:numId w:val="10"/>
      </w:numPr>
    </w:pPr>
  </w:style>
  <w:style w:type="paragraph" w:styleId="MessageHeader">
    <w:name w:val="Message Header"/>
    <w:basedOn w:val="Normal"/>
    <w:link w:val="MessageHeaderChar"/>
    <w:uiPriority w:val="99"/>
    <w:semiHidden/>
    <w:rsid w:val="00286FCA"/>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99"/>
    <w:rsid w:val="00286FCA"/>
    <w:rPr>
      <w:rFonts w:ascii="Times New Roman" w:hAnsi="Times New Roman"/>
      <w:sz w:val="24"/>
      <w:szCs w:val="24"/>
    </w:rPr>
  </w:style>
  <w:style w:type="paragraph" w:styleId="NormalIndent">
    <w:name w:val="Normal Indent"/>
    <w:basedOn w:val="Normal"/>
    <w:uiPriority w:val="99"/>
    <w:semiHidden/>
    <w:rsid w:val="00286FCA"/>
    <w:pPr>
      <w:ind w:left="720"/>
    </w:pPr>
  </w:style>
  <w:style w:type="paragraph" w:styleId="NoteHeading">
    <w:name w:val="Note Heading"/>
    <w:basedOn w:val="Normal"/>
    <w:next w:val="Normal"/>
    <w:link w:val="NoteHeadingChar"/>
    <w:uiPriority w:val="99"/>
    <w:semiHidden/>
    <w:rsid w:val="00286FCA"/>
  </w:style>
  <w:style w:type="character" w:styleId="PageNumber">
    <w:name w:val="page number"/>
    <w:basedOn w:val="DefaultParagraphFont"/>
    <w:semiHidden/>
    <w:rsid w:val="00286FCA"/>
  </w:style>
  <w:style w:type="paragraph" w:styleId="PlainText">
    <w:name w:val="Plain Text"/>
    <w:basedOn w:val="Normal"/>
    <w:link w:val="PlainTextChar"/>
    <w:uiPriority w:val="99"/>
    <w:semiHidden/>
    <w:rsid w:val="00286FCA"/>
    <w:rPr>
      <w:rFonts w:ascii="Courier New" w:hAnsi="Courier New"/>
      <w:sz w:val="20"/>
      <w:szCs w:val="20"/>
    </w:rPr>
  </w:style>
  <w:style w:type="paragraph" w:styleId="Salutation">
    <w:name w:val="Salutation"/>
    <w:basedOn w:val="Normal"/>
    <w:next w:val="Normal"/>
    <w:link w:val="SalutationChar"/>
    <w:uiPriority w:val="99"/>
    <w:semiHidden/>
    <w:rsid w:val="00286FCA"/>
  </w:style>
  <w:style w:type="paragraph" w:styleId="Signature">
    <w:name w:val="Signature"/>
    <w:basedOn w:val="Normal"/>
    <w:link w:val="SignatureChar"/>
    <w:uiPriority w:val="99"/>
    <w:semiHidden/>
    <w:rsid w:val="00286FCA"/>
    <w:pPr>
      <w:ind w:left="4252"/>
    </w:pPr>
  </w:style>
  <w:style w:type="character" w:styleId="Strong">
    <w:name w:val="Strong"/>
    <w:semiHidden/>
    <w:qFormat/>
    <w:locked/>
    <w:rsid w:val="00286FCA"/>
    <w:rPr>
      <w:b/>
      <w:bCs/>
    </w:rPr>
  </w:style>
  <w:style w:type="paragraph" w:styleId="Subtitle">
    <w:name w:val="Subtitle"/>
    <w:basedOn w:val="Normal"/>
    <w:link w:val="SubtitleChar"/>
    <w:uiPriority w:val="99"/>
    <w:qFormat/>
    <w:locked/>
    <w:rsid w:val="00286FCA"/>
    <w:pPr>
      <w:spacing w:after="60"/>
      <w:jc w:val="center"/>
      <w:outlineLvl w:val="1"/>
    </w:pPr>
    <w:rPr>
      <w:sz w:val="24"/>
      <w:szCs w:val="24"/>
    </w:rPr>
  </w:style>
  <w:style w:type="table" w:styleId="Table3Deffects1">
    <w:name w:val="Table 3D effects 1"/>
    <w:basedOn w:val="TableNormal"/>
    <w:semiHidden/>
    <w:rsid w:val="00286FCA"/>
    <w:pPr>
      <w:spacing w:after="200" w:line="276"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86FCA"/>
    <w:pPr>
      <w:spacing w:after="200" w:line="276"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86FCA"/>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86FCA"/>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86FCA"/>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86FCA"/>
    <w:pPr>
      <w:spacing w:after="200" w:line="276"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86FCA"/>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86FCA"/>
    <w:pPr>
      <w:spacing w:after="200" w:line="276"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86FCA"/>
    <w:pPr>
      <w:spacing w:after="200" w:line="276"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86FCA"/>
    <w:pPr>
      <w:spacing w:after="200" w:line="276"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86FCA"/>
    <w:pPr>
      <w:spacing w:after="200" w:line="276"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86FCA"/>
    <w:pPr>
      <w:spacing w:after="200" w:line="276"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86FCA"/>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86FCA"/>
    <w:pPr>
      <w:spacing w:after="200" w:line="276"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86FCA"/>
    <w:pPr>
      <w:spacing w:after="200" w:line="276"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86FCA"/>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86FCA"/>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86FCA"/>
    <w:pPr>
      <w:spacing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86FCA"/>
    <w:pPr>
      <w:spacing w:after="200" w:line="276"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86FCA"/>
    <w:pPr>
      <w:spacing w:after="200" w:line="276"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86FCA"/>
    <w:pPr>
      <w:spacing w:after="200" w:line="276"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86FCA"/>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86FCA"/>
    <w:pPr>
      <w:spacing w:after="200" w:line="276"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86FCA"/>
    <w:pPr>
      <w:spacing w:after="200" w:line="276"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86FCA"/>
    <w:pPr>
      <w:spacing w:after="200" w:line="276"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86FCA"/>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86FCA"/>
    <w:pPr>
      <w:spacing w:after="200" w:line="276"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86FCA"/>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86FCA"/>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86FCA"/>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86FCA"/>
    <w:pPr>
      <w:spacing w:after="200" w:line="276"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86FCA"/>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86FCA"/>
    <w:pPr>
      <w:spacing w:after="200" w:line="276"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86FCA"/>
    <w:pPr>
      <w:spacing w:after="200" w:line="276"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86FC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86FCA"/>
    <w:pPr>
      <w:spacing w:after="200" w:line="276"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86FCA"/>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86FCA"/>
    <w:pPr>
      <w:spacing w:after="200" w:line="276"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locked/>
    <w:rsid w:val="00286FCA"/>
    <w:pPr>
      <w:spacing w:before="240" w:after="60"/>
      <w:jc w:val="center"/>
      <w:outlineLvl w:val="0"/>
    </w:pPr>
    <w:rPr>
      <w:b/>
      <w:bCs/>
      <w:kern w:val="28"/>
      <w:sz w:val="32"/>
      <w:szCs w:val="32"/>
    </w:rPr>
  </w:style>
  <w:style w:type="character" w:customStyle="1" w:styleId="TextBold">
    <w:name w:val="¬Text_Bold"/>
    <w:rsid w:val="00095B06"/>
    <w:rPr>
      <w:rFonts w:ascii="Arial" w:hAnsi="Arial"/>
      <w:b/>
    </w:rPr>
  </w:style>
  <w:style w:type="paragraph" w:customStyle="1" w:styleId="PagenumberR">
    <w:name w:val="¬Page number_R"/>
    <w:uiPriority w:val="99"/>
    <w:semiHidden/>
    <w:rsid w:val="009005D1"/>
    <w:pPr>
      <w:spacing w:before="120"/>
      <w:jc w:val="right"/>
    </w:pPr>
    <w:rPr>
      <w:rFonts w:ascii="Arial" w:eastAsia="Times New Roman" w:hAnsi="Arial"/>
      <w:color w:val="B4489B"/>
      <w:sz w:val="18"/>
    </w:rPr>
  </w:style>
  <w:style w:type="paragraph" w:customStyle="1" w:styleId="FooterR">
    <w:name w:val="¬Footer_R"/>
    <w:basedOn w:val="FooterL"/>
    <w:uiPriority w:val="99"/>
    <w:semiHidden/>
    <w:rsid w:val="006E2B50"/>
    <w:pPr>
      <w:jc w:val="right"/>
    </w:pPr>
  </w:style>
  <w:style w:type="paragraph" w:customStyle="1" w:styleId="TabletextR">
    <w:name w:val="¬Table text_R"/>
    <w:basedOn w:val="TabletextL"/>
    <w:uiPriority w:val="99"/>
    <w:qFormat/>
    <w:rsid w:val="00A56CDC"/>
    <w:pPr>
      <w:jc w:val="right"/>
    </w:pPr>
  </w:style>
  <w:style w:type="paragraph" w:customStyle="1" w:styleId="CaptionFigures">
    <w:name w:val="¬Caption_Figures"/>
    <w:uiPriority w:val="99"/>
    <w:rsid w:val="009005D1"/>
    <w:pPr>
      <w:tabs>
        <w:tab w:val="left" w:pos="1440"/>
        <w:tab w:val="left" w:pos="2340"/>
      </w:tabs>
      <w:spacing w:before="120" w:after="120"/>
      <w:ind w:left="1440" w:hanging="1440"/>
    </w:pPr>
    <w:rPr>
      <w:rFonts w:ascii="Arial" w:eastAsia="Times New Roman" w:hAnsi="Arial"/>
      <w:color w:val="FFFFFF"/>
      <w:sz w:val="24"/>
    </w:rPr>
  </w:style>
  <w:style w:type="paragraph" w:customStyle="1" w:styleId="Heading1nonumber">
    <w:name w:val="Heading 1_no number"/>
    <w:next w:val="BodyCopy"/>
    <w:uiPriority w:val="99"/>
    <w:rsid w:val="009005D1"/>
    <w:pPr>
      <w:pageBreakBefore/>
      <w:spacing w:before="360" w:after="120" w:line="300" w:lineRule="auto"/>
    </w:pPr>
    <w:rPr>
      <w:rFonts w:ascii="Arial" w:eastAsia="Times New Roman" w:hAnsi="Arial"/>
      <w:b/>
      <w:sz w:val="44"/>
    </w:rPr>
  </w:style>
  <w:style w:type="paragraph" w:customStyle="1" w:styleId="Hiddentext">
    <w:name w:val="¬Hidden text"/>
    <w:basedOn w:val="BodyCopy"/>
    <w:uiPriority w:val="99"/>
    <w:semiHidden/>
    <w:rsid w:val="00D5008C"/>
    <w:rPr>
      <w:vanish/>
      <w:color w:val="FF0000"/>
      <w:lang w:eastAsia="ja-JP"/>
    </w:rPr>
  </w:style>
  <w:style w:type="paragraph" w:customStyle="1" w:styleId="Coverdetails">
    <w:name w:val="¬Cover_details"/>
    <w:uiPriority w:val="99"/>
    <w:rsid w:val="009005D1"/>
    <w:rPr>
      <w:rFonts w:ascii="Arial" w:eastAsia="Times New Roman" w:hAnsi="Arial"/>
      <w:sz w:val="24"/>
      <w:szCs w:val="24"/>
    </w:rPr>
  </w:style>
  <w:style w:type="paragraph" w:customStyle="1" w:styleId="Intropagetext">
    <w:name w:val="¬Intro page text"/>
    <w:uiPriority w:val="99"/>
    <w:semiHidden/>
    <w:rsid w:val="009005D1"/>
    <w:pPr>
      <w:contextualSpacing/>
    </w:pPr>
    <w:rPr>
      <w:rFonts w:ascii="Arial" w:eastAsia="MS Mincho" w:hAnsi="Arial"/>
      <w:sz w:val="36"/>
      <w:szCs w:val="24"/>
      <w:lang w:eastAsia="ja-JP"/>
    </w:rPr>
  </w:style>
  <w:style w:type="paragraph" w:styleId="CommentText">
    <w:name w:val="annotation text"/>
    <w:basedOn w:val="Normal"/>
    <w:link w:val="CommentTextChar"/>
    <w:rsid w:val="00581036"/>
    <w:rPr>
      <w:sz w:val="20"/>
      <w:szCs w:val="20"/>
    </w:rPr>
  </w:style>
  <w:style w:type="paragraph" w:customStyle="1" w:styleId="Bullet1">
    <w:name w:val="¬Bullet 1"/>
    <w:qFormat/>
    <w:rsid w:val="009005D1"/>
    <w:pPr>
      <w:spacing w:before="120" w:after="120"/>
    </w:pPr>
    <w:rPr>
      <w:rFonts w:ascii="Arial" w:eastAsia="Times New Roman" w:hAnsi="Arial"/>
      <w:sz w:val="22"/>
    </w:rPr>
  </w:style>
  <w:style w:type="paragraph" w:customStyle="1" w:styleId="Bullet2">
    <w:name w:val="¬Bullet 2"/>
    <w:basedOn w:val="Bullet1"/>
    <w:uiPriority w:val="99"/>
    <w:rsid w:val="00AE1A75"/>
    <w:pPr>
      <w:numPr>
        <w:ilvl w:val="1"/>
        <w:numId w:val="15"/>
      </w:numPr>
      <w:tabs>
        <w:tab w:val="clear" w:pos="1080"/>
        <w:tab w:val="num" w:pos="720"/>
      </w:tabs>
      <w:ind w:left="720"/>
    </w:pPr>
  </w:style>
  <w:style w:type="paragraph" w:customStyle="1" w:styleId="HighlighttextPink">
    <w:name w:val="¬Highlight text_Pink"/>
    <w:basedOn w:val="HighlighttextPurple"/>
    <w:uiPriority w:val="99"/>
    <w:rsid w:val="00DF5DE9"/>
    <w:rPr>
      <w:color w:val="ED2C88"/>
    </w:rPr>
  </w:style>
  <w:style w:type="paragraph" w:customStyle="1" w:styleId="PulloutPurple">
    <w:name w:val="¬Pull out_Purple"/>
    <w:uiPriority w:val="99"/>
    <w:rsid w:val="009005D1"/>
    <w:pPr>
      <w:pBdr>
        <w:top w:val="single" w:sz="24" w:space="1" w:color="B4489B"/>
        <w:left w:val="single" w:sz="24" w:space="1" w:color="B4489B"/>
        <w:bottom w:val="single" w:sz="24" w:space="1" w:color="B4489B"/>
        <w:right w:val="single" w:sz="24" w:space="1" w:color="B4489B"/>
      </w:pBdr>
      <w:shd w:val="clear" w:color="auto" w:fill="B4489B"/>
    </w:pPr>
    <w:rPr>
      <w:rFonts w:ascii="Arial" w:eastAsia="Times New Roman" w:hAnsi="Arial"/>
      <w:color w:val="FFFFFF"/>
      <w:sz w:val="36"/>
      <w:lang w:val="fr-FR"/>
    </w:rPr>
  </w:style>
  <w:style w:type="paragraph" w:customStyle="1" w:styleId="HighlighttextYellow">
    <w:name w:val="¬Highlight text_Yellow"/>
    <w:basedOn w:val="HighlighttextPurple"/>
    <w:uiPriority w:val="99"/>
    <w:rsid w:val="00DF5DE9"/>
    <w:rPr>
      <w:color w:val="FCB645"/>
    </w:rPr>
  </w:style>
  <w:style w:type="paragraph" w:customStyle="1" w:styleId="PulloutTurquoise">
    <w:name w:val="¬Pull out_Turquoise"/>
    <w:basedOn w:val="PulloutPurple"/>
    <w:uiPriority w:val="99"/>
    <w:rsid w:val="00DF5DE9"/>
    <w:pPr>
      <w:pBdr>
        <w:top w:val="single" w:sz="24" w:space="1" w:color="00B7B4"/>
        <w:left w:val="single" w:sz="24" w:space="1" w:color="00B7B4"/>
        <w:bottom w:val="single" w:sz="24" w:space="1" w:color="00B7B4"/>
        <w:right w:val="single" w:sz="24" w:space="1" w:color="00B7B4"/>
      </w:pBdr>
      <w:shd w:val="clear" w:color="auto" w:fill="00B7B4"/>
    </w:pPr>
  </w:style>
  <w:style w:type="paragraph" w:customStyle="1" w:styleId="PulloutYellow">
    <w:name w:val="¬Pull out_Yellow"/>
    <w:basedOn w:val="PulloutPurple"/>
    <w:uiPriority w:val="99"/>
    <w:rsid w:val="00DF5DE9"/>
    <w:pPr>
      <w:pBdr>
        <w:top w:val="single" w:sz="24" w:space="1" w:color="FCB645"/>
        <w:left w:val="single" w:sz="24" w:space="1" w:color="FCB645"/>
        <w:bottom w:val="single" w:sz="24" w:space="1" w:color="FCB645"/>
        <w:right w:val="single" w:sz="24" w:space="1" w:color="FCB645"/>
      </w:pBdr>
      <w:shd w:val="clear" w:color="auto" w:fill="FCB645"/>
    </w:pPr>
  </w:style>
  <w:style w:type="paragraph" w:customStyle="1" w:styleId="PulloutPink">
    <w:name w:val="¬Pull out_Pink"/>
    <w:basedOn w:val="PulloutPurple"/>
    <w:uiPriority w:val="99"/>
    <w:rsid w:val="00DF5DE9"/>
    <w:pPr>
      <w:pBdr>
        <w:top w:val="single" w:sz="24" w:space="1" w:color="ED2C88"/>
        <w:left w:val="single" w:sz="24" w:space="1" w:color="ED2C88"/>
        <w:bottom w:val="single" w:sz="24" w:space="1" w:color="ED2C88"/>
        <w:right w:val="single" w:sz="24" w:space="1" w:color="ED2C88"/>
      </w:pBdr>
      <w:shd w:val="clear" w:color="auto" w:fill="ED2C88"/>
    </w:pPr>
  </w:style>
  <w:style w:type="paragraph" w:customStyle="1" w:styleId="HighlighttextTurquoise">
    <w:name w:val="¬Highlight text_Turquoise"/>
    <w:basedOn w:val="HighlighttextPurple"/>
    <w:uiPriority w:val="99"/>
    <w:rsid w:val="00DF5DE9"/>
    <w:rPr>
      <w:color w:val="00B7B4"/>
    </w:rPr>
  </w:style>
  <w:style w:type="paragraph" w:customStyle="1" w:styleId="GraphicL">
    <w:name w:val="¬Graphic_L"/>
    <w:basedOn w:val="GraphicC"/>
    <w:next w:val="BodyCopy"/>
    <w:uiPriority w:val="99"/>
    <w:rsid w:val="00555C74"/>
    <w:pPr>
      <w:jc w:val="left"/>
    </w:pPr>
  </w:style>
  <w:style w:type="paragraph" w:customStyle="1" w:styleId="GraphicR">
    <w:name w:val="¬Graphic_R"/>
    <w:basedOn w:val="GraphicC"/>
    <w:next w:val="BodyCopy"/>
    <w:uiPriority w:val="99"/>
    <w:rsid w:val="00555C74"/>
    <w:pPr>
      <w:jc w:val="right"/>
    </w:pPr>
  </w:style>
  <w:style w:type="paragraph" w:styleId="Caption">
    <w:name w:val="caption"/>
    <w:basedOn w:val="Normal"/>
    <w:next w:val="Normal"/>
    <w:semiHidden/>
    <w:qFormat/>
    <w:locked/>
    <w:rsid w:val="00143345"/>
    <w:rPr>
      <w:b/>
      <w:bCs/>
      <w:sz w:val="20"/>
      <w:szCs w:val="20"/>
    </w:rPr>
  </w:style>
  <w:style w:type="paragraph" w:customStyle="1" w:styleId="TabletextC">
    <w:name w:val="¬Table text_C"/>
    <w:basedOn w:val="TabletextL"/>
    <w:uiPriority w:val="99"/>
    <w:qFormat/>
    <w:rsid w:val="00A56CDC"/>
    <w:pPr>
      <w:jc w:val="center"/>
    </w:pPr>
  </w:style>
  <w:style w:type="character" w:customStyle="1" w:styleId="TextItalics">
    <w:name w:val="¬Text_Italics"/>
    <w:basedOn w:val="DefaultParagraphFont"/>
    <w:rsid w:val="00095B06"/>
    <w:rPr>
      <w:rFonts w:ascii="Arial" w:hAnsi="Arial"/>
      <w:i/>
    </w:rPr>
  </w:style>
  <w:style w:type="table" w:customStyle="1" w:styleId="NatCenTable">
    <w:name w:val="¬NatCen_Table"/>
    <w:basedOn w:val="TableNormal"/>
    <w:uiPriority w:val="99"/>
    <w:rsid w:val="00D13B06"/>
    <w:rPr>
      <w:rFonts w:ascii="Arial" w:hAnsi="Arial"/>
    </w:rPr>
    <w:tblPr>
      <w:tblInd w:w="0" w:type="dxa"/>
      <w:tblBorders>
        <w:top w:val="single" w:sz="4" w:space="0" w:color="B4489B"/>
        <w:left w:val="single" w:sz="4" w:space="0" w:color="B4489B"/>
        <w:bottom w:val="single" w:sz="4" w:space="0" w:color="B4489B"/>
        <w:right w:val="single" w:sz="4" w:space="0" w:color="B4489B"/>
        <w:insideH w:val="single" w:sz="4" w:space="0" w:color="B4489B"/>
        <w:insideV w:val="single" w:sz="4" w:space="0" w:color="B4489B"/>
      </w:tblBorders>
      <w:tblCellMar>
        <w:top w:w="0" w:type="dxa"/>
        <w:left w:w="108" w:type="dxa"/>
        <w:bottom w:w="0" w:type="dxa"/>
        <w:right w:w="108" w:type="dxa"/>
      </w:tblCellMar>
    </w:tblPr>
    <w:tblStylePr w:type="firstRow">
      <w:rPr>
        <w:rFonts w:ascii="Arial" w:hAnsi="Arial"/>
        <w:color w:val="FFFFFF" w:themeColor="background1"/>
        <w:sz w:val="24"/>
      </w:rPr>
      <w:tblPr/>
      <w:tcPr>
        <w:shd w:val="clear" w:color="auto" w:fill="B4489B"/>
      </w:tcPr>
    </w:tblStylePr>
  </w:style>
  <w:style w:type="paragraph" w:customStyle="1" w:styleId="Headerboldline">
    <w:name w:val="¬Header bold line"/>
    <w:uiPriority w:val="99"/>
    <w:semiHidden/>
    <w:qFormat/>
    <w:rsid w:val="006530F3"/>
    <w:pPr>
      <w:pBdr>
        <w:bottom w:val="single" w:sz="48" w:space="1" w:color="000000" w:themeColor="text1"/>
      </w:pBdr>
    </w:pPr>
    <w:rPr>
      <w:rFonts w:ascii="Arial" w:eastAsia="Times New Roman" w:hAnsi="Arial"/>
      <w:sz w:val="22"/>
      <w:szCs w:val="22"/>
      <w:lang w:val="en-US" w:eastAsia="en-US"/>
    </w:rPr>
  </w:style>
  <w:style w:type="paragraph" w:styleId="FootnoteText">
    <w:name w:val="footnote text"/>
    <w:basedOn w:val="Normal"/>
    <w:link w:val="FootnoteTextChar"/>
    <w:uiPriority w:val="99"/>
    <w:semiHidden/>
    <w:rsid w:val="00A56C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6CDC"/>
    <w:rPr>
      <w:rFonts w:eastAsia="Times New Roman"/>
      <w:lang w:val="en-US" w:eastAsia="en-US"/>
    </w:rPr>
  </w:style>
  <w:style w:type="character" w:styleId="FootnoteReference">
    <w:name w:val="footnote reference"/>
    <w:basedOn w:val="DefaultParagraphFont"/>
    <w:uiPriority w:val="99"/>
    <w:semiHidden/>
    <w:rsid w:val="00A56CDC"/>
    <w:rPr>
      <w:vertAlign w:val="superscript"/>
    </w:rPr>
  </w:style>
  <w:style w:type="paragraph" w:customStyle="1" w:styleId="FootnoteEndnote">
    <w:name w:val="¬Footnote &amp; Endnote"/>
    <w:uiPriority w:val="99"/>
    <w:qFormat/>
    <w:rsid w:val="00B36C6E"/>
    <w:rPr>
      <w:rFonts w:ascii="Arial" w:eastAsia="Times New Roman" w:hAnsi="Arial"/>
      <w:sz w:val="18"/>
      <w:lang w:val="en-US" w:eastAsia="en-US"/>
    </w:rPr>
  </w:style>
  <w:style w:type="paragraph" w:styleId="EndnoteText">
    <w:name w:val="endnote text"/>
    <w:basedOn w:val="Normal"/>
    <w:link w:val="EndnoteTextChar"/>
    <w:uiPriority w:val="99"/>
    <w:semiHidden/>
    <w:rsid w:val="00B546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88"/>
    <w:rPr>
      <w:rFonts w:eastAsia="Times New Roman"/>
      <w:lang w:val="en-US" w:eastAsia="en-US"/>
    </w:rPr>
  </w:style>
  <w:style w:type="character" w:styleId="EndnoteReference">
    <w:name w:val="endnote reference"/>
    <w:basedOn w:val="DefaultParagraphFont"/>
    <w:uiPriority w:val="99"/>
    <w:semiHidden/>
    <w:rsid w:val="00B54688"/>
    <w:rPr>
      <w:vertAlign w:val="superscript"/>
    </w:rPr>
  </w:style>
  <w:style w:type="paragraph" w:customStyle="1" w:styleId="SummaryPurple">
    <w:name w:val="¬Summary_Purple"/>
    <w:basedOn w:val="CommentText"/>
    <w:next w:val="BodyCopy"/>
    <w:uiPriority w:val="99"/>
    <w:qFormat/>
    <w:rsid w:val="00A40505"/>
    <w:pPr>
      <w:spacing w:before="480" w:after="0" w:line="240" w:lineRule="auto"/>
    </w:pPr>
    <w:rPr>
      <w:rFonts w:ascii="HelveticaNeue LT 67 MdCn" w:hAnsi="HelveticaNeue LT 67 MdCn"/>
      <w:color w:val="B4489B"/>
      <w:sz w:val="36"/>
      <w:lang w:eastAsia="en-GB"/>
    </w:rPr>
  </w:style>
  <w:style w:type="paragraph" w:styleId="ListParagraph">
    <w:name w:val="List Paragraph"/>
    <w:basedOn w:val="Normal"/>
    <w:uiPriority w:val="34"/>
    <w:qFormat/>
    <w:rsid w:val="0016412A"/>
    <w:pPr>
      <w:ind w:left="720"/>
      <w:contextualSpacing/>
    </w:pPr>
  </w:style>
  <w:style w:type="character" w:styleId="CommentReference">
    <w:name w:val="annotation reference"/>
    <w:basedOn w:val="DefaultParagraphFont"/>
    <w:uiPriority w:val="99"/>
    <w:semiHidden/>
    <w:unhideWhenUsed/>
    <w:rsid w:val="0016412A"/>
    <w:rPr>
      <w:sz w:val="16"/>
      <w:szCs w:val="16"/>
    </w:rPr>
  </w:style>
  <w:style w:type="paragraph" w:styleId="CommentSubject">
    <w:name w:val="annotation subject"/>
    <w:basedOn w:val="CommentText"/>
    <w:next w:val="CommentText"/>
    <w:link w:val="CommentSubjectChar"/>
    <w:uiPriority w:val="99"/>
    <w:semiHidden/>
    <w:rsid w:val="00D36E3A"/>
    <w:pPr>
      <w:spacing w:line="240" w:lineRule="auto"/>
    </w:pPr>
    <w:rPr>
      <w:b/>
      <w:bCs/>
    </w:rPr>
  </w:style>
  <w:style w:type="character" w:customStyle="1" w:styleId="CommentSubjectChar">
    <w:name w:val="Comment Subject Char"/>
    <w:basedOn w:val="CommentTextChar"/>
    <w:link w:val="CommentSubject"/>
    <w:uiPriority w:val="99"/>
    <w:semiHidden/>
    <w:rsid w:val="00D36E3A"/>
    <w:rPr>
      <w:rFonts w:asciiTheme="minorHAnsi" w:eastAsiaTheme="minorHAnsi" w:hAnsiTheme="minorHAnsi" w:cstheme="minorBidi"/>
      <w:b/>
      <w:bCs/>
      <w:lang w:val="en-US" w:eastAsia="en-US"/>
    </w:rPr>
  </w:style>
  <w:style w:type="paragraph" w:styleId="Revision">
    <w:name w:val="Revision"/>
    <w:hidden/>
    <w:uiPriority w:val="99"/>
    <w:semiHidden/>
    <w:rsid w:val="00EA360A"/>
    <w:rPr>
      <w:rFonts w:asciiTheme="minorHAnsi" w:eastAsiaTheme="minorHAnsi" w:hAnsiTheme="minorHAnsi" w:cstheme="minorBidi"/>
      <w:sz w:val="22"/>
      <w:szCs w:val="22"/>
      <w:lang w:eastAsia="en-US"/>
    </w:rPr>
  </w:style>
  <w:style w:type="paragraph" w:customStyle="1" w:styleId="Default">
    <w:name w:val="Default"/>
    <w:rsid w:val="001F4A84"/>
    <w:pPr>
      <w:autoSpaceDE w:val="0"/>
      <w:autoSpaceDN w:val="0"/>
      <w:adjustRightInd w:val="0"/>
    </w:pPr>
    <w:rPr>
      <w:rFonts w:ascii="Arial" w:hAnsi="Arial" w:cs="Arial"/>
      <w:color w:val="000000"/>
      <w:sz w:val="24"/>
      <w:szCs w:val="24"/>
    </w:rPr>
  </w:style>
  <w:style w:type="character" w:customStyle="1" w:styleId="HTMLMarkup">
    <w:name w:val="HTML Markup"/>
    <w:rsid w:val="00A00B29"/>
    <w:rPr>
      <w:vanish/>
      <w:color w:val="FF0000"/>
    </w:rPr>
  </w:style>
  <w:style w:type="character" w:customStyle="1" w:styleId="Heading3Char">
    <w:name w:val="Heading 3 Char"/>
    <w:basedOn w:val="DefaultParagraphFont"/>
    <w:link w:val="Heading3"/>
    <w:rsid w:val="002647F8"/>
    <w:rPr>
      <w:rFonts w:ascii="Arial" w:eastAsia="Times New Roman" w:hAnsi="Arial"/>
      <w:color w:val="000000"/>
      <w:sz w:val="32"/>
    </w:rPr>
  </w:style>
  <w:style w:type="paragraph" w:customStyle="1" w:styleId="BSATableHeading">
    <w:name w:val="BSA Table Heading"/>
    <w:basedOn w:val="Normal"/>
    <w:rsid w:val="00663D9E"/>
    <w:pPr>
      <w:keepNext/>
      <w:keepLines/>
      <w:spacing w:before="120" w:after="240" w:line="240" w:lineRule="auto"/>
    </w:pPr>
    <w:rPr>
      <w:rFonts w:ascii="Arial" w:eastAsia="Times New Roman" w:hAnsi="Arial" w:cs="Times New Roman"/>
      <w:b/>
      <w:sz w:val="18"/>
      <w:szCs w:val="20"/>
    </w:rPr>
  </w:style>
  <w:style w:type="paragraph" w:customStyle="1" w:styleId="BSATableText">
    <w:name w:val="BSA Table Text"/>
    <w:basedOn w:val="Normal"/>
    <w:rsid w:val="00663D9E"/>
    <w:pPr>
      <w:keepNext/>
      <w:spacing w:after="60" w:line="240" w:lineRule="exact"/>
      <w:ind w:left="142" w:hanging="142"/>
      <w:jc w:val="both"/>
    </w:pPr>
    <w:rPr>
      <w:rFonts w:ascii="Arial" w:eastAsia="Times New Roman" w:hAnsi="Arial" w:cs="Times New Roman"/>
      <w:sz w:val="18"/>
      <w:szCs w:val="20"/>
    </w:rPr>
  </w:style>
  <w:style w:type="paragraph" w:customStyle="1" w:styleId="BSATableNumber">
    <w:name w:val="BSA Table Number"/>
    <w:basedOn w:val="Normal"/>
    <w:rsid w:val="00663D9E"/>
    <w:pPr>
      <w:keepNext/>
      <w:tabs>
        <w:tab w:val="decimal" w:pos="128"/>
        <w:tab w:val="decimal" w:pos="454"/>
      </w:tabs>
      <w:spacing w:after="0" w:line="240" w:lineRule="auto"/>
      <w:jc w:val="right"/>
    </w:pPr>
    <w:rPr>
      <w:rFonts w:ascii="Arial" w:eastAsia="Times New Roman" w:hAnsi="Arial" w:cs="Times New Roman"/>
      <w:sz w:val="18"/>
      <w:szCs w:val="20"/>
    </w:rPr>
  </w:style>
  <w:style w:type="paragraph" w:customStyle="1" w:styleId="BSATableBase">
    <w:name w:val="BSA Table Base"/>
    <w:basedOn w:val="Heading4"/>
    <w:rsid w:val="00663D9E"/>
    <w:pPr>
      <w:spacing w:before="60" w:after="60"/>
      <w:jc w:val="left"/>
    </w:pPr>
    <w:rPr>
      <w:i/>
      <w:sz w:val="16"/>
      <w:lang w:eastAsia="en-US"/>
    </w:rPr>
  </w:style>
  <w:style w:type="paragraph" w:customStyle="1" w:styleId="BSATableBaseNumber">
    <w:name w:val="BSA Table Base Number"/>
    <w:basedOn w:val="BSATableBase"/>
    <w:rsid w:val="00663D9E"/>
    <w:pPr>
      <w:jc w:val="right"/>
    </w:pPr>
  </w:style>
  <w:style w:type="character" w:customStyle="1" w:styleId="Heading5Char">
    <w:name w:val="Heading 5 Char"/>
    <w:basedOn w:val="DefaultParagraphFont"/>
    <w:link w:val="Heading5"/>
    <w:rsid w:val="009715B6"/>
    <w:rPr>
      <w:rFonts w:ascii="Arial" w:eastAsia="Times New Roman" w:hAnsi="Arial"/>
      <w:b/>
      <w:color w:val="000000"/>
      <w:sz w:val="22"/>
    </w:rPr>
  </w:style>
  <w:style w:type="character" w:customStyle="1" w:styleId="citation">
    <w:name w:val="citation"/>
    <w:basedOn w:val="DefaultParagraphFont"/>
    <w:rsid w:val="00EE1333"/>
  </w:style>
  <w:style w:type="character" w:customStyle="1" w:styleId="Heading1Char">
    <w:name w:val="Heading 1 Char"/>
    <w:basedOn w:val="DefaultParagraphFont"/>
    <w:link w:val="Heading1"/>
    <w:rsid w:val="00836A43"/>
    <w:rPr>
      <w:rFonts w:ascii="Arial" w:eastAsia="Times New Roman" w:hAnsi="Arial"/>
      <w:b/>
      <w:sz w:val="44"/>
    </w:rPr>
  </w:style>
  <w:style w:type="character" w:customStyle="1" w:styleId="Heading2Char">
    <w:name w:val="Heading 2 Char"/>
    <w:basedOn w:val="DefaultParagraphFont"/>
    <w:link w:val="Heading2"/>
    <w:rsid w:val="00836A43"/>
    <w:rPr>
      <w:rFonts w:ascii="Arial" w:eastAsia="Times New Roman" w:hAnsi="Arial"/>
      <w:color w:val="B4489B"/>
      <w:sz w:val="40"/>
    </w:rPr>
  </w:style>
  <w:style w:type="character" w:customStyle="1" w:styleId="Heading4Char">
    <w:name w:val="Heading 4 Char"/>
    <w:basedOn w:val="DefaultParagraphFont"/>
    <w:link w:val="Heading4"/>
    <w:rsid w:val="00836A43"/>
    <w:rPr>
      <w:rFonts w:ascii="Arial" w:eastAsia="Times New Roman" w:hAnsi="Arial"/>
      <w:sz w:val="28"/>
    </w:rPr>
  </w:style>
  <w:style w:type="character" w:customStyle="1" w:styleId="Heading6Char">
    <w:name w:val="Heading 6 Char"/>
    <w:basedOn w:val="DefaultParagraphFont"/>
    <w:link w:val="Heading6"/>
    <w:rsid w:val="00836A43"/>
    <w:rPr>
      <w:rFonts w:ascii="Arial" w:eastAsia="Times New Roman" w:hAnsi="Arial"/>
      <w:sz w:val="44"/>
    </w:rPr>
  </w:style>
  <w:style w:type="character" w:customStyle="1" w:styleId="Heading7Char">
    <w:name w:val="Heading 7 Char"/>
    <w:basedOn w:val="DefaultParagraphFont"/>
    <w:link w:val="Heading7"/>
    <w:uiPriority w:val="99"/>
    <w:semiHidden/>
    <w:rsid w:val="00836A43"/>
    <w:rPr>
      <w:rFonts w:ascii="Times New Roman" w:eastAsiaTheme="minorHAnsi" w:hAnsi="Times New Roman" w:cstheme="minorBidi"/>
      <w:sz w:val="24"/>
      <w:szCs w:val="24"/>
      <w:lang w:eastAsia="en-US"/>
    </w:rPr>
  </w:style>
  <w:style w:type="character" w:customStyle="1" w:styleId="Heading8Char">
    <w:name w:val="Heading 8 Char"/>
    <w:basedOn w:val="DefaultParagraphFont"/>
    <w:link w:val="Heading8"/>
    <w:uiPriority w:val="99"/>
    <w:semiHidden/>
    <w:rsid w:val="00836A43"/>
    <w:rPr>
      <w:rFonts w:ascii="Times New Roman" w:eastAsiaTheme="minorHAnsi" w:hAnsi="Times New Roman" w:cstheme="minorBidi"/>
      <w:i/>
      <w:iCs/>
      <w:sz w:val="24"/>
      <w:szCs w:val="24"/>
      <w:lang w:eastAsia="en-US"/>
    </w:rPr>
  </w:style>
  <w:style w:type="character" w:customStyle="1" w:styleId="Heading9Char">
    <w:name w:val="Heading 9 Char"/>
    <w:basedOn w:val="DefaultParagraphFont"/>
    <w:link w:val="Heading9"/>
    <w:uiPriority w:val="99"/>
    <w:semiHidden/>
    <w:rsid w:val="00836A43"/>
    <w:rPr>
      <w:rFonts w:asciiTheme="minorHAnsi" w:eastAsiaTheme="minorHAnsi" w:hAnsiTheme="minorHAnsi" w:cstheme="minorBidi"/>
      <w:sz w:val="22"/>
      <w:szCs w:val="22"/>
      <w:lang w:eastAsia="en-US"/>
    </w:rPr>
  </w:style>
  <w:style w:type="character" w:customStyle="1" w:styleId="HTMLAddressChar">
    <w:name w:val="HTML Address Char"/>
    <w:basedOn w:val="DefaultParagraphFont"/>
    <w:link w:val="HTMLAddress"/>
    <w:semiHidden/>
    <w:rsid w:val="00836A43"/>
    <w:rPr>
      <w:rFonts w:asciiTheme="minorHAnsi" w:eastAsiaTheme="minorHAnsi" w:hAnsiTheme="minorHAnsi" w:cstheme="minorBidi"/>
      <w:i/>
      <w:iCs/>
      <w:sz w:val="22"/>
      <w:szCs w:val="22"/>
      <w:lang w:eastAsia="en-US"/>
    </w:rPr>
  </w:style>
  <w:style w:type="character" w:customStyle="1" w:styleId="HTMLPreformattedChar">
    <w:name w:val="HTML Preformatted Char"/>
    <w:basedOn w:val="DefaultParagraphFont"/>
    <w:link w:val="HTMLPreformatted"/>
    <w:semiHidden/>
    <w:rsid w:val="00836A43"/>
    <w:rPr>
      <w:rFonts w:ascii="Courier New" w:eastAsiaTheme="minorHAnsi" w:hAnsi="Courier New" w:cstheme="minorBidi"/>
      <w:lang w:eastAsia="en-US"/>
    </w:rPr>
  </w:style>
  <w:style w:type="character" w:customStyle="1" w:styleId="HeaderChar">
    <w:name w:val="Header Char"/>
    <w:basedOn w:val="DefaultParagraphFont"/>
    <w:link w:val="Header"/>
    <w:uiPriority w:val="99"/>
    <w:semiHidden/>
    <w:rsid w:val="00836A43"/>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emiHidden/>
    <w:rsid w:val="00836A43"/>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uiPriority w:val="99"/>
    <w:rsid w:val="00836A43"/>
    <w:rPr>
      <w:rFonts w:asciiTheme="minorHAnsi" w:eastAsiaTheme="minorHAnsi" w:hAnsiTheme="minorHAnsi" w:cstheme="minorBidi"/>
      <w:b/>
      <w:bCs/>
      <w:kern w:val="28"/>
      <w:sz w:val="32"/>
      <w:szCs w:val="32"/>
      <w:lang w:eastAsia="en-US"/>
    </w:rPr>
  </w:style>
  <w:style w:type="character" w:customStyle="1" w:styleId="ClosingChar">
    <w:name w:val="Closing Char"/>
    <w:basedOn w:val="DefaultParagraphFont"/>
    <w:link w:val="Closing"/>
    <w:uiPriority w:val="99"/>
    <w:semiHidden/>
    <w:rsid w:val="00836A43"/>
    <w:rPr>
      <w:rFonts w:asciiTheme="minorHAnsi" w:eastAsiaTheme="minorHAnsi" w:hAnsiTheme="minorHAnsi" w:cstheme="minorBidi"/>
      <w:sz w:val="22"/>
      <w:szCs w:val="22"/>
      <w:lang w:eastAsia="en-US"/>
    </w:rPr>
  </w:style>
  <w:style w:type="character" w:customStyle="1" w:styleId="SignatureChar">
    <w:name w:val="Signature Char"/>
    <w:basedOn w:val="DefaultParagraphFont"/>
    <w:link w:val="Signature"/>
    <w:uiPriority w:val="99"/>
    <w:semiHidden/>
    <w:rsid w:val="00836A43"/>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semiHidden/>
    <w:rsid w:val="00836A43"/>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semiHidden/>
    <w:rsid w:val="00836A43"/>
    <w:rPr>
      <w:rFonts w:asciiTheme="minorHAnsi" w:eastAsiaTheme="minorHAnsi" w:hAnsiTheme="minorHAnsi" w:cstheme="minorBidi"/>
      <w:sz w:val="22"/>
      <w:szCs w:val="22"/>
      <w:lang w:eastAsia="en-US"/>
    </w:rPr>
  </w:style>
  <w:style w:type="character" w:customStyle="1" w:styleId="MessageHeaderChar">
    <w:name w:val="Message Header Char"/>
    <w:basedOn w:val="DefaultParagraphFont"/>
    <w:link w:val="MessageHeader"/>
    <w:uiPriority w:val="99"/>
    <w:semiHidden/>
    <w:rsid w:val="00836A43"/>
    <w:rPr>
      <w:rFonts w:asciiTheme="minorHAnsi" w:eastAsiaTheme="minorHAnsi" w:hAnsiTheme="minorHAnsi" w:cstheme="minorBidi"/>
      <w:sz w:val="24"/>
      <w:szCs w:val="24"/>
      <w:shd w:val="pct20" w:color="auto" w:fill="auto"/>
      <w:lang w:eastAsia="en-US"/>
    </w:rPr>
  </w:style>
  <w:style w:type="character" w:customStyle="1" w:styleId="SubtitleChar">
    <w:name w:val="Subtitle Char"/>
    <w:basedOn w:val="DefaultParagraphFont"/>
    <w:link w:val="Subtitle"/>
    <w:uiPriority w:val="99"/>
    <w:rsid w:val="00836A43"/>
    <w:rPr>
      <w:rFonts w:asciiTheme="minorHAnsi" w:eastAsiaTheme="minorHAnsi" w:hAnsiTheme="minorHAnsi" w:cstheme="minorBidi"/>
      <w:sz w:val="24"/>
      <w:szCs w:val="24"/>
      <w:lang w:eastAsia="en-US"/>
    </w:rPr>
  </w:style>
  <w:style w:type="character" w:customStyle="1" w:styleId="SalutationChar">
    <w:name w:val="Salutation Char"/>
    <w:basedOn w:val="DefaultParagraphFont"/>
    <w:link w:val="Salutation"/>
    <w:uiPriority w:val="99"/>
    <w:semiHidden/>
    <w:rsid w:val="00836A43"/>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836A43"/>
    <w:rPr>
      <w:rFonts w:asciiTheme="minorHAnsi" w:eastAsiaTheme="minorHAnsi" w:hAnsiTheme="minorHAnsi" w:cstheme="minorBidi"/>
      <w:sz w:val="22"/>
      <w:szCs w:val="22"/>
      <w:lang w:eastAsia="en-US"/>
    </w:rPr>
  </w:style>
  <w:style w:type="character" w:customStyle="1" w:styleId="BodyTextFirstIndentChar">
    <w:name w:val="Body Text First Indent Char"/>
    <w:basedOn w:val="BodyTextChar"/>
    <w:link w:val="BodyTextFirstIndent"/>
    <w:uiPriority w:val="99"/>
    <w:semiHidden/>
    <w:rsid w:val="00836A43"/>
    <w:rPr>
      <w:rFonts w:asciiTheme="minorHAnsi" w:eastAsiaTheme="minorHAnsi" w:hAnsiTheme="minorHAnsi" w:cstheme="minorBidi"/>
      <w:sz w:val="22"/>
      <w:szCs w:val="22"/>
      <w:lang w:eastAsia="en-US"/>
    </w:rPr>
  </w:style>
  <w:style w:type="character" w:customStyle="1" w:styleId="BodyTextFirstIndent2Char">
    <w:name w:val="Body Text First Indent 2 Char"/>
    <w:basedOn w:val="BodyTextIndentChar"/>
    <w:link w:val="BodyTextFirstIndent2"/>
    <w:uiPriority w:val="99"/>
    <w:semiHidden/>
    <w:rsid w:val="00836A43"/>
    <w:rPr>
      <w:rFonts w:asciiTheme="minorHAnsi" w:eastAsiaTheme="minorHAnsi" w:hAnsiTheme="minorHAnsi" w:cstheme="minorBidi"/>
      <w:sz w:val="22"/>
      <w:szCs w:val="22"/>
      <w:lang w:eastAsia="en-US"/>
    </w:rPr>
  </w:style>
  <w:style w:type="character" w:customStyle="1" w:styleId="NoteHeadingChar">
    <w:name w:val="Note Heading Char"/>
    <w:basedOn w:val="DefaultParagraphFont"/>
    <w:link w:val="NoteHeading"/>
    <w:uiPriority w:val="99"/>
    <w:semiHidden/>
    <w:rsid w:val="00836A43"/>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semiHidden/>
    <w:rsid w:val="00836A43"/>
    <w:rPr>
      <w:rFonts w:asciiTheme="minorHAnsi" w:eastAsiaTheme="minorHAnsi" w:hAnsiTheme="minorHAnsi" w:cstheme="minorBidi"/>
      <w:sz w:val="22"/>
      <w:szCs w:val="22"/>
      <w:lang w:eastAsia="en-US"/>
    </w:rPr>
  </w:style>
  <w:style w:type="character" w:customStyle="1" w:styleId="BodyText3Char">
    <w:name w:val="Body Text 3 Char"/>
    <w:basedOn w:val="DefaultParagraphFont"/>
    <w:link w:val="BodyText3"/>
    <w:uiPriority w:val="99"/>
    <w:semiHidden/>
    <w:rsid w:val="00836A43"/>
    <w:rPr>
      <w:rFonts w:asciiTheme="minorHAnsi" w:eastAsiaTheme="minorHAnsi" w:hAnsiTheme="minorHAnsi" w:cstheme="minorBidi"/>
      <w:sz w:val="16"/>
      <w:szCs w:val="16"/>
      <w:lang w:eastAsia="en-US"/>
    </w:rPr>
  </w:style>
  <w:style w:type="character" w:customStyle="1" w:styleId="BodyTextIndent2Char">
    <w:name w:val="Body Text Indent 2 Char"/>
    <w:basedOn w:val="DefaultParagraphFont"/>
    <w:link w:val="BodyTextIndent2"/>
    <w:uiPriority w:val="99"/>
    <w:semiHidden/>
    <w:rsid w:val="00836A43"/>
    <w:rPr>
      <w:rFonts w:asciiTheme="minorHAnsi" w:eastAsiaTheme="minorHAnsi" w:hAnsiTheme="minorHAnsi" w:cstheme="minorBidi"/>
      <w:sz w:val="22"/>
      <w:szCs w:val="22"/>
      <w:lang w:eastAsia="en-US"/>
    </w:rPr>
  </w:style>
  <w:style w:type="character" w:customStyle="1" w:styleId="BodyTextIndent3Char">
    <w:name w:val="Body Text Indent 3 Char"/>
    <w:basedOn w:val="DefaultParagraphFont"/>
    <w:link w:val="BodyTextIndent3"/>
    <w:uiPriority w:val="99"/>
    <w:semiHidden/>
    <w:rsid w:val="00836A43"/>
    <w:rPr>
      <w:rFonts w:asciiTheme="minorHAnsi" w:eastAsiaTheme="minorHAnsi" w:hAnsiTheme="minorHAnsi" w:cstheme="minorBidi"/>
      <w:sz w:val="16"/>
      <w:szCs w:val="16"/>
      <w:lang w:eastAsia="en-US"/>
    </w:rPr>
  </w:style>
  <w:style w:type="character" w:customStyle="1" w:styleId="PlainTextChar">
    <w:name w:val="Plain Text Char"/>
    <w:basedOn w:val="DefaultParagraphFont"/>
    <w:link w:val="PlainText"/>
    <w:uiPriority w:val="99"/>
    <w:semiHidden/>
    <w:rsid w:val="00836A43"/>
    <w:rPr>
      <w:rFonts w:ascii="Courier New" w:eastAsiaTheme="minorHAnsi" w:hAnsi="Courier New" w:cstheme="minorBidi"/>
      <w:lang w:eastAsia="en-US"/>
    </w:rPr>
  </w:style>
  <w:style w:type="character" w:customStyle="1" w:styleId="E-mailSignatureChar">
    <w:name w:val="E-mail Signature Char"/>
    <w:basedOn w:val="DefaultParagraphFont"/>
    <w:link w:val="E-mailSignature"/>
    <w:uiPriority w:val="99"/>
    <w:semiHidden/>
    <w:rsid w:val="00836A43"/>
    <w:rPr>
      <w:rFonts w:asciiTheme="minorHAnsi" w:eastAsiaTheme="minorHAnsi" w:hAnsiTheme="minorHAnsi" w:cstheme="minorBidi"/>
      <w:sz w:val="22"/>
      <w:szCs w:val="22"/>
      <w:lang w:eastAsia="en-US"/>
    </w:rPr>
  </w:style>
  <w:style w:type="character" w:customStyle="1" w:styleId="CommentTextChar1">
    <w:name w:val="Comment Text Char1"/>
    <w:basedOn w:val="DefaultParagraphFont"/>
    <w:uiPriority w:val="99"/>
    <w:semiHidden/>
    <w:rsid w:val="00836A43"/>
    <w:rPr>
      <w:rFonts w:asciiTheme="minorHAnsi" w:eastAsiaTheme="minorHAnsi" w:hAnsiTheme="minorHAnsi" w:cstheme="minorBidi" w:hint="default"/>
      <w:lang w:eastAsia="en-US"/>
    </w:rPr>
  </w:style>
  <w:style w:type="paragraph" w:styleId="TOC5">
    <w:name w:val="toc 5"/>
    <w:basedOn w:val="Normal"/>
    <w:next w:val="Normal"/>
    <w:autoRedefine/>
    <w:uiPriority w:val="39"/>
    <w:unhideWhenUsed/>
    <w:locked/>
    <w:rsid w:val="00D573E1"/>
    <w:pPr>
      <w:spacing w:after="100"/>
      <w:ind w:left="880"/>
    </w:pPr>
    <w:rPr>
      <w:rFonts w:eastAsiaTheme="minorEastAsia"/>
      <w:lang w:eastAsia="en-GB"/>
    </w:rPr>
  </w:style>
  <w:style w:type="paragraph" w:styleId="TOC6">
    <w:name w:val="toc 6"/>
    <w:basedOn w:val="Normal"/>
    <w:next w:val="Normal"/>
    <w:autoRedefine/>
    <w:uiPriority w:val="39"/>
    <w:unhideWhenUsed/>
    <w:locked/>
    <w:rsid w:val="00D573E1"/>
    <w:pPr>
      <w:spacing w:after="100"/>
      <w:ind w:left="1100"/>
    </w:pPr>
    <w:rPr>
      <w:rFonts w:eastAsiaTheme="minorEastAsia"/>
      <w:lang w:eastAsia="en-GB"/>
    </w:rPr>
  </w:style>
  <w:style w:type="paragraph" w:styleId="TOC7">
    <w:name w:val="toc 7"/>
    <w:basedOn w:val="Normal"/>
    <w:next w:val="Normal"/>
    <w:autoRedefine/>
    <w:uiPriority w:val="39"/>
    <w:unhideWhenUsed/>
    <w:locked/>
    <w:rsid w:val="00D573E1"/>
    <w:pPr>
      <w:spacing w:after="100"/>
      <w:ind w:left="1320"/>
    </w:pPr>
    <w:rPr>
      <w:rFonts w:eastAsiaTheme="minorEastAsia"/>
      <w:lang w:eastAsia="en-GB"/>
    </w:rPr>
  </w:style>
  <w:style w:type="paragraph" w:styleId="TOC8">
    <w:name w:val="toc 8"/>
    <w:basedOn w:val="Normal"/>
    <w:next w:val="Normal"/>
    <w:autoRedefine/>
    <w:uiPriority w:val="39"/>
    <w:unhideWhenUsed/>
    <w:locked/>
    <w:rsid w:val="00D573E1"/>
    <w:pPr>
      <w:spacing w:after="100"/>
      <w:ind w:left="1540"/>
    </w:pPr>
    <w:rPr>
      <w:rFonts w:eastAsiaTheme="minorEastAsia"/>
      <w:lang w:eastAsia="en-GB"/>
    </w:rPr>
  </w:style>
  <w:style w:type="paragraph" w:styleId="TOC9">
    <w:name w:val="toc 9"/>
    <w:basedOn w:val="Normal"/>
    <w:next w:val="Normal"/>
    <w:autoRedefine/>
    <w:uiPriority w:val="39"/>
    <w:unhideWhenUsed/>
    <w:locked/>
    <w:rsid w:val="00D573E1"/>
    <w:pPr>
      <w:spacing w:after="100"/>
      <w:ind w:left="1760"/>
    </w:pPr>
    <w:rPr>
      <w:rFonts w:eastAsiaTheme="minorEastAsia"/>
      <w:lang w:eastAsia="en-GB"/>
    </w:rPr>
  </w:style>
  <w:style w:type="paragraph" w:styleId="TOCHeading">
    <w:name w:val="TOC Heading"/>
    <w:basedOn w:val="Heading1"/>
    <w:next w:val="Normal"/>
    <w:uiPriority w:val="39"/>
    <w:semiHidden/>
    <w:unhideWhenUsed/>
    <w:qFormat/>
    <w:rsid w:val="00D573E1"/>
    <w:pPr>
      <w:keepNext/>
      <w:keepLines/>
      <w:pageBreakBefore w:val="0"/>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gmail-msolistparagraph">
    <w:name w:val="gmail-msolistparagraph"/>
    <w:basedOn w:val="Normal"/>
    <w:uiPriority w:val="99"/>
    <w:rsid w:val="00D573E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lfld-contribauthor">
    <w:name w:val="hlfld-contribauthor"/>
    <w:basedOn w:val="DefaultParagraphFont"/>
    <w:rsid w:val="00C4029B"/>
  </w:style>
  <w:style w:type="character" w:customStyle="1" w:styleId="apple-converted-space">
    <w:name w:val="apple-converted-space"/>
    <w:basedOn w:val="DefaultParagraphFont"/>
    <w:rsid w:val="00C4029B"/>
  </w:style>
  <w:style w:type="character" w:customStyle="1" w:styleId="nlmgiven-names">
    <w:name w:val="nlm_given-names"/>
    <w:basedOn w:val="DefaultParagraphFont"/>
    <w:rsid w:val="00C4029B"/>
  </w:style>
  <w:style w:type="character" w:customStyle="1" w:styleId="nlmyear">
    <w:name w:val="nlm_year"/>
    <w:basedOn w:val="DefaultParagraphFont"/>
    <w:rsid w:val="00C4029B"/>
  </w:style>
  <w:style w:type="character" w:customStyle="1" w:styleId="nlmarticle-title">
    <w:name w:val="nlm_article-title"/>
    <w:basedOn w:val="DefaultParagraphFont"/>
    <w:rsid w:val="00C4029B"/>
  </w:style>
  <w:style w:type="character" w:customStyle="1" w:styleId="nlmfpage">
    <w:name w:val="nlm_fpage"/>
    <w:basedOn w:val="DefaultParagraphFont"/>
    <w:rsid w:val="00C4029B"/>
  </w:style>
  <w:style w:type="character" w:customStyle="1" w:styleId="nlmlpage">
    <w:name w:val="nlm_lpage"/>
    <w:basedOn w:val="DefaultParagraphFont"/>
    <w:rsid w:val="00C40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2205">
      <w:bodyDiv w:val="1"/>
      <w:marLeft w:val="0"/>
      <w:marRight w:val="0"/>
      <w:marTop w:val="0"/>
      <w:marBottom w:val="0"/>
      <w:divBdr>
        <w:top w:val="none" w:sz="0" w:space="0" w:color="auto"/>
        <w:left w:val="none" w:sz="0" w:space="0" w:color="auto"/>
        <w:bottom w:val="none" w:sz="0" w:space="0" w:color="auto"/>
        <w:right w:val="none" w:sz="0" w:space="0" w:color="auto"/>
      </w:divBdr>
    </w:div>
    <w:div w:id="21982219">
      <w:bodyDiv w:val="1"/>
      <w:marLeft w:val="0"/>
      <w:marRight w:val="0"/>
      <w:marTop w:val="0"/>
      <w:marBottom w:val="0"/>
      <w:divBdr>
        <w:top w:val="none" w:sz="0" w:space="0" w:color="auto"/>
        <w:left w:val="none" w:sz="0" w:space="0" w:color="auto"/>
        <w:bottom w:val="none" w:sz="0" w:space="0" w:color="auto"/>
        <w:right w:val="none" w:sz="0" w:space="0" w:color="auto"/>
      </w:divBdr>
      <w:divsChild>
        <w:div w:id="975717998">
          <w:marLeft w:val="0"/>
          <w:marRight w:val="0"/>
          <w:marTop w:val="0"/>
          <w:marBottom w:val="0"/>
          <w:divBdr>
            <w:top w:val="none" w:sz="0" w:space="0" w:color="auto"/>
            <w:left w:val="none" w:sz="0" w:space="0" w:color="auto"/>
            <w:bottom w:val="none" w:sz="0" w:space="0" w:color="auto"/>
            <w:right w:val="none" w:sz="0" w:space="0" w:color="auto"/>
          </w:divBdr>
          <w:divsChild>
            <w:div w:id="528185474">
              <w:marLeft w:val="0"/>
              <w:marRight w:val="0"/>
              <w:marTop w:val="0"/>
              <w:marBottom w:val="0"/>
              <w:divBdr>
                <w:top w:val="none" w:sz="0" w:space="0" w:color="auto"/>
                <w:left w:val="none" w:sz="0" w:space="0" w:color="auto"/>
                <w:bottom w:val="none" w:sz="0" w:space="0" w:color="auto"/>
                <w:right w:val="none" w:sz="0" w:space="0" w:color="auto"/>
              </w:divBdr>
              <w:divsChild>
                <w:div w:id="828447873">
                  <w:marLeft w:val="0"/>
                  <w:marRight w:val="0"/>
                  <w:marTop w:val="0"/>
                  <w:marBottom w:val="0"/>
                  <w:divBdr>
                    <w:top w:val="none" w:sz="0" w:space="0" w:color="auto"/>
                    <w:left w:val="none" w:sz="0" w:space="0" w:color="auto"/>
                    <w:bottom w:val="none" w:sz="0" w:space="0" w:color="auto"/>
                    <w:right w:val="none" w:sz="0" w:space="0" w:color="auto"/>
                  </w:divBdr>
                  <w:divsChild>
                    <w:div w:id="8722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6346">
      <w:bodyDiv w:val="1"/>
      <w:marLeft w:val="0"/>
      <w:marRight w:val="0"/>
      <w:marTop w:val="0"/>
      <w:marBottom w:val="0"/>
      <w:divBdr>
        <w:top w:val="none" w:sz="0" w:space="0" w:color="auto"/>
        <w:left w:val="none" w:sz="0" w:space="0" w:color="auto"/>
        <w:bottom w:val="none" w:sz="0" w:space="0" w:color="auto"/>
        <w:right w:val="none" w:sz="0" w:space="0" w:color="auto"/>
      </w:divBdr>
    </w:div>
    <w:div w:id="132063147">
      <w:bodyDiv w:val="1"/>
      <w:marLeft w:val="0"/>
      <w:marRight w:val="0"/>
      <w:marTop w:val="0"/>
      <w:marBottom w:val="0"/>
      <w:divBdr>
        <w:top w:val="none" w:sz="0" w:space="0" w:color="auto"/>
        <w:left w:val="none" w:sz="0" w:space="0" w:color="auto"/>
        <w:bottom w:val="none" w:sz="0" w:space="0" w:color="auto"/>
        <w:right w:val="none" w:sz="0" w:space="0" w:color="auto"/>
      </w:divBdr>
    </w:div>
    <w:div w:id="141583874">
      <w:bodyDiv w:val="1"/>
      <w:marLeft w:val="0"/>
      <w:marRight w:val="0"/>
      <w:marTop w:val="0"/>
      <w:marBottom w:val="0"/>
      <w:divBdr>
        <w:top w:val="none" w:sz="0" w:space="0" w:color="auto"/>
        <w:left w:val="none" w:sz="0" w:space="0" w:color="auto"/>
        <w:bottom w:val="none" w:sz="0" w:space="0" w:color="auto"/>
        <w:right w:val="none" w:sz="0" w:space="0" w:color="auto"/>
      </w:divBdr>
    </w:div>
    <w:div w:id="145512035">
      <w:bodyDiv w:val="1"/>
      <w:marLeft w:val="0"/>
      <w:marRight w:val="0"/>
      <w:marTop w:val="0"/>
      <w:marBottom w:val="0"/>
      <w:divBdr>
        <w:top w:val="none" w:sz="0" w:space="0" w:color="auto"/>
        <w:left w:val="none" w:sz="0" w:space="0" w:color="auto"/>
        <w:bottom w:val="none" w:sz="0" w:space="0" w:color="auto"/>
        <w:right w:val="none" w:sz="0" w:space="0" w:color="auto"/>
      </w:divBdr>
    </w:div>
    <w:div w:id="159784432">
      <w:bodyDiv w:val="1"/>
      <w:marLeft w:val="0"/>
      <w:marRight w:val="0"/>
      <w:marTop w:val="0"/>
      <w:marBottom w:val="0"/>
      <w:divBdr>
        <w:top w:val="none" w:sz="0" w:space="0" w:color="auto"/>
        <w:left w:val="none" w:sz="0" w:space="0" w:color="auto"/>
        <w:bottom w:val="none" w:sz="0" w:space="0" w:color="auto"/>
        <w:right w:val="none" w:sz="0" w:space="0" w:color="auto"/>
      </w:divBdr>
    </w:div>
    <w:div w:id="176893718">
      <w:bodyDiv w:val="1"/>
      <w:marLeft w:val="0"/>
      <w:marRight w:val="0"/>
      <w:marTop w:val="0"/>
      <w:marBottom w:val="0"/>
      <w:divBdr>
        <w:top w:val="none" w:sz="0" w:space="0" w:color="auto"/>
        <w:left w:val="none" w:sz="0" w:space="0" w:color="auto"/>
        <w:bottom w:val="none" w:sz="0" w:space="0" w:color="auto"/>
        <w:right w:val="none" w:sz="0" w:space="0" w:color="auto"/>
      </w:divBdr>
      <w:divsChild>
        <w:div w:id="175580016">
          <w:marLeft w:val="0"/>
          <w:marRight w:val="0"/>
          <w:marTop w:val="0"/>
          <w:marBottom w:val="0"/>
          <w:divBdr>
            <w:top w:val="none" w:sz="0" w:space="0" w:color="auto"/>
            <w:left w:val="none" w:sz="0" w:space="0" w:color="auto"/>
            <w:bottom w:val="none" w:sz="0" w:space="0" w:color="auto"/>
            <w:right w:val="none" w:sz="0" w:space="0" w:color="auto"/>
          </w:divBdr>
          <w:divsChild>
            <w:div w:id="1090808049">
              <w:marLeft w:val="0"/>
              <w:marRight w:val="0"/>
              <w:marTop w:val="0"/>
              <w:marBottom w:val="0"/>
              <w:divBdr>
                <w:top w:val="none" w:sz="0" w:space="0" w:color="auto"/>
                <w:left w:val="none" w:sz="0" w:space="0" w:color="auto"/>
                <w:bottom w:val="none" w:sz="0" w:space="0" w:color="auto"/>
                <w:right w:val="none" w:sz="0" w:space="0" w:color="auto"/>
              </w:divBdr>
              <w:divsChild>
                <w:div w:id="510804975">
                  <w:marLeft w:val="150"/>
                  <w:marRight w:val="150"/>
                  <w:marTop w:val="0"/>
                  <w:marBottom w:val="0"/>
                  <w:divBdr>
                    <w:top w:val="none" w:sz="0" w:space="0" w:color="auto"/>
                    <w:left w:val="none" w:sz="0" w:space="0" w:color="auto"/>
                    <w:bottom w:val="none" w:sz="0" w:space="0" w:color="auto"/>
                    <w:right w:val="none" w:sz="0" w:space="0" w:color="auto"/>
                  </w:divBdr>
                  <w:divsChild>
                    <w:div w:id="961768490">
                      <w:marLeft w:val="0"/>
                      <w:marRight w:val="0"/>
                      <w:marTop w:val="0"/>
                      <w:marBottom w:val="0"/>
                      <w:divBdr>
                        <w:top w:val="none" w:sz="0" w:space="0" w:color="auto"/>
                        <w:left w:val="none" w:sz="0" w:space="0" w:color="auto"/>
                        <w:bottom w:val="none" w:sz="0" w:space="0" w:color="auto"/>
                        <w:right w:val="none" w:sz="0" w:space="0" w:color="auto"/>
                      </w:divBdr>
                      <w:divsChild>
                        <w:div w:id="1308239766">
                          <w:marLeft w:val="150"/>
                          <w:marRight w:val="150"/>
                          <w:marTop w:val="0"/>
                          <w:marBottom w:val="0"/>
                          <w:divBdr>
                            <w:top w:val="none" w:sz="0" w:space="0" w:color="auto"/>
                            <w:left w:val="none" w:sz="0" w:space="0" w:color="auto"/>
                            <w:bottom w:val="none" w:sz="0" w:space="0" w:color="auto"/>
                            <w:right w:val="none" w:sz="0" w:space="0" w:color="auto"/>
                          </w:divBdr>
                          <w:divsChild>
                            <w:div w:id="36105142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239848">
      <w:bodyDiv w:val="1"/>
      <w:marLeft w:val="0"/>
      <w:marRight w:val="0"/>
      <w:marTop w:val="0"/>
      <w:marBottom w:val="0"/>
      <w:divBdr>
        <w:top w:val="none" w:sz="0" w:space="0" w:color="auto"/>
        <w:left w:val="none" w:sz="0" w:space="0" w:color="auto"/>
        <w:bottom w:val="none" w:sz="0" w:space="0" w:color="auto"/>
        <w:right w:val="none" w:sz="0" w:space="0" w:color="auto"/>
      </w:divBdr>
    </w:div>
    <w:div w:id="286812249">
      <w:bodyDiv w:val="1"/>
      <w:marLeft w:val="0"/>
      <w:marRight w:val="0"/>
      <w:marTop w:val="0"/>
      <w:marBottom w:val="0"/>
      <w:divBdr>
        <w:top w:val="none" w:sz="0" w:space="0" w:color="auto"/>
        <w:left w:val="none" w:sz="0" w:space="0" w:color="auto"/>
        <w:bottom w:val="none" w:sz="0" w:space="0" w:color="auto"/>
        <w:right w:val="none" w:sz="0" w:space="0" w:color="auto"/>
      </w:divBdr>
    </w:div>
    <w:div w:id="328364839">
      <w:bodyDiv w:val="1"/>
      <w:marLeft w:val="0"/>
      <w:marRight w:val="0"/>
      <w:marTop w:val="0"/>
      <w:marBottom w:val="0"/>
      <w:divBdr>
        <w:top w:val="none" w:sz="0" w:space="0" w:color="auto"/>
        <w:left w:val="none" w:sz="0" w:space="0" w:color="auto"/>
        <w:bottom w:val="none" w:sz="0" w:space="0" w:color="auto"/>
        <w:right w:val="none" w:sz="0" w:space="0" w:color="auto"/>
      </w:divBdr>
    </w:div>
    <w:div w:id="331614261">
      <w:bodyDiv w:val="1"/>
      <w:marLeft w:val="0"/>
      <w:marRight w:val="0"/>
      <w:marTop w:val="0"/>
      <w:marBottom w:val="0"/>
      <w:divBdr>
        <w:top w:val="none" w:sz="0" w:space="0" w:color="auto"/>
        <w:left w:val="none" w:sz="0" w:space="0" w:color="auto"/>
        <w:bottom w:val="none" w:sz="0" w:space="0" w:color="auto"/>
        <w:right w:val="none" w:sz="0" w:space="0" w:color="auto"/>
      </w:divBdr>
    </w:div>
    <w:div w:id="374427246">
      <w:bodyDiv w:val="1"/>
      <w:marLeft w:val="0"/>
      <w:marRight w:val="0"/>
      <w:marTop w:val="0"/>
      <w:marBottom w:val="0"/>
      <w:divBdr>
        <w:top w:val="none" w:sz="0" w:space="0" w:color="auto"/>
        <w:left w:val="none" w:sz="0" w:space="0" w:color="auto"/>
        <w:bottom w:val="none" w:sz="0" w:space="0" w:color="auto"/>
        <w:right w:val="none" w:sz="0" w:space="0" w:color="auto"/>
      </w:divBdr>
    </w:div>
    <w:div w:id="380133419">
      <w:bodyDiv w:val="1"/>
      <w:marLeft w:val="0"/>
      <w:marRight w:val="0"/>
      <w:marTop w:val="0"/>
      <w:marBottom w:val="0"/>
      <w:divBdr>
        <w:top w:val="none" w:sz="0" w:space="0" w:color="auto"/>
        <w:left w:val="none" w:sz="0" w:space="0" w:color="auto"/>
        <w:bottom w:val="none" w:sz="0" w:space="0" w:color="auto"/>
        <w:right w:val="none" w:sz="0" w:space="0" w:color="auto"/>
      </w:divBdr>
    </w:div>
    <w:div w:id="628827738">
      <w:bodyDiv w:val="1"/>
      <w:marLeft w:val="0"/>
      <w:marRight w:val="0"/>
      <w:marTop w:val="0"/>
      <w:marBottom w:val="0"/>
      <w:divBdr>
        <w:top w:val="none" w:sz="0" w:space="0" w:color="auto"/>
        <w:left w:val="none" w:sz="0" w:space="0" w:color="auto"/>
        <w:bottom w:val="none" w:sz="0" w:space="0" w:color="auto"/>
        <w:right w:val="none" w:sz="0" w:space="0" w:color="auto"/>
      </w:divBdr>
    </w:div>
    <w:div w:id="654381671">
      <w:bodyDiv w:val="1"/>
      <w:marLeft w:val="0"/>
      <w:marRight w:val="0"/>
      <w:marTop w:val="0"/>
      <w:marBottom w:val="0"/>
      <w:divBdr>
        <w:top w:val="none" w:sz="0" w:space="0" w:color="auto"/>
        <w:left w:val="none" w:sz="0" w:space="0" w:color="auto"/>
        <w:bottom w:val="none" w:sz="0" w:space="0" w:color="auto"/>
        <w:right w:val="none" w:sz="0" w:space="0" w:color="auto"/>
      </w:divBdr>
      <w:divsChild>
        <w:div w:id="1352728754">
          <w:marLeft w:val="0"/>
          <w:marRight w:val="0"/>
          <w:marTop w:val="0"/>
          <w:marBottom w:val="0"/>
          <w:divBdr>
            <w:top w:val="none" w:sz="0" w:space="0" w:color="auto"/>
            <w:left w:val="none" w:sz="0" w:space="0" w:color="auto"/>
            <w:bottom w:val="none" w:sz="0" w:space="0" w:color="auto"/>
            <w:right w:val="none" w:sz="0" w:space="0" w:color="auto"/>
          </w:divBdr>
          <w:divsChild>
            <w:div w:id="825900816">
              <w:marLeft w:val="0"/>
              <w:marRight w:val="0"/>
              <w:marTop w:val="0"/>
              <w:marBottom w:val="0"/>
              <w:divBdr>
                <w:top w:val="none" w:sz="0" w:space="0" w:color="auto"/>
                <w:left w:val="none" w:sz="0" w:space="0" w:color="auto"/>
                <w:bottom w:val="none" w:sz="0" w:space="0" w:color="auto"/>
                <w:right w:val="none" w:sz="0" w:space="0" w:color="auto"/>
              </w:divBdr>
              <w:divsChild>
                <w:div w:id="11117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4490">
      <w:bodyDiv w:val="1"/>
      <w:marLeft w:val="0"/>
      <w:marRight w:val="0"/>
      <w:marTop w:val="0"/>
      <w:marBottom w:val="0"/>
      <w:divBdr>
        <w:top w:val="none" w:sz="0" w:space="0" w:color="auto"/>
        <w:left w:val="none" w:sz="0" w:space="0" w:color="auto"/>
        <w:bottom w:val="none" w:sz="0" w:space="0" w:color="auto"/>
        <w:right w:val="none" w:sz="0" w:space="0" w:color="auto"/>
      </w:divBdr>
    </w:div>
    <w:div w:id="708454412">
      <w:bodyDiv w:val="1"/>
      <w:marLeft w:val="0"/>
      <w:marRight w:val="0"/>
      <w:marTop w:val="0"/>
      <w:marBottom w:val="0"/>
      <w:divBdr>
        <w:top w:val="none" w:sz="0" w:space="0" w:color="auto"/>
        <w:left w:val="none" w:sz="0" w:space="0" w:color="auto"/>
        <w:bottom w:val="none" w:sz="0" w:space="0" w:color="auto"/>
        <w:right w:val="none" w:sz="0" w:space="0" w:color="auto"/>
      </w:divBdr>
    </w:div>
    <w:div w:id="773095373">
      <w:bodyDiv w:val="1"/>
      <w:marLeft w:val="0"/>
      <w:marRight w:val="0"/>
      <w:marTop w:val="0"/>
      <w:marBottom w:val="0"/>
      <w:divBdr>
        <w:top w:val="none" w:sz="0" w:space="0" w:color="auto"/>
        <w:left w:val="none" w:sz="0" w:space="0" w:color="auto"/>
        <w:bottom w:val="none" w:sz="0" w:space="0" w:color="auto"/>
        <w:right w:val="none" w:sz="0" w:space="0" w:color="auto"/>
      </w:divBdr>
    </w:div>
    <w:div w:id="1014913854">
      <w:bodyDiv w:val="1"/>
      <w:marLeft w:val="0"/>
      <w:marRight w:val="0"/>
      <w:marTop w:val="0"/>
      <w:marBottom w:val="0"/>
      <w:divBdr>
        <w:top w:val="none" w:sz="0" w:space="0" w:color="auto"/>
        <w:left w:val="none" w:sz="0" w:space="0" w:color="auto"/>
        <w:bottom w:val="none" w:sz="0" w:space="0" w:color="auto"/>
        <w:right w:val="none" w:sz="0" w:space="0" w:color="auto"/>
      </w:divBdr>
      <w:divsChild>
        <w:div w:id="1484545305">
          <w:marLeft w:val="0"/>
          <w:marRight w:val="0"/>
          <w:marTop w:val="0"/>
          <w:marBottom w:val="0"/>
          <w:divBdr>
            <w:top w:val="none" w:sz="0" w:space="0" w:color="auto"/>
            <w:left w:val="none" w:sz="0" w:space="0" w:color="auto"/>
            <w:bottom w:val="none" w:sz="0" w:space="0" w:color="auto"/>
            <w:right w:val="none" w:sz="0" w:space="0" w:color="auto"/>
          </w:divBdr>
          <w:divsChild>
            <w:div w:id="26876095">
              <w:marLeft w:val="0"/>
              <w:marRight w:val="0"/>
              <w:marTop w:val="0"/>
              <w:marBottom w:val="0"/>
              <w:divBdr>
                <w:top w:val="none" w:sz="0" w:space="0" w:color="auto"/>
                <w:left w:val="none" w:sz="0" w:space="0" w:color="auto"/>
                <w:bottom w:val="none" w:sz="0" w:space="0" w:color="auto"/>
                <w:right w:val="none" w:sz="0" w:space="0" w:color="auto"/>
              </w:divBdr>
              <w:divsChild>
                <w:div w:id="710307414">
                  <w:marLeft w:val="0"/>
                  <w:marRight w:val="0"/>
                  <w:marTop w:val="0"/>
                  <w:marBottom w:val="0"/>
                  <w:divBdr>
                    <w:top w:val="none" w:sz="0" w:space="0" w:color="auto"/>
                    <w:left w:val="none" w:sz="0" w:space="0" w:color="auto"/>
                    <w:bottom w:val="none" w:sz="0" w:space="0" w:color="auto"/>
                    <w:right w:val="none" w:sz="0" w:space="0" w:color="auto"/>
                  </w:divBdr>
                  <w:divsChild>
                    <w:div w:id="7246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29944">
      <w:bodyDiv w:val="1"/>
      <w:marLeft w:val="0"/>
      <w:marRight w:val="0"/>
      <w:marTop w:val="0"/>
      <w:marBottom w:val="0"/>
      <w:divBdr>
        <w:top w:val="none" w:sz="0" w:space="0" w:color="auto"/>
        <w:left w:val="none" w:sz="0" w:space="0" w:color="auto"/>
        <w:bottom w:val="none" w:sz="0" w:space="0" w:color="auto"/>
        <w:right w:val="none" w:sz="0" w:space="0" w:color="auto"/>
      </w:divBdr>
    </w:div>
    <w:div w:id="1072241235">
      <w:bodyDiv w:val="1"/>
      <w:marLeft w:val="0"/>
      <w:marRight w:val="0"/>
      <w:marTop w:val="0"/>
      <w:marBottom w:val="0"/>
      <w:divBdr>
        <w:top w:val="none" w:sz="0" w:space="0" w:color="auto"/>
        <w:left w:val="none" w:sz="0" w:space="0" w:color="auto"/>
        <w:bottom w:val="none" w:sz="0" w:space="0" w:color="auto"/>
        <w:right w:val="none" w:sz="0" w:space="0" w:color="auto"/>
      </w:divBdr>
    </w:div>
    <w:div w:id="1127313219">
      <w:bodyDiv w:val="1"/>
      <w:marLeft w:val="0"/>
      <w:marRight w:val="0"/>
      <w:marTop w:val="0"/>
      <w:marBottom w:val="0"/>
      <w:divBdr>
        <w:top w:val="none" w:sz="0" w:space="0" w:color="auto"/>
        <w:left w:val="none" w:sz="0" w:space="0" w:color="auto"/>
        <w:bottom w:val="none" w:sz="0" w:space="0" w:color="auto"/>
        <w:right w:val="none" w:sz="0" w:space="0" w:color="auto"/>
      </w:divBdr>
      <w:divsChild>
        <w:div w:id="725763269">
          <w:marLeft w:val="0"/>
          <w:marRight w:val="0"/>
          <w:marTop w:val="0"/>
          <w:marBottom w:val="0"/>
          <w:divBdr>
            <w:top w:val="none" w:sz="0" w:space="0" w:color="auto"/>
            <w:left w:val="none" w:sz="0" w:space="0" w:color="auto"/>
            <w:bottom w:val="none" w:sz="0" w:space="0" w:color="auto"/>
            <w:right w:val="none" w:sz="0" w:space="0" w:color="auto"/>
          </w:divBdr>
          <w:divsChild>
            <w:div w:id="1635286453">
              <w:marLeft w:val="0"/>
              <w:marRight w:val="0"/>
              <w:marTop w:val="0"/>
              <w:marBottom w:val="0"/>
              <w:divBdr>
                <w:top w:val="none" w:sz="0" w:space="0" w:color="auto"/>
                <w:left w:val="none" w:sz="0" w:space="0" w:color="auto"/>
                <w:bottom w:val="none" w:sz="0" w:space="0" w:color="auto"/>
                <w:right w:val="none" w:sz="0" w:space="0" w:color="auto"/>
              </w:divBdr>
              <w:divsChild>
                <w:div w:id="8918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52775">
      <w:bodyDiv w:val="1"/>
      <w:marLeft w:val="0"/>
      <w:marRight w:val="0"/>
      <w:marTop w:val="0"/>
      <w:marBottom w:val="0"/>
      <w:divBdr>
        <w:top w:val="none" w:sz="0" w:space="0" w:color="auto"/>
        <w:left w:val="none" w:sz="0" w:space="0" w:color="auto"/>
        <w:bottom w:val="none" w:sz="0" w:space="0" w:color="auto"/>
        <w:right w:val="none" w:sz="0" w:space="0" w:color="auto"/>
      </w:divBdr>
    </w:div>
    <w:div w:id="1187792041">
      <w:bodyDiv w:val="1"/>
      <w:marLeft w:val="0"/>
      <w:marRight w:val="0"/>
      <w:marTop w:val="0"/>
      <w:marBottom w:val="0"/>
      <w:divBdr>
        <w:top w:val="none" w:sz="0" w:space="0" w:color="auto"/>
        <w:left w:val="none" w:sz="0" w:space="0" w:color="auto"/>
        <w:bottom w:val="none" w:sz="0" w:space="0" w:color="auto"/>
        <w:right w:val="none" w:sz="0" w:space="0" w:color="auto"/>
      </w:divBdr>
    </w:div>
    <w:div w:id="1274820555">
      <w:bodyDiv w:val="1"/>
      <w:marLeft w:val="0"/>
      <w:marRight w:val="0"/>
      <w:marTop w:val="0"/>
      <w:marBottom w:val="0"/>
      <w:divBdr>
        <w:top w:val="none" w:sz="0" w:space="0" w:color="auto"/>
        <w:left w:val="none" w:sz="0" w:space="0" w:color="auto"/>
        <w:bottom w:val="none" w:sz="0" w:space="0" w:color="auto"/>
        <w:right w:val="none" w:sz="0" w:space="0" w:color="auto"/>
      </w:divBdr>
    </w:div>
    <w:div w:id="1289362854">
      <w:bodyDiv w:val="1"/>
      <w:marLeft w:val="0"/>
      <w:marRight w:val="0"/>
      <w:marTop w:val="0"/>
      <w:marBottom w:val="0"/>
      <w:divBdr>
        <w:top w:val="none" w:sz="0" w:space="0" w:color="auto"/>
        <w:left w:val="none" w:sz="0" w:space="0" w:color="auto"/>
        <w:bottom w:val="none" w:sz="0" w:space="0" w:color="auto"/>
        <w:right w:val="none" w:sz="0" w:space="0" w:color="auto"/>
      </w:divBdr>
    </w:div>
    <w:div w:id="1368679848">
      <w:bodyDiv w:val="1"/>
      <w:marLeft w:val="0"/>
      <w:marRight w:val="0"/>
      <w:marTop w:val="0"/>
      <w:marBottom w:val="0"/>
      <w:divBdr>
        <w:top w:val="none" w:sz="0" w:space="0" w:color="auto"/>
        <w:left w:val="none" w:sz="0" w:space="0" w:color="auto"/>
        <w:bottom w:val="none" w:sz="0" w:space="0" w:color="auto"/>
        <w:right w:val="none" w:sz="0" w:space="0" w:color="auto"/>
      </w:divBdr>
      <w:divsChild>
        <w:div w:id="189924828">
          <w:marLeft w:val="0"/>
          <w:marRight w:val="0"/>
          <w:marTop w:val="0"/>
          <w:marBottom w:val="0"/>
          <w:divBdr>
            <w:top w:val="none" w:sz="0" w:space="0" w:color="auto"/>
            <w:left w:val="none" w:sz="0" w:space="0" w:color="auto"/>
            <w:bottom w:val="none" w:sz="0" w:space="0" w:color="auto"/>
            <w:right w:val="none" w:sz="0" w:space="0" w:color="auto"/>
          </w:divBdr>
          <w:divsChild>
            <w:div w:id="1406754946">
              <w:marLeft w:val="0"/>
              <w:marRight w:val="0"/>
              <w:marTop w:val="0"/>
              <w:marBottom w:val="0"/>
              <w:divBdr>
                <w:top w:val="none" w:sz="0" w:space="0" w:color="auto"/>
                <w:left w:val="none" w:sz="0" w:space="0" w:color="auto"/>
                <w:bottom w:val="none" w:sz="0" w:space="0" w:color="auto"/>
                <w:right w:val="none" w:sz="0" w:space="0" w:color="auto"/>
              </w:divBdr>
              <w:divsChild>
                <w:div w:id="701324857">
                  <w:marLeft w:val="0"/>
                  <w:marRight w:val="0"/>
                  <w:marTop w:val="0"/>
                  <w:marBottom w:val="0"/>
                  <w:divBdr>
                    <w:top w:val="none" w:sz="0" w:space="0" w:color="auto"/>
                    <w:left w:val="none" w:sz="0" w:space="0" w:color="auto"/>
                    <w:bottom w:val="none" w:sz="0" w:space="0" w:color="auto"/>
                    <w:right w:val="none" w:sz="0" w:space="0" w:color="auto"/>
                  </w:divBdr>
                  <w:divsChild>
                    <w:div w:id="13151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94093">
      <w:bodyDiv w:val="1"/>
      <w:marLeft w:val="0"/>
      <w:marRight w:val="0"/>
      <w:marTop w:val="0"/>
      <w:marBottom w:val="0"/>
      <w:divBdr>
        <w:top w:val="none" w:sz="0" w:space="0" w:color="auto"/>
        <w:left w:val="none" w:sz="0" w:space="0" w:color="auto"/>
        <w:bottom w:val="none" w:sz="0" w:space="0" w:color="auto"/>
        <w:right w:val="none" w:sz="0" w:space="0" w:color="auto"/>
      </w:divBdr>
    </w:div>
    <w:div w:id="1527327540">
      <w:bodyDiv w:val="1"/>
      <w:marLeft w:val="0"/>
      <w:marRight w:val="0"/>
      <w:marTop w:val="0"/>
      <w:marBottom w:val="0"/>
      <w:divBdr>
        <w:top w:val="none" w:sz="0" w:space="0" w:color="auto"/>
        <w:left w:val="none" w:sz="0" w:space="0" w:color="auto"/>
        <w:bottom w:val="none" w:sz="0" w:space="0" w:color="auto"/>
        <w:right w:val="none" w:sz="0" w:space="0" w:color="auto"/>
      </w:divBdr>
    </w:div>
    <w:div w:id="1532836423">
      <w:bodyDiv w:val="1"/>
      <w:marLeft w:val="0"/>
      <w:marRight w:val="0"/>
      <w:marTop w:val="0"/>
      <w:marBottom w:val="0"/>
      <w:divBdr>
        <w:top w:val="none" w:sz="0" w:space="0" w:color="auto"/>
        <w:left w:val="none" w:sz="0" w:space="0" w:color="auto"/>
        <w:bottom w:val="none" w:sz="0" w:space="0" w:color="auto"/>
        <w:right w:val="none" w:sz="0" w:space="0" w:color="auto"/>
      </w:divBdr>
    </w:div>
    <w:div w:id="1556157565">
      <w:bodyDiv w:val="1"/>
      <w:marLeft w:val="0"/>
      <w:marRight w:val="0"/>
      <w:marTop w:val="0"/>
      <w:marBottom w:val="0"/>
      <w:divBdr>
        <w:top w:val="none" w:sz="0" w:space="0" w:color="auto"/>
        <w:left w:val="none" w:sz="0" w:space="0" w:color="auto"/>
        <w:bottom w:val="none" w:sz="0" w:space="0" w:color="auto"/>
        <w:right w:val="none" w:sz="0" w:space="0" w:color="auto"/>
      </w:divBdr>
    </w:div>
    <w:div w:id="1599485527">
      <w:bodyDiv w:val="1"/>
      <w:marLeft w:val="0"/>
      <w:marRight w:val="0"/>
      <w:marTop w:val="0"/>
      <w:marBottom w:val="0"/>
      <w:divBdr>
        <w:top w:val="none" w:sz="0" w:space="0" w:color="auto"/>
        <w:left w:val="none" w:sz="0" w:space="0" w:color="auto"/>
        <w:bottom w:val="none" w:sz="0" w:space="0" w:color="auto"/>
        <w:right w:val="none" w:sz="0" w:space="0" w:color="auto"/>
      </w:divBdr>
    </w:div>
    <w:div w:id="1607495162">
      <w:bodyDiv w:val="1"/>
      <w:marLeft w:val="0"/>
      <w:marRight w:val="0"/>
      <w:marTop w:val="0"/>
      <w:marBottom w:val="0"/>
      <w:divBdr>
        <w:top w:val="none" w:sz="0" w:space="0" w:color="auto"/>
        <w:left w:val="none" w:sz="0" w:space="0" w:color="auto"/>
        <w:bottom w:val="none" w:sz="0" w:space="0" w:color="auto"/>
        <w:right w:val="none" w:sz="0" w:space="0" w:color="auto"/>
      </w:divBdr>
    </w:div>
    <w:div w:id="1643384148">
      <w:bodyDiv w:val="1"/>
      <w:marLeft w:val="0"/>
      <w:marRight w:val="0"/>
      <w:marTop w:val="0"/>
      <w:marBottom w:val="0"/>
      <w:divBdr>
        <w:top w:val="none" w:sz="0" w:space="0" w:color="auto"/>
        <w:left w:val="none" w:sz="0" w:space="0" w:color="auto"/>
        <w:bottom w:val="none" w:sz="0" w:space="0" w:color="auto"/>
        <w:right w:val="none" w:sz="0" w:space="0" w:color="auto"/>
      </w:divBdr>
    </w:div>
    <w:div w:id="1715156462">
      <w:bodyDiv w:val="1"/>
      <w:marLeft w:val="0"/>
      <w:marRight w:val="0"/>
      <w:marTop w:val="0"/>
      <w:marBottom w:val="0"/>
      <w:divBdr>
        <w:top w:val="none" w:sz="0" w:space="0" w:color="auto"/>
        <w:left w:val="none" w:sz="0" w:space="0" w:color="auto"/>
        <w:bottom w:val="none" w:sz="0" w:space="0" w:color="auto"/>
        <w:right w:val="none" w:sz="0" w:space="0" w:color="auto"/>
      </w:divBdr>
    </w:div>
    <w:div w:id="1783920306">
      <w:bodyDiv w:val="1"/>
      <w:marLeft w:val="0"/>
      <w:marRight w:val="0"/>
      <w:marTop w:val="0"/>
      <w:marBottom w:val="0"/>
      <w:divBdr>
        <w:top w:val="none" w:sz="0" w:space="0" w:color="auto"/>
        <w:left w:val="none" w:sz="0" w:space="0" w:color="auto"/>
        <w:bottom w:val="none" w:sz="0" w:space="0" w:color="auto"/>
        <w:right w:val="none" w:sz="0" w:space="0" w:color="auto"/>
      </w:divBdr>
    </w:div>
    <w:div w:id="1821464552">
      <w:bodyDiv w:val="1"/>
      <w:marLeft w:val="0"/>
      <w:marRight w:val="0"/>
      <w:marTop w:val="0"/>
      <w:marBottom w:val="0"/>
      <w:divBdr>
        <w:top w:val="none" w:sz="0" w:space="0" w:color="auto"/>
        <w:left w:val="none" w:sz="0" w:space="0" w:color="auto"/>
        <w:bottom w:val="none" w:sz="0" w:space="0" w:color="auto"/>
        <w:right w:val="none" w:sz="0" w:space="0" w:color="auto"/>
      </w:divBdr>
    </w:div>
    <w:div w:id="1904870514">
      <w:bodyDiv w:val="1"/>
      <w:marLeft w:val="0"/>
      <w:marRight w:val="0"/>
      <w:marTop w:val="0"/>
      <w:marBottom w:val="0"/>
      <w:divBdr>
        <w:top w:val="none" w:sz="0" w:space="0" w:color="auto"/>
        <w:left w:val="none" w:sz="0" w:space="0" w:color="auto"/>
        <w:bottom w:val="none" w:sz="0" w:space="0" w:color="auto"/>
        <w:right w:val="none" w:sz="0" w:space="0" w:color="auto"/>
      </w:divBdr>
    </w:div>
    <w:div w:id="1930774198">
      <w:bodyDiv w:val="1"/>
      <w:marLeft w:val="0"/>
      <w:marRight w:val="0"/>
      <w:marTop w:val="0"/>
      <w:marBottom w:val="0"/>
      <w:divBdr>
        <w:top w:val="none" w:sz="0" w:space="0" w:color="auto"/>
        <w:left w:val="none" w:sz="0" w:space="0" w:color="auto"/>
        <w:bottom w:val="none" w:sz="0" w:space="0" w:color="auto"/>
        <w:right w:val="none" w:sz="0" w:space="0" w:color="auto"/>
      </w:divBdr>
    </w:div>
    <w:div w:id="200635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hyperlink" Target="http://www2.warwick.ac.uk/fac/med/research/platform/wemwbs/" TargetMode="External"/><Relationship Id="rId7" Type="http://schemas.openxmlformats.org/officeDocument/2006/relationships/webSettings" Target="web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hyperlink" Target="http://www.gov.scot/Topics/Statistics/SIMD" TargetMode="Externa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chart" Target="charts/chart47.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hyperlink" Target="http://www.midss.org/content/students-life-satisfaction-scale" TargetMode="External"/><Relationship Id="rId8" Type="http://schemas.openxmlformats.org/officeDocument/2006/relationships/footnotes" Target="footnotes.xml"/><Relationship Id="rId51" Type="http://schemas.openxmlformats.org/officeDocument/2006/relationships/chart" Target="charts/chart37.xm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hyperlink" Target="http://www.sdqinfo.org/" TargetMode="Externa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endnotes.xml.rels><?xml version="1.0" encoding="UTF-8" standalone="yes"?>
<Relationships xmlns="http://schemas.openxmlformats.org/package/2006/relationships"><Relationship Id="rId13" Type="http://schemas.openxmlformats.org/officeDocument/2006/relationships/hyperlink" Target="http://www.gov.scot/Publications/2013/12/1101/0" TargetMode="External"/><Relationship Id="rId18" Type="http://schemas.openxmlformats.org/officeDocument/2006/relationships/hyperlink" Target="https://www.ncbi.nlm.nih.gov/pmc/articles/PMC1862408/" TargetMode="External"/><Relationship Id="rId26" Type="http://schemas.openxmlformats.org/officeDocument/2006/relationships/hyperlink" Target="https://www.researchgate.net/profile/Ingrid_Schoon/publication/222751070_Long-term_Outcomes_for_Children_with_Early_Language_Problems_Beating_the_Odds/links/572ca95908ae7a42e133472d.pdf" TargetMode="External"/><Relationship Id="rId39" Type="http://schemas.openxmlformats.org/officeDocument/2006/relationships/hyperlink" Target="http://www.healthscotland.com/uploads/documents/18212-A_brief_guide_to_attachment.pdf" TargetMode="External"/><Relationship Id="rId21" Type="http://schemas.openxmlformats.org/officeDocument/2006/relationships/hyperlink" Target="http://www.gov.scot/Topics/Statistics/Browse/Health/scottish-health-survey/Publications/Supplementary2015" TargetMode="External"/><Relationship Id="rId34" Type="http://schemas.openxmlformats.org/officeDocument/2006/relationships/hyperlink" Target="https://medlineplus.gov/ency/article/007313.htm" TargetMode="External"/><Relationship Id="rId42" Type="http://schemas.openxmlformats.org/officeDocument/2006/relationships/hyperlink" Target="http://www.ifs.org.uk/docs/ee_impact.pdf" TargetMode="External"/><Relationship Id="rId47" Type="http://schemas.openxmlformats.org/officeDocument/2006/relationships/hyperlink" Target="http://www.gov.scot/Resource/Doc/17002/0023718.pdf" TargetMode="External"/><Relationship Id="rId50" Type="http://schemas.openxmlformats.org/officeDocument/2006/relationships/hyperlink" Target="http://www.ingentaconnect.com/content/tpp/frs/pre-prints/content-PP_FRS-D-14-00037R1" TargetMode="External"/><Relationship Id="rId55" Type="http://schemas.openxmlformats.org/officeDocument/2006/relationships/hyperlink" Target="http://www.gov.scot/Publications/2016/10/1665" TargetMode="External"/><Relationship Id="rId7" Type="http://schemas.openxmlformats.org/officeDocument/2006/relationships/hyperlink" Target="http://www.gov.scot/Publications/2016/09/2764/332571" TargetMode="External"/><Relationship Id="rId12" Type="http://schemas.openxmlformats.org/officeDocument/2006/relationships/hyperlink" Target="https://www.gov.uk/government/publications/uk-physical-activity-guidelines" TargetMode="External"/><Relationship Id="rId17" Type="http://schemas.openxmlformats.org/officeDocument/2006/relationships/hyperlink" Target="http://www.cls.ioe.ac.uk/page.aspx?&amp;sitesectionid=1080&amp;sitesectiontitle=Questionnaires" TargetMode="External"/><Relationship Id="rId25" Type="http://schemas.openxmlformats.org/officeDocument/2006/relationships/hyperlink" Target="https://www.rcslt.org/about/parliamentary_work/appg_report_feb_2013" TargetMode="External"/><Relationship Id="rId33" Type="http://schemas.openxmlformats.org/officeDocument/2006/relationships/hyperlink" Target="http://www.gov.scot/Resource/Doc/175356/0066306.pdf" TargetMode="External"/><Relationship Id="rId38" Type="http://schemas.openxmlformats.org/officeDocument/2006/relationships/hyperlink" Target="http://www.gov.scot/Resource/0041/00414641.pdf" TargetMode="External"/><Relationship Id="rId46" Type="http://schemas.openxmlformats.org/officeDocument/2006/relationships/hyperlink" Target="http://www.gov.scot/Resource/0039/00392709.pdf" TargetMode="External"/><Relationship Id="rId2" Type="http://schemas.openxmlformats.org/officeDocument/2006/relationships/hyperlink" Target="http://www.gov.scot/Resource/Doc/128931/0030711.pdf" TargetMode="External"/><Relationship Id="rId16" Type="http://schemas.openxmlformats.org/officeDocument/2006/relationships/hyperlink" Target="http://www.cls.ioe.ac.uk/datadictionary/page.asp?section=000100010003000500030004&amp;sectionTitle=D.+Self-Completion&amp;var=dccnum00" TargetMode="External"/><Relationship Id="rId20" Type="http://schemas.openxmlformats.org/officeDocument/2006/relationships/hyperlink" Target="http://www.gov.scot/Resource/0040/00408604.pdf" TargetMode="External"/><Relationship Id="rId29" Type="http://schemas.openxmlformats.org/officeDocument/2006/relationships/hyperlink" Target="http://www.gov.scot/About/Performance/scotPerforms/indicator/dental" TargetMode="External"/><Relationship Id="rId41" Type="http://schemas.openxmlformats.org/officeDocument/2006/relationships/hyperlink" Target="http://www.gov.scot/Resource/Doc/350041/0117150.pdf" TargetMode="External"/><Relationship Id="rId54" Type="http://schemas.openxmlformats.org/officeDocument/2006/relationships/hyperlink" Target="http://www.gov.scot/Resource/Doc/212225/0056476.pdf" TargetMode="External"/><Relationship Id="rId1" Type="http://schemas.openxmlformats.org/officeDocument/2006/relationships/hyperlink" Target="http://www.gov.scot/Topics/Statistics/Browse/Health/scottish-health-survey/Publications/Supplementary2015" TargetMode="External"/><Relationship Id="rId6" Type="http://schemas.openxmlformats.org/officeDocument/2006/relationships/hyperlink" Target="http://www.rightoutside.org/" TargetMode="External"/><Relationship Id="rId11" Type="http://schemas.openxmlformats.org/officeDocument/2006/relationships/hyperlink" Target="http://www.gov.scot/Publications/2010/11/12120420/0" TargetMode="External"/><Relationship Id="rId24" Type="http://schemas.openxmlformats.org/officeDocument/2006/relationships/hyperlink" Target="http://www.ican.org.uk/evidence" TargetMode="External"/><Relationship Id="rId32" Type="http://schemas.openxmlformats.org/officeDocument/2006/relationships/hyperlink" Target="http://www.gov.scot/Resource/0041/00414641.pdf" TargetMode="External"/><Relationship Id="rId37" Type="http://schemas.openxmlformats.org/officeDocument/2006/relationships/hyperlink" Target="http://www.gov.scot/Resource/0041/00414641.pdf" TargetMode="External"/><Relationship Id="rId40" Type="http://schemas.openxmlformats.org/officeDocument/2006/relationships/hyperlink" Target="http://growingupinscotland.org.uk/wp-content/uploads/2013/05/GUSYear5parentingbriefing.pdf" TargetMode="External"/><Relationship Id="rId45" Type="http://schemas.openxmlformats.org/officeDocument/2006/relationships/hyperlink" Target="http://www.gov.scot/Resource/0050/00501021.pdf" TargetMode="External"/><Relationship Id="rId53" Type="http://schemas.openxmlformats.org/officeDocument/2006/relationships/hyperlink" Target="http://www.gov.scot/Topics/People/Young-People/early-years/parenting-early-learning/families/national-parenting-strategy" TargetMode="External"/><Relationship Id="rId5" Type="http://schemas.openxmlformats.org/officeDocument/2006/relationships/hyperlink" Target="http://www.gov.scot/Publications/2016/10/8742" TargetMode="External"/><Relationship Id="rId15" Type="http://schemas.openxmlformats.org/officeDocument/2006/relationships/hyperlink" Target="http://www.gov.scot/Resource/0045/00452548.pdf" TargetMode="External"/><Relationship Id="rId23" Type="http://schemas.openxmlformats.org/officeDocument/2006/relationships/hyperlink" Target="http://jslhr.pubs.asha.org/article.aspx?articleid=1779996" TargetMode="External"/><Relationship Id="rId28" Type="http://schemas.openxmlformats.org/officeDocument/2006/relationships/hyperlink" Target="http://www.gov.scot/Publications/2013/02/3280" TargetMode="External"/><Relationship Id="rId36" Type="http://schemas.openxmlformats.org/officeDocument/2006/relationships/hyperlink" Target="https://cdn.shopify.com/s/files/1/0924/4392/files/passive-smoking-and-children.pdf?15599436013786148553" TargetMode="External"/><Relationship Id="rId49" Type="http://schemas.openxmlformats.org/officeDocument/2006/relationships/hyperlink" Target="http://www.scotland.gov.uk/Resource/Doc/310448/0097971.pdf" TargetMode="External"/><Relationship Id="rId10" Type="http://schemas.openxmlformats.org/officeDocument/2006/relationships/hyperlink" Target="http://www.gov.scot/Resource/Doc/350041/0117150.pdf" TargetMode="External"/><Relationship Id="rId19" Type="http://schemas.openxmlformats.org/officeDocument/2006/relationships/hyperlink" Target="http://www.gov.scot/Topics/Education/Schools/HLivi" TargetMode="External"/><Relationship Id="rId31" Type="http://schemas.openxmlformats.org/officeDocument/2006/relationships/hyperlink" Target="http://www.gov.scot/Resource/Doc/212225/0056476.pdf" TargetMode="External"/><Relationship Id="rId44" Type="http://schemas.openxmlformats.org/officeDocument/2006/relationships/hyperlink" Target="http://www.gov.scot/Resource/Doc/310722/0098010.pdf" TargetMode="External"/><Relationship Id="rId52" Type="http://schemas.openxmlformats.org/officeDocument/2006/relationships/hyperlink" Target="http://www.gov.scot/Topics/People/Young-People/early-years/parenting-early-learning/families/relationship-support" TargetMode="External"/><Relationship Id="rId4" Type="http://schemas.openxmlformats.org/officeDocument/2006/relationships/hyperlink" Target="http://www.childrenssociety.org.uk/what-we-do/research/the-good-childhood-report" TargetMode="External"/><Relationship Id="rId9" Type="http://schemas.openxmlformats.org/officeDocument/2006/relationships/hyperlink" Target="http://www.gov.scot/Publications/2016/10/5514" TargetMode="External"/><Relationship Id="rId14" Type="http://schemas.openxmlformats.org/officeDocument/2006/relationships/hyperlink" Target="http://www.gov.scot/Topics/Statistics/Browse/Health/scottish-health-survey/Publications/Supplementary2015" TargetMode="External"/><Relationship Id="rId22" Type="http://schemas.openxmlformats.org/officeDocument/2006/relationships/hyperlink" Target="http://www.gov.scot/Topics/Statistics/Browse/Health/scottish-health-survey/Publications/Supplementary2015" TargetMode="External"/><Relationship Id="rId27" Type="http://schemas.openxmlformats.org/officeDocument/2006/relationships/hyperlink" Target="http://www.gov.scot/Resource/0041/00414641.pdf" TargetMode="External"/><Relationship Id="rId30" Type="http://schemas.openxmlformats.org/officeDocument/2006/relationships/hyperlink" Target="http://www.scotland.gov.uk/Publications/2013/12/1101" TargetMode="External"/><Relationship Id="rId35" Type="http://schemas.openxmlformats.org/officeDocument/2006/relationships/hyperlink" Target="http://www.nhs.uk/Conditions/pregnancy-and-baby/pages/smoking-pregnant.aspx" TargetMode="External"/><Relationship Id="rId43" Type="http://schemas.openxmlformats.org/officeDocument/2006/relationships/hyperlink" Target="https://www.jrf.org.uk/sites/default/files/jrf/migrated/files/education-attainment-scotland-full.pdf" TargetMode="External"/><Relationship Id="rId48" Type="http://schemas.openxmlformats.org/officeDocument/2006/relationships/hyperlink" Target="http://www.gov.scot/Resource/Doc/263896/0079034.pdf" TargetMode="External"/><Relationship Id="rId56" Type="http://schemas.openxmlformats.org/officeDocument/2006/relationships/hyperlink" Target="http://www.lgiu.org.uk/wp-content/uploads/2016/08/DfE-research-wellbeing-of-young-people.pdf" TargetMode="External"/><Relationship Id="rId8" Type="http://schemas.openxmlformats.org/officeDocument/2006/relationships/hyperlink" Target="http://www.gov.scot/Publications/2016/10/3937" TargetMode="External"/><Relationship Id="rId51" Type="http://schemas.openxmlformats.org/officeDocument/2006/relationships/hyperlink" Target="http://www.gov.scot/Resource/Doc/212225/0056476.pdf" TargetMode="External"/><Relationship Id="rId3" Type="http://schemas.openxmlformats.org/officeDocument/2006/relationships/hyperlink" Target="https://www.gov.uk/government/publications/uk-physical-activity-guideline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Chart%20in%20Microsoft%20Word"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nelson\workdocs\Current%20projects\P12160%20-%20Realigning%20Children's%20Services%20Year%202%20primary%20and%20parent\Reporting\Charts\Falkirk\charts\RCS%20Secondary%20school%20survey%20-%20Falkirk%20-%20charts%20-%20working%20doc.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nelson\workdocs\Current%20projects\P12160%20-%20Realigning%20Children's%20Services%20Year%202%20primary%20and%20parent\Reporting\Charts\Falkirk\charts\RCS%20Secondary%20school%20survey%20-%20Falkirk%20-%20charts%20-%20working%20doc.xlsx" TargetMode="External"/><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nelson\workdocs\Current%20projects\P12160%20-%20Realigning%20Children's%20Services%20Year%202%20primary%20and%20parent\Reporting\Charts\Falkirk\charts\RCS%20Secondary%20school%20survey%20-%20Falkirk%20-%20charts%20-%20working%20doc.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1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1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oleObject" Target="file:///\\nelson\workdocs\Current%20projects\P12160%20-%20Realigning%20Children's%20Services%20Year%202%20primary%20and%20parent\Reporting\Text%20+%20charts\Falkirk\charts\RCS%20Primary%20school%20survey%20-%20falkirk-%20Charts.xlsx" TargetMode="External"/><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oleObject" Target="file:///\\nelson\workdocs\Current%20projects\P12160%20-%20Realigning%20Children's%20Services%20Year%202%20primary%20and%20parent\Reporting\Charts\Falkirk\charts\RCS%20Primary%20school%20survey%20-%20falkirk-%20Charts.xlsx" TargetMode="External"/><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Chart%20in%20Microsoft%20Word" TargetMode="Externa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8.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Excel_Worksheet9.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nelson\workdocs\Current%20projects\P12160%20-%20Realigning%20Children's%20Services%20Year%202%20primary%20and%20parent\Reporting\Charts\Falkirk\charts\RCS%20Parent%20survey%20-%20falkirk-%20Charts.xlsx" TargetMode="Externa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10.xlsx"/><Relationship Id="rId1" Type="http://schemas.openxmlformats.org/officeDocument/2006/relationships/themeOverride" Target="../theme/themeOverride23.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11.xlsx"/><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Excel_Worksheet12.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nelson\workdocs\Current%20projects\P12160%20-%20Realigning%20Children's%20Services%20Year%202%20primary%20and%20parent\Reporting\Charts\Falkirk\charts\RCS%20Parent%20survey%20-%20falkirk-%20Chart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nelson\workdocs\Current%20projects\P12160%20-%20Realigning%20Children's%20Services%20Year%202%20primary%20and%20parent\Reporting\Charts\Falkirk\charts\RCS%20Parent%20survey%20-%20falkirk-%20Charts.xlsx" TargetMode="External"/></Relationships>
</file>

<file path=word/charts/_rels/chart41.xml.rels><?xml version="1.0" encoding="UTF-8" standalone="yes"?>
<Relationships xmlns="http://schemas.openxmlformats.org/package/2006/relationships"><Relationship Id="rId2" Type="http://schemas.openxmlformats.org/officeDocument/2006/relationships/oleObject" Target="file:///\\nelson\workdocs\Current%20projects\P11792%20-%20Realigning%20Children's%20Services\Reporting\Analysis\CPP%20report\Parent%20survey%20chapter\South%20Lanarkshire\LA1%20charts_working%20draft.xlsx" TargetMode="External"/><Relationship Id="rId1" Type="http://schemas.openxmlformats.org/officeDocument/2006/relationships/themeOverride" Target="../theme/themeOverride25.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14.xlsx"/><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1" Type="http://schemas.openxmlformats.org/officeDocument/2006/relationships/oleObject" Target="file:///\\nelson\workdocs\Current%20projects\P11792%20-%20Realigning%20Children's%20Services\Reporting\Analysis\CPP%20report\Parent%20survey%20chapter\South%20Lanarkshire\LA1%20charts_working%20draft.xlsx"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16.xlsx"/><Relationship Id="rId1" Type="http://schemas.openxmlformats.org/officeDocument/2006/relationships/themeOverride" Target="../theme/themeOverride27.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17.xlsx"/><Relationship Id="rId1" Type="http://schemas.openxmlformats.org/officeDocument/2006/relationships/themeOverride" Target="../theme/themeOverride28.xm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Chart%20in%20Microsoft%20Word"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Microsoft_Excel_Worksheet18.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elson\workdocs\Current%20projects\P12160%20-%20Realigning%20Children's%20Services%20Year%202%20primary%20and%20parent\Reporting\Charts\Falkirk\charts\RCS%20Secondary%20school%20survey%20-%20Falkirk%20-%20charts%20-%20working%20doc.xlsx" TargetMode="External"/><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oleObject" Target="file:///\\nelson\workdocs\Current%20projects\P11792%20-%20Realigning%20Children's%20Services\Reporting\Analysis\CPP%20report\Parent%20survey%20chapter\South%20Lanarkshire\LA1%20charts_working%20draft.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nelson\workdocs\Current%20projects\P11792%20-%20Realigning%20Children's%20Services\Reporting\Analysis\CPP%20report\Parent%20survey%20chapter\South%20Lanarkshire\LA1%20charts_working%20draft.xlsx" TargetMode="Externa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nelson\workdocs\Current%20projects\P12160%20-%20Realigning%20Children's%20Services%20Year%202%20primary%20and%20parent\Reporting\Text%20+%20charts\Falkirk\charts\RCS%20Secondary%20school%20survey%20-%20Falkirk%20-%20charts%20-%20working%20doc.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elson\workdocs\Current%20projects\P12160%20-%20Realigning%20Children's%20Services%20Year%202%20primary%20and%20parent\Reporting\Text%20+%20charts\T1%20reports%20to%20use%20as%20template\RCS%20Secondary%20school%20survey%20-%20S.Lan%20-%20Tables%20and%20charts%20-%20working%20do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6"/>
              </a:solidFill>
              <a:ln w="25400">
                <a:noFill/>
              </a:ln>
            </c:spPr>
          </c:dPt>
          <c:dPt>
            <c:idx val="3"/>
            <c:invertIfNegative val="0"/>
            <c:bubble3D val="0"/>
          </c:dPt>
          <c:dPt>
            <c:idx val="4"/>
            <c:invertIfNegative val="0"/>
            <c:bubble3D val="0"/>
            <c:spPr>
              <a:solidFill>
                <a:schemeClr val="accent6"/>
              </a:solidFill>
              <a:ln w="25400">
                <a:noFill/>
              </a:ln>
            </c:spPr>
          </c:dPt>
          <c:dPt>
            <c:idx val="5"/>
            <c:invertIfNegative val="0"/>
            <c:bubble3D val="0"/>
          </c:dPt>
          <c:dPt>
            <c:idx val="6"/>
            <c:invertIfNegative val="0"/>
            <c:bubble3D val="0"/>
            <c:spPr>
              <a:solidFill>
                <a:schemeClr val="accent1"/>
              </a:solidFill>
              <a:ln w="25400">
                <a:noFill/>
              </a:ln>
            </c:spPr>
          </c:dPt>
          <c:dPt>
            <c:idx val="7"/>
            <c:invertIfNegative val="0"/>
            <c:bubble3D val="0"/>
          </c:dPt>
          <c:dLbls>
            <c:txPr>
              <a:bodyPr/>
              <a:lstStyle/>
              <a:p>
                <a:pPr>
                  <a:defRPr sz="900">
                    <a:latin typeface="+mn-lt"/>
                  </a:defRPr>
                </a:pPr>
                <a:endParaRPr lang="en-US"/>
              </a:p>
            </c:txPr>
            <c:dLblPos val="outEnd"/>
            <c:showLegendKey val="0"/>
            <c:showVal val="1"/>
            <c:showCatName val="0"/>
            <c:showSerName val="0"/>
            <c:showPercent val="0"/>
            <c:showBubbleSize val="0"/>
            <c:showLeaderLines val="0"/>
          </c:dLbls>
          <c:cat>
            <c:multiLvlStrRef>
              <c:f>'General health'!$G$1:$H$7</c:f>
              <c:multiLvlStrCache>
                <c:ptCount val="7"/>
                <c:lvl>
                  <c:pt idx="0">
                    <c:v>Yes</c:v>
                  </c:pt>
                  <c:pt idx="1">
                    <c:v>No</c:v>
                  </c:pt>
                  <c:pt idx="3">
                    <c:v>Yes</c:v>
                  </c:pt>
                  <c:pt idx="4">
                    <c:v>No</c:v>
                  </c:pt>
                  <c:pt idx="6">
                    <c:v>All</c:v>
                  </c:pt>
                </c:lvl>
                <c:lvl>
                  <c:pt idx="0">
                    <c:v>Additional Support Need</c:v>
                  </c:pt>
                  <c:pt idx="2">
                    <c:v> </c:v>
                  </c:pt>
                  <c:pt idx="3">
                    <c:v>In receipt of children's services</c:v>
                  </c:pt>
                  <c:pt idx="5">
                    <c:v> </c:v>
                  </c:pt>
                  <c:pt idx="6">
                    <c:v> </c:v>
                  </c:pt>
                </c:lvl>
              </c:multiLvlStrCache>
            </c:multiLvlStrRef>
          </c:cat>
          <c:val>
            <c:numRef>
              <c:f>'General health'!$I$1:$I$7</c:f>
              <c:numCache>
                <c:formatCode>0%</c:formatCode>
                <c:ptCount val="7"/>
                <c:pt idx="0">
                  <c:v>0.74</c:v>
                </c:pt>
                <c:pt idx="1">
                  <c:v>0.82</c:v>
                </c:pt>
                <c:pt idx="3">
                  <c:v>0.67</c:v>
                </c:pt>
                <c:pt idx="4">
                  <c:v>0.81</c:v>
                </c:pt>
                <c:pt idx="6">
                  <c:v>0.81</c:v>
                </c:pt>
              </c:numCache>
            </c:numRef>
          </c:val>
        </c:ser>
        <c:dLbls>
          <c:showLegendKey val="0"/>
          <c:showVal val="0"/>
          <c:showCatName val="0"/>
          <c:showSerName val="0"/>
          <c:showPercent val="0"/>
          <c:showBubbleSize val="0"/>
        </c:dLbls>
        <c:gapWidth val="0"/>
        <c:axId val="121805440"/>
        <c:axId val="121856768"/>
      </c:barChart>
      <c:catAx>
        <c:axId val="1218054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21856768"/>
        <c:crosses val="autoZero"/>
        <c:auto val="0"/>
        <c:lblAlgn val="ctr"/>
        <c:lblOffset val="100"/>
        <c:noMultiLvlLbl val="0"/>
      </c:catAx>
      <c:valAx>
        <c:axId val="12185676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Tahoma"/>
                <a:cs typeface="Tahoma"/>
              </a:defRPr>
            </a:pPr>
            <a:endParaRPr lang="en-US"/>
          </a:p>
        </c:txPr>
        <c:crossAx val="121805440"/>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83744846300992037"/>
          <c:h val="0.42838092208170947"/>
        </c:manualLayout>
      </c:layout>
      <c:barChart>
        <c:barDir val="col"/>
        <c:grouping val="clustered"/>
        <c:varyColors val="0"/>
        <c:ser>
          <c:idx val="0"/>
          <c:order val="0"/>
          <c:spPr>
            <a:solidFill>
              <a:schemeClr val="tx2"/>
            </a:solidFill>
            <a:ln w="25400">
              <a:solidFill>
                <a:schemeClr val="bg1"/>
              </a:solid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9"/>
            <c:invertIfNegative val="0"/>
            <c:bubble3D val="0"/>
          </c:dPt>
          <c:dPt>
            <c:idx val="11"/>
            <c:invertIfNegative val="0"/>
            <c:bubble3D val="0"/>
          </c:dPt>
          <c:dLbls>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'[Chart in Microsoft Word]Drugs taken'!$O$2:$O$17</c:f>
              <c:strCache>
                <c:ptCount val="16"/>
                <c:pt idx="0">
                  <c:v>Cannabis</c:v>
                </c:pt>
                <c:pt idx="1">
                  <c:v>Ecstacy</c:v>
                </c:pt>
                <c:pt idx="2">
                  <c:v>MDMA powder</c:v>
                </c:pt>
                <c:pt idx="3">
                  <c:v>Cocaine</c:v>
                </c:pt>
                <c:pt idx="4">
                  <c:v>Magic mushrooms</c:v>
                </c:pt>
                <c:pt idx="5">
                  <c:v>Mephedrone</c:v>
                </c:pt>
                <c:pt idx="6">
                  <c:v>Solvents</c:v>
                </c:pt>
                <c:pt idx="7">
                  <c:v>Ketamine</c:v>
                </c:pt>
                <c:pt idx="8">
                  <c:v>LSD</c:v>
                </c:pt>
                <c:pt idx="9">
                  <c:v>Amphetamines</c:v>
                </c:pt>
                <c:pt idx="10">
                  <c:v>Anabolic steroids</c:v>
                </c:pt>
                <c:pt idx="11">
                  <c:v>Crack cocaine</c:v>
                </c:pt>
                <c:pt idx="12">
                  <c:v>Ethylphenidate</c:v>
                </c:pt>
                <c:pt idx="13">
                  <c:v>GHB</c:v>
                </c:pt>
                <c:pt idx="14">
                  <c:v>Poppers</c:v>
                </c:pt>
                <c:pt idx="15">
                  <c:v>Synthetic cannabis</c:v>
                </c:pt>
              </c:strCache>
            </c:strRef>
          </c:cat>
          <c:val>
            <c:numRef>
              <c:f>'[Chart in Microsoft Word]Drugs taken'!$P$2:$P$17</c:f>
              <c:numCache>
                <c:formatCode>0%</c:formatCode>
                <c:ptCount val="16"/>
                <c:pt idx="0">
                  <c:v>0.53900000000000003</c:v>
                </c:pt>
                <c:pt idx="1">
                  <c:v>0.184</c:v>
                </c:pt>
                <c:pt idx="2">
                  <c:v>0.13</c:v>
                </c:pt>
                <c:pt idx="3">
                  <c:v>0.11899999999999999</c:v>
                </c:pt>
                <c:pt idx="4">
                  <c:v>6.8000000000000005E-2</c:v>
                </c:pt>
                <c:pt idx="5">
                  <c:v>7.0000000000000007E-2</c:v>
                </c:pt>
                <c:pt idx="6">
                  <c:v>6.8000000000000005E-2</c:v>
                </c:pt>
                <c:pt idx="7">
                  <c:v>5.8000000000000003E-2</c:v>
                </c:pt>
                <c:pt idx="8">
                  <c:v>6.3E-2</c:v>
                </c:pt>
                <c:pt idx="9">
                  <c:v>5.2999999999999999E-2</c:v>
                </c:pt>
                <c:pt idx="10">
                  <c:v>4.9000000000000002E-2</c:v>
                </c:pt>
                <c:pt idx="11">
                  <c:v>5.1999999999999998E-2</c:v>
                </c:pt>
                <c:pt idx="12">
                  <c:v>4.9000000000000002E-2</c:v>
                </c:pt>
                <c:pt idx="13">
                  <c:v>4.5999999999999999E-2</c:v>
                </c:pt>
                <c:pt idx="14">
                  <c:v>5.2999999999999999E-2</c:v>
                </c:pt>
                <c:pt idx="15">
                  <c:v>0.05</c:v>
                </c:pt>
              </c:numCache>
            </c:numRef>
          </c:val>
        </c:ser>
        <c:dLbls>
          <c:showLegendKey val="0"/>
          <c:showVal val="0"/>
          <c:showCatName val="0"/>
          <c:showSerName val="0"/>
          <c:showPercent val="0"/>
          <c:showBubbleSize val="0"/>
        </c:dLbls>
        <c:gapWidth val="0"/>
        <c:axId val="152985984"/>
        <c:axId val="152987520"/>
      </c:barChart>
      <c:catAx>
        <c:axId val="152985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mn-lt"/>
                <a:ea typeface="Tahoma"/>
                <a:cs typeface="Tahoma"/>
              </a:defRPr>
            </a:pPr>
            <a:endParaRPr lang="en-US"/>
          </a:p>
        </c:txPr>
        <c:crossAx val="152987520"/>
        <c:crosses val="autoZero"/>
        <c:auto val="0"/>
        <c:lblAlgn val="ctr"/>
        <c:lblOffset val="100"/>
        <c:noMultiLvlLbl val="0"/>
      </c:catAx>
      <c:valAx>
        <c:axId val="152987520"/>
        <c:scaling>
          <c:orientation val="minMax"/>
          <c:min val="0"/>
        </c:scaling>
        <c:delete val="0"/>
        <c:axPos val="l"/>
        <c:majorGridlines>
          <c:spPr>
            <a:ln w="3175">
              <a:noFill/>
              <a:prstDash val="solid"/>
            </a:ln>
          </c:spPr>
        </c:majorGridlines>
        <c:numFmt formatCode="0%"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1529859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tx>
            <c:strRef>
              <c:f>'Family time'!$D$10</c:f>
              <c:strCache>
                <c:ptCount val="1"/>
                <c:pt idx="0">
                  <c:v>Two parent household</c:v>
                </c:pt>
              </c:strCache>
            </c:strRef>
          </c:tx>
          <c:spPr>
            <a:solidFill>
              <a:schemeClr val="tx2"/>
            </a:solidFill>
            <a:ln w="25400">
              <a:no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'Family time'!$C$11:$C$13</c:f>
              <c:strCache>
                <c:ptCount val="3"/>
                <c:pt idx="0">
                  <c:v>Agree my parents/carers treat me fairly</c:v>
                </c:pt>
                <c:pt idx="1">
                  <c:v>Agree I enjoy spending time with my family</c:v>
                </c:pt>
                <c:pt idx="2">
                  <c:v>Agree members of my family shout at each other a lot</c:v>
                </c:pt>
              </c:strCache>
            </c:strRef>
          </c:cat>
          <c:val>
            <c:numRef>
              <c:f>'Family time'!$D$11:$D$13</c:f>
              <c:numCache>
                <c:formatCode>0%</c:formatCode>
                <c:ptCount val="3"/>
                <c:pt idx="0">
                  <c:v>0.94</c:v>
                </c:pt>
                <c:pt idx="1">
                  <c:v>0.88</c:v>
                </c:pt>
                <c:pt idx="2">
                  <c:v>0.17</c:v>
                </c:pt>
              </c:numCache>
            </c:numRef>
          </c:val>
        </c:ser>
        <c:ser>
          <c:idx val="1"/>
          <c:order val="1"/>
          <c:tx>
            <c:strRef>
              <c:f>'Family time'!$E$10</c:f>
              <c:strCache>
                <c:ptCount val="1"/>
                <c:pt idx="0">
                  <c:v>One parent household</c:v>
                </c:pt>
              </c:strCache>
            </c:strRef>
          </c:tx>
          <c:spPr>
            <a:solidFill>
              <a:schemeClr val="accent1"/>
            </a:solidFill>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'Family time'!$C$11:$C$13</c:f>
              <c:strCache>
                <c:ptCount val="3"/>
                <c:pt idx="0">
                  <c:v>Agree my parents/carers treat me fairly</c:v>
                </c:pt>
                <c:pt idx="1">
                  <c:v>Agree I enjoy spending time with my family</c:v>
                </c:pt>
                <c:pt idx="2">
                  <c:v>Agree members of my family shout at each other a lot</c:v>
                </c:pt>
              </c:strCache>
            </c:strRef>
          </c:cat>
          <c:val>
            <c:numRef>
              <c:f>'Family time'!$E$11:$E$13</c:f>
              <c:numCache>
                <c:formatCode>0%</c:formatCode>
                <c:ptCount val="3"/>
                <c:pt idx="0">
                  <c:v>0.91</c:v>
                </c:pt>
                <c:pt idx="1">
                  <c:v>0.83</c:v>
                </c:pt>
                <c:pt idx="2">
                  <c:v>0.26</c:v>
                </c:pt>
              </c:numCache>
            </c:numRef>
          </c:val>
        </c:ser>
        <c:ser>
          <c:idx val="2"/>
          <c:order val="2"/>
          <c:tx>
            <c:strRef>
              <c:f>'Family time'!$F$10</c:f>
              <c:strCache>
                <c:ptCount val="1"/>
                <c:pt idx="0">
                  <c:v>Step-family</c:v>
                </c:pt>
              </c:strCache>
            </c:strRef>
          </c:tx>
          <c:spPr>
            <a:solidFill>
              <a:schemeClr val="accent4">
                <a:lumMod val="40000"/>
                <a:lumOff val="60000"/>
              </a:schemeClr>
            </a:solidFill>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'Family time'!$C$11:$C$13</c:f>
              <c:strCache>
                <c:ptCount val="3"/>
                <c:pt idx="0">
                  <c:v>Agree my parents/carers treat me fairly</c:v>
                </c:pt>
                <c:pt idx="1">
                  <c:v>Agree I enjoy spending time with my family</c:v>
                </c:pt>
                <c:pt idx="2">
                  <c:v>Agree members of my family shout at each other a lot</c:v>
                </c:pt>
              </c:strCache>
            </c:strRef>
          </c:cat>
          <c:val>
            <c:numRef>
              <c:f>'Family time'!$F$11:$F$13</c:f>
              <c:numCache>
                <c:formatCode>0%</c:formatCode>
                <c:ptCount val="3"/>
                <c:pt idx="0">
                  <c:v>0.88570400000000005</c:v>
                </c:pt>
                <c:pt idx="1">
                  <c:v>0.8</c:v>
                </c:pt>
                <c:pt idx="2">
                  <c:v>0.28000000000000003</c:v>
                </c:pt>
              </c:numCache>
            </c:numRef>
          </c:val>
        </c:ser>
        <c:ser>
          <c:idx val="3"/>
          <c:order val="3"/>
          <c:tx>
            <c:strRef>
              <c:f>'Family time'!$G$10</c:f>
              <c:strCache>
                <c:ptCount val="1"/>
                <c:pt idx="0">
                  <c:v>Other household type</c:v>
                </c:pt>
              </c:strCache>
            </c:strRef>
          </c:tx>
          <c:spPr>
            <a:solidFill>
              <a:schemeClr val="accent6"/>
            </a:solidFill>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'Family time'!$C$11:$C$13</c:f>
              <c:strCache>
                <c:ptCount val="3"/>
                <c:pt idx="0">
                  <c:v>Agree my parents/carers treat me fairly</c:v>
                </c:pt>
                <c:pt idx="1">
                  <c:v>Agree I enjoy spending time with my family</c:v>
                </c:pt>
                <c:pt idx="2">
                  <c:v>Agree members of my family shout at each other a lot</c:v>
                </c:pt>
              </c:strCache>
            </c:strRef>
          </c:cat>
          <c:val>
            <c:numRef>
              <c:f>'Family time'!$G$11:$G$13</c:f>
              <c:numCache>
                <c:formatCode>0%</c:formatCode>
                <c:ptCount val="3"/>
                <c:pt idx="0">
                  <c:v>0.66</c:v>
                </c:pt>
                <c:pt idx="1">
                  <c:v>0.52</c:v>
                </c:pt>
                <c:pt idx="2">
                  <c:v>0.44</c:v>
                </c:pt>
              </c:numCache>
            </c:numRef>
          </c:val>
        </c:ser>
        <c:dLbls>
          <c:showLegendKey val="0"/>
          <c:showVal val="0"/>
          <c:showCatName val="0"/>
          <c:showSerName val="0"/>
          <c:showPercent val="0"/>
          <c:showBubbleSize val="0"/>
        </c:dLbls>
        <c:gapWidth val="100"/>
        <c:axId val="153008000"/>
        <c:axId val="153009536"/>
      </c:barChart>
      <c:catAx>
        <c:axId val="153008000"/>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53009536"/>
        <c:crosses val="autoZero"/>
        <c:auto val="0"/>
        <c:lblAlgn val="ctr"/>
        <c:lblOffset val="100"/>
        <c:noMultiLvlLbl val="0"/>
      </c:catAx>
      <c:valAx>
        <c:axId val="153009536"/>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53008000"/>
        <c:crosses val="autoZero"/>
        <c:crossBetween val="between"/>
        <c:majorUnit val="0.1"/>
        <c:minorUnit val="4.000000000000001E-3"/>
      </c:valAx>
      <c:spPr>
        <a:noFill/>
        <a:ln w="25400">
          <a:noFill/>
        </a:ln>
      </c:spPr>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0336653059108942"/>
          <c:w val="0.74931286978958134"/>
          <c:h val="0.62554194145353692"/>
        </c:manualLayout>
      </c:layout>
      <c:barChart>
        <c:barDir val="col"/>
        <c:grouping val="percentStacked"/>
        <c:varyColors val="0"/>
        <c:ser>
          <c:idx val="0"/>
          <c:order val="0"/>
          <c:tx>
            <c:strRef>
              <c:f>'Like school'!$E$16</c:f>
              <c:strCache>
                <c:ptCount val="1"/>
                <c:pt idx="0">
                  <c:v>A lot</c:v>
                </c:pt>
              </c:strCache>
            </c:strRef>
          </c:tx>
          <c:spPr>
            <a:solidFill>
              <a:schemeClr val="tx2"/>
            </a:solidFill>
            <a:ln w="9525">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'Like school'!$C$17:$D$25</c:f>
              <c:multiLvlStrCache>
                <c:ptCount val="9"/>
                <c:lvl>
                  <c:pt idx="0">
                    <c:v>S1</c:v>
                  </c:pt>
                  <c:pt idx="1">
                    <c:v>S2</c:v>
                  </c:pt>
                  <c:pt idx="2">
                    <c:v>S3</c:v>
                  </c:pt>
                  <c:pt idx="3">
                    <c:v>S4</c:v>
                  </c:pt>
                  <c:pt idx="5">
                    <c:v>Yes</c:v>
                  </c:pt>
                  <c:pt idx="6">
                    <c:v>No</c:v>
                  </c:pt>
                  <c:pt idx="8">
                    <c:v>All</c:v>
                  </c:pt>
                </c:lvl>
                <c:lvl>
                  <c:pt idx="0">
                    <c:v>Year group</c:v>
                  </c:pt>
                  <c:pt idx="4">
                    <c:v> </c:v>
                  </c:pt>
                  <c:pt idx="5">
                    <c:v>In receipt of children's services</c:v>
                  </c:pt>
                  <c:pt idx="7">
                    <c:v> </c:v>
                  </c:pt>
                  <c:pt idx="8">
                    <c:v> </c:v>
                  </c:pt>
                </c:lvl>
              </c:multiLvlStrCache>
            </c:multiLvlStrRef>
          </c:cat>
          <c:val>
            <c:numRef>
              <c:f>'Like school'!$E$17:$E$25</c:f>
              <c:numCache>
                <c:formatCode>0%</c:formatCode>
                <c:ptCount val="9"/>
                <c:pt idx="0">
                  <c:v>0.29620299999999999</c:v>
                </c:pt>
                <c:pt idx="1">
                  <c:v>0.212426</c:v>
                </c:pt>
                <c:pt idx="2">
                  <c:v>0.198077</c:v>
                </c:pt>
                <c:pt idx="3">
                  <c:v>0.10764099999999999</c:v>
                </c:pt>
                <c:pt idx="5">
                  <c:v>0.108917</c:v>
                </c:pt>
                <c:pt idx="6">
                  <c:v>0.20834599999999998</c:v>
                </c:pt>
                <c:pt idx="8">
                  <c:v>0.20516200000000001</c:v>
                </c:pt>
              </c:numCache>
            </c:numRef>
          </c:val>
        </c:ser>
        <c:ser>
          <c:idx val="1"/>
          <c:order val="1"/>
          <c:tx>
            <c:strRef>
              <c:f>'Like school'!$F$16</c:f>
              <c:strCache>
                <c:ptCount val="1"/>
                <c:pt idx="0">
                  <c:v>A bit</c:v>
                </c:pt>
              </c:strCache>
            </c:strRef>
          </c:tx>
          <c:spPr>
            <a:solidFill>
              <a:srgbClr val="4F81BD"/>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'Like school'!$C$17:$D$25</c:f>
              <c:multiLvlStrCache>
                <c:ptCount val="9"/>
                <c:lvl>
                  <c:pt idx="0">
                    <c:v>S1</c:v>
                  </c:pt>
                  <c:pt idx="1">
                    <c:v>S2</c:v>
                  </c:pt>
                  <c:pt idx="2">
                    <c:v>S3</c:v>
                  </c:pt>
                  <c:pt idx="3">
                    <c:v>S4</c:v>
                  </c:pt>
                  <c:pt idx="5">
                    <c:v>Yes</c:v>
                  </c:pt>
                  <c:pt idx="6">
                    <c:v>No</c:v>
                  </c:pt>
                  <c:pt idx="8">
                    <c:v>All</c:v>
                  </c:pt>
                </c:lvl>
                <c:lvl>
                  <c:pt idx="0">
                    <c:v>Year group</c:v>
                  </c:pt>
                  <c:pt idx="4">
                    <c:v> </c:v>
                  </c:pt>
                  <c:pt idx="5">
                    <c:v>In receipt of children's services</c:v>
                  </c:pt>
                  <c:pt idx="7">
                    <c:v> </c:v>
                  </c:pt>
                  <c:pt idx="8">
                    <c:v> </c:v>
                  </c:pt>
                </c:lvl>
              </c:multiLvlStrCache>
            </c:multiLvlStrRef>
          </c:cat>
          <c:val>
            <c:numRef>
              <c:f>'Like school'!$F$17:$F$25</c:f>
              <c:numCache>
                <c:formatCode>0%</c:formatCode>
                <c:ptCount val="9"/>
                <c:pt idx="0">
                  <c:v>0.50870899999999997</c:v>
                </c:pt>
                <c:pt idx="1">
                  <c:v>0.52351599999999998</c:v>
                </c:pt>
                <c:pt idx="2">
                  <c:v>0.52232900000000004</c:v>
                </c:pt>
                <c:pt idx="3">
                  <c:v>0.48868</c:v>
                </c:pt>
                <c:pt idx="5">
                  <c:v>0.45905900000000005</c:v>
                </c:pt>
                <c:pt idx="6">
                  <c:v>0.51249999999999996</c:v>
                </c:pt>
                <c:pt idx="8">
                  <c:v>0.51078800000000002</c:v>
                </c:pt>
              </c:numCache>
            </c:numRef>
          </c:val>
        </c:ser>
        <c:ser>
          <c:idx val="2"/>
          <c:order val="2"/>
          <c:tx>
            <c:strRef>
              <c:f>'Like school'!$G$16</c:f>
              <c:strCache>
                <c:ptCount val="1"/>
                <c:pt idx="0">
                  <c:v>Not very much</c:v>
                </c:pt>
              </c:strCache>
            </c:strRef>
          </c:tx>
          <c:spPr>
            <a:solidFill>
              <a:srgbClr val="8064A2">
                <a:lumMod val="40000"/>
                <a:lumOff val="60000"/>
              </a:srgbClr>
            </a:solidFill>
            <a:ln>
              <a:solidFill>
                <a:sysClr val="window" lastClr="FFFFFF"/>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'Like school'!$C$17:$D$25</c:f>
              <c:multiLvlStrCache>
                <c:ptCount val="9"/>
                <c:lvl>
                  <c:pt idx="0">
                    <c:v>S1</c:v>
                  </c:pt>
                  <c:pt idx="1">
                    <c:v>S2</c:v>
                  </c:pt>
                  <c:pt idx="2">
                    <c:v>S3</c:v>
                  </c:pt>
                  <c:pt idx="3">
                    <c:v>S4</c:v>
                  </c:pt>
                  <c:pt idx="5">
                    <c:v>Yes</c:v>
                  </c:pt>
                  <c:pt idx="6">
                    <c:v>No</c:v>
                  </c:pt>
                  <c:pt idx="8">
                    <c:v>All</c:v>
                  </c:pt>
                </c:lvl>
                <c:lvl>
                  <c:pt idx="0">
                    <c:v>Year group</c:v>
                  </c:pt>
                  <c:pt idx="4">
                    <c:v> </c:v>
                  </c:pt>
                  <c:pt idx="5">
                    <c:v>In receipt of children's services</c:v>
                  </c:pt>
                  <c:pt idx="7">
                    <c:v> </c:v>
                  </c:pt>
                  <c:pt idx="8">
                    <c:v> </c:v>
                  </c:pt>
                </c:lvl>
              </c:multiLvlStrCache>
            </c:multiLvlStrRef>
          </c:cat>
          <c:val>
            <c:numRef>
              <c:f>'Like school'!$G$17:$G$25</c:f>
              <c:numCache>
                <c:formatCode>0%</c:formatCode>
                <c:ptCount val="9"/>
                <c:pt idx="0">
                  <c:v>0.14393400000000001</c:v>
                </c:pt>
                <c:pt idx="1">
                  <c:v>0.181947</c:v>
                </c:pt>
                <c:pt idx="2">
                  <c:v>0.19559000000000001</c:v>
                </c:pt>
                <c:pt idx="3">
                  <c:v>0.26533200000000001</c:v>
                </c:pt>
                <c:pt idx="5">
                  <c:v>0.26630799999999999</c:v>
                </c:pt>
                <c:pt idx="6">
                  <c:v>0.192491</c:v>
                </c:pt>
                <c:pt idx="8">
                  <c:v>0.19485499999999997</c:v>
                </c:pt>
              </c:numCache>
            </c:numRef>
          </c:val>
        </c:ser>
        <c:ser>
          <c:idx val="3"/>
          <c:order val="3"/>
          <c:tx>
            <c:strRef>
              <c:f>'Like school'!$H$16</c:f>
              <c:strCache>
                <c:ptCount val="1"/>
                <c:pt idx="0">
                  <c:v>Not at all</c:v>
                </c:pt>
              </c:strCache>
            </c:strRef>
          </c:tx>
          <c:spPr>
            <a:solidFill>
              <a:srgbClr val="F79646"/>
            </a:solidFill>
            <a:ln>
              <a:solidFill>
                <a:sysClr val="window" lastClr="FFFFFF"/>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'Like school'!$C$17:$D$25</c:f>
              <c:multiLvlStrCache>
                <c:ptCount val="9"/>
                <c:lvl>
                  <c:pt idx="0">
                    <c:v>S1</c:v>
                  </c:pt>
                  <c:pt idx="1">
                    <c:v>S2</c:v>
                  </c:pt>
                  <c:pt idx="2">
                    <c:v>S3</c:v>
                  </c:pt>
                  <c:pt idx="3">
                    <c:v>S4</c:v>
                  </c:pt>
                  <c:pt idx="5">
                    <c:v>Yes</c:v>
                  </c:pt>
                  <c:pt idx="6">
                    <c:v>No</c:v>
                  </c:pt>
                  <c:pt idx="8">
                    <c:v>All</c:v>
                  </c:pt>
                </c:lvl>
                <c:lvl>
                  <c:pt idx="0">
                    <c:v>Year group</c:v>
                  </c:pt>
                  <c:pt idx="4">
                    <c:v> </c:v>
                  </c:pt>
                  <c:pt idx="5">
                    <c:v>In receipt of children's services</c:v>
                  </c:pt>
                  <c:pt idx="7">
                    <c:v> </c:v>
                  </c:pt>
                  <c:pt idx="8">
                    <c:v> </c:v>
                  </c:pt>
                </c:lvl>
              </c:multiLvlStrCache>
            </c:multiLvlStrRef>
          </c:cat>
          <c:val>
            <c:numRef>
              <c:f>'Like school'!$H$17:$H$25</c:f>
              <c:numCache>
                <c:formatCode>0%</c:formatCode>
                <c:ptCount val="9"/>
                <c:pt idx="0">
                  <c:v>5.1154000000000005E-2</c:v>
                </c:pt>
                <c:pt idx="1">
                  <c:v>8.2111000000000003E-2</c:v>
                </c:pt>
                <c:pt idx="2">
                  <c:v>8.4003999999999995E-2</c:v>
                </c:pt>
                <c:pt idx="3">
                  <c:v>0.138348</c:v>
                </c:pt>
                <c:pt idx="5">
                  <c:v>0.165716</c:v>
                </c:pt>
                <c:pt idx="6">
                  <c:v>8.6663999999999991E-2</c:v>
                </c:pt>
                <c:pt idx="8">
                  <c:v>8.9194999999999997E-2</c:v>
                </c:pt>
              </c:numCache>
            </c:numRef>
          </c:val>
        </c:ser>
        <c:dLbls>
          <c:showLegendKey val="0"/>
          <c:showVal val="0"/>
          <c:showCatName val="0"/>
          <c:showSerName val="0"/>
          <c:showPercent val="0"/>
          <c:showBubbleSize val="0"/>
        </c:dLbls>
        <c:gapWidth val="0"/>
        <c:overlap val="100"/>
        <c:axId val="153361792"/>
        <c:axId val="153400448"/>
      </c:barChart>
      <c:catAx>
        <c:axId val="153361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5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53400448"/>
        <c:crosses val="autoZero"/>
        <c:auto val="0"/>
        <c:lblAlgn val="ctr"/>
        <c:lblOffset val="100"/>
        <c:noMultiLvlLbl val="0"/>
      </c:catAx>
      <c:valAx>
        <c:axId val="15340044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53361792"/>
        <c:crosses val="autoZero"/>
        <c:crossBetween val="between"/>
        <c:majorUnit val="0.1"/>
        <c:minorUnit val="4.000000000000001E-3"/>
      </c:valAx>
      <c:spPr>
        <a:noFill/>
        <a:ln w="25400">
          <a:noFill/>
        </a:ln>
      </c:spPr>
    </c:plotArea>
    <c:legend>
      <c:legendPos val="r"/>
      <c:layout>
        <c:manualLayout>
          <c:xMode val="edge"/>
          <c:yMode val="edge"/>
          <c:x val="0.8710175719560479"/>
          <c:y val="0.23024629497070442"/>
          <c:w val="0.11542310601005383"/>
          <c:h val="0.41074848402570369"/>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0110925528248363"/>
          <c:w val="0.83744846300992037"/>
          <c:h val="0.61356610726689464"/>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lumMod val="40000"/>
                  <a:lumOff val="60000"/>
                </a:schemeClr>
              </a:solidFill>
              <a:ln w="25400">
                <a:noFill/>
              </a:ln>
            </c:spPr>
          </c:dPt>
          <c:dPt>
            <c:idx val="5"/>
            <c:invertIfNegative val="0"/>
            <c:bubble3D val="0"/>
          </c:dPt>
          <c:dPt>
            <c:idx val="6"/>
            <c:invertIfNegative val="0"/>
            <c:bubble3D val="0"/>
            <c:spPr>
              <a:solidFill>
                <a:schemeClr val="accent4">
                  <a:lumMod val="40000"/>
                  <a:lumOff val="60000"/>
                </a:schemeClr>
              </a:solidFill>
              <a:ln w="25400">
                <a:noFill/>
              </a:ln>
            </c:spPr>
          </c:dPt>
          <c:dPt>
            <c:idx val="7"/>
            <c:invertIfNegative val="0"/>
            <c:bubble3D val="0"/>
            <c:spPr>
              <a:solidFill>
                <a:schemeClr val="accent4">
                  <a:lumMod val="40000"/>
                  <a:lumOff val="60000"/>
                </a:schemeClr>
              </a:solidFill>
              <a:ln w="25400">
                <a:noFill/>
              </a:ln>
            </c:spPr>
          </c:dPt>
          <c:dPt>
            <c:idx val="9"/>
            <c:invertIfNegative val="0"/>
            <c:bubble3D val="0"/>
            <c:spPr>
              <a:solidFill>
                <a:schemeClr val="accent6"/>
              </a:solidFill>
              <a:ln w="25400">
                <a:noFill/>
              </a:ln>
            </c:spPr>
          </c:dPt>
          <c:dPt>
            <c:idx val="11"/>
            <c:invertIfNegative val="0"/>
            <c:bubble3D val="0"/>
            <c:spPr>
              <a:solidFill>
                <a:schemeClr val="accent1"/>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'difficult to concentrate'!$B$7:$C$15</c:f>
              <c:multiLvlStrCache>
                <c:ptCount val="9"/>
                <c:lvl>
                  <c:pt idx="0">
                    <c:v>2 parent</c:v>
                  </c:pt>
                  <c:pt idx="1">
                    <c:v>1 parent</c:v>
                  </c:pt>
                  <c:pt idx="2">
                    <c:v>Step-family</c:v>
                  </c:pt>
                  <c:pt idx="3">
                    <c:v>Other</c:v>
                  </c:pt>
                  <c:pt idx="5">
                    <c:v>Eligbile</c:v>
                  </c:pt>
                  <c:pt idx="6">
                    <c:v>Not Eligible</c:v>
                  </c:pt>
                  <c:pt idx="8">
                    <c:v>All</c:v>
                  </c:pt>
                </c:lvl>
                <c:lvl>
                  <c:pt idx="0">
                    <c:v>Household type</c:v>
                  </c:pt>
                  <c:pt idx="4">
                    <c:v> </c:v>
                  </c:pt>
                  <c:pt idx="5">
                    <c:v>Free school meals</c:v>
                  </c:pt>
                  <c:pt idx="7">
                    <c:v> </c:v>
                  </c:pt>
                  <c:pt idx="8">
                    <c:v> </c:v>
                  </c:pt>
                </c:lvl>
              </c:multiLvlStrCache>
            </c:multiLvlStrRef>
          </c:cat>
          <c:val>
            <c:numRef>
              <c:f>'difficult to concentrate'!$D$7:$D$15</c:f>
              <c:numCache>
                <c:formatCode>0%</c:formatCode>
                <c:ptCount val="9"/>
                <c:pt idx="0">
                  <c:v>0.28638599999999997</c:v>
                </c:pt>
                <c:pt idx="1">
                  <c:v>0.40377200000000002</c:v>
                </c:pt>
                <c:pt idx="2">
                  <c:v>0.34653699999999998</c:v>
                </c:pt>
                <c:pt idx="3">
                  <c:v>0.48131100000000004</c:v>
                </c:pt>
                <c:pt idx="5">
                  <c:v>0.45660099999999998</c:v>
                </c:pt>
                <c:pt idx="6">
                  <c:v>0.30171599999999998</c:v>
                </c:pt>
                <c:pt idx="8">
                  <c:v>0.31848299999999996</c:v>
                </c:pt>
              </c:numCache>
            </c:numRef>
          </c:val>
        </c:ser>
        <c:dLbls>
          <c:showLegendKey val="0"/>
          <c:showVal val="0"/>
          <c:showCatName val="0"/>
          <c:showSerName val="0"/>
          <c:showPercent val="0"/>
          <c:showBubbleSize val="0"/>
        </c:dLbls>
        <c:gapWidth val="0"/>
        <c:axId val="169988480"/>
        <c:axId val="169990016"/>
      </c:barChart>
      <c:catAx>
        <c:axId val="169988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69990016"/>
        <c:crosses val="autoZero"/>
        <c:auto val="0"/>
        <c:lblAlgn val="ctr"/>
        <c:lblOffset val="100"/>
        <c:noMultiLvlLbl val="0"/>
      </c:catAx>
      <c:valAx>
        <c:axId val="169990016"/>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69988480"/>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352835980248232"/>
          <c:y val="0.11586451136686297"/>
          <c:w val="0.64950077850438193"/>
          <c:h val="0.79948000624868332"/>
        </c:manualLayout>
      </c:layout>
      <c:barChart>
        <c:barDir val="bar"/>
        <c:grouping val="percentStacked"/>
        <c:varyColors val="0"/>
        <c:ser>
          <c:idx val="0"/>
          <c:order val="0"/>
          <c:tx>
            <c:strRef>
              <c:f>Activities!$J$3</c:f>
              <c:strCache>
                <c:ptCount val="1"/>
                <c:pt idx="0">
                  <c:v>Every day</c:v>
                </c:pt>
              </c:strCache>
            </c:strRef>
          </c:tx>
          <c:spPr>
            <a:solidFill>
              <a:schemeClr val="accent4">
                <a:lumMod val="40000"/>
                <a:lumOff val="60000"/>
              </a:schemeClr>
            </a:solidFill>
            <a:ln w="9525">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delete val="1"/>
            </c:dLbl>
            <c:dLbl>
              <c:idx val="1"/>
              <c:delete val="1"/>
            </c:dLbl>
            <c:dLbl>
              <c:idx val="2"/>
              <c:delete val="1"/>
            </c:dLbl>
            <c:dLbl>
              <c:idx val="3"/>
              <c:delete val="1"/>
            </c:dLbl>
            <c:dLbl>
              <c:idx val="4"/>
              <c:delete val="1"/>
            </c:dLbl>
            <c:dLbl>
              <c:idx val="5"/>
              <c:delete val="1"/>
            </c:dLbl>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Activities!$I$4:$I$21</c:f>
              <c:strCache>
                <c:ptCount val="18"/>
                <c:pt idx="0">
                  <c:v>Go to concerts or gigs</c:v>
                </c:pt>
                <c:pt idx="1">
                  <c:v>Go to library, museums, theatres </c:v>
                </c:pt>
                <c:pt idx="2">
                  <c:v>Go to the church, mosque or temple</c:v>
                </c:pt>
                <c:pt idx="3">
                  <c:v>Go to the cinema</c:v>
                </c:pt>
                <c:pt idx="4">
                  <c:v>Do voluntary work</c:v>
                </c:pt>
                <c:pt idx="5">
                  <c:v>Read comics or magazines</c:v>
                </c:pt>
                <c:pt idx="6">
                  <c:v>Go to watch sports matches</c:v>
                </c:pt>
                <c:pt idx="7">
                  <c:v>Look around the shops</c:v>
                </c:pt>
                <c:pt idx="8">
                  <c:v>Hang around the street</c:v>
                </c:pt>
                <c:pt idx="9">
                  <c:v>Read books</c:v>
                </c:pt>
                <c:pt idx="10">
                  <c:v>Do nothing</c:v>
                </c:pt>
                <c:pt idx="11">
                  <c:v>Do a hobby, art or play a musical instrument</c:v>
                </c:pt>
                <c:pt idx="12">
                  <c:v>Do sport </c:v>
                </c:pt>
                <c:pt idx="13">
                  <c:v>Watch films/DVDs</c:v>
                </c:pt>
                <c:pt idx="14">
                  <c:v>See friends</c:v>
                </c:pt>
                <c:pt idx="15">
                  <c:v>Play computer games</c:v>
                </c:pt>
                <c:pt idx="16">
                  <c:v>Listen to music</c:v>
                </c:pt>
                <c:pt idx="17">
                  <c:v>Use online social networking sites</c:v>
                </c:pt>
              </c:strCache>
            </c:strRef>
          </c:cat>
          <c:val>
            <c:numRef>
              <c:f>Activities!$J$4:$J$21</c:f>
              <c:numCache>
                <c:formatCode>0%</c:formatCode>
                <c:ptCount val="18"/>
                <c:pt idx="0">
                  <c:v>6.0000000000000001E-3</c:v>
                </c:pt>
                <c:pt idx="1">
                  <c:v>8.0000000000000002E-3</c:v>
                </c:pt>
                <c:pt idx="2">
                  <c:v>8.0000000000000002E-3</c:v>
                </c:pt>
                <c:pt idx="3">
                  <c:v>9.0000000000000011E-3</c:v>
                </c:pt>
                <c:pt idx="4">
                  <c:v>1.8000000000000002E-2</c:v>
                </c:pt>
                <c:pt idx="5">
                  <c:v>3.5099999999999999E-2</c:v>
                </c:pt>
                <c:pt idx="6">
                  <c:v>3.9E-2</c:v>
                </c:pt>
                <c:pt idx="7">
                  <c:v>0.06</c:v>
                </c:pt>
                <c:pt idx="8">
                  <c:v>6.7000000000000004E-2</c:v>
                </c:pt>
                <c:pt idx="9">
                  <c:v>8.3000000000000004E-2</c:v>
                </c:pt>
                <c:pt idx="10">
                  <c:v>0.10199999999999999</c:v>
                </c:pt>
                <c:pt idx="11">
                  <c:v>0.15479999999999999</c:v>
                </c:pt>
                <c:pt idx="12">
                  <c:v>0.16498000000000002</c:v>
                </c:pt>
                <c:pt idx="13">
                  <c:v>0.19399999999999998</c:v>
                </c:pt>
                <c:pt idx="14">
                  <c:v>0.22600000000000001</c:v>
                </c:pt>
                <c:pt idx="15">
                  <c:v>0.28600000000000003</c:v>
                </c:pt>
                <c:pt idx="16">
                  <c:v>0.56100000000000005</c:v>
                </c:pt>
                <c:pt idx="17">
                  <c:v>0.72599999999999998</c:v>
                </c:pt>
              </c:numCache>
            </c:numRef>
          </c:val>
        </c:ser>
        <c:ser>
          <c:idx val="1"/>
          <c:order val="1"/>
          <c:tx>
            <c:strRef>
              <c:f>Activities!$K$3</c:f>
              <c:strCache>
                <c:ptCount val="1"/>
                <c:pt idx="0">
                  <c:v>Most days</c:v>
                </c:pt>
              </c:strCache>
            </c:strRef>
          </c:tx>
          <c:spPr>
            <a:solidFill>
              <a:schemeClr val="accent1"/>
            </a:solidFill>
            <a:ln>
              <a:solidFill>
                <a:schemeClr val="bg1"/>
              </a:solidFill>
            </a:ln>
          </c:spPr>
          <c:invertIfNegative val="0"/>
          <c:dLbls>
            <c:txPr>
              <a:bodyPr/>
              <a:lstStyle/>
              <a:p>
                <a:pPr>
                  <a:defRPr baseline="0">
                    <a:solidFill>
                      <a:schemeClr val="bg2"/>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Activities!$I$4:$I$21</c:f>
              <c:strCache>
                <c:ptCount val="18"/>
                <c:pt idx="0">
                  <c:v>Go to concerts or gigs</c:v>
                </c:pt>
                <c:pt idx="1">
                  <c:v>Go to library, museums, theatres </c:v>
                </c:pt>
                <c:pt idx="2">
                  <c:v>Go to the church, mosque or temple</c:v>
                </c:pt>
                <c:pt idx="3">
                  <c:v>Go to the cinema</c:v>
                </c:pt>
                <c:pt idx="4">
                  <c:v>Do voluntary work</c:v>
                </c:pt>
                <c:pt idx="5">
                  <c:v>Read comics or magazines</c:v>
                </c:pt>
                <c:pt idx="6">
                  <c:v>Go to watch sports matches</c:v>
                </c:pt>
                <c:pt idx="7">
                  <c:v>Look around the shops</c:v>
                </c:pt>
                <c:pt idx="8">
                  <c:v>Hang around the street</c:v>
                </c:pt>
                <c:pt idx="9">
                  <c:v>Read books</c:v>
                </c:pt>
                <c:pt idx="10">
                  <c:v>Do nothing</c:v>
                </c:pt>
                <c:pt idx="11">
                  <c:v>Do a hobby, art or play a musical instrument</c:v>
                </c:pt>
                <c:pt idx="12">
                  <c:v>Do sport </c:v>
                </c:pt>
                <c:pt idx="13">
                  <c:v>Watch films/DVDs</c:v>
                </c:pt>
                <c:pt idx="14">
                  <c:v>See friends</c:v>
                </c:pt>
                <c:pt idx="15">
                  <c:v>Play computer games</c:v>
                </c:pt>
                <c:pt idx="16">
                  <c:v>Listen to music</c:v>
                </c:pt>
                <c:pt idx="17">
                  <c:v>Use online social networking sites</c:v>
                </c:pt>
              </c:strCache>
            </c:strRef>
          </c:cat>
          <c:val>
            <c:numRef>
              <c:f>Activities!$K$4:$K$21</c:f>
              <c:numCache>
                <c:formatCode>0%</c:formatCode>
                <c:ptCount val="18"/>
                <c:pt idx="0">
                  <c:v>1.1000000000000001E-2</c:v>
                </c:pt>
                <c:pt idx="1">
                  <c:v>0.01</c:v>
                </c:pt>
                <c:pt idx="2">
                  <c:v>9.0000000000000011E-3</c:v>
                </c:pt>
                <c:pt idx="3">
                  <c:v>2.7999999999999997E-2</c:v>
                </c:pt>
                <c:pt idx="4">
                  <c:v>3.7999999999999999E-2</c:v>
                </c:pt>
                <c:pt idx="5">
                  <c:v>5.4000000000000006E-2</c:v>
                </c:pt>
                <c:pt idx="6">
                  <c:v>7.5999999999999998E-2</c:v>
                </c:pt>
                <c:pt idx="7">
                  <c:v>0.16</c:v>
                </c:pt>
                <c:pt idx="8">
                  <c:v>0.17199999999999999</c:v>
                </c:pt>
                <c:pt idx="9">
                  <c:v>0.126</c:v>
                </c:pt>
                <c:pt idx="10">
                  <c:v>0.13600000000000001</c:v>
                </c:pt>
                <c:pt idx="11">
                  <c:v>0.191</c:v>
                </c:pt>
                <c:pt idx="12">
                  <c:v>0.27699999999999997</c:v>
                </c:pt>
                <c:pt idx="13">
                  <c:v>0.30499799999999999</c:v>
                </c:pt>
                <c:pt idx="14">
                  <c:v>0.39399999999999996</c:v>
                </c:pt>
                <c:pt idx="15">
                  <c:v>0.21600000000000003</c:v>
                </c:pt>
                <c:pt idx="16">
                  <c:v>0.28100000000000003</c:v>
                </c:pt>
                <c:pt idx="17">
                  <c:v>0.13400000000000001</c:v>
                </c:pt>
              </c:numCache>
            </c:numRef>
          </c:val>
        </c:ser>
        <c:ser>
          <c:idx val="2"/>
          <c:order val="2"/>
          <c:tx>
            <c:strRef>
              <c:f>Activities!$L$3</c:f>
              <c:strCache>
                <c:ptCount val="1"/>
                <c:pt idx="0">
                  <c:v>Weekly</c:v>
                </c:pt>
              </c:strCache>
            </c:strRef>
          </c:tx>
          <c:spPr>
            <a:solidFill>
              <a:schemeClr val="tx2"/>
            </a:solidFill>
            <a:ln>
              <a:solidFill>
                <a:schemeClr val="bg1"/>
              </a:solidFill>
            </a:ln>
          </c:spPr>
          <c:invertIfNegative val="0"/>
          <c:dLbls>
            <c:txPr>
              <a:bodyPr/>
              <a:lstStyle/>
              <a:p>
                <a:pPr>
                  <a:defRPr>
                    <a:solidFill>
                      <a:schemeClr val="bg2"/>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Activities!$I$4:$I$21</c:f>
              <c:strCache>
                <c:ptCount val="18"/>
                <c:pt idx="0">
                  <c:v>Go to concerts or gigs</c:v>
                </c:pt>
                <c:pt idx="1">
                  <c:v>Go to library, museums, theatres </c:v>
                </c:pt>
                <c:pt idx="2">
                  <c:v>Go to the church, mosque or temple</c:v>
                </c:pt>
                <c:pt idx="3">
                  <c:v>Go to the cinema</c:v>
                </c:pt>
                <c:pt idx="4">
                  <c:v>Do voluntary work</c:v>
                </c:pt>
                <c:pt idx="5">
                  <c:v>Read comics or magazines</c:v>
                </c:pt>
                <c:pt idx="6">
                  <c:v>Go to watch sports matches</c:v>
                </c:pt>
                <c:pt idx="7">
                  <c:v>Look around the shops</c:v>
                </c:pt>
                <c:pt idx="8">
                  <c:v>Hang around the street</c:v>
                </c:pt>
                <c:pt idx="9">
                  <c:v>Read books</c:v>
                </c:pt>
                <c:pt idx="10">
                  <c:v>Do nothing</c:v>
                </c:pt>
                <c:pt idx="11">
                  <c:v>Do a hobby, art or play a musical instrument</c:v>
                </c:pt>
                <c:pt idx="12">
                  <c:v>Do sport </c:v>
                </c:pt>
                <c:pt idx="13">
                  <c:v>Watch films/DVDs</c:v>
                </c:pt>
                <c:pt idx="14">
                  <c:v>See friends</c:v>
                </c:pt>
                <c:pt idx="15">
                  <c:v>Play computer games</c:v>
                </c:pt>
                <c:pt idx="16">
                  <c:v>Listen to music</c:v>
                </c:pt>
                <c:pt idx="17">
                  <c:v>Use online social networking sites</c:v>
                </c:pt>
              </c:strCache>
            </c:strRef>
          </c:cat>
          <c:val>
            <c:numRef>
              <c:f>Activities!$L$4:$L$21</c:f>
              <c:numCache>
                <c:formatCode>0%</c:formatCode>
                <c:ptCount val="18"/>
                <c:pt idx="0">
                  <c:v>2.2000000000000002E-2</c:v>
                </c:pt>
                <c:pt idx="1">
                  <c:v>0.04</c:v>
                </c:pt>
                <c:pt idx="2">
                  <c:v>7.0999999999999994E-2</c:v>
                </c:pt>
                <c:pt idx="3">
                  <c:v>0.153</c:v>
                </c:pt>
                <c:pt idx="4">
                  <c:v>0.10199999999999999</c:v>
                </c:pt>
                <c:pt idx="5">
                  <c:v>8.5099999999999995E-2</c:v>
                </c:pt>
                <c:pt idx="6">
                  <c:v>0.16200000000000001</c:v>
                </c:pt>
                <c:pt idx="7">
                  <c:v>0.36399999999999999</c:v>
                </c:pt>
                <c:pt idx="8">
                  <c:v>0.16300000000000001</c:v>
                </c:pt>
                <c:pt idx="9">
                  <c:v>0.13</c:v>
                </c:pt>
                <c:pt idx="10">
                  <c:v>9.4E-2</c:v>
                </c:pt>
                <c:pt idx="11">
                  <c:v>0.14899999999999999</c:v>
                </c:pt>
                <c:pt idx="12">
                  <c:v>0.20100000000000001</c:v>
                </c:pt>
                <c:pt idx="13">
                  <c:v>0.22800000000000001</c:v>
                </c:pt>
                <c:pt idx="14">
                  <c:v>0.19399999999999998</c:v>
                </c:pt>
                <c:pt idx="15">
                  <c:v>9.1999999999999998E-2</c:v>
                </c:pt>
                <c:pt idx="16">
                  <c:v>5.7999999999999996E-2</c:v>
                </c:pt>
                <c:pt idx="17">
                  <c:v>3.1E-2</c:v>
                </c:pt>
              </c:numCache>
            </c:numRef>
          </c:val>
        </c:ser>
        <c:ser>
          <c:idx val="3"/>
          <c:order val="3"/>
          <c:tx>
            <c:strRef>
              <c:f>Activities!$M$3</c:f>
              <c:strCache>
                <c:ptCount val="1"/>
                <c:pt idx="0">
                  <c:v>Less often</c:v>
                </c:pt>
              </c:strCache>
            </c:strRef>
          </c:tx>
          <c:spPr>
            <a:solidFill>
              <a:schemeClr val="accent6"/>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Activities!$I$4:$I$21</c:f>
              <c:strCache>
                <c:ptCount val="18"/>
                <c:pt idx="0">
                  <c:v>Go to concerts or gigs</c:v>
                </c:pt>
                <c:pt idx="1">
                  <c:v>Go to library, museums, theatres </c:v>
                </c:pt>
                <c:pt idx="2">
                  <c:v>Go to the church, mosque or temple</c:v>
                </c:pt>
                <c:pt idx="3">
                  <c:v>Go to the cinema</c:v>
                </c:pt>
                <c:pt idx="4">
                  <c:v>Do voluntary work</c:v>
                </c:pt>
                <c:pt idx="5">
                  <c:v>Read comics or magazines</c:v>
                </c:pt>
                <c:pt idx="6">
                  <c:v>Go to watch sports matches</c:v>
                </c:pt>
                <c:pt idx="7">
                  <c:v>Look around the shops</c:v>
                </c:pt>
                <c:pt idx="8">
                  <c:v>Hang around the street</c:v>
                </c:pt>
                <c:pt idx="9">
                  <c:v>Read books</c:v>
                </c:pt>
                <c:pt idx="10">
                  <c:v>Do nothing</c:v>
                </c:pt>
                <c:pt idx="11">
                  <c:v>Do a hobby, art or play a musical instrument</c:v>
                </c:pt>
                <c:pt idx="12">
                  <c:v>Do sport </c:v>
                </c:pt>
                <c:pt idx="13">
                  <c:v>Watch films/DVDs</c:v>
                </c:pt>
                <c:pt idx="14">
                  <c:v>See friends</c:v>
                </c:pt>
                <c:pt idx="15">
                  <c:v>Play computer games</c:v>
                </c:pt>
                <c:pt idx="16">
                  <c:v>Listen to music</c:v>
                </c:pt>
                <c:pt idx="17">
                  <c:v>Use online social networking sites</c:v>
                </c:pt>
              </c:strCache>
            </c:strRef>
          </c:cat>
          <c:val>
            <c:numRef>
              <c:f>Activities!$M$4:$M$21</c:f>
              <c:numCache>
                <c:formatCode>0%</c:formatCode>
                <c:ptCount val="18"/>
                <c:pt idx="0">
                  <c:v>0.44600000000000001</c:v>
                </c:pt>
                <c:pt idx="1">
                  <c:v>0.34700000000000003</c:v>
                </c:pt>
                <c:pt idx="2">
                  <c:v>0.1353</c:v>
                </c:pt>
                <c:pt idx="3">
                  <c:v>0.73</c:v>
                </c:pt>
                <c:pt idx="4">
                  <c:v>0.29699999999999999</c:v>
                </c:pt>
                <c:pt idx="5">
                  <c:v>0.317</c:v>
                </c:pt>
                <c:pt idx="6">
                  <c:v>0.28999999999999998</c:v>
                </c:pt>
                <c:pt idx="7">
                  <c:v>0.34200000000000003</c:v>
                </c:pt>
                <c:pt idx="8">
                  <c:v>0.33899999999999997</c:v>
                </c:pt>
                <c:pt idx="9">
                  <c:v>0.30199999999999999</c:v>
                </c:pt>
                <c:pt idx="10">
                  <c:v>0.21299999999999999</c:v>
                </c:pt>
                <c:pt idx="11">
                  <c:v>0.19899999999999998</c:v>
                </c:pt>
                <c:pt idx="12">
                  <c:v>0.182</c:v>
                </c:pt>
                <c:pt idx="13">
                  <c:v>0.23800000000000002</c:v>
                </c:pt>
                <c:pt idx="14">
                  <c:v>0.152</c:v>
                </c:pt>
                <c:pt idx="15">
                  <c:v>0.18899999999999997</c:v>
                </c:pt>
                <c:pt idx="16">
                  <c:v>0.08</c:v>
                </c:pt>
                <c:pt idx="17">
                  <c:v>0.05</c:v>
                </c:pt>
              </c:numCache>
            </c:numRef>
          </c:val>
        </c:ser>
        <c:ser>
          <c:idx val="4"/>
          <c:order val="4"/>
          <c:tx>
            <c:strRef>
              <c:f>Activities!$N$3</c:f>
              <c:strCache>
                <c:ptCount val="1"/>
                <c:pt idx="0">
                  <c:v>Never</c:v>
                </c:pt>
              </c:strCache>
            </c:strRef>
          </c:tx>
          <c:spPr>
            <a:solidFill>
              <a:schemeClr val="accent6">
                <a:lumMod val="40000"/>
                <a:lumOff val="60000"/>
              </a:schemeClr>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Activities!$I$4:$I$21</c:f>
              <c:strCache>
                <c:ptCount val="18"/>
                <c:pt idx="0">
                  <c:v>Go to concerts or gigs</c:v>
                </c:pt>
                <c:pt idx="1">
                  <c:v>Go to library, museums, theatres </c:v>
                </c:pt>
                <c:pt idx="2">
                  <c:v>Go to the church, mosque or temple</c:v>
                </c:pt>
                <c:pt idx="3">
                  <c:v>Go to the cinema</c:v>
                </c:pt>
                <c:pt idx="4">
                  <c:v>Do voluntary work</c:v>
                </c:pt>
                <c:pt idx="5">
                  <c:v>Read comics or magazines</c:v>
                </c:pt>
                <c:pt idx="6">
                  <c:v>Go to watch sports matches</c:v>
                </c:pt>
                <c:pt idx="7">
                  <c:v>Look around the shops</c:v>
                </c:pt>
                <c:pt idx="8">
                  <c:v>Hang around the street</c:v>
                </c:pt>
                <c:pt idx="9">
                  <c:v>Read books</c:v>
                </c:pt>
                <c:pt idx="10">
                  <c:v>Do nothing</c:v>
                </c:pt>
                <c:pt idx="11">
                  <c:v>Do a hobby, art or play a musical instrument</c:v>
                </c:pt>
                <c:pt idx="12">
                  <c:v>Do sport </c:v>
                </c:pt>
                <c:pt idx="13">
                  <c:v>Watch films/DVDs</c:v>
                </c:pt>
                <c:pt idx="14">
                  <c:v>See friends</c:v>
                </c:pt>
                <c:pt idx="15">
                  <c:v>Play computer games</c:v>
                </c:pt>
                <c:pt idx="16">
                  <c:v>Listen to music</c:v>
                </c:pt>
                <c:pt idx="17">
                  <c:v>Use online social networking sites</c:v>
                </c:pt>
              </c:strCache>
            </c:strRef>
          </c:cat>
          <c:val>
            <c:numRef>
              <c:f>Activities!$N$4:$N$21</c:f>
              <c:numCache>
                <c:formatCode>0%</c:formatCode>
                <c:ptCount val="18"/>
                <c:pt idx="0">
                  <c:v>0.51529999999999998</c:v>
                </c:pt>
                <c:pt idx="1">
                  <c:v>0.59520000000000006</c:v>
                </c:pt>
                <c:pt idx="2">
                  <c:v>0.77599999999999991</c:v>
                </c:pt>
                <c:pt idx="3">
                  <c:v>0.08</c:v>
                </c:pt>
                <c:pt idx="4">
                  <c:v>0.54400000000000004</c:v>
                </c:pt>
                <c:pt idx="5">
                  <c:v>0.50900000000000001</c:v>
                </c:pt>
                <c:pt idx="6">
                  <c:v>0.433</c:v>
                </c:pt>
                <c:pt idx="7">
                  <c:v>7.2999999999999995E-2</c:v>
                </c:pt>
                <c:pt idx="8">
                  <c:v>0.25800000000000001</c:v>
                </c:pt>
                <c:pt idx="9">
                  <c:v>0.36</c:v>
                </c:pt>
                <c:pt idx="10">
                  <c:v>0.45399999999999996</c:v>
                </c:pt>
                <c:pt idx="11">
                  <c:v>0.30599999999999999</c:v>
                </c:pt>
                <c:pt idx="12">
                  <c:v>0.17530000000000001</c:v>
                </c:pt>
                <c:pt idx="13">
                  <c:v>3.49E-2</c:v>
                </c:pt>
                <c:pt idx="14">
                  <c:v>3.4000000000000002E-2</c:v>
                </c:pt>
                <c:pt idx="15">
                  <c:v>0.218</c:v>
                </c:pt>
                <c:pt idx="16">
                  <c:v>0.02</c:v>
                </c:pt>
                <c:pt idx="17">
                  <c:v>5.7999999999999996E-2</c:v>
                </c:pt>
              </c:numCache>
            </c:numRef>
          </c:val>
        </c:ser>
        <c:dLbls>
          <c:showLegendKey val="0"/>
          <c:showVal val="0"/>
          <c:showCatName val="0"/>
          <c:showSerName val="0"/>
          <c:showPercent val="0"/>
          <c:showBubbleSize val="0"/>
        </c:dLbls>
        <c:gapWidth val="25"/>
        <c:overlap val="100"/>
        <c:axId val="170031744"/>
        <c:axId val="170037632"/>
      </c:barChart>
      <c:catAx>
        <c:axId val="17003174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0037632"/>
        <c:crosses val="autoZero"/>
        <c:auto val="0"/>
        <c:lblAlgn val="ctr"/>
        <c:lblOffset val="100"/>
        <c:noMultiLvlLbl val="0"/>
      </c:catAx>
      <c:valAx>
        <c:axId val="170037632"/>
        <c:scaling>
          <c:orientation val="minMax"/>
          <c:min val="0"/>
        </c:scaling>
        <c:delete val="0"/>
        <c:axPos val="b"/>
        <c:majorGridlines>
          <c:spPr>
            <a:ln w="3175">
              <a:no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0031744"/>
        <c:crosses val="autoZero"/>
        <c:crossBetween val="between"/>
        <c:majorUnit val="0.1"/>
        <c:minorUnit val="4.000000000000001E-3"/>
      </c:valAx>
    </c:plotArea>
    <c:legend>
      <c:legendPos val="b"/>
      <c:layout>
        <c:manualLayout>
          <c:xMode val="edge"/>
          <c:yMode val="edge"/>
          <c:x val="0.25677953556110367"/>
          <c:y val="0.95265878525990078"/>
          <c:w val="0.65505451010902016"/>
          <c:h val="3.206269484230552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74931286978958134"/>
          <c:h val="0.56306105676184415"/>
        </c:manualLayout>
      </c:layout>
      <c:barChart>
        <c:barDir val="col"/>
        <c:grouping val="percentStacked"/>
        <c:varyColors val="0"/>
        <c:ser>
          <c:idx val="0"/>
          <c:order val="0"/>
          <c:tx>
            <c:strRef>
              <c:f>'Physical activity'!$C$15</c:f>
              <c:strCache>
                <c:ptCount val="1"/>
                <c:pt idx="0">
                  <c:v>Every day</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'Physical activity'!$A$16:$B$23</c:f>
              <c:multiLvlStrCache>
                <c:ptCount val="8"/>
                <c:lvl>
                  <c:pt idx="0">
                    <c:v>Every day</c:v>
                  </c:pt>
                  <c:pt idx="1">
                    <c:v>Most days</c:v>
                  </c:pt>
                  <c:pt idx="2">
                    <c:v>Some days</c:v>
                  </c:pt>
                  <c:pt idx="3">
                    <c:v>Rarely</c:v>
                  </c:pt>
                  <c:pt idx="4">
                    <c:v>Never</c:v>
                  </c:pt>
                  <c:pt idx="6">
                    <c:v>Yes</c:v>
                  </c:pt>
                  <c:pt idx="7">
                    <c:v>No</c:v>
                  </c:pt>
                </c:lvl>
                <c:lvl>
                  <c:pt idx="0">
                    <c:v>Frequency of consuming fizzy drinks</c:v>
                  </c:pt>
                  <c:pt idx="5">
                    <c:v> </c:v>
                  </c:pt>
                  <c:pt idx="6">
                    <c:v>Garden at home</c:v>
                  </c:pt>
                </c:lvl>
              </c:multiLvlStrCache>
            </c:multiLvlStrRef>
          </c:cat>
          <c:val>
            <c:numRef>
              <c:f>'Physical activity'!$C$16:$C$23</c:f>
              <c:numCache>
                <c:formatCode>0%</c:formatCode>
                <c:ptCount val="8"/>
                <c:pt idx="0">
                  <c:v>0.43065900000000001</c:v>
                </c:pt>
                <c:pt idx="1">
                  <c:v>0.41330800000000001</c:v>
                </c:pt>
                <c:pt idx="2">
                  <c:v>0.46195700000000001</c:v>
                </c:pt>
                <c:pt idx="3">
                  <c:v>0.52306300000000006</c:v>
                </c:pt>
                <c:pt idx="4">
                  <c:v>0.48852299999999999</c:v>
                </c:pt>
                <c:pt idx="6">
                  <c:v>0.47670999999999997</c:v>
                </c:pt>
                <c:pt idx="7">
                  <c:v>0.401781</c:v>
                </c:pt>
              </c:numCache>
            </c:numRef>
          </c:val>
        </c:ser>
        <c:ser>
          <c:idx val="1"/>
          <c:order val="1"/>
          <c:tx>
            <c:strRef>
              <c:f>'Physical activity'!$D$15</c:f>
              <c:strCache>
                <c:ptCount val="1"/>
                <c:pt idx="0">
                  <c:v>Most days</c:v>
                </c:pt>
              </c:strCache>
            </c:strRef>
          </c:tx>
          <c:spPr>
            <a:solidFill>
              <a:schemeClr val="accent1"/>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'Physical activity'!$A$16:$B$23</c:f>
              <c:multiLvlStrCache>
                <c:ptCount val="8"/>
                <c:lvl>
                  <c:pt idx="0">
                    <c:v>Every day</c:v>
                  </c:pt>
                  <c:pt idx="1">
                    <c:v>Most days</c:v>
                  </c:pt>
                  <c:pt idx="2">
                    <c:v>Some days</c:v>
                  </c:pt>
                  <c:pt idx="3">
                    <c:v>Rarely</c:v>
                  </c:pt>
                  <c:pt idx="4">
                    <c:v>Never</c:v>
                  </c:pt>
                  <c:pt idx="6">
                    <c:v>Yes</c:v>
                  </c:pt>
                  <c:pt idx="7">
                    <c:v>No</c:v>
                  </c:pt>
                </c:lvl>
                <c:lvl>
                  <c:pt idx="0">
                    <c:v>Frequency of consuming fizzy drinks</c:v>
                  </c:pt>
                  <c:pt idx="5">
                    <c:v> </c:v>
                  </c:pt>
                  <c:pt idx="6">
                    <c:v>Garden at home</c:v>
                  </c:pt>
                </c:lvl>
              </c:multiLvlStrCache>
            </c:multiLvlStrRef>
          </c:cat>
          <c:val>
            <c:numRef>
              <c:f>'Physical activity'!$D$16:$D$23</c:f>
              <c:numCache>
                <c:formatCode>0%</c:formatCode>
                <c:ptCount val="8"/>
                <c:pt idx="0">
                  <c:v>0.296427</c:v>
                </c:pt>
                <c:pt idx="1">
                  <c:v>0.35093800000000003</c:v>
                </c:pt>
                <c:pt idx="2">
                  <c:v>0.34057299999999996</c:v>
                </c:pt>
                <c:pt idx="3">
                  <c:v>0.33249099999999998</c:v>
                </c:pt>
                <c:pt idx="4">
                  <c:v>0.30651499999999998</c:v>
                </c:pt>
                <c:pt idx="6">
                  <c:v>0.33610500000000004</c:v>
                </c:pt>
                <c:pt idx="7">
                  <c:v>0.28006799999999998</c:v>
                </c:pt>
              </c:numCache>
            </c:numRef>
          </c:val>
        </c:ser>
        <c:ser>
          <c:idx val="2"/>
          <c:order val="2"/>
          <c:tx>
            <c:strRef>
              <c:f>'Physical activity'!$E$15</c:f>
              <c:strCache>
                <c:ptCount val="1"/>
                <c:pt idx="0">
                  <c:v>Some days</c:v>
                </c:pt>
              </c:strCache>
            </c:strRef>
          </c:tx>
          <c:spPr>
            <a:solidFill>
              <a:schemeClr val="accent4">
                <a:lumMod val="40000"/>
                <a:lumOff val="60000"/>
              </a:schemeClr>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'Physical activity'!$A$16:$B$23</c:f>
              <c:multiLvlStrCache>
                <c:ptCount val="8"/>
                <c:lvl>
                  <c:pt idx="0">
                    <c:v>Every day</c:v>
                  </c:pt>
                  <c:pt idx="1">
                    <c:v>Most days</c:v>
                  </c:pt>
                  <c:pt idx="2">
                    <c:v>Some days</c:v>
                  </c:pt>
                  <c:pt idx="3">
                    <c:v>Rarely</c:v>
                  </c:pt>
                  <c:pt idx="4">
                    <c:v>Never</c:v>
                  </c:pt>
                  <c:pt idx="6">
                    <c:v>Yes</c:v>
                  </c:pt>
                  <c:pt idx="7">
                    <c:v>No</c:v>
                  </c:pt>
                </c:lvl>
                <c:lvl>
                  <c:pt idx="0">
                    <c:v>Frequency of consuming fizzy drinks</c:v>
                  </c:pt>
                  <c:pt idx="5">
                    <c:v> </c:v>
                  </c:pt>
                  <c:pt idx="6">
                    <c:v>Garden at home</c:v>
                  </c:pt>
                </c:lvl>
              </c:multiLvlStrCache>
            </c:multiLvlStrRef>
          </c:cat>
          <c:val>
            <c:numRef>
              <c:f>'Physical activity'!$E$16:$E$23</c:f>
              <c:numCache>
                <c:formatCode>0%</c:formatCode>
                <c:ptCount val="8"/>
                <c:pt idx="0">
                  <c:v>0.15276899999999999</c:v>
                </c:pt>
                <c:pt idx="1">
                  <c:v>0.18485800000000002</c:v>
                </c:pt>
                <c:pt idx="2">
                  <c:v>0.15969</c:v>
                </c:pt>
                <c:pt idx="3">
                  <c:v>0.11851300000000001</c:v>
                </c:pt>
                <c:pt idx="4">
                  <c:v>0.145764</c:v>
                </c:pt>
                <c:pt idx="6">
                  <c:v>0.145117</c:v>
                </c:pt>
                <c:pt idx="7">
                  <c:v>0.210978</c:v>
                </c:pt>
              </c:numCache>
            </c:numRef>
          </c:val>
        </c:ser>
        <c:ser>
          <c:idx val="3"/>
          <c:order val="3"/>
          <c:tx>
            <c:strRef>
              <c:f>'Physical activity'!$F$15</c:f>
              <c:strCache>
                <c:ptCount val="1"/>
                <c:pt idx="0">
                  <c:v>Rarely or never</c:v>
                </c:pt>
              </c:strCache>
            </c:strRef>
          </c:tx>
          <c:spPr>
            <a:solidFill>
              <a:schemeClr val="accent6"/>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'Physical activity'!$A$16:$B$23</c:f>
              <c:multiLvlStrCache>
                <c:ptCount val="8"/>
                <c:lvl>
                  <c:pt idx="0">
                    <c:v>Every day</c:v>
                  </c:pt>
                  <c:pt idx="1">
                    <c:v>Most days</c:v>
                  </c:pt>
                  <c:pt idx="2">
                    <c:v>Some days</c:v>
                  </c:pt>
                  <c:pt idx="3">
                    <c:v>Rarely</c:v>
                  </c:pt>
                  <c:pt idx="4">
                    <c:v>Never</c:v>
                  </c:pt>
                  <c:pt idx="6">
                    <c:v>Yes</c:v>
                  </c:pt>
                  <c:pt idx="7">
                    <c:v>No</c:v>
                  </c:pt>
                </c:lvl>
                <c:lvl>
                  <c:pt idx="0">
                    <c:v>Frequency of consuming fizzy drinks</c:v>
                  </c:pt>
                  <c:pt idx="5">
                    <c:v> </c:v>
                  </c:pt>
                  <c:pt idx="6">
                    <c:v>Garden at home</c:v>
                  </c:pt>
                </c:lvl>
              </c:multiLvlStrCache>
            </c:multiLvlStrRef>
          </c:cat>
          <c:val>
            <c:numRef>
              <c:f>'Physical activity'!$F$16:$F$23</c:f>
              <c:numCache>
                <c:formatCode>0%</c:formatCode>
                <c:ptCount val="8"/>
                <c:pt idx="0">
                  <c:v>0.12014499999999999</c:v>
                </c:pt>
                <c:pt idx="1">
                  <c:v>5.0896999999999998E-2</c:v>
                </c:pt>
                <c:pt idx="2">
                  <c:v>3.7779E-2</c:v>
                </c:pt>
                <c:pt idx="3">
                  <c:v>2.5932999999999998E-2</c:v>
                </c:pt>
                <c:pt idx="4">
                  <c:v>5.9197000000000007E-2</c:v>
                </c:pt>
                <c:pt idx="6">
                  <c:v>4.2066999999999993E-2</c:v>
                </c:pt>
                <c:pt idx="7">
                  <c:v>0.107172</c:v>
                </c:pt>
              </c:numCache>
            </c:numRef>
          </c:val>
        </c:ser>
        <c:dLbls>
          <c:showLegendKey val="0"/>
          <c:showVal val="0"/>
          <c:showCatName val="0"/>
          <c:showSerName val="0"/>
          <c:showPercent val="0"/>
          <c:showBubbleSize val="0"/>
        </c:dLbls>
        <c:gapWidth val="0"/>
        <c:overlap val="100"/>
        <c:axId val="170144128"/>
        <c:axId val="170145664"/>
      </c:barChart>
      <c:catAx>
        <c:axId val="1701441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0145664"/>
        <c:crosses val="autoZero"/>
        <c:auto val="0"/>
        <c:lblAlgn val="ctr"/>
        <c:lblOffset val="100"/>
        <c:noMultiLvlLbl val="0"/>
      </c:catAx>
      <c:valAx>
        <c:axId val="170145664"/>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0144128"/>
        <c:crosses val="autoZero"/>
        <c:crossBetween val="between"/>
        <c:majorUnit val="0.1"/>
        <c:minorUnit val="4.000000000000001E-3"/>
      </c:valAx>
      <c:spPr>
        <a:noFill/>
        <a:ln w="25400">
          <a:noFill/>
        </a:ln>
      </c:spPr>
    </c:plotArea>
    <c:legend>
      <c:legendPos val="r"/>
      <c:layout>
        <c:manualLayout>
          <c:xMode val="edge"/>
          <c:yMode val="edge"/>
          <c:x val="0.86197802393344902"/>
          <c:y val="0.26728333200774146"/>
          <c:w val="0.12898242804395213"/>
          <c:h val="0.47868359127522853"/>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49518810148731E-2"/>
          <c:y val="0.22031054812974404"/>
          <c:w val="0.85595979378216569"/>
          <c:h val="0.52931221780629945"/>
        </c:manualLayout>
      </c:layout>
      <c:barChart>
        <c:barDir val="col"/>
        <c:grouping val="clustered"/>
        <c:varyColors val="0"/>
        <c:ser>
          <c:idx val="0"/>
          <c:order val="0"/>
          <c:tx>
            <c:strRef>
              <c:f>'Diet (2)'!$M$19</c:f>
              <c:strCache>
                <c:ptCount val="1"/>
                <c:pt idx="0">
                  <c:v>Every day</c:v>
                </c:pt>
              </c:strCache>
            </c:strRef>
          </c:tx>
          <c:spPr>
            <a:solidFill>
              <a:schemeClr val="tx2"/>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'Diet (2)'!$L$20:$L$22</c:f>
              <c:strCache>
                <c:ptCount val="3"/>
                <c:pt idx="0">
                  <c:v>Eat fruit most days or every day</c:v>
                </c:pt>
                <c:pt idx="1">
                  <c:v>Eat vegetables most days or every day</c:v>
                </c:pt>
                <c:pt idx="2">
                  <c:v>Drink fizzy drinks most days or every day</c:v>
                </c:pt>
              </c:strCache>
            </c:strRef>
          </c:cat>
          <c:val>
            <c:numRef>
              <c:f>'Diet (2)'!$M$20:$M$22</c:f>
              <c:numCache>
                <c:formatCode>0%</c:formatCode>
                <c:ptCount val="3"/>
                <c:pt idx="0">
                  <c:v>0.81021699999999996</c:v>
                </c:pt>
                <c:pt idx="1">
                  <c:v>0.72351299999999996</c:v>
                </c:pt>
                <c:pt idx="2">
                  <c:v>0.22888000000000003</c:v>
                </c:pt>
              </c:numCache>
            </c:numRef>
          </c:val>
        </c:ser>
        <c:ser>
          <c:idx val="1"/>
          <c:order val="1"/>
          <c:tx>
            <c:strRef>
              <c:f>'Diet (2)'!$N$19</c:f>
              <c:strCache>
                <c:ptCount val="1"/>
                <c:pt idx="0">
                  <c:v>Most days</c:v>
                </c:pt>
              </c:strCache>
            </c:strRef>
          </c:tx>
          <c:spPr>
            <a:solidFill>
              <a:schemeClr val="accent1"/>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'Diet (2)'!$L$20:$L$22</c:f>
              <c:strCache>
                <c:ptCount val="3"/>
                <c:pt idx="0">
                  <c:v>Eat fruit most days or every day</c:v>
                </c:pt>
                <c:pt idx="1">
                  <c:v>Eat vegetables most days or every day</c:v>
                </c:pt>
                <c:pt idx="2">
                  <c:v>Drink fizzy drinks most days or every day</c:v>
                </c:pt>
              </c:strCache>
            </c:strRef>
          </c:cat>
          <c:val>
            <c:numRef>
              <c:f>'Diet (2)'!$N$20:$N$22</c:f>
              <c:numCache>
                <c:formatCode>0%</c:formatCode>
                <c:ptCount val="3"/>
                <c:pt idx="0">
                  <c:v>0.77977699999999994</c:v>
                </c:pt>
                <c:pt idx="1">
                  <c:v>0.64487799999999995</c:v>
                </c:pt>
                <c:pt idx="2">
                  <c:v>0.21885399999999999</c:v>
                </c:pt>
              </c:numCache>
            </c:numRef>
          </c:val>
        </c:ser>
        <c:ser>
          <c:idx val="2"/>
          <c:order val="2"/>
          <c:tx>
            <c:strRef>
              <c:f>'Diet (2)'!$O$19</c:f>
              <c:strCache>
                <c:ptCount val="1"/>
                <c:pt idx="0">
                  <c:v>Some days</c:v>
                </c:pt>
              </c:strCache>
            </c:strRef>
          </c:tx>
          <c:spPr>
            <a:solidFill>
              <a:schemeClr val="accent4">
                <a:lumMod val="40000"/>
                <a:lumOff val="60000"/>
              </a:scheme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'Diet (2)'!$L$20:$L$22</c:f>
              <c:strCache>
                <c:ptCount val="3"/>
                <c:pt idx="0">
                  <c:v>Eat fruit most days or every day</c:v>
                </c:pt>
                <c:pt idx="1">
                  <c:v>Eat vegetables most days or every day</c:v>
                </c:pt>
                <c:pt idx="2">
                  <c:v>Drink fizzy drinks most days or every day</c:v>
                </c:pt>
              </c:strCache>
            </c:strRef>
          </c:cat>
          <c:val>
            <c:numRef>
              <c:f>'Diet (2)'!$O$20:$O$22</c:f>
              <c:numCache>
                <c:formatCode>0%</c:formatCode>
                <c:ptCount val="3"/>
                <c:pt idx="0">
                  <c:v>0.68823000000000012</c:v>
                </c:pt>
                <c:pt idx="1">
                  <c:v>0.52869599999999994</c:v>
                </c:pt>
                <c:pt idx="2">
                  <c:v>0.27498899999999998</c:v>
                </c:pt>
              </c:numCache>
            </c:numRef>
          </c:val>
        </c:ser>
        <c:ser>
          <c:idx val="3"/>
          <c:order val="3"/>
          <c:tx>
            <c:strRef>
              <c:f>'Diet (2)'!$P$19</c:f>
              <c:strCache>
                <c:ptCount val="1"/>
                <c:pt idx="0">
                  <c:v>Rarely</c:v>
                </c:pt>
              </c:strCache>
            </c:strRef>
          </c:tx>
          <c:spPr>
            <a:solidFill>
              <a:schemeClr val="accent6"/>
            </a:solidFill>
          </c:spPr>
          <c:invertIfNegative val="0"/>
          <c:cat>
            <c:strRef>
              <c:f>'Diet (2)'!$L$20:$L$22</c:f>
              <c:strCache>
                <c:ptCount val="3"/>
                <c:pt idx="0">
                  <c:v>Eat fruit most days or every day</c:v>
                </c:pt>
                <c:pt idx="1">
                  <c:v>Eat vegetables most days or every day</c:v>
                </c:pt>
                <c:pt idx="2">
                  <c:v>Drink fizzy drinks most days or every day</c:v>
                </c:pt>
              </c:strCache>
            </c:strRef>
          </c:cat>
          <c:val>
            <c:numRef>
              <c:f>'Diet (2)'!$P$20:$P$22</c:f>
              <c:numCache>
                <c:formatCode>0%</c:formatCode>
                <c:ptCount val="3"/>
                <c:pt idx="0">
                  <c:v>0.62266999999999995</c:v>
                </c:pt>
                <c:pt idx="1">
                  <c:v>0.45352199999999998</c:v>
                </c:pt>
                <c:pt idx="2">
                  <c:v>0.41452300000000003</c:v>
                </c:pt>
              </c:numCache>
            </c:numRef>
          </c:val>
        </c:ser>
        <c:ser>
          <c:idx val="4"/>
          <c:order val="4"/>
          <c:tx>
            <c:strRef>
              <c:f>'Diet (2)'!$Q$19</c:f>
              <c:strCache>
                <c:ptCount val="1"/>
                <c:pt idx="0">
                  <c:v>Never</c:v>
                </c:pt>
              </c:strCache>
            </c:strRef>
          </c:tx>
          <c:spPr>
            <a:solidFill>
              <a:schemeClr val="accent6">
                <a:lumMod val="40000"/>
                <a:lumOff val="60000"/>
              </a:schemeClr>
            </a:solidFill>
          </c:spPr>
          <c:invertIfNegative val="0"/>
          <c:cat>
            <c:strRef>
              <c:f>'Diet (2)'!$L$20:$L$22</c:f>
              <c:strCache>
                <c:ptCount val="3"/>
                <c:pt idx="0">
                  <c:v>Eat fruit most days or every day</c:v>
                </c:pt>
                <c:pt idx="1">
                  <c:v>Eat vegetables most days or every day</c:v>
                </c:pt>
                <c:pt idx="2">
                  <c:v>Drink fizzy drinks most days or every day</c:v>
                </c:pt>
              </c:strCache>
            </c:strRef>
          </c:cat>
          <c:val>
            <c:numRef>
              <c:f>'Diet (2)'!$Q$20:$Q$22</c:f>
              <c:numCache>
                <c:formatCode>0%</c:formatCode>
                <c:ptCount val="3"/>
                <c:pt idx="0">
                  <c:v>0.57336699999999996</c:v>
                </c:pt>
                <c:pt idx="1">
                  <c:v>0.44450299999999998</c:v>
                </c:pt>
                <c:pt idx="2">
                  <c:v>0.51028300000000004</c:v>
                </c:pt>
              </c:numCache>
            </c:numRef>
          </c:val>
        </c:ser>
        <c:dLbls>
          <c:dLblPos val="outEnd"/>
          <c:showLegendKey val="0"/>
          <c:showVal val="1"/>
          <c:showCatName val="0"/>
          <c:showSerName val="0"/>
          <c:showPercent val="0"/>
          <c:showBubbleSize val="0"/>
        </c:dLbls>
        <c:gapWidth val="150"/>
        <c:axId val="171274240"/>
        <c:axId val="171276160"/>
      </c:barChart>
      <c:catAx>
        <c:axId val="171274240"/>
        <c:scaling>
          <c:orientation val="minMax"/>
        </c:scaling>
        <c:delete val="0"/>
        <c:axPos val="b"/>
        <c:title>
          <c:tx>
            <c:rich>
              <a:bodyPr/>
              <a:lstStyle/>
              <a:p>
                <a:pPr>
                  <a:defRPr sz="900"/>
                </a:pPr>
                <a:r>
                  <a:rPr lang="en-GB" sz="900" b="0"/>
                  <a:t>Sits </a:t>
                </a:r>
                <a:r>
                  <a:rPr lang="en-GB" sz="900" b="0" baseline="0"/>
                  <a:t>down to a family meal...</a:t>
                </a:r>
                <a:endParaRPr lang="en-GB" sz="900" b="0"/>
              </a:p>
            </c:rich>
          </c:tx>
          <c:layout>
            <c:manualLayout>
              <c:xMode val="edge"/>
              <c:yMode val="edge"/>
              <c:x val="4.6485160508782562E-2"/>
              <c:y val="0.91489419901916724"/>
            </c:manualLayout>
          </c:layout>
          <c:overlay val="0"/>
        </c:title>
        <c:numFmt formatCode="General" sourceLinked="1"/>
        <c:majorTickMark val="out"/>
        <c:minorTickMark val="none"/>
        <c:tickLblPos val="nextTo"/>
        <c:txPr>
          <a:bodyPr/>
          <a:lstStyle/>
          <a:p>
            <a:pPr>
              <a:defRPr sz="900"/>
            </a:pPr>
            <a:endParaRPr lang="en-US"/>
          </a:p>
        </c:txPr>
        <c:crossAx val="171276160"/>
        <c:crosses val="autoZero"/>
        <c:auto val="1"/>
        <c:lblAlgn val="ctr"/>
        <c:lblOffset val="100"/>
        <c:noMultiLvlLbl val="0"/>
      </c:catAx>
      <c:valAx>
        <c:axId val="171276160"/>
        <c:scaling>
          <c:orientation val="minMax"/>
        </c:scaling>
        <c:delete val="0"/>
        <c:axPos val="l"/>
        <c:majorGridlines>
          <c:spPr>
            <a:ln>
              <a:noFill/>
            </a:ln>
          </c:spPr>
        </c:majorGridlines>
        <c:numFmt formatCode="0%" sourceLinked="1"/>
        <c:majorTickMark val="out"/>
        <c:minorTickMark val="none"/>
        <c:tickLblPos val="nextTo"/>
        <c:txPr>
          <a:bodyPr/>
          <a:lstStyle/>
          <a:p>
            <a:pPr>
              <a:defRPr sz="900"/>
            </a:pPr>
            <a:endParaRPr lang="en-US"/>
          </a:p>
        </c:txPr>
        <c:crossAx val="171274240"/>
        <c:crosses val="autoZero"/>
        <c:crossBetween val="between"/>
      </c:valAx>
    </c:plotArea>
    <c:legend>
      <c:legendPos val="b"/>
      <c:layout>
        <c:manualLayout>
          <c:xMode val="edge"/>
          <c:yMode val="edge"/>
          <c:x val="0.31178777269536367"/>
          <c:y val="0.9098747236943443"/>
          <c:w val="0.62539931230913004"/>
          <c:h val="6.1116708634787929E-2"/>
        </c:manualLayout>
      </c:layout>
      <c:overlay val="0"/>
      <c:txPr>
        <a:bodyPr/>
        <a:lstStyle/>
        <a:p>
          <a:pPr>
            <a:defRPr sz="900"/>
          </a:pPr>
          <a:endParaRPr lang="en-US"/>
        </a:p>
      </c:txPr>
    </c:legend>
    <c:plotVisOnly val="1"/>
    <c:dispBlanksAs val="gap"/>
    <c:showDLblsOverMax val="0"/>
  </c:chart>
  <c:spPr>
    <a:ln>
      <a:no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extLst xmlns:c16r2="http://schemas.microsoft.com/office/drawing/2015/06/chart">
              <c:ext xmlns:c16="http://schemas.microsoft.com/office/drawing/2014/chart" uri="{C3380CC4-5D6E-409C-BE32-E72D297353CC}">
                <c16:uniqueId val="{00000000-E739-4D2F-B733-37130964B0DA}"/>
              </c:ext>
            </c:extLst>
          </c:dPt>
          <c:dPt>
            <c:idx val="1"/>
            <c:invertIfNegative val="0"/>
            <c:bubble3D val="0"/>
            <c:spPr>
              <a:solidFill>
                <a:schemeClr val="accent1"/>
              </a:solidFill>
              <a:ln w="25400">
                <a:noFill/>
              </a:ln>
            </c:spPr>
            <c:extLst xmlns:c16r2="http://schemas.microsoft.com/office/drawing/2015/06/chart">
              <c:ext xmlns:c16="http://schemas.microsoft.com/office/drawing/2014/chart" uri="{C3380CC4-5D6E-409C-BE32-E72D297353CC}">
                <c16:uniqueId val="{00000002-E739-4D2F-B733-37130964B0DA}"/>
              </c:ext>
            </c:extLst>
          </c:dPt>
          <c:dPt>
            <c:idx val="2"/>
            <c:invertIfNegative val="0"/>
            <c:bubble3D val="0"/>
            <c:spPr>
              <a:solidFill>
                <a:schemeClr val="accent4">
                  <a:lumMod val="40000"/>
                  <a:lumOff val="60000"/>
                </a:schemeClr>
              </a:solidFill>
              <a:ln w="25400">
                <a:noFill/>
              </a:ln>
            </c:spPr>
            <c:extLst xmlns:c16r2="http://schemas.microsoft.com/office/drawing/2015/06/chart">
              <c:ext xmlns:c16="http://schemas.microsoft.com/office/drawing/2014/chart" uri="{C3380CC4-5D6E-409C-BE32-E72D297353CC}">
                <c16:uniqueId val="{00000004-E739-4D2F-B733-37130964B0DA}"/>
              </c:ext>
            </c:extLst>
          </c:dPt>
          <c:dPt>
            <c:idx val="3"/>
            <c:invertIfNegative val="0"/>
            <c:bubble3D val="0"/>
            <c:spPr>
              <a:solidFill>
                <a:schemeClr val="accent6"/>
              </a:solidFill>
              <a:ln w="25400">
                <a:noFill/>
              </a:ln>
            </c:spPr>
            <c:extLst xmlns:c16r2="http://schemas.microsoft.com/office/drawing/2015/06/chart">
              <c:ext xmlns:c16="http://schemas.microsoft.com/office/drawing/2014/chart" uri="{C3380CC4-5D6E-409C-BE32-E72D297353CC}">
                <c16:uniqueId val="{00000006-E739-4D2F-B733-37130964B0DA}"/>
              </c:ext>
            </c:extLst>
          </c:dPt>
          <c:dPt>
            <c:idx val="4"/>
            <c:invertIfNegative val="0"/>
            <c:bubble3D val="0"/>
            <c:spPr>
              <a:solidFill>
                <a:schemeClr val="accent6">
                  <a:lumMod val="40000"/>
                  <a:lumOff val="60000"/>
                </a:schemeClr>
              </a:solidFill>
              <a:ln w="25400">
                <a:noFill/>
              </a:ln>
            </c:spPr>
            <c:extLst xmlns:c16r2="http://schemas.microsoft.com/office/drawing/2015/06/chart">
              <c:ext xmlns:c16="http://schemas.microsoft.com/office/drawing/2014/chart" uri="{C3380CC4-5D6E-409C-BE32-E72D297353CC}">
                <c16:uniqueId val="{00000008-E739-4D2F-B733-37130964B0DA}"/>
              </c:ext>
            </c:extLst>
          </c:dPt>
          <c:dPt>
            <c:idx val="5"/>
            <c:invertIfNegative val="0"/>
            <c:bubble3D val="0"/>
            <c:extLst xmlns:c16r2="http://schemas.microsoft.com/office/drawing/2015/06/chart">
              <c:ext xmlns:c16="http://schemas.microsoft.com/office/drawing/2014/chart" uri="{C3380CC4-5D6E-409C-BE32-E72D297353CC}">
                <c16:uniqueId val="{00000009-E739-4D2F-B733-37130964B0DA}"/>
              </c:ext>
            </c:extLst>
          </c:dPt>
          <c:dPt>
            <c:idx val="6"/>
            <c:invertIfNegative val="0"/>
            <c:bubble3D val="0"/>
            <c:extLst xmlns:c16r2="http://schemas.microsoft.com/office/drawing/2015/06/chart">
              <c:ext xmlns:c16="http://schemas.microsoft.com/office/drawing/2014/chart" uri="{C3380CC4-5D6E-409C-BE32-E72D297353CC}">
                <c16:uniqueId val="{0000000A-E739-4D2F-B733-37130964B0DA}"/>
              </c:ext>
            </c:extLst>
          </c:dPt>
          <c:dPt>
            <c:idx val="7"/>
            <c:invertIfNegative val="0"/>
            <c:bubble3D val="0"/>
            <c:spPr>
              <a:solidFill>
                <a:schemeClr val="accent1"/>
              </a:solidFill>
              <a:ln w="25400">
                <a:noFill/>
              </a:ln>
            </c:spPr>
            <c:extLst xmlns:c16r2="http://schemas.microsoft.com/office/drawing/2015/06/chart">
              <c:ext xmlns:c16="http://schemas.microsoft.com/office/drawing/2014/chart" uri="{C3380CC4-5D6E-409C-BE32-E72D297353CC}">
                <c16:uniqueId val="{0000000C-E739-4D2F-B733-37130964B0DA}"/>
              </c:ext>
            </c:extLst>
          </c:dPt>
          <c:dPt>
            <c:idx val="9"/>
            <c:invertIfNegative val="0"/>
            <c:bubble3D val="0"/>
            <c:spPr>
              <a:solidFill>
                <a:schemeClr val="accent4">
                  <a:lumMod val="40000"/>
                  <a:lumOff val="60000"/>
                </a:schemeClr>
              </a:solidFill>
              <a:ln w="25400">
                <a:noFill/>
              </a:ln>
            </c:spPr>
            <c:extLst xmlns:c16r2="http://schemas.microsoft.com/office/drawing/2015/06/chart">
              <c:ext xmlns:c16="http://schemas.microsoft.com/office/drawing/2014/chart" uri="{C3380CC4-5D6E-409C-BE32-E72D297353CC}">
                <c16:uniqueId val="{0000000E-E739-4D2F-B733-37130964B0DA}"/>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'Exposure to smoke'!$M$4:$N$13</c:f>
              <c:multiLvlStrCache>
                <c:ptCount val="10"/>
                <c:lvl>
                  <c:pt idx="0">
                    <c:v>1 (most
 deprived)</c:v>
                  </c:pt>
                  <c:pt idx="1">
                    <c:v>2</c:v>
                  </c:pt>
                  <c:pt idx="2">
                    <c:v>3</c:v>
                  </c:pt>
                  <c:pt idx="3">
                    <c:v>4</c:v>
                  </c:pt>
                  <c:pt idx="4">
                    <c:v>5 (least
 deprived)</c:v>
                  </c:pt>
                  <c:pt idx="6">
                    <c:v>Yes</c:v>
                  </c:pt>
                  <c:pt idx="7">
                    <c:v>No</c:v>
                  </c:pt>
                  <c:pt idx="9">
                    <c:v>All</c:v>
                  </c:pt>
                </c:lvl>
                <c:lvl>
                  <c:pt idx="0">
                    <c:v>SIMD quintile</c:v>
                  </c:pt>
                  <c:pt idx="5">
                    <c:v> </c:v>
                  </c:pt>
                  <c:pt idx="6">
                    <c:v>In receipt of free school meals</c:v>
                  </c:pt>
                  <c:pt idx="8">
                    <c:v> </c:v>
                  </c:pt>
                  <c:pt idx="9">
                    <c:v> </c:v>
                  </c:pt>
                </c:lvl>
              </c:multiLvlStrCache>
            </c:multiLvlStrRef>
          </c:cat>
          <c:val>
            <c:numRef>
              <c:f>'Exposure to smoke'!$O$4:$O$13</c:f>
              <c:numCache>
                <c:formatCode>0%</c:formatCode>
                <c:ptCount val="10"/>
                <c:pt idx="0">
                  <c:v>0.38557699999999995</c:v>
                </c:pt>
                <c:pt idx="1">
                  <c:v>0.27620100000000003</c:v>
                </c:pt>
                <c:pt idx="2">
                  <c:v>0.17926900000000001</c:v>
                </c:pt>
                <c:pt idx="3">
                  <c:v>0.121</c:v>
                </c:pt>
                <c:pt idx="4">
                  <c:v>9.2544000000000001E-2</c:v>
                </c:pt>
                <c:pt idx="6">
                  <c:v>0.45</c:v>
                </c:pt>
                <c:pt idx="7">
                  <c:v>0.16</c:v>
                </c:pt>
                <c:pt idx="9">
                  <c:v>0.21</c:v>
                </c:pt>
              </c:numCache>
            </c:numRef>
          </c:val>
          <c:extLst xmlns:c16r2="http://schemas.microsoft.com/office/drawing/2015/06/chart">
            <c:ext xmlns:c16="http://schemas.microsoft.com/office/drawing/2014/chart" uri="{C3380CC4-5D6E-409C-BE32-E72D297353CC}">
              <c16:uniqueId val="{0000000F-E739-4D2F-B733-37130964B0DA}"/>
            </c:ext>
          </c:extLst>
        </c:ser>
        <c:dLbls>
          <c:showLegendKey val="0"/>
          <c:showVal val="0"/>
          <c:showCatName val="0"/>
          <c:showSerName val="0"/>
          <c:showPercent val="0"/>
          <c:showBubbleSize val="0"/>
        </c:dLbls>
        <c:gapWidth val="0"/>
        <c:axId val="171341312"/>
        <c:axId val="171342848"/>
      </c:barChart>
      <c:catAx>
        <c:axId val="171341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342848"/>
        <c:crosses val="autoZero"/>
        <c:auto val="0"/>
        <c:lblAlgn val="ctr"/>
        <c:lblOffset val="100"/>
        <c:noMultiLvlLbl val="0"/>
      </c:catAx>
      <c:valAx>
        <c:axId val="17134284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34131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2151426131358"/>
          <c:y val="0.22031054812974404"/>
          <c:w val="0.6787877324533752"/>
          <c:h val="0.66112458597397183"/>
        </c:manualLayout>
      </c:layout>
      <c:barChart>
        <c:barDir val="bar"/>
        <c:grouping val="clustered"/>
        <c:varyColors val="0"/>
        <c:ser>
          <c:idx val="0"/>
          <c:order val="0"/>
          <c:tx>
            <c:strRef>
              <c:f>'Life satisfaction items'!$K$12</c:f>
              <c:strCache>
                <c:ptCount val="1"/>
                <c:pt idx="0">
                  <c:v>RCS Falkirk(P5, P6, P7)</c:v>
                </c:pt>
              </c:strCache>
            </c:strRef>
          </c:tx>
          <c:spPr>
            <a:solidFill>
              <a:schemeClr val="tx2"/>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'Life satisfaction items'!$J$13:$J$17</c:f>
              <c:strCache>
                <c:ptCount val="5"/>
                <c:pt idx="0">
                  <c:v>Do you feel that your life is going well?</c:v>
                </c:pt>
                <c:pt idx="1">
                  <c:v>Do you wish your life was different?</c:v>
                </c:pt>
                <c:pt idx="2">
                  <c:v>Do you feel that your life is just right?</c:v>
                </c:pt>
                <c:pt idx="3">
                  <c:v>Do you feel you have what you want in life?</c:v>
                </c:pt>
                <c:pt idx="4">
                  <c:v>Do you feel you have a good life?</c:v>
                </c:pt>
              </c:strCache>
            </c:strRef>
          </c:cat>
          <c:val>
            <c:numRef>
              <c:f>'Life satisfaction items'!$K$13:$K$17</c:f>
              <c:numCache>
                <c:formatCode>0%</c:formatCode>
                <c:ptCount val="5"/>
                <c:pt idx="0">
                  <c:v>0.74</c:v>
                </c:pt>
                <c:pt idx="1">
                  <c:v>0.16300000000000001</c:v>
                </c:pt>
                <c:pt idx="2">
                  <c:v>0.71</c:v>
                </c:pt>
                <c:pt idx="3">
                  <c:v>0.73</c:v>
                </c:pt>
                <c:pt idx="4">
                  <c:v>0.84400000000000008</c:v>
                </c:pt>
              </c:numCache>
            </c:numRef>
          </c:val>
        </c:ser>
        <c:ser>
          <c:idx val="1"/>
          <c:order val="1"/>
          <c:tx>
            <c:strRef>
              <c:f>'Life satisfaction items'!$L$12</c:f>
              <c:strCache>
                <c:ptCount val="1"/>
                <c:pt idx="0">
                  <c:v>GUS Scotland (age 7 - 8)</c:v>
                </c:pt>
              </c:strCache>
            </c:strRef>
          </c:tx>
          <c:spPr>
            <a:solidFill>
              <a:schemeClr val="accent4">
                <a:lumMod val="40000"/>
                <a:lumOff val="60000"/>
              </a:schemeClr>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'Life satisfaction items'!$J$13:$J$17</c:f>
              <c:strCache>
                <c:ptCount val="5"/>
                <c:pt idx="0">
                  <c:v>Do you feel that your life is going well?</c:v>
                </c:pt>
                <c:pt idx="1">
                  <c:v>Do you wish your life was different?</c:v>
                </c:pt>
                <c:pt idx="2">
                  <c:v>Do you feel that your life is just right?</c:v>
                </c:pt>
                <c:pt idx="3">
                  <c:v>Do you feel you have what you want in life?</c:v>
                </c:pt>
                <c:pt idx="4">
                  <c:v>Do you feel you have a good life?</c:v>
                </c:pt>
              </c:strCache>
            </c:strRef>
          </c:cat>
          <c:val>
            <c:numRef>
              <c:f>'Life satisfaction items'!$L$13:$L$17</c:f>
              <c:numCache>
                <c:formatCode>0%</c:formatCode>
                <c:ptCount val="5"/>
                <c:pt idx="0">
                  <c:v>0.83099999999999996</c:v>
                </c:pt>
                <c:pt idx="1">
                  <c:v>0.10099999999999999</c:v>
                </c:pt>
                <c:pt idx="2">
                  <c:v>0.78099999999999992</c:v>
                </c:pt>
                <c:pt idx="3">
                  <c:v>0.66400000000000003</c:v>
                </c:pt>
                <c:pt idx="4">
                  <c:v>0.84699999999999998</c:v>
                </c:pt>
              </c:numCache>
            </c:numRef>
          </c:val>
        </c:ser>
        <c:dLbls>
          <c:dLblPos val="outEnd"/>
          <c:showLegendKey val="0"/>
          <c:showVal val="1"/>
          <c:showCatName val="0"/>
          <c:showSerName val="0"/>
          <c:showPercent val="0"/>
          <c:showBubbleSize val="0"/>
        </c:dLbls>
        <c:gapWidth val="150"/>
        <c:axId val="171639936"/>
        <c:axId val="171641472"/>
      </c:barChart>
      <c:catAx>
        <c:axId val="171639936"/>
        <c:scaling>
          <c:orientation val="minMax"/>
        </c:scaling>
        <c:delete val="0"/>
        <c:axPos val="l"/>
        <c:majorTickMark val="out"/>
        <c:minorTickMark val="none"/>
        <c:tickLblPos val="nextTo"/>
        <c:txPr>
          <a:bodyPr/>
          <a:lstStyle/>
          <a:p>
            <a:pPr>
              <a:defRPr sz="900"/>
            </a:pPr>
            <a:endParaRPr lang="en-US"/>
          </a:p>
        </c:txPr>
        <c:crossAx val="171641472"/>
        <c:crosses val="autoZero"/>
        <c:auto val="1"/>
        <c:lblAlgn val="ctr"/>
        <c:lblOffset val="100"/>
        <c:noMultiLvlLbl val="0"/>
      </c:catAx>
      <c:valAx>
        <c:axId val="171641472"/>
        <c:scaling>
          <c:orientation val="minMax"/>
        </c:scaling>
        <c:delete val="0"/>
        <c:axPos val="b"/>
        <c:majorGridlines>
          <c:spPr>
            <a:ln>
              <a:noFill/>
            </a:ln>
          </c:spPr>
        </c:majorGridlines>
        <c:numFmt formatCode="0%" sourceLinked="1"/>
        <c:majorTickMark val="out"/>
        <c:minorTickMark val="none"/>
        <c:tickLblPos val="nextTo"/>
        <c:txPr>
          <a:bodyPr/>
          <a:lstStyle/>
          <a:p>
            <a:pPr>
              <a:defRPr sz="900"/>
            </a:pPr>
            <a:endParaRPr lang="en-US"/>
          </a:p>
        </c:txPr>
        <c:crossAx val="171639936"/>
        <c:crosses val="autoZero"/>
        <c:crossBetween val="between"/>
      </c:valAx>
    </c:plotArea>
    <c:legend>
      <c:legendPos val="r"/>
      <c:layout>
        <c:manualLayout>
          <c:xMode val="edge"/>
          <c:yMode val="edge"/>
          <c:x val="0.84768872374769166"/>
          <c:y val="0.39804540860237375"/>
          <c:w val="0.13868265615009365"/>
          <c:h val="0.34248115958690806"/>
        </c:manualLayout>
      </c:layout>
      <c:overlay val="0"/>
      <c:txPr>
        <a:bodyPr/>
        <a:lstStyle/>
        <a:p>
          <a:pPr>
            <a:defRPr sz="900"/>
          </a:pPr>
          <a:endParaRPr lang="en-US"/>
        </a:p>
      </c:txPr>
    </c:legend>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74931286978958134"/>
          <c:h val="0.5765628407971547"/>
        </c:manualLayout>
      </c:layout>
      <c:barChart>
        <c:barDir val="col"/>
        <c:grouping val="percentStacked"/>
        <c:varyColors val="0"/>
        <c:ser>
          <c:idx val="0"/>
          <c:order val="0"/>
          <c:tx>
            <c:strRef>
              <c:f>'Life satisfaction score'!$D$2</c:f>
              <c:strCache>
                <c:ptCount val="1"/>
                <c:pt idx="0">
                  <c:v>Lower</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defRPr>
                </a:pPr>
                <a:endParaRPr lang="en-US"/>
              </a:p>
            </c:txPr>
            <c:showLegendKey val="0"/>
            <c:showVal val="1"/>
            <c:showCatName val="0"/>
            <c:showSerName val="0"/>
            <c:showPercent val="0"/>
            <c:showBubbleSize val="0"/>
            <c:showLeaderLines val="0"/>
          </c:dLbls>
          <c:cat>
            <c:multiLvlStrRef>
              <c:f>'Life satisfaction score'!$B$3:$C$13</c:f>
              <c:multiLvlStrCache>
                <c:ptCount val="11"/>
                <c:lvl>
                  <c:pt idx="0">
                    <c:v>Above
 average</c:v>
                  </c:pt>
                  <c:pt idx="1">
                    <c:v>Average</c:v>
                  </c:pt>
                  <c:pt idx="2">
                    <c:v>Below
 average</c:v>
                  </c:pt>
                  <c:pt idx="3">
                    <c:v> </c:v>
                  </c:pt>
                  <c:pt idx="4">
                    <c:v>More
 positive</c:v>
                  </c:pt>
                  <c:pt idx="5">
                    <c:v>Average</c:v>
                  </c:pt>
                  <c:pt idx="6">
                    <c:v>Less
 positive</c:v>
                  </c:pt>
                  <c:pt idx="8">
                    <c:v>More
 positive</c:v>
                  </c:pt>
                  <c:pt idx="9">
                    <c:v>Average</c:v>
                  </c:pt>
                  <c:pt idx="10">
                    <c:v>Less
 positive</c:v>
                  </c:pt>
                </c:lvl>
                <c:lvl>
                  <c:pt idx="0">
                    <c:v>Exposure to bullying</c:v>
                  </c:pt>
                  <c:pt idx="3">
                    <c:v> </c:v>
                  </c:pt>
                  <c:pt idx="4">
                    <c:v>Child-teacher relationship</c:v>
                  </c:pt>
                  <c:pt idx="7">
                    <c:v> </c:v>
                  </c:pt>
                  <c:pt idx="8">
                    <c:v>Child-parent relationship</c:v>
                  </c:pt>
                </c:lvl>
              </c:multiLvlStrCache>
            </c:multiLvlStrRef>
          </c:cat>
          <c:val>
            <c:numRef>
              <c:f>'Life satisfaction score'!$D$3:$D$13</c:f>
              <c:numCache>
                <c:formatCode>0%</c:formatCode>
                <c:ptCount val="11"/>
                <c:pt idx="0">
                  <c:v>0.19007200000000002</c:v>
                </c:pt>
                <c:pt idx="1">
                  <c:v>0.302124</c:v>
                </c:pt>
                <c:pt idx="2">
                  <c:v>0.49457700000000004</c:v>
                </c:pt>
                <c:pt idx="4">
                  <c:v>0.51230600000000004</c:v>
                </c:pt>
                <c:pt idx="5">
                  <c:v>0.36387099999999994</c:v>
                </c:pt>
                <c:pt idx="6">
                  <c:v>0.21812599999999999</c:v>
                </c:pt>
                <c:pt idx="8">
                  <c:v>0.53103200000000006</c:v>
                </c:pt>
                <c:pt idx="9">
                  <c:v>0.298628</c:v>
                </c:pt>
                <c:pt idx="10">
                  <c:v>0.16478899999999999</c:v>
                </c:pt>
              </c:numCache>
            </c:numRef>
          </c:val>
        </c:ser>
        <c:ser>
          <c:idx val="1"/>
          <c:order val="1"/>
          <c:tx>
            <c:strRef>
              <c:f>'Life satisfaction score'!$E$2</c:f>
              <c:strCache>
                <c:ptCount val="1"/>
                <c:pt idx="0">
                  <c:v>Average</c:v>
                </c:pt>
              </c:strCache>
            </c:strRef>
          </c:tx>
          <c:spPr>
            <a:solidFill>
              <a:schemeClr val="accent1"/>
            </a:solidFill>
            <a:ln>
              <a:solidFill>
                <a:schemeClr val="bg1"/>
              </a:solidFill>
            </a:ln>
          </c:spPr>
          <c:invertIfNegative val="0"/>
          <c:dLbls>
            <c:showLegendKey val="0"/>
            <c:showVal val="1"/>
            <c:showCatName val="0"/>
            <c:showSerName val="0"/>
            <c:showPercent val="0"/>
            <c:showBubbleSize val="0"/>
            <c:showLeaderLines val="0"/>
          </c:dLbls>
          <c:cat>
            <c:multiLvlStrRef>
              <c:f>'Life satisfaction score'!$B$3:$C$13</c:f>
              <c:multiLvlStrCache>
                <c:ptCount val="11"/>
                <c:lvl>
                  <c:pt idx="0">
                    <c:v>Above
 average</c:v>
                  </c:pt>
                  <c:pt idx="1">
                    <c:v>Average</c:v>
                  </c:pt>
                  <c:pt idx="2">
                    <c:v>Below
 average</c:v>
                  </c:pt>
                  <c:pt idx="3">
                    <c:v> </c:v>
                  </c:pt>
                  <c:pt idx="4">
                    <c:v>More
 positive</c:v>
                  </c:pt>
                  <c:pt idx="5">
                    <c:v>Average</c:v>
                  </c:pt>
                  <c:pt idx="6">
                    <c:v>Less
 positive</c:v>
                  </c:pt>
                  <c:pt idx="8">
                    <c:v>More
 positive</c:v>
                  </c:pt>
                  <c:pt idx="9">
                    <c:v>Average</c:v>
                  </c:pt>
                  <c:pt idx="10">
                    <c:v>Less
 positive</c:v>
                  </c:pt>
                </c:lvl>
                <c:lvl>
                  <c:pt idx="0">
                    <c:v>Exposure to bullying</c:v>
                  </c:pt>
                  <c:pt idx="3">
                    <c:v> </c:v>
                  </c:pt>
                  <c:pt idx="4">
                    <c:v>Child-teacher relationship</c:v>
                  </c:pt>
                  <c:pt idx="7">
                    <c:v> </c:v>
                  </c:pt>
                  <c:pt idx="8">
                    <c:v>Child-parent relationship</c:v>
                  </c:pt>
                </c:lvl>
              </c:multiLvlStrCache>
            </c:multiLvlStrRef>
          </c:cat>
          <c:val>
            <c:numRef>
              <c:f>'Life satisfaction score'!$E$3:$E$13</c:f>
              <c:numCache>
                <c:formatCode>0%</c:formatCode>
                <c:ptCount val="11"/>
                <c:pt idx="0">
                  <c:v>0.32491399999999998</c:v>
                </c:pt>
                <c:pt idx="1">
                  <c:v>0.35706200000000005</c:v>
                </c:pt>
                <c:pt idx="2">
                  <c:v>0.33670499999999998</c:v>
                </c:pt>
                <c:pt idx="4">
                  <c:v>0.33665899999999999</c:v>
                </c:pt>
                <c:pt idx="5">
                  <c:v>0.371952</c:v>
                </c:pt>
                <c:pt idx="6">
                  <c:v>0.30779000000000001</c:v>
                </c:pt>
                <c:pt idx="8">
                  <c:v>0.30613299999999999</c:v>
                </c:pt>
                <c:pt idx="9">
                  <c:v>0.39975900000000003</c:v>
                </c:pt>
                <c:pt idx="10">
                  <c:v>0.32780500000000001</c:v>
                </c:pt>
              </c:numCache>
            </c:numRef>
          </c:val>
        </c:ser>
        <c:ser>
          <c:idx val="2"/>
          <c:order val="2"/>
          <c:tx>
            <c:strRef>
              <c:f>'Life satisfaction score'!$F$2</c:f>
              <c:strCache>
                <c:ptCount val="1"/>
                <c:pt idx="0">
                  <c:v>Higher</c:v>
                </c:pt>
              </c:strCache>
            </c:strRef>
          </c:tx>
          <c:spPr>
            <a:solidFill>
              <a:schemeClr val="accent4">
                <a:lumMod val="40000"/>
                <a:lumOff val="60000"/>
              </a:schemeClr>
            </a:solidFill>
            <a:ln>
              <a:solidFill>
                <a:schemeClr val="bg1"/>
              </a:solidFill>
            </a:ln>
          </c:spPr>
          <c:invertIfNegative val="0"/>
          <c:dLbls>
            <c:showLegendKey val="0"/>
            <c:showVal val="1"/>
            <c:showCatName val="0"/>
            <c:showSerName val="0"/>
            <c:showPercent val="0"/>
            <c:showBubbleSize val="0"/>
            <c:showLeaderLines val="0"/>
          </c:dLbls>
          <c:cat>
            <c:multiLvlStrRef>
              <c:f>'Life satisfaction score'!$B$3:$C$13</c:f>
              <c:multiLvlStrCache>
                <c:ptCount val="11"/>
                <c:lvl>
                  <c:pt idx="0">
                    <c:v>Above
 average</c:v>
                  </c:pt>
                  <c:pt idx="1">
                    <c:v>Average</c:v>
                  </c:pt>
                  <c:pt idx="2">
                    <c:v>Below
 average</c:v>
                  </c:pt>
                  <c:pt idx="3">
                    <c:v> </c:v>
                  </c:pt>
                  <c:pt idx="4">
                    <c:v>More
 positive</c:v>
                  </c:pt>
                  <c:pt idx="5">
                    <c:v>Average</c:v>
                  </c:pt>
                  <c:pt idx="6">
                    <c:v>Less
 positive</c:v>
                  </c:pt>
                  <c:pt idx="8">
                    <c:v>More
 positive</c:v>
                  </c:pt>
                  <c:pt idx="9">
                    <c:v>Average</c:v>
                  </c:pt>
                  <c:pt idx="10">
                    <c:v>Less
 positive</c:v>
                  </c:pt>
                </c:lvl>
                <c:lvl>
                  <c:pt idx="0">
                    <c:v>Exposure to bullying</c:v>
                  </c:pt>
                  <c:pt idx="3">
                    <c:v> </c:v>
                  </c:pt>
                  <c:pt idx="4">
                    <c:v>Child-teacher relationship</c:v>
                  </c:pt>
                  <c:pt idx="7">
                    <c:v> </c:v>
                  </c:pt>
                  <c:pt idx="8">
                    <c:v>Child-parent relationship</c:v>
                  </c:pt>
                </c:lvl>
              </c:multiLvlStrCache>
            </c:multiLvlStrRef>
          </c:cat>
          <c:val>
            <c:numRef>
              <c:f>'Life satisfaction score'!$F$3:$F$13</c:f>
              <c:numCache>
                <c:formatCode>0%</c:formatCode>
                <c:ptCount val="11"/>
                <c:pt idx="0">
                  <c:v>0.48501399999999995</c:v>
                </c:pt>
                <c:pt idx="1">
                  <c:v>0.34081400000000001</c:v>
                </c:pt>
                <c:pt idx="2">
                  <c:v>0.16871700000000001</c:v>
                </c:pt>
                <c:pt idx="4">
                  <c:v>0.151035</c:v>
                </c:pt>
                <c:pt idx="5">
                  <c:v>0.264177</c:v>
                </c:pt>
                <c:pt idx="6">
                  <c:v>0.47408499999999998</c:v>
                </c:pt>
                <c:pt idx="8">
                  <c:v>0.16283400000000001</c:v>
                </c:pt>
                <c:pt idx="9">
                  <c:v>0.30161399999999999</c:v>
                </c:pt>
                <c:pt idx="10">
                  <c:v>0.50740600000000002</c:v>
                </c:pt>
              </c:numCache>
            </c:numRef>
          </c:val>
        </c:ser>
        <c:dLbls>
          <c:showLegendKey val="0"/>
          <c:showVal val="0"/>
          <c:showCatName val="0"/>
          <c:showSerName val="0"/>
          <c:showPercent val="0"/>
          <c:showBubbleSize val="0"/>
        </c:dLbls>
        <c:gapWidth val="0"/>
        <c:overlap val="100"/>
        <c:axId val="171837696"/>
        <c:axId val="171892736"/>
      </c:barChart>
      <c:catAx>
        <c:axId val="171837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892736"/>
        <c:crosses val="autoZero"/>
        <c:auto val="0"/>
        <c:lblAlgn val="ctr"/>
        <c:lblOffset val="100"/>
        <c:noMultiLvlLbl val="0"/>
      </c:catAx>
      <c:valAx>
        <c:axId val="171892736"/>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837696"/>
        <c:crosses val="autoZero"/>
        <c:crossBetween val="between"/>
        <c:majorUnit val="0.1"/>
        <c:minorUnit val="4.000000000000001E-3"/>
      </c:valAx>
      <c:spPr>
        <a:noFill/>
        <a:ln w="25400">
          <a:noFill/>
        </a:ln>
      </c:spPr>
    </c:plotArea>
    <c:legend>
      <c:legendPos val="r"/>
      <c:layout>
        <c:manualLayout>
          <c:xMode val="edge"/>
          <c:yMode val="edge"/>
          <c:x val="0.8710175719560479"/>
          <c:y val="0.22014528486969431"/>
          <c:w val="0.11542310601005383"/>
          <c:h val="0.51593838648956758"/>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74931286978958134"/>
          <c:h val="0.64050213420292157"/>
        </c:manualLayout>
      </c:layout>
      <c:barChart>
        <c:barDir val="col"/>
        <c:grouping val="percentStacked"/>
        <c:varyColors val="0"/>
        <c:ser>
          <c:idx val="0"/>
          <c:order val="0"/>
          <c:tx>
            <c:strRef>
              <c:f>'physical activity'!$I$2</c:f>
              <c:strCache>
                <c:ptCount val="1"/>
                <c:pt idx="0">
                  <c:v>7</c:v>
                </c:pt>
              </c:strCache>
            </c:strRef>
          </c:tx>
          <c:spPr>
            <a:solidFill>
              <a:schemeClr val="tx2"/>
            </a:solidFill>
            <a:ln w="254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'physical activity'!$H$3:$H$11</c:f>
              <c:strCache>
                <c:ptCount val="9"/>
                <c:pt idx="0">
                  <c:v>S1</c:v>
                </c:pt>
                <c:pt idx="1">
                  <c:v>S2</c:v>
                </c:pt>
                <c:pt idx="2">
                  <c:v>S3</c:v>
                </c:pt>
                <c:pt idx="3">
                  <c:v>S4</c:v>
                </c:pt>
                <c:pt idx="5">
                  <c:v>Boys</c:v>
                </c:pt>
                <c:pt idx="6">
                  <c:v>Girls</c:v>
                </c:pt>
                <c:pt idx="8">
                  <c:v>All</c:v>
                </c:pt>
              </c:strCache>
            </c:strRef>
          </c:cat>
          <c:val>
            <c:numRef>
              <c:f>'physical activity'!$I$3:$I$11</c:f>
              <c:numCache>
                <c:formatCode>0%</c:formatCode>
                <c:ptCount val="9"/>
                <c:pt idx="0">
                  <c:v>0.25</c:v>
                </c:pt>
                <c:pt idx="1">
                  <c:v>0.19</c:v>
                </c:pt>
                <c:pt idx="2">
                  <c:v>0.17</c:v>
                </c:pt>
                <c:pt idx="3">
                  <c:v>0.17</c:v>
                </c:pt>
                <c:pt idx="5">
                  <c:v>0.22</c:v>
                </c:pt>
                <c:pt idx="6">
                  <c:v>0.17</c:v>
                </c:pt>
                <c:pt idx="8">
                  <c:v>0.2</c:v>
                </c:pt>
              </c:numCache>
            </c:numRef>
          </c:val>
        </c:ser>
        <c:ser>
          <c:idx val="1"/>
          <c:order val="1"/>
          <c:tx>
            <c:strRef>
              <c:f>'physical activity'!$J$2</c:f>
              <c:strCache>
                <c:ptCount val="1"/>
                <c:pt idx="0">
                  <c:v>5 or 6</c:v>
                </c:pt>
              </c:strCache>
            </c:strRef>
          </c:tx>
          <c:spPr>
            <a:solidFill>
              <a:schemeClr val="accent1"/>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'physical activity'!$H$3:$H$11</c:f>
              <c:strCache>
                <c:ptCount val="9"/>
                <c:pt idx="0">
                  <c:v>S1</c:v>
                </c:pt>
                <c:pt idx="1">
                  <c:v>S2</c:v>
                </c:pt>
                <c:pt idx="2">
                  <c:v>S3</c:v>
                </c:pt>
                <c:pt idx="3">
                  <c:v>S4</c:v>
                </c:pt>
                <c:pt idx="5">
                  <c:v>Boys</c:v>
                </c:pt>
                <c:pt idx="6">
                  <c:v>Girls</c:v>
                </c:pt>
                <c:pt idx="8">
                  <c:v>All</c:v>
                </c:pt>
              </c:strCache>
            </c:strRef>
          </c:cat>
          <c:val>
            <c:numRef>
              <c:f>'physical activity'!$J$3:$J$11</c:f>
              <c:numCache>
                <c:formatCode>0%</c:formatCode>
                <c:ptCount val="9"/>
                <c:pt idx="0">
                  <c:v>0.35</c:v>
                </c:pt>
                <c:pt idx="1">
                  <c:v>0.32</c:v>
                </c:pt>
                <c:pt idx="2">
                  <c:v>0.28999999999999998</c:v>
                </c:pt>
                <c:pt idx="3">
                  <c:v>0.26</c:v>
                </c:pt>
                <c:pt idx="5">
                  <c:v>0.34</c:v>
                </c:pt>
                <c:pt idx="6">
                  <c:v>0.27</c:v>
                </c:pt>
                <c:pt idx="8">
                  <c:v>0.3</c:v>
                </c:pt>
              </c:numCache>
            </c:numRef>
          </c:val>
        </c:ser>
        <c:ser>
          <c:idx val="2"/>
          <c:order val="2"/>
          <c:tx>
            <c:strRef>
              <c:f>'physical activity'!$K$2</c:f>
              <c:strCache>
                <c:ptCount val="1"/>
                <c:pt idx="0">
                  <c:v>2 to 4</c:v>
                </c:pt>
              </c:strCache>
            </c:strRef>
          </c:tx>
          <c:spPr>
            <a:solidFill>
              <a:schemeClr val="accent4">
                <a:lumMod val="40000"/>
                <a:lumOff val="60000"/>
              </a:schemeClr>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'physical activity'!$H$3:$H$11</c:f>
              <c:strCache>
                <c:ptCount val="9"/>
                <c:pt idx="0">
                  <c:v>S1</c:v>
                </c:pt>
                <c:pt idx="1">
                  <c:v>S2</c:v>
                </c:pt>
                <c:pt idx="2">
                  <c:v>S3</c:v>
                </c:pt>
                <c:pt idx="3">
                  <c:v>S4</c:v>
                </c:pt>
                <c:pt idx="5">
                  <c:v>Boys</c:v>
                </c:pt>
                <c:pt idx="6">
                  <c:v>Girls</c:v>
                </c:pt>
                <c:pt idx="8">
                  <c:v>All</c:v>
                </c:pt>
              </c:strCache>
            </c:strRef>
          </c:cat>
          <c:val>
            <c:numRef>
              <c:f>'physical activity'!$K$3:$K$11</c:f>
              <c:numCache>
                <c:formatCode>0%</c:formatCode>
                <c:ptCount val="9"/>
                <c:pt idx="0">
                  <c:v>0.35</c:v>
                </c:pt>
                <c:pt idx="1">
                  <c:v>0.41</c:v>
                </c:pt>
                <c:pt idx="2">
                  <c:v>0.43</c:v>
                </c:pt>
                <c:pt idx="3">
                  <c:v>0.4</c:v>
                </c:pt>
                <c:pt idx="5">
                  <c:v>0.36</c:v>
                </c:pt>
                <c:pt idx="6">
                  <c:v>0.43</c:v>
                </c:pt>
                <c:pt idx="8">
                  <c:v>0.39</c:v>
                </c:pt>
              </c:numCache>
            </c:numRef>
          </c:val>
        </c:ser>
        <c:ser>
          <c:idx val="3"/>
          <c:order val="3"/>
          <c:tx>
            <c:strRef>
              <c:f>'physical activity'!$L$2</c:f>
              <c:strCache>
                <c:ptCount val="1"/>
                <c:pt idx="0">
                  <c:v>1 or fewer</c:v>
                </c:pt>
              </c:strCache>
            </c:strRef>
          </c:tx>
          <c:spPr>
            <a:solidFill>
              <a:schemeClr val="accent6"/>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'physical activity'!$H$3:$H$11</c:f>
              <c:strCache>
                <c:ptCount val="9"/>
                <c:pt idx="0">
                  <c:v>S1</c:v>
                </c:pt>
                <c:pt idx="1">
                  <c:v>S2</c:v>
                </c:pt>
                <c:pt idx="2">
                  <c:v>S3</c:v>
                </c:pt>
                <c:pt idx="3">
                  <c:v>S4</c:v>
                </c:pt>
                <c:pt idx="5">
                  <c:v>Boys</c:v>
                </c:pt>
                <c:pt idx="6">
                  <c:v>Girls</c:v>
                </c:pt>
                <c:pt idx="8">
                  <c:v>All</c:v>
                </c:pt>
              </c:strCache>
            </c:strRef>
          </c:cat>
          <c:val>
            <c:numRef>
              <c:f>'physical activity'!$L$3:$L$11</c:f>
              <c:numCache>
                <c:formatCode>0%</c:formatCode>
                <c:ptCount val="9"/>
                <c:pt idx="0">
                  <c:v>0.06</c:v>
                </c:pt>
                <c:pt idx="1">
                  <c:v>0.08</c:v>
                </c:pt>
                <c:pt idx="2">
                  <c:v>0.12</c:v>
                </c:pt>
                <c:pt idx="3">
                  <c:v>0.18</c:v>
                </c:pt>
                <c:pt idx="5">
                  <c:v>0.09</c:v>
                </c:pt>
                <c:pt idx="6">
                  <c:v>0.13</c:v>
                </c:pt>
                <c:pt idx="8">
                  <c:v>0.11</c:v>
                </c:pt>
              </c:numCache>
            </c:numRef>
          </c:val>
        </c:ser>
        <c:dLbls>
          <c:showLegendKey val="0"/>
          <c:showVal val="0"/>
          <c:showCatName val="0"/>
          <c:showSerName val="0"/>
          <c:showPercent val="0"/>
          <c:showBubbleSize val="0"/>
        </c:dLbls>
        <c:gapWidth val="0"/>
        <c:overlap val="100"/>
        <c:axId val="172157184"/>
        <c:axId val="172236800"/>
      </c:barChart>
      <c:catAx>
        <c:axId val="172157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Tahoma"/>
              </a:defRPr>
            </a:pPr>
            <a:endParaRPr lang="en-US"/>
          </a:p>
        </c:txPr>
        <c:crossAx val="172236800"/>
        <c:crosses val="autoZero"/>
        <c:auto val="0"/>
        <c:lblAlgn val="ctr"/>
        <c:lblOffset val="100"/>
        <c:noMultiLvlLbl val="0"/>
      </c:catAx>
      <c:valAx>
        <c:axId val="172236800"/>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Tahoma"/>
                <a:cs typeface="Tahoma"/>
              </a:defRPr>
            </a:pPr>
            <a:endParaRPr lang="en-US"/>
          </a:p>
        </c:txPr>
        <c:crossAx val="172157184"/>
        <c:crosses val="autoZero"/>
        <c:crossBetween val="between"/>
        <c:majorUnit val="0.1"/>
        <c:minorUnit val="4.000000000000001E-3"/>
      </c:valAx>
      <c:spPr>
        <a:noFill/>
        <a:ln w="25400">
          <a:noFill/>
        </a:ln>
      </c:spPr>
    </c:plotArea>
    <c:legend>
      <c:legendPos val="r"/>
      <c:layout>
        <c:manualLayout>
          <c:xMode val="edge"/>
          <c:yMode val="edge"/>
          <c:x val="0.8710175719560479"/>
          <c:y val="0.22014528486969431"/>
          <c:w val="0.11542310601005383"/>
          <c:h val="0.70449057504175616"/>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1794427211750048"/>
          <c:w val="0.74931286978958134"/>
          <c:h val="0.66407115777194514"/>
        </c:manualLayout>
      </c:layout>
      <c:barChart>
        <c:barDir val="col"/>
        <c:grouping val="percentStacked"/>
        <c:varyColors val="0"/>
        <c:ser>
          <c:idx val="0"/>
          <c:order val="0"/>
          <c:tx>
            <c:strRef>
              <c:f>'Mood and emotions score'!$E$2</c:f>
              <c:strCache>
                <c:ptCount val="1"/>
                <c:pt idx="0">
                  <c:v>Lower</c:v>
                </c:pt>
              </c:strCache>
            </c:strRef>
          </c:tx>
          <c:spPr>
            <a:solidFill>
              <a:schemeClr val="tx2"/>
            </a:solidFill>
            <a:ln w="254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'Mood and emotions score'!$D$3:$D$7</c:f>
              <c:strCache>
                <c:ptCount val="5"/>
                <c:pt idx="0">
                  <c:v>Two parent household</c:v>
                </c:pt>
                <c:pt idx="1">
                  <c:v>Step-family</c:v>
                </c:pt>
                <c:pt idx="2">
                  <c:v>One parent household</c:v>
                </c:pt>
                <c:pt idx="3">
                  <c:v> </c:v>
                </c:pt>
                <c:pt idx="4">
                  <c:v>All</c:v>
                </c:pt>
              </c:strCache>
            </c:strRef>
          </c:cat>
          <c:val>
            <c:numRef>
              <c:f>'Mood and emotions score'!$E$3:$E$7</c:f>
              <c:numCache>
                <c:formatCode>0%</c:formatCode>
                <c:ptCount val="5"/>
                <c:pt idx="0">
                  <c:v>0.22770900000000002</c:v>
                </c:pt>
                <c:pt idx="1">
                  <c:v>0.30562600000000001</c:v>
                </c:pt>
                <c:pt idx="2">
                  <c:v>0.35161999999999999</c:v>
                </c:pt>
                <c:pt idx="4">
                  <c:v>0.26082</c:v>
                </c:pt>
              </c:numCache>
            </c:numRef>
          </c:val>
        </c:ser>
        <c:ser>
          <c:idx val="1"/>
          <c:order val="1"/>
          <c:tx>
            <c:strRef>
              <c:f>'Mood and emotions score'!$F$2</c:f>
              <c:strCache>
                <c:ptCount val="1"/>
                <c:pt idx="0">
                  <c:v>Average</c:v>
                </c:pt>
              </c:strCache>
            </c:strRef>
          </c:tx>
          <c:spPr>
            <a:solidFill>
              <a:schemeClr val="accent1"/>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'Mood and emotions score'!$D$3:$D$7</c:f>
              <c:strCache>
                <c:ptCount val="5"/>
                <c:pt idx="0">
                  <c:v>Two parent household</c:v>
                </c:pt>
                <c:pt idx="1">
                  <c:v>Step-family</c:v>
                </c:pt>
                <c:pt idx="2">
                  <c:v>One parent household</c:v>
                </c:pt>
                <c:pt idx="3">
                  <c:v> </c:v>
                </c:pt>
                <c:pt idx="4">
                  <c:v>All</c:v>
                </c:pt>
              </c:strCache>
            </c:strRef>
          </c:cat>
          <c:val>
            <c:numRef>
              <c:f>'Mood and emotions score'!$F$3:$F$7</c:f>
              <c:numCache>
                <c:formatCode>0%</c:formatCode>
                <c:ptCount val="5"/>
                <c:pt idx="0">
                  <c:v>0.46735399999999999</c:v>
                </c:pt>
                <c:pt idx="1">
                  <c:v>0.43430399999999997</c:v>
                </c:pt>
                <c:pt idx="2">
                  <c:v>0.41775799999999996</c:v>
                </c:pt>
                <c:pt idx="4">
                  <c:v>0.45393800000000001</c:v>
                </c:pt>
              </c:numCache>
            </c:numRef>
          </c:val>
        </c:ser>
        <c:ser>
          <c:idx val="2"/>
          <c:order val="2"/>
          <c:tx>
            <c:strRef>
              <c:f>'Mood and emotions score'!$G$2</c:f>
              <c:strCache>
                <c:ptCount val="1"/>
                <c:pt idx="0">
                  <c:v>Higher</c:v>
                </c:pt>
              </c:strCache>
            </c:strRef>
          </c:tx>
          <c:spPr>
            <a:solidFill>
              <a:schemeClr val="accent4">
                <a:lumMod val="40000"/>
                <a:lumOff val="60000"/>
              </a:schemeClr>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'Mood and emotions score'!$D$3:$D$7</c:f>
              <c:strCache>
                <c:ptCount val="5"/>
                <c:pt idx="0">
                  <c:v>Two parent household</c:v>
                </c:pt>
                <c:pt idx="1">
                  <c:v>Step-family</c:v>
                </c:pt>
                <c:pt idx="2">
                  <c:v>One parent household</c:v>
                </c:pt>
                <c:pt idx="3">
                  <c:v> </c:v>
                </c:pt>
                <c:pt idx="4">
                  <c:v>All</c:v>
                </c:pt>
              </c:strCache>
            </c:strRef>
          </c:cat>
          <c:val>
            <c:numRef>
              <c:f>'Mood and emotions score'!$G$3:$G$7</c:f>
              <c:numCache>
                <c:formatCode>0%</c:formatCode>
                <c:ptCount val="5"/>
                <c:pt idx="0">
                  <c:v>0.30493599999999998</c:v>
                </c:pt>
                <c:pt idx="1">
                  <c:v>0.26007000000000002</c:v>
                </c:pt>
                <c:pt idx="2">
                  <c:v>0.23062199999999999</c:v>
                </c:pt>
                <c:pt idx="4">
                  <c:v>0.285242</c:v>
                </c:pt>
              </c:numCache>
            </c:numRef>
          </c:val>
        </c:ser>
        <c:dLbls>
          <c:showLegendKey val="0"/>
          <c:showVal val="0"/>
          <c:showCatName val="0"/>
          <c:showSerName val="0"/>
          <c:showPercent val="0"/>
          <c:showBubbleSize val="0"/>
        </c:dLbls>
        <c:gapWidth val="0"/>
        <c:overlap val="100"/>
        <c:axId val="171920768"/>
        <c:axId val="171930752"/>
      </c:barChart>
      <c:catAx>
        <c:axId val="171920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930752"/>
        <c:crosses val="autoZero"/>
        <c:auto val="0"/>
        <c:lblAlgn val="ctr"/>
        <c:lblOffset val="100"/>
        <c:noMultiLvlLbl val="0"/>
      </c:catAx>
      <c:valAx>
        <c:axId val="171930752"/>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1920768"/>
        <c:crosses val="autoZero"/>
        <c:crossBetween val="between"/>
        <c:majorUnit val="0.1"/>
        <c:minorUnit val="4.000000000000001E-3"/>
      </c:valAx>
      <c:spPr>
        <a:noFill/>
        <a:ln w="25400">
          <a:noFill/>
        </a:ln>
      </c:spPr>
    </c:plotArea>
    <c:legend>
      <c:legendPos val="r"/>
      <c:layout>
        <c:manualLayout>
          <c:xMode val="edge"/>
          <c:yMode val="edge"/>
          <c:x val="0.8479406420351302"/>
          <c:y val="0.29421935894376838"/>
          <c:w val="0.12119056491543789"/>
          <c:h val="0.55109520400858991"/>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1794427211750048"/>
          <c:w val="0.8171094799590729"/>
          <c:h val="0.64386913756992492"/>
        </c:manualLayout>
      </c:layout>
      <c:barChart>
        <c:barDir val="col"/>
        <c:grouping val="clustered"/>
        <c:varyColors val="0"/>
        <c:ser>
          <c:idx val="0"/>
          <c:order val="0"/>
          <c:spPr>
            <a:solidFill>
              <a:schemeClr val="tx2"/>
            </a:solidFill>
            <a:ln w="25400">
              <a:solidFill>
                <a:schemeClr val="bg1"/>
              </a:solidFill>
            </a:ln>
          </c:spPr>
          <c:invertIfNegative val="0"/>
          <c:dPt>
            <c:idx val="0"/>
            <c:invertIfNegative val="0"/>
            <c:bubble3D val="0"/>
          </c:dPt>
          <c:dPt>
            <c:idx val="1"/>
            <c:invertIfNegative val="0"/>
            <c:bubble3D val="0"/>
            <c:spPr>
              <a:solidFill>
                <a:schemeClr val="accent1"/>
              </a:solidFill>
              <a:ln w="25400">
                <a:solidFill>
                  <a:schemeClr val="bg1"/>
                </a:solidFill>
              </a:ln>
            </c:spPr>
          </c:dPt>
          <c:dPt>
            <c:idx val="2"/>
            <c:invertIfNegative val="0"/>
            <c:bubble3D val="0"/>
            <c:spPr>
              <a:solidFill>
                <a:schemeClr val="accent4">
                  <a:lumMod val="40000"/>
                  <a:lumOff val="60000"/>
                </a:schemeClr>
              </a:solidFill>
              <a:ln w="25400">
                <a:solidFill>
                  <a:schemeClr val="bg1"/>
                </a:solidFill>
              </a:ln>
            </c:spPr>
          </c:dPt>
          <c:dPt>
            <c:idx val="3"/>
            <c:invertIfNegative val="0"/>
            <c:bubble3D val="0"/>
            <c:spPr>
              <a:solidFill>
                <a:schemeClr val="accent6"/>
              </a:solidFill>
              <a:ln w="25400">
                <a:solidFill>
                  <a:schemeClr val="bg1"/>
                </a:solidFill>
              </a:ln>
            </c:spPr>
          </c:dPt>
          <c:dPt>
            <c:idx val="4"/>
            <c:invertIfNegative val="0"/>
            <c:bubble3D val="0"/>
            <c:spPr>
              <a:solidFill>
                <a:schemeClr val="accent6">
                  <a:lumMod val="40000"/>
                  <a:lumOff val="60000"/>
                </a:schemeClr>
              </a:solidFill>
              <a:ln w="25400">
                <a:solidFill>
                  <a:schemeClr val="bg1"/>
                </a:solidFill>
              </a:ln>
            </c:spPr>
          </c:dPt>
          <c:dPt>
            <c:idx val="5"/>
            <c:invertIfNegative val="0"/>
            <c:bubble3D val="0"/>
          </c:dPt>
          <c:dPt>
            <c:idx val="6"/>
            <c:invertIfNegative val="0"/>
            <c:bubble3D val="0"/>
          </c:dPt>
          <c:dPt>
            <c:idx val="7"/>
            <c:invertIfNegative val="0"/>
            <c:bubble3D val="0"/>
          </c:dPt>
          <c:dLbls>
            <c:spPr>
              <a:solidFill>
                <a:sysClr val="window" lastClr="FFFFFF"/>
              </a:solidFill>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'People in my life score'!$J$3:$K$7</c:f>
              <c:multiLvlStrCache>
                <c:ptCount val="5"/>
                <c:lvl>
                  <c:pt idx="0">
                    <c:v>Every day</c:v>
                  </c:pt>
                  <c:pt idx="1">
                    <c:v>Most days</c:v>
                  </c:pt>
                  <c:pt idx="2">
                    <c:v>Some days</c:v>
                  </c:pt>
                  <c:pt idx="3">
                    <c:v>Rarely</c:v>
                  </c:pt>
                  <c:pt idx="4">
                    <c:v>Never</c:v>
                  </c:pt>
                </c:lvl>
                <c:lvl>
                  <c:pt idx="0">
                    <c:v>Frequency of sitting down to a family meal</c:v>
                  </c:pt>
                </c:lvl>
              </c:multiLvlStrCache>
            </c:multiLvlStrRef>
          </c:cat>
          <c:val>
            <c:numRef>
              <c:f>'People in my life score'!$L$3:$L$7</c:f>
              <c:numCache>
                <c:formatCode>0%</c:formatCode>
                <c:ptCount val="5"/>
                <c:pt idx="0">
                  <c:v>0.42518900000000004</c:v>
                </c:pt>
                <c:pt idx="1">
                  <c:v>0.369394</c:v>
                </c:pt>
                <c:pt idx="2">
                  <c:v>0.291188</c:v>
                </c:pt>
                <c:pt idx="3">
                  <c:v>0.23435400000000001</c:v>
                </c:pt>
                <c:pt idx="4">
                  <c:v>0.25886600000000004</c:v>
                </c:pt>
              </c:numCache>
            </c:numRef>
          </c:val>
        </c:ser>
        <c:dLbls>
          <c:showLegendKey val="0"/>
          <c:showVal val="0"/>
          <c:showCatName val="0"/>
          <c:showSerName val="0"/>
          <c:showPercent val="0"/>
          <c:showBubbleSize val="0"/>
        </c:dLbls>
        <c:gapWidth val="0"/>
        <c:axId val="172035072"/>
        <c:axId val="172036864"/>
      </c:barChart>
      <c:catAx>
        <c:axId val="172035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2036864"/>
        <c:crosses val="autoZero"/>
        <c:auto val="0"/>
        <c:lblAlgn val="ctr"/>
        <c:lblOffset val="100"/>
        <c:noMultiLvlLbl val="0"/>
      </c:catAx>
      <c:valAx>
        <c:axId val="172036864"/>
        <c:scaling>
          <c:orientation val="minMax"/>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203507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lumMod val="40000"/>
                  <a:lumOff val="60000"/>
                </a:schemeClr>
              </a:solidFill>
              <a:ln w="25400">
                <a:noFill/>
              </a:ln>
            </c:spPr>
          </c:dPt>
          <c:dPt>
            <c:idx val="5"/>
            <c:invertIfNegative val="0"/>
            <c:bubble3D val="0"/>
          </c:dPt>
          <c:dPt>
            <c:idx val="6"/>
            <c:invertIfNegative val="0"/>
            <c:bubble3D val="0"/>
          </c:dPt>
          <c:dPt>
            <c:idx val="7"/>
            <c:invertIfNegative val="0"/>
            <c:bubble3D val="0"/>
            <c:spPr>
              <a:solidFill>
                <a:schemeClr val="accent1"/>
              </a:solidFill>
              <a:ln w="25400">
                <a:noFill/>
              </a:ln>
            </c:spPr>
          </c:dPt>
          <c:dPt>
            <c:idx val="9"/>
            <c:invertIfNegative val="0"/>
            <c:bubble3D val="0"/>
            <c:spPr>
              <a:solidFill>
                <a:schemeClr val="accent4">
                  <a:lumMod val="40000"/>
                  <a:lumOff val="60000"/>
                </a:schemeClr>
              </a:solidFill>
              <a:ln w="25400">
                <a:noFill/>
              </a:ln>
            </c:spPr>
          </c:dPt>
          <c:dPt>
            <c:idx val="10"/>
            <c:invertIfNegative val="0"/>
            <c:bubble3D val="0"/>
            <c:spPr>
              <a:solidFill>
                <a:schemeClr val="accent6"/>
              </a:solidFill>
              <a:ln w="25400">
                <a:noFill/>
              </a:ln>
            </c:spPr>
          </c:dPt>
          <c:dPt>
            <c:idx val="11"/>
            <c:invertIfNegative val="0"/>
            <c:bubble3D val="0"/>
            <c:spPr>
              <a:solidFill>
                <a:schemeClr val="accent6">
                  <a:lumMod val="40000"/>
                  <a:lumOff val="60000"/>
                </a:schemeClr>
              </a:solidFill>
              <a:ln w="25400">
                <a:noFill/>
              </a:ln>
            </c:spPr>
          </c:dPt>
          <c:dLbls>
            <c:txPr>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'Family meals'!$K$7:$L$18</c:f>
              <c:multiLvlStrCache>
                <c:ptCount val="12"/>
                <c:lvl>
                  <c:pt idx="0">
                    <c:v>1 (most deprived)</c:v>
                  </c:pt>
                  <c:pt idx="1">
                    <c:v>2</c:v>
                  </c:pt>
                  <c:pt idx="2">
                    <c:v>3</c:v>
                  </c:pt>
                  <c:pt idx="3">
                    <c:v>4</c:v>
                  </c:pt>
                  <c:pt idx="4">
                    <c:v>5 (least deprived)</c:v>
                  </c:pt>
                  <c:pt idx="6">
                    <c:v>Yes</c:v>
                  </c:pt>
                  <c:pt idx="7">
                    <c:v>No</c:v>
                  </c:pt>
                  <c:pt idx="9">
                    <c:v>2 parent</c:v>
                  </c:pt>
                  <c:pt idx="10">
                    <c:v>1 parent</c:v>
                  </c:pt>
                  <c:pt idx="11">
                    <c:v>Step-family</c:v>
                  </c:pt>
                </c:lvl>
                <c:lvl>
                  <c:pt idx="0">
                    <c:v>SIMD quintile</c:v>
                  </c:pt>
                  <c:pt idx="5">
                    <c:v> </c:v>
                  </c:pt>
                  <c:pt idx="6">
                    <c:v>In receipt of free school meals</c:v>
                  </c:pt>
                  <c:pt idx="8">
                    <c:v> </c:v>
                  </c:pt>
                  <c:pt idx="9">
                    <c:v>Household type</c:v>
                  </c:pt>
                </c:lvl>
              </c:multiLvlStrCache>
            </c:multiLvlStrRef>
          </c:cat>
          <c:val>
            <c:numRef>
              <c:f>'Family meals'!$M$7:$M$18</c:f>
              <c:numCache>
                <c:formatCode>0%</c:formatCode>
                <c:ptCount val="12"/>
                <c:pt idx="0">
                  <c:v>0.53</c:v>
                </c:pt>
                <c:pt idx="1">
                  <c:v>0.59</c:v>
                </c:pt>
                <c:pt idx="2">
                  <c:v>0.64</c:v>
                </c:pt>
                <c:pt idx="3">
                  <c:v>0.68</c:v>
                </c:pt>
                <c:pt idx="4">
                  <c:v>0.73</c:v>
                </c:pt>
                <c:pt idx="6">
                  <c:v>0.5</c:v>
                </c:pt>
                <c:pt idx="7">
                  <c:v>0.66</c:v>
                </c:pt>
                <c:pt idx="9">
                  <c:v>0.67</c:v>
                </c:pt>
                <c:pt idx="10">
                  <c:v>0.53</c:v>
                </c:pt>
                <c:pt idx="11">
                  <c:v>0.57999999999999996</c:v>
                </c:pt>
              </c:numCache>
            </c:numRef>
          </c:val>
        </c:ser>
        <c:dLbls>
          <c:showLegendKey val="0"/>
          <c:showVal val="0"/>
          <c:showCatName val="0"/>
          <c:showSerName val="0"/>
          <c:showPercent val="0"/>
          <c:showBubbleSize val="0"/>
        </c:dLbls>
        <c:gapWidth val="0"/>
        <c:axId val="172069248"/>
        <c:axId val="172070784"/>
      </c:barChart>
      <c:catAx>
        <c:axId val="172069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Tahoma"/>
                <a:ea typeface="Tahoma"/>
                <a:cs typeface="Tahoma"/>
              </a:defRPr>
            </a:pPr>
            <a:endParaRPr lang="en-US"/>
          </a:p>
        </c:txPr>
        <c:crossAx val="172070784"/>
        <c:crosses val="autoZero"/>
        <c:auto val="0"/>
        <c:lblAlgn val="ctr"/>
        <c:lblOffset val="100"/>
        <c:noMultiLvlLbl val="0"/>
      </c:catAx>
      <c:valAx>
        <c:axId val="172070784"/>
        <c:scaling>
          <c:orientation val="minMax"/>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20692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4">
                  <a:lumMod val="40000"/>
                  <a:lumOff val="60000"/>
                </a:schemeClr>
              </a:solidFill>
              <a:ln w="25400">
                <a:noFill/>
              </a:ln>
            </c:spPr>
          </c:dPt>
          <c:dPt>
            <c:idx val="4"/>
            <c:invertIfNegative val="0"/>
            <c:bubble3D val="0"/>
            <c:spPr>
              <a:solidFill>
                <a:schemeClr val="accent6"/>
              </a:solidFill>
              <a:ln w="25400">
                <a:noFill/>
              </a:ln>
            </c:spPr>
          </c:dPt>
          <c:dPt>
            <c:idx val="5"/>
            <c:invertIfNegative val="0"/>
            <c:bubble3D val="0"/>
            <c:spPr>
              <a:solidFill>
                <a:schemeClr val="accent6">
                  <a:lumMod val="40000"/>
                  <a:lumOff val="60000"/>
                </a:schemeClr>
              </a:solidFill>
              <a:ln w="25400">
                <a:noFill/>
              </a:ln>
            </c:spPr>
          </c:dPt>
          <c:dPt>
            <c:idx val="6"/>
            <c:invertIfNegative val="0"/>
            <c:bubble3D val="0"/>
          </c:dPt>
          <c:dPt>
            <c:idx val="7"/>
            <c:invertIfNegative val="0"/>
            <c:bubble3D val="0"/>
          </c:dPt>
          <c:dPt>
            <c:idx val="8"/>
            <c:invertIfNegative val="0"/>
            <c:bubble3D val="0"/>
            <c:spPr>
              <a:solidFill>
                <a:schemeClr val="accent1"/>
              </a:solidFill>
              <a:ln w="25400">
                <a:noFill/>
              </a:ln>
            </c:spPr>
          </c:dPt>
          <c:dPt>
            <c:idx val="9"/>
            <c:invertIfNegative val="0"/>
            <c:bubble3D val="0"/>
            <c:spPr>
              <a:solidFill>
                <a:schemeClr val="accent4">
                  <a:lumMod val="40000"/>
                  <a:lumOff val="60000"/>
                </a:schemeClr>
              </a:solidFill>
              <a:ln w="25400">
                <a:noFill/>
              </a:ln>
            </c:spPr>
          </c:dPt>
          <c:dPt>
            <c:idx val="10"/>
            <c:invertIfNegative val="0"/>
            <c:bubble3D val="0"/>
            <c:spPr>
              <a:solidFill>
                <a:schemeClr val="accent6"/>
              </a:solidFill>
              <a:ln w="25400">
                <a:noFill/>
              </a:ln>
            </c:spPr>
          </c:dPt>
          <c:dPt>
            <c:idx val="11"/>
            <c:invertIfNegative val="0"/>
            <c:bubble3D val="0"/>
            <c:spPr>
              <a:solidFill>
                <a:schemeClr val="accent6">
                  <a:lumMod val="40000"/>
                  <a:lumOff val="60000"/>
                </a:schemeClr>
              </a:solidFill>
              <a:ln w="25400">
                <a:noFill/>
              </a:ln>
            </c:spPr>
          </c:dPt>
          <c:dLbls>
            <c:txPr>
              <a:bodyPr/>
              <a:lstStyle/>
              <a:p>
                <a:pPr>
                  <a:defRPr sz="900">
                    <a:latin typeface="+mn-lt"/>
                  </a:defRPr>
                </a:pPr>
                <a:endParaRPr lang="en-US"/>
              </a:p>
            </c:txPr>
            <c:dLblPos val="outEnd"/>
            <c:showLegendKey val="0"/>
            <c:showVal val="1"/>
            <c:showCatName val="0"/>
            <c:showSerName val="0"/>
            <c:showPercent val="0"/>
            <c:showBubbleSize val="0"/>
            <c:showLeaderLines val="0"/>
          </c:dLbls>
          <c:cat>
            <c:multiLvlStrRef>
              <c:f>'Worry about family health'!$I$7:$J$16</c:f>
              <c:multiLvlStrCache>
                <c:ptCount val="10"/>
                <c:lvl>
                  <c:pt idx="0">
                    <c:v>Yes</c:v>
                  </c:pt>
                  <c:pt idx="1">
                    <c:v>No</c:v>
                  </c:pt>
                  <c:pt idx="3">
                    <c:v>0</c:v>
                  </c:pt>
                  <c:pt idx="4">
                    <c:v>1</c:v>
                  </c:pt>
                  <c:pt idx="5">
                    <c:v>2</c:v>
                  </c:pt>
                  <c:pt idx="7">
                    <c:v>2 parent</c:v>
                  </c:pt>
                  <c:pt idx="8">
                    <c:v>1 parent</c:v>
                  </c:pt>
                  <c:pt idx="9">
                    <c:v>Step-family</c:v>
                  </c:pt>
                </c:lvl>
                <c:lvl>
                  <c:pt idx="0">
                    <c:v>In receipt of free school meals</c:v>
                  </c:pt>
                  <c:pt idx="2">
                    <c:v> </c:v>
                  </c:pt>
                  <c:pt idx="3">
                    <c:v>Number of siblings at home</c:v>
                  </c:pt>
                  <c:pt idx="6">
                    <c:v> </c:v>
                  </c:pt>
                  <c:pt idx="7">
                    <c:v>Household type</c:v>
                  </c:pt>
                </c:lvl>
              </c:multiLvlStrCache>
            </c:multiLvlStrRef>
          </c:cat>
          <c:val>
            <c:numRef>
              <c:f>'Worry about family health'!$K$7:$K$16</c:f>
              <c:numCache>
                <c:formatCode>0%</c:formatCode>
                <c:ptCount val="10"/>
                <c:pt idx="0">
                  <c:v>0.66</c:v>
                </c:pt>
                <c:pt idx="1">
                  <c:v>0.59</c:v>
                </c:pt>
                <c:pt idx="3">
                  <c:v>0.65</c:v>
                </c:pt>
                <c:pt idx="4">
                  <c:v>0.57999999999999996</c:v>
                </c:pt>
                <c:pt idx="5">
                  <c:v>0.61</c:v>
                </c:pt>
                <c:pt idx="7">
                  <c:v>0.59</c:v>
                </c:pt>
                <c:pt idx="8">
                  <c:v>0.65</c:v>
                </c:pt>
                <c:pt idx="9">
                  <c:v>0.65</c:v>
                </c:pt>
              </c:numCache>
            </c:numRef>
          </c:val>
        </c:ser>
        <c:dLbls>
          <c:showLegendKey val="0"/>
          <c:showVal val="0"/>
          <c:showCatName val="0"/>
          <c:showSerName val="0"/>
          <c:showPercent val="0"/>
          <c:showBubbleSize val="0"/>
        </c:dLbls>
        <c:gapWidth val="0"/>
        <c:axId val="172136704"/>
        <c:axId val="172253184"/>
      </c:barChart>
      <c:catAx>
        <c:axId val="172136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2253184"/>
        <c:crosses val="autoZero"/>
        <c:auto val="0"/>
        <c:lblAlgn val="ctr"/>
        <c:lblOffset val="100"/>
        <c:noMultiLvlLbl val="0"/>
      </c:catAx>
      <c:valAx>
        <c:axId val="172253184"/>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en-US"/>
          </a:p>
        </c:txPr>
        <c:crossAx val="172136704"/>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lumMod val="40000"/>
                  <a:lumOff val="60000"/>
                </a:schemeClr>
              </a:solidFill>
              <a:ln w="25400">
                <a:noFill/>
              </a:ln>
            </c:spPr>
          </c:dPt>
          <c:dPt>
            <c:idx val="5"/>
            <c:invertIfNegative val="0"/>
            <c:bubble3D val="0"/>
          </c:dPt>
          <c:dPt>
            <c:idx val="6"/>
            <c:invertIfNegative val="0"/>
            <c:bubble3D val="0"/>
          </c:dPt>
          <c:dPt>
            <c:idx val="7"/>
            <c:invertIfNegative val="0"/>
            <c:bubble3D val="0"/>
            <c:spPr>
              <a:solidFill>
                <a:schemeClr val="accent1"/>
              </a:solidFill>
              <a:ln w="25400">
                <a:noFill/>
              </a:ln>
            </c:spPr>
          </c:dPt>
          <c:dPt>
            <c:idx val="8"/>
            <c:invertIfNegative val="0"/>
            <c:bubble3D val="0"/>
            <c:spPr>
              <a:solidFill>
                <a:schemeClr val="accent4">
                  <a:lumMod val="40000"/>
                  <a:lumOff val="60000"/>
                </a:schemeClr>
              </a:solidFill>
              <a:ln w="25400">
                <a:noFill/>
              </a:ln>
            </c:spPr>
          </c:dPt>
          <c:dPt>
            <c:idx val="9"/>
            <c:invertIfNegative val="0"/>
            <c:bubble3D val="0"/>
            <c:spPr>
              <a:solidFill>
                <a:schemeClr val="accent4">
                  <a:lumMod val="40000"/>
                  <a:lumOff val="60000"/>
                </a:schemeClr>
              </a:solidFill>
              <a:ln w="25400">
                <a:noFill/>
              </a:ln>
            </c:spPr>
          </c:dPt>
          <c:dLbls>
            <c:txPr>
              <a:bodyPr/>
              <a:lstStyle/>
              <a:p>
                <a:pPr>
                  <a:defRPr sz="900">
                    <a:latin typeface="+mn-lt"/>
                  </a:defRPr>
                </a:pPr>
                <a:endParaRPr lang="en-US"/>
              </a:p>
            </c:txPr>
            <c:dLblPos val="outEnd"/>
            <c:showLegendKey val="0"/>
            <c:showVal val="1"/>
            <c:showCatName val="0"/>
            <c:showSerName val="0"/>
            <c:showPercent val="0"/>
            <c:showBubbleSize val="0"/>
            <c:showLeaderLines val="0"/>
          </c:dLbls>
          <c:cat>
            <c:multiLvlStrRef>
              <c:f>'Like school'!$N$4:$O$12</c:f>
              <c:multiLvlStrCache>
                <c:ptCount val="8"/>
                <c:lvl>
                  <c:pt idx="0">
                    <c:v>Boy</c:v>
                  </c:pt>
                  <c:pt idx="1">
                    <c:v>Girl</c:v>
                  </c:pt>
                  <c:pt idx="3">
                    <c:v>Yes</c:v>
                  </c:pt>
                  <c:pt idx="4">
                    <c:v>No</c:v>
                  </c:pt>
                  <c:pt idx="6">
                    <c:v>Yes</c:v>
                  </c:pt>
                  <c:pt idx="7">
                    <c:v>No</c:v>
                  </c:pt>
                </c:lvl>
                <c:lvl>
                  <c:pt idx="0">
                    <c:v>Gender</c:v>
                  </c:pt>
                  <c:pt idx="2">
                    <c:v> </c:v>
                  </c:pt>
                  <c:pt idx="3">
                    <c:v>In receipt of free school meals</c:v>
                  </c:pt>
                  <c:pt idx="5">
                    <c:v> </c:v>
                  </c:pt>
                  <c:pt idx="6">
                    <c:v>Additional support needs</c:v>
                  </c:pt>
                </c:lvl>
              </c:multiLvlStrCache>
            </c:multiLvlStrRef>
          </c:cat>
          <c:val>
            <c:numRef>
              <c:f>'Like school'!$P$4:$P$11</c:f>
              <c:numCache>
                <c:formatCode>0%</c:formatCode>
                <c:ptCount val="8"/>
                <c:pt idx="0">
                  <c:v>0.7</c:v>
                </c:pt>
                <c:pt idx="1">
                  <c:v>0.85</c:v>
                </c:pt>
                <c:pt idx="3">
                  <c:v>0.71</c:v>
                </c:pt>
                <c:pt idx="4">
                  <c:v>0.79</c:v>
                </c:pt>
                <c:pt idx="6">
                  <c:v>0.74</c:v>
                </c:pt>
                <c:pt idx="7">
                  <c:v>0.78</c:v>
                </c:pt>
              </c:numCache>
            </c:numRef>
          </c:val>
        </c:ser>
        <c:dLbls>
          <c:showLegendKey val="0"/>
          <c:showVal val="0"/>
          <c:showCatName val="0"/>
          <c:showSerName val="0"/>
          <c:showPercent val="0"/>
          <c:showBubbleSize val="0"/>
        </c:dLbls>
        <c:gapWidth val="0"/>
        <c:axId val="173874176"/>
        <c:axId val="173875968"/>
      </c:barChart>
      <c:catAx>
        <c:axId val="173874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3875968"/>
        <c:crosses val="autoZero"/>
        <c:auto val="0"/>
        <c:lblAlgn val="ctr"/>
        <c:lblOffset val="100"/>
        <c:noMultiLvlLbl val="0"/>
      </c:catAx>
      <c:valAx>
        <c:axId val="17387596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en-US"/>
          </a:p>
        </c:txPr>
        <c:crossAx val="173874176"/>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74931286978958134"/>
          <c:h val="0.5765628407971547"/>
        </c:manualLayout>
      </c:layout>
      <c:barChart>
        <c:barDir val="col"/>
        <c:grouping val="percentStacked"/>
        <c:varyColors val="0"/>
        <c:ser>
          <c:idx val="0"/>
          <c:order val="0"/>
          <c:tx>
            <c:strRef>
              <c:f>'Life satisfaction score (2)'!$D$2</c:f>
              <c:strCache>
                <c:ptCount val="1"/>
                <c:pt idx="0">
                  <c:v>A lot</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'Life satisfaction score (2)'!$B$3:$C$9</c:f>
              <c:multiLvlStrCache>
                <c:ptCount val="7"/>
                <c:lvl>
                  <c:pt idx="0">
                    <c:v>Above
 average</c:v>
                  </c:pt>
                  <c:pt idx="1">
                    <c:v>Average</c:v>
                  </c:pt>
                  <c:pt idx="2">
                    <c:v>Below
 average</c:v>
                  </c:pt>
                  <c:pt idx="3">
                    <c:v> </c:v>
                  </c:pt>
                  <c:pt idx="4">
                    <c:v>More
 positive</c:v>
                  </c:pt>
                  <c:pt idx="5">
                    <c:v>Average</c:v>
                  </c:pt>
                  <c:pt idx="6">
                    <c:v>Less
 positive</c:v>
                  </c:pt>
                </c:lvl>
                <c:lvl>
                  <c:pt idx="0">
                    <c:v>Exposure to bullying</c:v>
                  </c:pt>
                  <c:pt idx="3">
                    <c:v> </c:v>
                  </c:pt>
                  <c:pt idx="4">
                    <c:v>Child-teacher relationship</c:v>
                  </c:pt>
                </c:lvl>
              </c:multiLvlStrCache>
            </c:multiLvlStrRef>
          </c:cat>
          <c:val>
            <c:numRef>
              <c:f>'Life satisfaction score (2)'!$D$3:$D$9</c:f>
              <c:numCache>
                <c:formatCode>0%</c:formatCode>
                <c:ptCount val="7"/>
                <c:pt idx="0">
                  <c:v>0.25756499999999999</c:v>
                </c:pt>
                <c:pt idx="1">
                  <c:v>0.301676</c:v>
                </c:pt>
                <c:pt idx="2">
                  <c:v>0.39224200000000004</c:v>
                </c:pt>
                <c:pt idx="4">
                  <c:v>0.56201199999999996</c:v>
                </c:pt>
                <c:pt idx="5">
                  <c:v>0.33497900000000003</c:v>
                </c:pt>
                <c:pt idx="6">
                  <c:v>0.185414</c:v>
                </c:pt>
              </c:numCache>
            </c:numRef>
          </c:val>
        </c:ser>
        <c:ser>
          <c:idx val="1"/>
          <c:order val="1"/>
          <c:tx>
            <c:strRef>
              <c:f>'Life satisfaction score (2)'!$E$2</c:f>
              <c:strCache>
                <c:ptCount val="1"/>
                <c:pt idx="0">
                  <c:v>A bit</c:v>
                </c:pt>
              </c:strCache>
            </c:strRef>
          </c:tx>
          <c:spPr>
            <a:solidFill>
              <a:schemeClr val="accent1"/>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'Life satisfaction score (2)'!$B$3:$C$9</c:f>
              <c:multiLvlStrCache>
                <c:ptCount val="7"/>
                <c:lvl>
                  <c:pt idx="0">
                    <c:v>Above
 average</c:v>
                  </c:pt>
                  <c:pt idx="1">
                    <c:v>Average</c:v>
                  </c:pt>
                  <c:pt idx="2">
                    <c:v>Below
 average</c:v>
                  </c:pt>
                  <c:pt idx="3">
                    <c:v> </c:v>
                  </c:pt>
                  <c:pt idx="4">
                    <c:v>More
 positive</c:v>
                  </c:pt>
                  <c:pt idx="5">
                    <c:v>Average</c:v>
                  </c:pt>
                  <c:pt idx="6">
                    <c:v>Less
 positive</c:v>
                  </c:pt>
                </c:lvl>
                <c:lvl>
                  <c:pt idx="0">
                    <c:v>Exposure to bullying</c:v>
                  </c:pt>
                  <c:pt idx="3">
                    <c:v> </c:v>
                  </c:pt>
                  <c:pt idx="4">
                    <c:v>Child-teacher relationship</c:v>
                  </c:pt>
                </c:lvl>
              </c:multiLvlStrCache>
            </c:multiLvlStrRef>
          </c:cat>
          <c:val>
            <c:numRef>
              <c:f>'Life satisfaction score (2)'!$E$3:$E$9</c:f>
              <c:numCache>
                <c:formatCode>0%</c:formatCode>
                <c:ptCount val="7"/>
                <c:pt idx="0">
                  <c:v>0.417128</c:v>
                </c:pt>
                <c:pt idx="1">
                  <c:v>0.47942500000000005</c:v>
                </c:pt>
                <c:pt idx="2">
                  <c:v>0.45019599999999999</c:v>
                </c:pt>
                <c:pt idx="4">
                  <c:v>0.37613799999999997</c:v>
                </c:pt>
                <c:pt idx="5">
                  <c:v>0.48194999999999999</c:v>
                </c:pt>
                <c:pt idx="6">
                  <c:v>0.43207500000000004</c:v>
                </c:pt>
              </c:numCache>
            </c:numRef>
          </c:val>
        </c:ser>
        <c:ser>
          <c:idx val="2"/>
          <c:order val="2"/>
          <c:tx>
            <c:strRef>
              <c:f>'Life satisfaction score (2)'!$F$2</c:f>
              <c:strCache>
                <c:ptCount val="1"/>
                <c:pt idx="0">
                  <c:v>Not very much</c:v>
                </c:pt>
              </c:strCache>
            </c:strRef>
          </c:tx>
          <c:spPr>
            <a:solidFill>
              <a:schemeClr val="accent4">
                <a:lumMod val="40000"/>
                <a:lumOff val="60000"/>
              </a:schemeClr>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'Life satisfaction score (2)'!$B$3:$C$9</c:f>
              <c:multiLvlStrCache>
                <c:ptCount val="7"/>
                <c:lvl>
                  <c:pt idx="0">
                    <c:v>Above
 average</c:v>
                  </c:pt>
                  <c:pt idx="1">
                    <c:v>Average</c:v>
                  </c:pt>
                  <c:pt idx="2">
                    <c:v>Below
 average</c:v>
                  </c:pt>
                  <c:pt idx="3">
                    <c:v> </c:v>
                  </c:pt>
                  <c:pt idx="4">
                    <c:v>More
 positive</c:v>
                  </c:pt>
                  <c:pt idx="5">
                    <c:v>Average</c:v>
                  </c:pt>
                  <c:pt idx="6">
                    <c:v>Less
 positive</c:v>
                  </c:pt>
                </c:lvl>
                <c:lvl>
                  <c:pt idx="0">
                    <c:v>Exposure to bullying</c:v>
                  </c:pt>
                  <c:pt idx="3">
                    <c:v> </c:v>
                  </c:pt>
                  <c:pt idx="4">
                    <c:v>Child-teacher relationship</c:v>
                  </c:pt>
                </c:lvl>
              </c:multiLvlStrCache>
            </c:multiLvlStrRef>
          </c:cat>
          <c:val>
            <c:numRef>
              <c:f>'Life satisfaction score (2)'!$F$3:$F$9</c:f>
              <c:numCache>
                <c:formatCode>0%</c:formatCode>
                <c:ptCount val="7"/>
                <c:pt idx="0">
                  <c:v>0.19341899999999998</c:v>
                </c:pt>
                <c:pt idx="1">
                  <c:v>0.14407</c:v>
                </c:pt>
                <c:pt idx="2">
                  <c:v>0.10113200000000001</c:v>
                </c:pt>
                <c:pt idx="4">
                  <c:v>4.7398999999999997E-2</c:v>
                </c:pt>
                <c:pt idx="5">
                  <c:v>0.11748500000000001</c:v>
                </c:pt>
                <c:pt idx="6">
                  <c:v>0.22847699999999999</c:v>
                </c:pt>
              </c:numCache>
            </c:numRef>
          </c:val>
        </c:ser>
        <c:ser>
          <c:idx val="3"/>
          <c:order val="3"/>
          <c:tx>
            <c:strRef>
              <c:f>'Life satisfaction score (2)'!$G$2</c:f>
              <c:strCache>
                <c:ptCount val="1"/>
                <c:pt idx="0">
                  <c:v>Not at all</c:v>
                </c:pt>
              </c:strCache>
            </c:strRef>
          </c:tx>
          <c:spPr>
            <a:solidFill>
              <a:schemeClr val="accent6"/>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'Life satisfaction score (2)'!$B$3:$C$9</c:f>
              <c:multiLvlStrCache>
                <c:ptCount val="7"/>
                <c:lvl>
                  <c:pt idx="0">
                    <c:v>Above
 average</c:v>
                  </c:pt>
                  <c:pt idx="1">
                    <c:v>Average</c:v>
                  </c:pt>
                  <c:pt idx="2">
                    <c:v>Below
 average</c:v>
                  </c:pt>
                  <c:pt idx="3">
                    <c:v> </c:v>
                  </c:pt>
                  <c:pt idx="4">
                    <c:v>More
 positive</c:v>
                  </c:pt>
                  <c:pt idx="5">
                    <c:v>Average</c:v>
                  </c:pt>
                  <c:pt idx="6">
                    <c:v>Less
 positive</c:v>
                  </c:pt>
                </c:lvl>
                <c:lvl>
                  <c:pt idx="0">
                    <c:v>Exposure to bullying</c:v>
                  </c:pt>
                  <c:pt idx="3">
                    <c:v> </c:v>
                  </c:pt>
                  <c:pt idx="4">
                    <c:v>Child-teacher relationship</c:v>
                  </c:pt>
                </c:lvl>
              </c:multiLvlStrCache>
            </c:multiLvlStrRef>
          </c:cat>
          <c:val>
            <c:numRef>
              <c:f>'Life satisfaction score (2)'!$G$3:$G$9</c:f>
              <c:numCache>
                <c:formatCode>0%</c:formatCode>
                <c:ptCount val="7"/>
                <c:pt idx="0">
                  <c:v>0.13188800000000001</c:v>
                </c:pt>
                <c:pt idx="1">
                  <c:v>7.4828000000000006E-2</c:v>
                </c:pt>
                <c:pt idx="2">
                  <c:v>5.6430999999999995E-2</c:v>
                </c:pt>
                <c:pt idx="4">
                  <c:v>1.4451E-2</c:v>
                </c:pt>
                <c:pt idx="5">
                  <c:v>6.5585000000000004E-2</c:v>
                </c:pt>
                <c:pt idx="6">
                  <c:v>0.154033</c:v>
                </c:pt>
              </c:numCache>
            </c:numRef>
          </c:val>
        </c:ser>
        <c:dLbls>
          <c:showLegendKey val="0"/>
          <c:showVal val="0"/>
          <c:showCatName val="0"/>
          <c:showSerName val="0"/>
          <c:showPercent val="0"/>
          <c:showBubbleSize val="0"/>
        </c:dLbls>
        <c:gapWidth val="0"/>
        <c:overlap val="100"/>
        <c:axId val="173912832"/>
        <c:axId val="173914368"/>
      </c:barChart>
      <c:catAx>
        <c:axId val="173912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3914368"/>
        <c:crosses val="autoZero"/>
        <c:auto val="0"/>
        <c:lblAlgn val="ctr"/>
        <c:lblOffset val="100"/>
        <c:noMultiLvlLbl val="0"/>
      </c:catAx>
      <c:valAx>
        <c:axId val="17391436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3912832"/>
        <c:crosses val="autoZero"/>
        <c:crossBetween val="between"/>
        <c:majorUnit val="0.1"/>
        <c:minorUnit val="4.000000000000001E-3"/>
      </c:valAx>
      <c:spPr>
        <a:noFill/>
        <a:ln w="25400">
          <a:noFill/>
        </a:ln>
      </c:spPr>
    </c:plotArea>
    <c:legend>
      <c:legendPos val="r"/>
      <c:layout>
        <c:manualLayout>
          <c:xMode val="edge"/>
          <c:yMode val="edge"/>
          <c:x val="0.8710175719560479"/>
          <c:y val="0.26347867100297351"/>
          <c:w val="0.12898251589746138"/>
          <c:h val="0.51744553347886257"/>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3173183860492"/>
          <c:y val="0.24824730242053078"/>
          <c:w val="0.83744846300992037"/>
          <c:h val="0.54622603992682728"/>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4">
                  <a:lumMod val="40000"/>
                  <a:lumOff val="60000"/>
                </a:schemeClr>
              </a:solidFill>
              <a:ln w="25400">
                <a:noFill/>
              </a:ln>
            </c:spPr>
          </c:dPt>
          <c:dPt>
            <c:idx val="4"/>
            <c:invertIfNegative val="0"/>
            <c:bubble3D val="0"/>
            <c:spPr>
              <a:solidFill>
                <a:schemeClr val="accent6"/>
              </a:solidFill>
              <a:ln w="25400">
                <a:noFill/>
              </a:ln>
            </c:spPr>
          </c:dPt>
          <c:dPt>
            <c:idx val="5"/>
            <c:invertIfNegative val="0"/>
            <c:bubble3D val="0"/>
            <c:spPr>
              <a:solidFill>
                <a:schemeClr val="accent6">
                  <a:lumMod val="40000"/>
                  <a:lumOff val="60000"/>
                </a:schemeClr>
              </a:solidFill>
              <a:ln w="25400">
                <a:noFill/>
              </a:ln>
            </c:spPr>
          </c:dPt>
          <c:dPt>
            <c:idx val="6"/>
            <c:invertIfNegative val="0"/>
            <c:bubble3D val="0"/>
          </c:dPt>
          <c:dPt>
            <c:idx val="7"/>
            <c:invertIfNegative val="0"/>
            <c:bubble3D val="0"/>
          </c:dPt>
          <c:dPt>
            <c:idx val="8"/>
            <c:invertIfNegative val="0"/>
            <c:bubble3D val="0"/>
            <c:spPr>
              <a:solidFill>
                <a:schemeClr val="accent1"/>
              </a:solidFill>
              <a:ln w="25400">
                <a:noFill/>
              </a:ln>
            </c:spPr>
          </c:dPt>
          <c:dPt>
            <c:idx val="9"/>
            <c:invertIfNegative val="0"/>
            <c:bubble3D val="0"/>
            <c:spPr>
              <a:solidFill>
                <a:schemeClr val="accent4">
                  <a:lumMod val="40000"/>
                  <a:lumOff val="60000"/>
                </a:schemeClr>
              </a:solidFill>
              <a:ln w="25400">
                <a:noFill/>
              </a:ln>
            </c:spPr>
          </c:dPt>
          <c:dPt>
            <c:idx val="10"/>
            <c:invertIfNegative val="0"/>
            <c:bubble3D val="0"/>
            <c:spPr>
              <a:solidFill>
                <a:schemeClr val="accent6"/>
              </a:solidFill>
              <a:ln w="25400">
                <a:noFill/>
              </a:ln>
            </c:spPr>
          </c:dPt>
          <c:dPt>
            <c:idx val="11"/>
            <c:invertIfNegative val="0"/>
            <c:bubble3D val="0"/>
            <c:spPr>
              <a:solidFill>
                <a:schemeClr val="accent6">
                  <a:lumMod val="40000"/>
                  <a:lumOff val="60000"/>
                </a:schemeClr>
              </a:solidFill>
              <a:ln w="25400">
                <a:noFill/>
              </a:ln>
            </c:spPr>
          </c:dPt>
          <c:dLbls>
            <c:txPr>
              <a:bodyPr/>
              <a:lstStyle/>
              <a:p>
                <a:pPr>
                  <a:defRPr>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'teacher relationships score'!$J$6:$K$14</c:f>
              <c:multiLvlStrCache>
                <c:ptCount val="9"/>
                <c:lvl>
                  <c:pt idx="0">
                    <c:v>Girl</c:v>
                  </c:pt>
                  <c:pt idx="1">
                    <c:v>Boy</c:v>
                  </c:pt>
                  <c:pt idx="3">
                    <c:v>2 parent</c:v>
                  </c:pt>
                  <c:pt idx="4">
                    <c:v>1 parent</c:v>
                  </c:pt>
                  <c:pt idx="5">
                    <c:v>Step-family</c:v>
                  </c:pt>
                  <c:pt idx="7">
                    <c:v>No </c:v>
                  </c:pt>
                  <c:pt idx="8">
                    <c:v>Yes</c:v>
                  </c:pt>
                </c:lvl>
                <c:lvl>
                  <c:pt idx="0">
                    <c:v>Gender</c:v>
                  </c:pt>
                  <c:pt idx="2">
                    <c:v> </c:v>
                  </c:pt>
                  <c:pt idx="3">
                    <c:v>Household type</c:v>
                  </c:pt>
                  <c:pt idx="6">
                    <c:v> </c:v>
                  </c:pt>
                  <c:pt idx="7">
                    <c:v>Additional support needs </c:v>
                  </c:pt>
                </c:lvl>
              </c:multiLvlStrCache>
            </c:multiLvlStrRef>
          </c:cat>
          <c:val>
            <c:numRef>
              <c:f>'teacher relationships score'!$L$6:$L$14</c:f>
              <c:numCache>
                <c:formatCode>0%</c:formatCode>
                <c:ptCount val="9"/>
                <c:pt idx="0">
                  <c:v>0.28153899999999998</c:v>
                </c:pt>
                <c:pt idx="1">
                  <c:v>0.1</c:v>
                </c:pt>
                <c:pt idx="3">
                  <c:v>0.21</c:v>
                </c:pt>
                <c:pt idx="4">
                  <c:v>0.16</c:v>
                </c:pt>
                <c:pt idx="5">
                  <c:v>0.15</c:v>
                </c:pt>
                <c:pt idx="7">
                  <c:v>0.2</c:v>
                </c:pt>
                <c:pt idx="8">
                  <c:v>0.16</c:v>
                </c:pt>
              </c:numCache>
            </c:numRef>
          </c:val>
        </c:ser>
        <c:dLbls>
          <c:showLegendKey val="0"/>
          <c:showVal val="0"/>
          <c:showCatName val="0"/>
          <c:showSerName val="0"/>
          <c:showPercent val="0"/>
          <c:showBubbleSize val="0"/>
        </c:dLbls>
        <c:gapWidth val="0"/>
        <c:axId val="174406656"/>
        <c:axId val="174408448"/>
      </c:barChart>
      <c:catAx>
        <c:axId val="174406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4408448"/>
        <c:crosses val="autoZero"/>
        <c:auto val="0"/>
        <c:lblAlgn val="ctr"/>
        <c:lblOffset val="100"/>
        <c:noMultiLvlLbl val="0"/>
      </c:catAx>
      <c:valAx>
        <c:axId val="174408448"/>
        <c:scaling>
          <c:orientation val="minMax"/>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440665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53093938215133"/>
          <c:y val="0.22031054812974404"/>
          <c:w val="0.5752039598116675"/>
          <c:h val="0.63746595579003063"/>
        </c:manualLayout>
      </c:layout>
      <c:barChart>
        <c:barDir val="bar"/>
        <c:grouping val="clustered"/>
        <c:varyColors val="0"/>
        <c:ser>
          <c:idx val="0"/>
          <c:order val="0"/>
          <c:spPr>
            <a:solidFill>
              <a:schemeClr val="tx2"/>
            </a:solidFill>
          </c:spPr>
          <c:invertIfNegative val="0"/>
          <c:dLbls>
            <c:txPr>
              <a:bodyPr/>
              <a:lstStyle/>
              <a:p>
                <a:pPr>
                  <a:defRPr sz="900"/>
                </a:pPr>
                <a:endParaRPr lang="en-US"/>
              </a:p>
            </c:txPr>
            <c:showLegendKey val="0"/>
            <c:showVal val="1"/>
            <c:showCatName val="0"/>
            <c:showSerName val="0"/>
            <c:showPercent val="0"/>
            <c:showBubbleSize val="0"/>
            <c:showLeaderLines val="0"/>
          </c:dLbls>
          <c:cat>
            <c:strRef>
              <c:f>'Bullied items'!$K$5:$K$8</c:f>
              <c:strCache>
                <c:ptCount val="4"/>
                <c:pt idx="0">
                  <c:v>By calling them names or making fun of them in a way they don’t like</c:v>
                </c:pt>
                <c:pt idx="1">
                  <c:v>By leaving them out of games and chats</c:v>
                </c:pt>
                <c:pt idx="2">
                  <c:v>By shoving, pushing, hitting or picking a fight with them</c:v>
                </c:pt>
                <c:pt idx="3">
                  <c:v>By sending emails, text messages or posting something online</c:v>
                </c:pt>
              </c:strCache>
            </c:strRef>
          </c:cat>
          <c:val>
            <c:numRef>
              <c:f>'Bullied items'!$L$5:$L$8</c:f>
              <c:numCache>
                <c:formatCode>0%</c:formatCode>
                <c:ptCount val="4"/>
                <c:pt idx="0">
                  <c:v>0.56000000000000005</c:v>
                </c:pt>
                <c:pt idx="1">
                  <c:v>0.49</c:v>
                </c:pt>
                <c:pt idx="2">
                  <c:v>0.39</c:v>
                </c:pt>
                <c:pt idx="3">
                  <c:v>0.16</c:v>
                </c:pt>
              </c:numCache>
            </c:numRef>
          </c:val>
        </c:ser>
        <c:dLbls>
          <c:dLblPos val="outEnd"/>
          <c:showLegendKey val="0"/>
          <c:showVal val="1"/>
          <c:showCatName val="0"/>
          <c:showSerName val="0"/>
          <c:showPercent val="0"/>
          <c:showBubbleSize val="0"/>
        </c:dLbls>
        <c:gapWidth val="150"/>
        <c:axId val="174452736"/>
        <c:axId val="174455424"/>
      </c:barChart>
      <c:catAx>
        <c:axId val="174452736"/>
        <c:scaling>
          <c:orientation val="minMax"/>
        </c:scaling>
        <c:delete val="0"/>
        <c:axPos val="l"/>
        <c:majorTickMark val="out"/>
        <c:minorTickMark val="none"/>
        <c:tickLblPos val="nextTo"/>
        <c:crossAx val="174455424"/>
        <c:crosses val="autoZero"/>
        <c:auto val="1"/>
        <c:lblAlgn val="ctr"/>
        <c:lblOffset val="100"/>
        <c:noMultiLvlLbl val="0"/>
      </c:catAx>
      <c:valAx>
        <c:axId val="174455424"/>
        <c:scaling>
          <c:orientation val="minMax"/>
        </c:scaling>
        <c:delete val="0"/>
        <c:axPos val="b"/>
        <c:majorGridlines>
          <c:spPr>
            <a:ln>
              <a:noFill/>
            </a:ln>
          </c:spPr>
        </c:majorGridlines>
        <c:numFmt formatCode="0%" sourceLinked="1"/>
        <c:majorTickMark val="out"/>
        <c:minorTickMark val="none"/>
        <c:tickLblPos val="nextTo"/>
        <c:crossAx val="174452736"/>
        <c:crosses val="autoZero"/>
        <c:crossBetween val="between"/>
      </c:valAx>
    </c:plotArea>
    <c:plotVisOnly val="1"/>
    <c:dispBlanksAs val="gap"/>
    <c:showDLblsOverMax val="0"/>
  </c:chart>
  <c:spPr>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1794427211750048"/>
          <c:w val="0.74931286978958134"/>
          <c:h val="0.62703412073490816"/>
        </c:manualLayout>
      </c:layout>
      <c:barChart>
        <c:barDir val="col"/>
        <c:grouping val="percentStacked"/>
        <c:varyColors val="0"/>
        <c:ser>
          <c:idx val="0"/>
          <c:order val="0"/>
          <c:tx>
            <c:strRef>
              <c:f>'Bullied score'!$M$3</c:f>
              <c:strCache>
                <c:ptCount val="1"/>
                <c:pt idx="0">
                  <c:v>Higher</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showLegendKey val="0"/>
            <c:showVal val="1"/>
            <c:showCatName val="0"/>
            <c:showSerName val="0"/>
            <c:showPercent val="0"/>
            <c:showBubbleSize val="0"/>
            <c:showLeaderLines val="0"/>
          </c:dLbls>
          <c:cat>
            <c:multiLvlStrRef>
              <c:f>'Bullied score'!$K$4:$L$9</c:f>
              <c:multiLvlStrCache>
                <c:ptCount val="6"/>
                <c:lvl>
                  <c:pt idx="0">
                    <c:v>P5</c:v>
                  </c:pt>
                  <c:pt idx="1">
                    <c:v>P6</c:v>
                  </c:pt>
                  <c:pt idx="2">
                    <c:v>P7</c:v>
                  </c:pt>
                  <c:pt idx="3">
                    <c:v> </c:v>
                  </c:pt>
                  <c:pt idx="4">
                    <c:v>Yes</c:v>
                  </c:pt>
                  <c:pt idx="5">
                    <c:v>No</c:v>
                  </c:pt>
                </c:lvl>
                <c:lvl>
                  <c:pt idx="0">
                    <c:v>Year group</c:v>
                  </c:pt>
                  <c:pt idx="3">
                    <c:v> </c:v>
                  </c:pt>
                  <c:pt idx="4">
                    <c:v>In receipt of free school meals</c:v>
                  </c:pt>
                </c:lvl>
              </c:multiLvlStrCache>
            </c:multiLvlStrRef>
          </c:cat>
          <c:val>
            <c:numRef>
              <c:f>'Bullied score'!$M$4:$M$9</c:f>
              <c:numCache>
                <c:formatCode>0%</c:formatCode>
                <c:ptCount val="6"/>
                <c:pt idx="0">
                  <c:v>0.35219600000000001</c:v>
                </c:pt>
                <c:pt idx="1">
                  <c:v>0.31279099999999999</c:v>
                </c:pt>
                <c:pt idx="2">
                  <c:v>0.26971099999999998</c:v>
                </c:pt>
                <c:pt idx="4">
                  <c:v>0.39</c:v>
                </c:pt>
                <c:pt idx="5">
                  <c:v>0.3</c:v>
                </c:pt>
              </c:numCache>
            </c:numRef>
          </c:val>
        </c:ser>
        <c:ser>
          <c:idx val="1"/>
          <c:order val="1"/>
          <c:tx>
            <c:strRef>
              <c:f>'Bullied score'!$N$3</c:f>
              <c:strCache>
                <c:ptCount val="1"/>
                <c:pt idx="0">
                  <c:v>Average</c:v>
                </c:pt>
              </c:strCache>
            </c:strRef>
          </c:tx>
          <c:spPr>
            <a:solidFill>
              <a:schemeClr val="accent1"/>
            </a:solidFill>
            <a:ln>
              <a:solidFill>
                <a:schemeClr val="bg1"/>
              </a:solidFill>
            </a:ln>
          </c:spPr>
          <c:invertIfNegative val="0"/>
          <c:dLbls>
            <c:showLegendKey val="0"/>
            <c:showVal val="1"/>
            <c:showCatName val="0"/>
            <c:showSerName val="0"/>
            <c:showPercent val="0"/>
            <c:showBubbleSize val="0"/>
            <c:showLeaderLines val="0"/>
          </c:dLbls>
          <c:cat>
            <c:multiLvlStrRef>
              <c:f>'Bullied score'!$K$4:$L$9</c:f>
              <c:multiLvlStrCache>
                <c:ptCount val="6"/>
                <c:lvl>
                  <c:pt idx="0">
                    <c:v>P5</c:v>
                  </c:pt>
                  <c:pt idx="1">
                    <c:v>P6</c:v>
                  </c:pt>
                  <c:pt idx="2">
                    <c:v>P7</c:v>
                  </c:pt>
                  <c:pt idx="3">
                    <c:v> </c:v>
                  </c:pt>
                  <c:pt idx="4">
                    <c:v>Yes</c:v>
                  </c:pt>
                  <c:pt idx="5">
                    <c:v>No</c:v>
                  </c:pt>
                </c:lvl>
                <c:lvl>
                  <c:pt idx="0">
                    <c:v>Year group</c:v>
                  </c:pt>
                  <c:pt idx="3">
                    <c:v> </c:v>
                  </c:pt>
                  <c:pt idx="4">
                    <c:v>In receipt of free school meals</c:v>
                  </c:pt>
                </c:lvl>
              </c:multiLvlStrCache>
            </c:multiLvlStrRef>
          </c:cat>
          <c:val>
            <c:numRef>
              <c:f>'Bullied score'!$N$4:$N$9</c:f>
              <c:numCache>
                <c:formatCode>0%</c:formatCode>
                <c:ptCount val="6"/>
                <c:pt idx="0">
                  <c:v>0.260662</c:v>
                </c:pt>
                <c:pt idx="1">
                  <c:v>0.26571699999999998</c:v>
                </c:pt>
                <c:pt idx="2">
                  <c:v>0.28266200000000002</c:v>
                </c:pt>
                <c:pt idx="4">
                  <c:v>0.24</c:v>
                </c:pt>
                <c:pt idx="5">
                  <c:v>0.27</c:v>
                </c:pt>
              </c:numCache>
            </c:numRef>
          </c:val>
        </c:ser>
        <c:ser>
          <c:idx val="2"/>
          <c:order val="2"/>
          <c:tx>
            <c:strRef>
              <c:f>'Bullied score'!$O$3</c:f>
              <c:strCache>
                <c:ptCount val="1"/>
                <c:pt idx="0">
                  <c:v>Lower</c:v>
                </c:pt>
              </c:strCache>
            </c:strRef>
          </c:tx>
          <c:spPr>
            <a:solidFill>
              <a:schemeClr val="accent4">
                <a:lumMod val="40000"/>
                <a:lumOff val="60000"/>
              </a:schemeClr>
            </a:solidFill>
            <a:ln>
              <a:solidFill>
                <a:schemeClr val="bg1"/>
              </a:solidFill>
            </a:ln>
          </c:spPr>
          <c:invertIfNegative val="0"/>
          <c:dLbls>
            <c:showLegendKey val="0"/>
            <c:showVal val="1"/>
            <c:showCatName val="0"/>
            <c:showSerName val="0"/>
            <c:showPercent val="0"/>
            <c:showBubbleSize val="0"/>
            <c:showLeaderLines val="0"/>
          </c:dLbls>
          <c:cat>
            <c:multiLvlStrRef>
              <c:f>'Bullied score'!$K$4:$L$9</c:f>
              <c:multiLvlStrCache>
                <c:ptCount val="6"/>
                <c:lvl>
                  <c:pt idx="0">
                    <c:v>P5</c:v>
                  </c:pt>
                  <c:pt idx="1">
                    <c:v>P6</c:v>
                  </c:pt>
                  <c:pt idx="2">
                    <c:v>P7</c:v>
                  </c:pt>
                  <c:pt idx="3">
                    <c:v> </c:v>
                  </c:pt>
                  <c:pt idx="4">
                    <c:v>Yes</c:v>
                  </c:pt>
                  <c:pt idx="5">
                    <c:v>No</c:v>
                  </c:pt>
                </c:lvl>
                <c:lvl>
                  <c:pt idx="0">
                    <c:v>Year group</c:v>
                  </c:pt>
                  <c:pt idx="3">
                    <c:v> </c:v>
                  </c:pt>
                  <c:pt idx="4">
                    <c:v>In receipt of free school meals</c:v>
                  </c:pt>
                </c:lvl>
              </c:multiLvlStrCache>
            </c:multiLvlStrRef>
          </c:cat>
          <c:val>
            <c:numRef>
              <c:f>'Bullied score'!$O$4:$O$9</c:f>
              <c:numCache>
                <c:formatCode>0%</c:formatCode>
                <c:ptCount val="6"/>
                <c:pt idx="0">
                  <c:v>0.38714300000000001</c:v>
                </c:pt>
                <c:pt idx="1">
                  <c:v>0.42149300000000001</c:v>
                </c:pt>
                <c:pt idx="2">
                  <c:v>0.44762600000000002</c:v>
                </c:pt>
                <c:pt idx="4">
                  <c:v>0.37</c:v>
                </c:pt>
                <c:pt idx="5">
                  <c:v>0.43</c:v>
                </c:pt>
              </c:numCache>
            </c:numRef>
          </c:val>
        </c:ser>
        <c:dLbls>
          <c:showLegendKey val="0"/>
          <c:showVal val="0"/>
          <c:showCatName val="0"/>
          <c:showSerName val="0"/>
          <c:showPercent val="0"/>
          <c:showBubbleSize val="0"/>
        </c:dLbls>
        <c:gapWidth val="0"/>
        <c:overlap val="100"/>
        <c:axId val="174565248"/>
        <c:axId val="174566784"/>
      </c:barChart>
      <c:catAx>
        <c:axId val="1745652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74566784"/>
        <c:crosses val="autoZero"/>
        <c:auto val="0"/>
        <c:lblAlgn val="ctr"/>
        <c:lblOffset val="100"/>
        <c:noMultiLvlLbl val="0"/>
      </c:catAx>
      <c:valAx>
        <c:axId val="174566784"/>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en-US"/>
          </a:p>
        </c:txPr>
        <c:crossAx val="174565248"/>
        <c:crosses val="autoZero"/>
        <c:crossBetween val="between"/>
        <c:majorUnit val="0.1"/>
        <c:minorUnit val="4.000000000000001E-3"/>
      </c:valAx>
      <c:spPr>
        <a:noFill/>
        <a:ln w="25400">
          <a:noFill/>
        </a:ln>
      </c:spPr>
    </c:plotArea>
    <c:legend>
      <c:legendPos val="r"/>
      <c:layout>
        <c:manualLayout>
          <c:xMode val="edge"/>
          <c:yMode val="edge"/>
          <c:x val="0.8710175719560479"/>
          <c:y val="0.23361329833770778"/>
          <c:w val="0.12898242804395213"/>
          <c:h val="0.5866454571966383"/>
        </c:manualLayout>
      </c:layout>
      <c:overlay val="0"/>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73542681100126"/>
          <c:y val="0.22031054812974404"/>
          <c:w val="0.64968367393382187"/>
          <c:h val="0.55973045661422383"/>
        </c:manualLayout>
      </c:layout>
      <c:barChart>
        <c:barDir val="col"/>
        <c:grouping val="clustered"/>
        <c:varyColors val="0"/>
        <c:ser>
          <c:idx val="0"/>
          <c:order val="0"/>
          <c:tx>
            <c:strRef>
              <c:f>'Hitting others'!$K$6</c:f>
              <c:strCache>
                <c:ptCount val="1"/>
                <c:pt idx="0">
                  <c:v>Higher exposure to bullying</c:v>
                </c:pt>
              </c:strCache>
            </c:strRef>
          </c:tx>
          <c:spPr>
            <a:solidFill>
              <a:schemeClr val="tx2"/>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'Hitting others'!$L$5:$M$5</c:f>
              <c:strCache>
                <c:ptCount val="2"/>
                <c:pt idx="0">
                  <c:v>Ever hit, kick or punch other children at school</c:v>
                </c:pt>
                <c:pt idx="1">
                  <c:v>Ever mean to other children at school or call them hurtful names</c:v>
                </c:pt>
              </c:strCache>
            </c:strRef>
          </c:cat>
          <c:val>
            <c:numRef>
              <c:f>'Hitting others'!$L$6:$M$6</c:f>
              <c:numCache>
                <c:formatCode>0%</c:formatCode>
                <c:ptCount val="2"/>
                <c:pt idx="0">
                  <c:v>0.34</c:v>
                </c:pt>
                <c:pt idx="1">
                  <c:v>0.35</c:v>
                </c:pt>
              </c:numCache>
            </c:numRef>
          </c:val>
        </c:ser>
        <c:ser>
          <c:idx val="1"/>
          <c:order val="1"/>
          <c:tx>
            <c:strRef>
              <c:f>'Hitting others'!$K$7</c:f>
              <c:strCache>
                <c:ptCount val="1"/>
                <c:pt idx="0">
                  <c:v>Average exposure to bullying</c:v>
                </c:pt>
              </c:strCache>
            </c:strRef>
          </c:tx>
          <c:spPr>
            <a:solidFill>
              <a:schemeClr val="accent1"/>
            </a:solidFill>
          </c:spPr>
          <c:invertIfNegative val="0"/>
          <c:dLbls>
            <c:txPr>
              <a:bodyPr/>
              <a:lstStyle/>
              <a:p>
                <a:pPr>
                  <a:defRPr sz="900"/>
                </a:pPr>
                <a:endParaRPr lang="en-US"/>
              </a:p>
            </c:txPr>
            <c:dLblPos val="outEnd"/>
            <c:showLegendKey val="0"/>
            <c:showVal val="1"/>
            <c:showCatName val="0"/>
            <c:showSerName val="0"/>
            <c:showPercent val="0"/>
            <c:showBubbleSize val="0"/>
            <c:showLeaderLines val="0"/>
          </c:dLbls>
          <c:cat>
            <c:strRef>
              <c:f>'Hitting others'!$L$5:$M$5</c:f>
              <c:strCache>
                <c:ptCount val="2"/>
                <c:pt idx="0">
                  <c:v>Ever hit, kick or punch other children at school</c:v>
                </c:pt>
                <c:pt idx="1">
                  <c:v>Ever mean to other children at school or call them hurtful names</c:v>
                </c:pt>
              </c:strCache>
            </c:strRef>
          </c:cat>
          <c:val>
            <c:numRef>
              <c:f>'Hitting others'!$L$7:$M$7</c:f>
              <c:numCache>
                <c:formatCode>0%</c:formatCode>
                <c:ptCount val="2"/>
                <c:pt idx="0">
                  <c:v>0.2</c:v>
                </c:pt>
                <c:pt idx="1">
                  <c:v>0.21</c:v>
                </c:pt>
              </c:numCache>
            </c:numRef>
          </c:val>
        </c:ser>
        <c:ser>
          <c:idx val="2"/>
          <c:order val="2"/>
          <c:tx>
            <c:strRef>
              <c:f>'Hitting others'!$K$8</c:f>
              <c:strCache>
                <c:ptCount val="1"/>
                <c:pt idx="0">
                  <c:v>Lower exposure to bullying</c:v>
                </c:pt>
              </c:strCache>
            </c:strRef>
          </c:tx>
          <c:spPr>
            <a:solidFill>
              <a:schemeClr val="accent4">
                <a:lumMod val="40000"/>
                <a:lumOff val="60000"/>
              </a:schemeClr>
            </a:solidFill>
          </c:spPr>
          <c:invertIfNegative val="0"/>
          <c:cat>
            <c:strRef>
              <c:f>'Hitting others'!$L$5:$M$5</c:f>
              <c:strCache>
                <c:ptCount val="2"/>
                <c:pt idx="0">
                  <c:v>Ever hit, kick or punch other children at school</c:v>
                </c:pt>
                <c:pt idx="1">
                  <c:v>Ever mean to other children at school or call them hurtful names</c:v>
                </c:pt>
              </c:strCache>
            </c:strRef>
          </c:cat>
          <c:val>
            <c:numRef>
              <c:f>'Hitting others'!$L$8:$M$8</c:f>
              <c:numCache>
                <c:formatCode>0%</c:formatCode>
                <c:ptCount val="2"/>
                <c:pt idx="0">
                  <c:v>7.0000000000000007E-2</c:v>
                </c:pt>
                <c:pt idx="1">
                  <c:v>7.0000000000000007E-2</c:v>
                </c:pt>
              </c:numCache>
            </c:numRef>
          </c:val>
        </c:ser>
        <c:dLbls>
          <c:dLblPos val="outEnd"/>
          <c:showLegendKey val="0"/>
          <c:showVal val="1"/>
          <c:showCatName val="0"/>
          <c:showSerName val="0"/>
          <c:showPercent val="0"/>
          <c:showBubbleSize val="0"/>
        </c:dLbls>
        <c:gapWidth val="150"/>
        <c:axId val="174603264"/>
        <c:axId val="174609152"/>
      </c:barChart>
      <c:catAx>
        <c:axId val="174603264"/>
        <c:scaling>
          <c:orientation val="minMax"/>
        </c:scaling>
        <c:delete val="0"/>
        <c:axPos val="b"/>
        <c:majorTickMark val="out"/>
        <c:minorTickMark val="none"/>
        <c:tickLblPos val="nextTo"/>
        <c:crossAx val="174609152"/>
        <c:crosses val="autoZero"/>
        <c:auto val="1"/>
        <c:lblAlgn val="ctr"/>
        <c:lblOffset val="100"/>
        <c:noMultiLvlLbl val="0"/>
      </c:catAx>
      <c:valAx>
        <c:axId val="174609152"/>
        <c:scaling>
          <c:orientation val="minMax"/>
        </c:scaling>
        <c:delete val="0"/>
        <c:axPos val="l"/>
        <c:majorGridlines>
          <c:spPr>
            <a:ln>
              <a:noFill/>
            </a:ln>
          </c:spPr>
        </c:majorGridlines>
        <c:numFmt formatCode="0%" sourceLinked="1"/>
        <c:majorTickMark val="out"/>
        <c:minorTickMark val="none"/>
        <c:tickLblPos val="nextTo"/>
        <c:crossAx val="174603264"/>
        <c:crosses val="autoZero"/>
        <c:crossBetween val="between"/>
      </c:valAx>
    </c:plotArea>
    <c:legend>
      <c:legendPos val="r"/>
      <c:layout>
        <c:manualLayout>
          <c:xMode val="edge"/>
          <c:yMode val="edge"/>
          <c:x val="0.73915191236933531"/>
          <c:y val="0.23387350774701549"/>
          <c:w val="0.23772670034742768"/>
          <c:h val="0.35385134042995359"/>
        </c:manualLayout>
      </c:layout>
      <c:overlay val="0"/>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lumMod val="40000"/>
                  <a:lumOff val="60000"/>
                </a:schemeClr>
              </a:solidFill>
              <a:ln w="25400">
                <a:noFill/>
              </a:ln>
            </c:spPr>
          </c:dPt>
          <c:dPt>
            <c:idx val="5"/>
            <c:invertIfNegative val="0"/>
            <c:bubble3D val="0"/>
          </c:dPt>
          <c:dPt>
            <c:idx val="6"/>
            <c:invertIfNegative val="0"/>
            <c:bubble3D val="0"/>
          </c:dPt>
          <c:dPt>
            <c:idx val="7"/>
            <c:invertIfNegative val="0"/>
            <c:bubble3D val="0"/>
            <c:spPr>
              <a:solidFill>
                <a:schemeClr val="accent4">
                  <a:lumMod val="40000"/>
                  <a:lumOff val="60000"/>
                </a:schemeClr>
              </a:solidFill>
              <a:ln w="25400">
                <a:noFill/>
              </a:ln>
            </c:spPr>
          </c:dPt>
          <c:dPt>
            <c:idx val="9"/>
            <c:invertIfNegative val="0"/>
            <c:bubble3D val="0"/>
            <c:spPr>
              <a:solidFill>
                <a:schemeClr val="accent6"/>
              </a:solidFill>
              <a:ln w="25400">
                <a:noFill/>
              </a:ln>
            </c:spPr>
          </c:dPt>
          <c:dPt>
            <c:idx val="11"/>
            <c:invertIfNegative val="0"/>
            <c:bubble3D val="0"/>
            <c:spPr>
              <a:solidFill>
                <a:schemeClr val="accent1"/>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diet!$J$21:$K$30</c:f>
              <c:multiLvlStrCache>
                <c:ptCount val="10"/>
                <c:lvl>
                  <c:pt idx="0">
                    <c:v>1 (most deprived)</c:v>
                  </c:pt>
                  <c:pt idx="1">
                    <c:v>2</c:v>
                  </c:pt>
                  <c:pt idx="2">
                    <c:v>3</c:v>
                  </c:pt>
                  <c:pt idx="3">
                    <c:v>4</c:v>
                  </c:pt>
                  <c:pt idx="4">
                    <c:v>5 (least deprived)</c:v>
                  </c:pt>
                  <c:pt idx="6">
                    <c:v>Eligible</c:v>
                  </c:pt>
                  <c:pt idx="7">
                    <c:v>Not Eligible</c:v>
                  </c:pt>
                  <c:pt idx="9">
                    <c:v>All</c:v>
                  </c:pt>
                </c:lvl>
                <c:lvl>
                  <c:pt idx="0">
                    <c:v>SIMD</c:v>
                  </c:pt>
                  <c:pt idx="5">
                    <c:v> </c:v>
                  </c:pt>
                  <c:pt idx="6">
                    <c:v>Free school meals</c:v>
                  </c:pt>
                  <c:pt idx="8">
                    <c:v> </c:v>
                  </c:pt>
                  <c:pt idx="9">
                    <c:v> </c:v>
                  </c:pt>
                </c:lvl>
              </c:multiLvlStrCache>
            </c:multiLvlStrRef>
          </c:cat>
          <c:val>
            <c:numRef>
              <c:f>diet!$L$21:$L$30</c:f>
              <c:numCache>
                <c:formatCode>0%</c:formatCode>
                <c:ptCount val="10"/>
                <c:pt idx="0">
                  <c:v>0.31</c:v>
                </c:pt>
                <c:pt idx="1">
                  <c:v>0.28999999999999998</c:v>
                </c:pt>
                <c:pt idx="2">
                  <c:v>0.24</c:v>
                </c:pt>
                <c:pt idx="3">
                  <c:v>0.182172</c:v>
                </c:pt>
                <c:pt idx="4">
                  <c:v>0.17175699999999999</c:v>
                </c:pt>
                <c:pt idx="6">
                  <c:v>0.33</c:v>
                </c:pt>
                <c:pt idx="7">
                  <c:v>0.22</c:v>
                </c:pt>
                <c:pt idx="9">
                  <c:v>0.24</c:v>
                </c:pt>
              </c:numCache>
            </c:numRef>
          </c:val>
        </c:ser>
        <c:dLbls>
          <c:showLegendKey val="0"/>
          <c:showVal val="0"/>
          <c:showCatName val="0"/>
          <c:showSerName val="0"/>
          <c:showPercent val="0"/>
          <c:showBubbleSize val="0"/>
        </c:dLbls>
        <c:gapWidth val="0"/>
        <c:axId val="184897536"/>
        <c:axId val="184899840"/>
      </c:barChart>
      <c:catAx>
        <c:axId val="184897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84899840"/>
        <c:crosses val="autoZero"/>
        <c:auto val="0"/>
        <c:lblAlgn val="ctr"/>
        <c:lblOffset val="100"/>
        <c:noMultiLvlLbl val="0"/>
      </c:catAx>
      <c:valAx>
        <c:axId val="184899840"/>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j-lt"/>
                <a:ea typeface="Tahoma"/>
                <a:cs typeface="Tahoma"/>
              </a:defRPr>
            </a:pPr>
            <a:endParaRPr lang="en-US"/>
          </a:p>
        </c:txPr>
        <c:crossAx val="184897536"/>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18925022646505468"/>
          <c:w val="0.74931286978958134"/>
          <c:h val="0.56017271222392162"/>
        </c:manualLayout>
      </c:layout>
      <c:barChart>
        <c:barDir val="col"/>
        <c:grouping val="percentStacked"/>
        <c:varyColors val="0"/>
        <c:ser>
          <c:idx val="0"/>
          <c:order val="0"/>
          <c:tx>
            <c:strRef>
              <c:f>Stealing!$K$2</c:f>
              <c:strCache>
                <c:ptCount val="1"/>
                <c:pt idx="0">
                  <c:v>Never</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showLegendKey val="0"/>
            <c:showVal val="1"/>
            <c:showCatName val="0"/>
            <c:showSerName val="0"/>
            <c:showPercent val="0"/>
            <c:showBubbleSize val="0"/>
            <c:showLeaderLines val="0"/>
          </c:dLbls>
          <c:cat>
            <c:multiLvlStrRef>
              <c:f>Stealing!$I$3:$J$9</c:f>
              <c:multiLvlStrCache>
                <c:ptCount val="7"/>
                <c:lvl>
                  <c:pt idx="0">
                    <c:v>Once a week or more</c:v>
                  </c:pt>
                  <c:pt idx="1">
                    <c:v>Less often</c:v>
                  </c:pt>
                  <c:pt idx="2">
                    <c:v>Never</c:v>
                  </c:pt>
                  <c:pt idx="3">
                    <c:v> </c:v>
                  </c:pt>
                  <c:pt idx="4">
                    <c:v>Once a week or more</c:v>
                  </c:pt>
                  <c:pt idx="5">
                    <c:v>Less often</c:v>
                  </c:pt>
                  <c:pt idx="6">
                    <c:v>Never</c:v>
                  </c:pt>
                </c:lvl>
                <c:lvl>
                  <c:pt idx="0">
                    <c:v>How often hit other children</c:v>
                  </c:pt>
                  <c:pt idx="3">
                    <c:v> </c:v>
                  </c:pt>
                  <c:pt idx="4">
                    <c:v>How often mean to other children</c:v>
                  </c:pt>
                </c:lvl>
              </c:multiLvlStrCache>
            </c:multiLvlStrRef>
          </c:cat>
          <c:val>
            <c:numRef>
              <c:f>Stealing!$K$3:$K$9</c:f>
              <c:numCache>
                <c:formatCode>0%</c:formatCode>
                <c:ptCount val="7"/>
                <c:pt idx="0">
                  <c:v>0.65536799999999995</c:v>
                </c:pt>
                <c:pt idx="1">
                  <c:v>0.76324200000000009</c:v>
                </c:pt>
                <c:pt idx="2">
                  <c:v>0.89998</c:v>
                </c:pt>
                <c:pt idx="4">
                  <c:v>0.633907</c:v>
                </c:pt>
                <c:pt idx="5">
                  <c:v>0.76856899999999995</c:v>
                </c:pt>
                <c:pt idx="6">
                  <c:v>0.89836799999999994</c:v>
                </c:pt>
              </c:numCache>
            </c:numRef>
          </c:val>
        </c:ser>
        <c:ser>
          <c:idx val="1"/>
          <c:order val="1"/>
          <c:tx>
            <c:strRef>
              <c:f>Stealing!$L$2</c:f>
              <c:strCache>
                <c:ptCount val="1"/>
                <c:pt idx="0">
                  <c:v>Once</c:v>
                </c:pt>
              </c:strCache>
            </c:strRef>
          </c:tx>
          <c:spPr>
            <a:solidFill>
              <a:schemeClr val="accent1"/>
            </a:solidFill>
            <a:ln>
              <a:solidFill>
                <a:schemeClr val="bg1"/>
              </a:solidFill>
            </a:ln>
          </c:spPr>
          <c:invertIfNegative val="0"/>
          <c:dLbls>
            <c:showLegendKey val="0"/>
            <c:showVal val="1"/>
            <c:showCatName val="0"/>
            <c:showSerName val="0"/>
            <c:showPercent val="0"/>
            <c:showBubbleSize val="0"/>
            <c:showLeaderLines val="0"/>
          </c:dLbls>
          <c:cat>
            <c:multiLvlStrRef>
              <c:f>Stealing!$I$3:$J$9</c:f>
              <c:multiLvlStrCache>
                <c:ptCount val="7"/>
                <c:lvl>
                  <c:pt idx="0">
                    <c:v>Once a week or more</c:v>
                  </c:pt>
                  <c:pt idx="1">
                    <c:v>Less often</c:v>
                  </c:pt>
                  <c:pt idx="2">
                    <c:v>Never</c:v>
                  </c:pt>
                  <c:pt idx="3">
                    <c:v> </c:v>
                  </c:pt>
                  <c:pt idx="4">
                    <c:v>Once a week or more</c:v>
                  </c:pt>
                  <c:pt idx="5">
                    <c:v>Less often</c:v>
                  </c:pt>
                  <c:pt idx="6">
                    <c:v>Never</c:v>
                  </c:pt>
                </c:lvl>
                <c:lvl>
                  <c:pt idx="0">
                    <c:v>How often hit other children</c:v>
                  </c:pt>
                  <c:pt idx="3">
                    <c:v> </c:v>
                  </c:pt>
                  <c:pt idx="4">
                    <c:v>How often mean to other children</c:v>
                  </c:pt>
                </c:lvl>
              </c:multiLvlStrCache>
            </c:multiLvlStrRef>
          </c:cat>
          <c:val>
            <c:numRef>
              <c:f>Stealing!$L$3:$L$9</c:f>
              <c:numCache>
                <c:formatCode>0%</c:formatCode>
                <c:ptCount val="7"/>
                <c:pt idx="0">
                  <c:v>0.22930499999999998</c:v>
                </c:pt>
                <c:pt idx="1">
                  <c:v>0.17633700000000002</c:v>
                </c:pt>
                <c:pt idx="2">
                  <c:v>8.8321999999999998E-2</c:v>
                </c:pt>
                <c:pt idx="4">
                  <c:v>0.214589</c:v>
                </c:pt>
                <c:pt idx="5">
                  <c:v>0.17904800000000001</c:v>
                </c:pt>
                <c:pt idx="6">
                  <c:v>8.8863999999999999E-2</c:v>
                </c:pt>
              </c:numCache>
            </c:numRef>
          </c:val>
        </c:ser>
        <c:ser>
          <c:idx val="2"/>
          <c:order val="2"/>
          <c:tx>
            <c:strRef>
              <c:f>Stealing!$M$2</c:f>
              <c:strCache>
                <c:ptCount val="1"/>
                <c:pt idx="0">
                  <c:v>More than once</c:v>
                </c:pt>
              </c:strCache>
            </c:strRef>
          </c:tx>
          <c:spPr>
            <a:solidFill>
              <a:schemeClr val="accent4">
                <a:lumMod val="40000"/>
                <a:lumOff val="60000"/>
              </a:schemeClr>
            </a:solidFill>
            <a:ln>
              <a:solidFill>
                <a:schemeClr val="bg1"/>
              </a:solidFill>
            </a:ln>
          </c:spPr>
          <c:invertIfNegative val="0"/>
          <c:dLbls>
            <c:showLegendKey val="0"/>
            <c:showVal val="1"/>
            <c:showCatName val="0"/>
            <c:showSerName val="0"/>
            <c:showPercent val="0"/>
            <c:showBubbleSize val="0"/>
            <c:showLeaderLines val="0"/>
          </c:dLbls>
          <c:cat>
            <c:multiLvlStrRef>
              <c:f>Stealing!$I$3:$J$9</c:f>
              <c:multiLvlStrCache>
                <c:ptCount val="7"/>
                <c:lvl>
                  <c:pt idx="0">
                    <c:v>Once a week or more</c:v>
                  </c:pt>
                  <c:pt idx="1">
                    <c:v>Less often</c:v>
                  </c:pt>
                  <c:pt idx="2">
                    <c:v>Never</c:v>
                  </c:pt>
                  <c:pt idx="3">
                    <c:v> </c:v>
                  </c:pt>
                  <c:pt idx="4">
                    <c:v>Once a week or more</c:v>
                  </c:pt>
                  <c:pt idx="5">
                    <c:v>Less often</c:v>
                  </c:pt>
                  <c:pt idx="6">
                    <c:v>Never</c:v>
                  </c:pt>
                </c:lvl>
                <c:lvl>
                  <c:pt idx="0">
                    <c:v>How often hit other children</c:v>
                  </c:pt>
                  <c:pt idx="3">
                    <c:v> </c:v>
                  </c:pt>
                  <c:pt idx="4">
                    <c:v>How often mean to other children</c:v>
                  </c:pt>
                </c:lvl>
              </c:multiLvlStrCache>
            </c:multiLvlStrRef>
          </c:cat>
          <c:val>
            <c:numRef>
              <c:f>Stealing!$M$3:$M$9</c:f>
              <c:numCache>
                <c:formatCode>0%</c:formatCode>
                <c:ptCount val="7"/>
                <c:pt idx="0">
                  <c:v>0.115326</c:v>
                </c:pt>
                <c:pt idx="1">
                  <c:v>6.0420999999999996E-2</c:v>
                </c:pt>
                <c:pt idx="2">
                  <c:v>1.1698E-2</c:v>
                </c:pt>
                <c:pt idx="4">
                  <c:v>0.151504</c:v>
                </c:pt>
                <c:pt idx="5">
                  <c:v>5.2382999999999999E-2</c:v>
                </c:pt>
                <c:pt idx="6">
                  <c:v>1.2768E-2</c:v>
                </c:pt>
              </c:numCache>
            </c:numRef>
          </c:val>
        </c:ser>
        <c:dLbls>
          <c:showLegendKey val="0"/>
          <c:showVal val="0"/>
          <c:showCatName val="0"/>
          <c:showSerName val="0"/>
          <c:showPercent val="0"/>
          <c:showBubbleSize val="0"/>
        </c:dLbls>
        <c:gapWidth val="0"/>
        <c:overlap val="100"/>
        <c:axId val="174682496"/>
        <c:axId val="174684032"/>
      </c:barChart>
      <c:catAx>
        <c:axId val="174682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74684032"/>
        <c:crosses val="autoZero"/>
        <c:auto val="0"/>
        <c:lblAlgn val="ctr"/>
        <c:lblOffset val="100"/>
        <c:noMultiLvlLbl val="0"/>
      </c:catAx>
      <c:valAx>
        <c:axId val="174684032"/>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a:pPr>
            <a:endParaRPr lang="en-US"/>
          </a:p>
        </c:txPr>
        <c:crossAx val="174682496"/>
        <c:crosses val="autoZero"/>
        <c:crossBetween val="between"/>
        <c:majorUnit val="0.1"/>
        <c:minorUnit val="4.000000000000001E-3"/>
      </c:valAx>
      <c:spPr>
        <a:noFill/>
        <a:ln w="25400">
          <a:noFill/>
        </a:ln>
      </c:spPr>
    </c:plotArea>
    <c:legend>
      <c:legendPos val="r"/>
      <c:layout>
        <c:manualLayout>
          <c:xMode val="edge"/>
          <c:yMode val="edge"/>
          <c:x val="0.8710175719560479"/>
          <c:y val="0.22014528486969431"/>
          <c:w val="0.11542310601005383"/>
          <c:h val="0.51257138312256423"/>
        </c:manualLayout>
      </c:layout>
      <c:overlay val="0"/>
      <c:txPr>
        <a:bodyPr/>
        <a:lstStyle/>
        <a:p>
          <a:pPr>
            <a:defRPr sz="900"/>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1121026538349372"/>
          <c:w val="0.74931286978958134"/>
          <c:h val="0.60009809379888124"/>
        </c:manualLayout>
      </c:layout>
      <c:barChart>
        <c:barDir val="col"/>
        <c:grouping val="percentStacked"/>
        <c:varyColors val="0"/>
        <c:ser>
          <c:idx val="0"/>
          <c:order val="0"/>
          <c:tx>
            <c:strRef>
              <c:f>'Body image'!$K$3</c:f>
              <c:strCache>
                <c:ptCount val="1"/>
                <c:pt idx="0">
                  <c:v>Very happy</c:v>
                </c:pt>
              </c:strCache>
            </c:strRef>
          </c:tx>
          <c:spPr>
            <a:solidFill>
              <a:schemeClr val="tx2"/>
            </a:solidFill>
            <a:ln w="127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'Body image'!$I$4:$J$10</c:f>
              <c:multiLvlStrCache>
                <c:ptCount val="7"/>
                <c:lvl>
                  <c:pt idx="0">
                    <c:v>More
 positive</c:v>
                  </c:pt>
                  <c:pt idx="1">
                    <c:v>Average</c:v>
                  </c:pt>
                  <c:pt idx="2">
                    <c:v>Less
 positive</c:v>
                  </c:pt>
                  <c:pt idx="4">
                    <c:v>Always /
 often</c:v>
                  </c:pt>
                  <c:pt idx="5">
                    <c:v>Sometimes</c:v>
                  </c:pt>
                  <c:pt idx="6">
                    <c:v>Never</c:v>
                  </c:pt>
                </c:lvl>
                <c:lvl>
                  <c:pt idx="0">
                    <c:v>Child-parent relationship</c:v>
                  </c:pt>
                  <c:pt idx="3">
                    <c:v> </c:v>
                  </c:pt>
                  <c:pt idx="4">
                    <c:v>How often friends mean</c:v>
                  </c:pt>
                </c:lvl>
              </c:multiLvlStrCache>
            </c:multiLvlStrRef>
          </c:cat>
          <c:val>
            <c:numRef>
              <c:f>'Body image'!$K$4:$K$10</c:f>
              <c:numCache>
                <c:formatCode>0%</c:formatCode>
                <c:ptCount val="7"/>
                <c:pt idx="0">
                  <c:v>0.52004700000000004</c:v>
                </c:pt>
                <c:pt idx="1">
                  <c:v>0.31460300000000002</c:v>
                </c:pt>
                <c:pt idx="2">
                  <c:v>0.21504400000000001</c:v>
                </c:pt>
                <c:pt idx="4">
                  <c:v>0.29025699999999999</c:v>
                </c:pt>
                <c:pt idx="5">
                  <c:v>0.30303000000000002</c:v>
                </c:pt>
                <c:pt idx="6">
                  <c:v>0.43979399999999996</c:v>
                </c:pt>
              </c:numCache>
            </c:numRef>
          </c:val>
        </c:ser>
        <c:ser>
          <c:idx val="1"/>
          <c:order val="1"/>
          <c:tx>
            <c:strRef>
              <c:f>'Body image'!$L$3</c:f>
              <c:strCache>
                <c:ptCount val="1"/>
                <c:pt idx="0">
                  <c:v>Fairly happy</c:v>
                </c:pt>
              </c:strCache>
            </c:strRef>
          </c:tx>
          <c:spPr>
            <a:solidFill>
              <a:schemeClr val="accent1"/>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'Body image'!$I$4:$J$10</c:f>
              <c:multiLvlStrCache>
                <c:ptCount val="7"/>
                <c:lvl>
                  <c:pt idx="0">
                    <c:v>More
 positive</c:v>
                  </c:pt>
                  <c:pt idx="1">
                    <c:v>Average</c:v>
                  </c:pt>
                  <c:pt idx="2">
                    <c:v>Less
 positive</c:v>
                  </c:pt>
                  <c:pt idx="4">
                    <c:v>Always /
 often</c:v>
                  </c:pt>
                  <c:pt idx="5">
                    <c:v>Sometimes</c:v>
                  </c:pt>
                  <c:pt idx="6">
                    <c:v>Never</c:v>
                  </c:pt>
                </c:lvl>
                <c:lvl>
                  <c:pt idx="0">
                    <c:v>Child-parent relationship</c:v>
                  </c:pt>
                  <c:pt idx="3">
                    <c:v> </c:v>
                  </c:pt>
                  <c:pt idx="4">
                    <c:v>How often friends mean</c:v>
                  </c:pt>
                </c:lvl>
              </c:multiLvlStrCache>
            </c:multiLvlStrRef>
          </c:cat>
          <c:val>
            <c:numRef>
              <c:f>'Body image'!$L$4:$L$10</c:f>
              <c:numCache>
                <c:formatCode>0%</c:formatCode>
                <c:ptCount val="7"/>
                <c:pt idx="0">
                  <c:v>0.27019900000000002</c:v>
                </c:pt>
                <c:pt idx="1">
                  <c:v>0.39126</c:v>
                </c:pt>
                <c:pt idx="2">
                  <c:v>0.39596400000000004</c:v>
                </c:pt>
                <c:pt idx="4">
                  <c:v>0.285547</c:v>
                </c:pt>
                <c:pt idx="5">
                  <c:v>0.389569</c:v>
                </c:pt>
                <c:pt idx="6">
                  <c:v>0.31722600000000001</c:v>
                </c:pt>
              </c:numCache>
            </c:numRef>
          </c:val>
        </c:ser>
        <c:ser>
          <c:idx val="2"/>
          <c:order val="2"/>
          <c:tx>
            <c:strRef>
              <c:f>'Body image'!$M$3</c:f>
              <c:strCache>
                <c:ptCount val="1"/>
                <c:pt idx="0">
                  <c:v>Not very happy</c:v>
                </c:pt>
              </c:strCache>
            </c:strRef>
          </c:tx>
          <c:spPr>
            <a:solidFill>
              <a:schemeClr val="accent4">
                <a:lumMod val="40000"/>
                <a:lumOff val="60000"/>
              </a:schemeClr>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'Body image'!$I$4:$J$10</c:f>
              <c:multiLvlStrCache>
                <c:ptCount val="7"/>
                <c:lvl>
                  <c:pt idx="0">
                    <c:v>More
 positive</c:v>
                  </c:pt>
                  <c:pt idx="1">
                    <c:v>Average</c:v>
                  </c:pt>
                  <c:pt idx="2">
                    <c:v>Less
 positive</c:v>
                  </c:pt>
                  <c:pt idx="4">
                    <c:v>Always /
 often</c:v>
                  </c:pt>
                  <c:pt idx="5">
                    <c:v>Sometimes</c:v>
                  </c:pt>
                  <c:pt idx="6">
                    <c:v>Never</c:v>
                  </c:pt>
                </c:lvl>
                <c:lvl>
                  <c:pt idx="0">
                    <c:v>Child-parent relationship</c:v>
                  </c:pt>
                  <c:pt idx="3">
                    <c:v> </c:v>
                  </c:pt>
                  <c:pt idx="4">
                    <c:v>How often friends mean</c:v>
                  </c:pt>
                </c:lvl>
              </c:multiLvlStrCache>
            </c:multiLvlStrRef>
          </c:cat>
          <c:val>
            <c:numRef>
              <c:f>'Body image'!$M$4:$M$10</c:f>
              <c:numCache>
                <c:formatCode>0%</c:formatCode>
                <c:ptCount val="7"/>
                <c:pt idx="0">
                  <c:v>4.4797000000000003E-2</c:v>
                </c:pt>
                <c:pt idx="1">
                  <c:v>9.114499999999999E-2</c:v>
                </c:pt>
                <c:pt idx="2">
                  <c:v>0.15346099999999999</c:v>
                </c:pt>
                <c:pt idx="4">
                  <c:v>0.172321</c:v>
                </c:pt>
                <c:pt idx="5">
                  <c:v>0.106097</c:v>
                </c:pt>
                <c:pt idx="6">
                  <c:v>5.9626999999999999E-2</c:v>
                </c:pt>
              </c:numCache>
            </c:numRef>
          </c:val>
        </c:ser>
        <c:ser>
          <c:idx val="3"/>
          <c:order val="3"/>
          <c:tx>
            <c:strRef>
              <c:f>'Body image'!$N$3</c:f>
              <c:strCache>
                <c:ptCount val="1"/>
                <c:pt idx="0">
                  <c:v>Not at all happy</c:v>
                </c:pt>
              </c:strCache>
            </c:strRef>
          </c:tx>
          <c:spPr>
            <a:solidFill>
              <a:schemeClr val="accent6"/>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'Body image'!$I$4:$J$10</c:f>
              <c:multiLvlStrCache>
                <c:ptCount val="7"/>
                <c:lvl>
                  <c:pt idx="0">
                    <c:v>More
 positive</c:v>
                  </c:pt>
                  <c:pt idx="1">
                    <c:v>Average</c:v>
                  </c:pt>
                  <c:pt idx="2">
                    <c:v>Less
 positive</c:v>
                  </c:pt>
                  <c:pt idx="4">
                    <c:v>Always /
 often</c:v>
                  </c:pt>
                  <c:pt idx="5">
                    <c:v>Sometimes</c:v>
                  </c:pt>
                  <c:pt idx="6">
                    <c:v>Never</c:v>
                  </c:pt>
                </c:lvl>
                <c:lvl>
                  <c:pt idx="0">
                    <c:v>Child-parent relationship</c:v>
                  </c:pt>
                  <c:pt idx="3">
                    <c:v> </c:v>
                  </c:pt>
                  <c:pt idx="4">
                    <c:v>How often friends mean</c:v>
                  </c:pt>
                </c:lvl>
              </c:multiLvlStrCache>
            </c:multiLvlStrRef>
          </c:cat>
          <c:val>
            <c:numRef>
              <c:f>'Body image'!$N$4:$N$10</c:f>
              <c:numCache>
                <c:formatCode>0%</c:formatCode>
                <c:ptCount val="7"/>
                <c:pt idx="0">
                  <c:v>1.2457000000000001E-2</c:v>
                </c:pt>
                <c:pt idx="1">
                  <c:v>3.2292999999999995E-2</c:v>
                </c:pt>
                <c:pt idx="2">
                  <c:v>6.3835000000000003E-2</c:v>
                </c:pt>
                <c:pt idx="4">
                  <c:v>9.1532000000000002E-2</c:v>
                </c:pt>
                <c:pt idx="5">
                  <c:v>3.3281999999999999E-2</c:v>
                </c:pt>
                <c:pt idx="6">
                  <c:v>2.0617E-2</c:v>
                </c:pt>
              </c:numCache>
            </c:numRef>
          </c:val>
        </c:ser>
        <c:dLbls>
          <c:showLegendKey val="0"/>
          <c:showVal val="0"/>
          <c:showCatName val="0"/>
          <c:showSerName val="0"/>
          <c:showPercent val="0"/>
          <c:showBubbleSize val="0"/>
        </c:dLbls>
        <c:gapWidth val="0"/>
        <c:overlap val="100"/>
        <c:axId val="174725376"/>
        <c:axId val="174739456"/>
      </c:barChart>
      <c:catAx>
        <c:axId val="174725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4739456"/>
        <c:crosses val="autoZero"/>
        <c:auto val="0"/>
        <c:lblAlgn val="ctr"/>
        <c:lblOffset val="100"/>
        <c:noMultiLvlLbl val="0"/>
      </c:catAx>
      <c:valAx>
        <c:axId val="174739456"/>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4725376"/>
        <c:crosses val="autoZero"/>
        <c:crossBetween val="between"/>
        <c:majorUnit val="0.1"/>
        <c:minorUnit val="4.000000000000001E-3"/>
      </c:valAx>
      <c:spPr>
        <a:noFill/>
        <a:ln w="25400">
          <a:noFill/>
        </a:ln>
      </c:spPr>
    </c:plotArea>
    <c:legend>
      <c:legendPos val="r"/>
      <c:layout>
        <c:manualLayout>
          <c:xMode val="edge"/>
          <c:yMode val="edge"/>
          <c:x val="0.8710175719560479"/>
          <c:y val="0.18984225456666401"/>
          <c:w val="0.12898242804395213"/>
          <c:h val="0.5058373763885575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6141984783"/>
          <c:y val="0.17612523190301538"/>
          <c:w val="0.83744846300992037"/>
          <c:h val="0.68546128258031913"/>
        </c:manualLayout>
      </c:layout>
      <c:barChart>
        <c:barDir val="col"/>
        <c:grouping val="clustered"/>
        <c:varyColors val="0"/>
        <c:ser>
          <c:idx val="0"/>
          <c:order val="0"/>
          <c:spPr>
            <a:solidFill>
              <a:srgbClr val="002060"/>
            </a:solidFill>
            <a:ln w="25400">
              <a:noFill/>
            </a:ln>
          </c:spPr>
          <c:invertIfNegative val="0"/>
          <c:dPt>
            <c:idx val="0"/>
            <c:invertIfNegative val="0"/>
            <c:bubble3D val="0"/>
            <c:spPr>
              <a:solidFill>
                <a:schemeClr val="tx2"/>
              </a:solidFill>
              <a:ln w="25400">
                <a:noFill/>
              </a:ln>
            </c:spPr>
          </c:dPt>
          <c:dPt>
            <c:idx val="1"/>
            <c:invertIfNegative val="0"/>
            <c:bubble3D val="0"/>
            <c:spPr>
              <a:solidFill>
                <a:schemeClr val="accent1"/>
              </a:solidFill>
              <a:ln w="25400">
                <a:noFill/>
              </a:ln>
            </c:spPr>
          </c:dPt>
          <c:dPt>
            <c:idx val="3"/>
            <c:invertIfNegative val="0"/>
            <c:bubble3D val="0"/>
            <c:spPr>
              <a:solidFill>
                <a:schemeClr val="tx2"/>
              </a:solidFill>
              <a:ln w="25400">
                <a:noFill/>
              </a:ln>
            </c:spPr>
          </c:dPt>
          <c:dPt>
            <c:idx val="4"/>
            <c:invertIfNegative val="0"/>
            <c:bubble3D val="0"/>
            <c:spPr>
              <a:solidFill>
                <a:schemeClr val="accent6"/>
              </a:solidFill>
              <a:ln w="25400">
                <a:noFill/>
              </a:ln>
            </c:spPr>
          </c:dPt>
          <c:dPt>
            <c:idx val="5"/>
            <c:invertIfNegative val="0"/>
            <c:bubble3D val="0"/>
            <c:spPr>
              <a:solidFill>
                <a:schemeClr val="accent4">
                  <a:lumMod val="40000"/>
                  <a:lumOff val="60000"/>
                </a:schemeClr>
              </a:solidFill>
              <a:ln w="25400">
                <a:noFill/>
              </a:ln>
            </c:spPr>
          </c:dPt>
          <c:dPt>
            <c:idx val="6"/>
            <c:invertIfNegative val="0"/>
            <c:bubble3D val="0"/>
            <c:spPr>
              <a:solidFill>
                <a:schemeClr val="accent6">
                  <a:lumMod val="60000"/>
                  <a:lumOff val="40000"/>
                </a:schemeClr>
              </a:solidFill>
              <a:ln w="25400">
                <a:noFill/>
              </a:ln>
            </c:spPr>
          </c:dPt>
          <c:dPt>
            <c:idx val="7"/>
            <c:invertIfNegative val="0"/>
            <c:bubble3D val="0"/>
            <c:spPr>
              <a:solidFill>
                <a:schemeClr val="accent6"/>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'[Chart in Microsoft Word]Vegfrui'!$A$3:$A$7</c:f>
              <c:strCache>
                <c:ptCount val="5"/>
                <c:pt idx="0">
                  <c:v>0-2</c:v>
                </c:pt>
                <c:pt idx="1">
                  <c:v>3-4</c:v>
                </c:pt>
                <c:pt idx="2">
                  <c:v>5-8</c:v>
                </c:pt>
                <c:pt idx="4">
                  <c:v>All</c:v>
                </c:pt>
              </c:strCache>
            </c:strRef>
          </c:cat>
          <c:val>
            <c:numRef>
              <c:f>'[Chart in Microsoft Word]Vegfrui'!$B$3:$B$7</c:f>
              <c:numCache>
                <c:formatCode>###0%</c:formatCode>
                <c:ptCount val="5"/>
                <c:pt idx="0">
                  <c:v>0.79</c:v>
                </c:pt>
                <c:pt idx="1">
                  <c:v>0.69</c:v>
                </c:pt>
                <c:pt idx="2">
                  <c:v>0.57999999999999996</c:v>
                </c:pt>
                <c:pt idx="4">
                  <c:v>0.67</c:v>
                </c:pt>
              </c:numCache>
            </c:numRef>
          </c:val>
        </c:ser>
        <c:dLbls>
          <c:showLegendKey val="0"/>
          <c:showVal val="0"/>
          <c:showCatName val="0"/>
          <c:showSerName val="0"/>
          <c:showPercent val="0"/>
          <c:showBubbleSize val="0"/>
        </c:dLbls>
        <c:gapWidth val="0"/>
        <c:axId val="174758912"/>
        <c:axId val="174764800"/>
      </c:barChart>
      <c:catAx>
        <c:axId val="174758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4764800"/>
        <c:crosses val="autoZero"/>
        <c:auto val="0"/>
        <c:lblAlgn val="ctr"/>
        <c:lblOffset val="100"/>
        <c:noMultiLvlLbl val="0"/>
      </c:catAx>
      <c:valAx>
        <c:axId val="174764800"/>
        <c:scaling>
          <c:orientation val="minMax"/>
        </c:scaling>
        <c:delete val="0"/>
        <c:axPos val="l"/>
        <c:majorGridlines>
          <c:spPr>
            <a:ln w="3175">
              <a:noFill/>
              <a:prstDash val="solid"/>
            </a:ln>
          </c:spPr>
        </c:majorGridlines>
        <c:title>
          <c:tx>
            <c:rich>
              <a:bodyPr rot="0" vert="horz"/>
              <a:lstStyle/>
              <a:p>
                <a:pPr>
                  <a:defRPr/>
                </a:pPr>
                <a:r>
                  <a:rPr lang="en-US"/>
                  <a:t>%</a:t>
                </a:r>
              </a:p>
            </c:rich>
          </c:tx>
          <c:layout>
            <c:manualLayout>
              <c:xMode val="edge"/>
              <c:yMode val="edge"/>
              <c:x val="1.8233551314560257E-2"/>
              <c:y val="0.50987433833340667"/>
            </c:manualLayout>
          </c:layout>
          <c:overlay val="0"/>
        </c:title>
        <c:numFmt formatCode="###0%" sourceLinked="1"/>
        <c:majorTickMark val="in"/>
        <c:minorTickMark val="none"/>
        <c:tickLblPos val="nextTo"/>
        <c:txPr>
          <a:bodyPr rot="0" vert="horz"/>
          <a:lstStyle/>
          <a:p>
            <a:pPr>
              <a:defRPr sz="900">
                <a:latin typeface="Arial" panose="020B0604020202020204" pitchFamily="34" charset="0"/>
                <a:cs typeface="Arial" panose="020B0604020202020204" pitchFamily="34" charset="0"/>
              </a:defRPr>
            </a:pPr>
            <a:endParaRPr lang="en-US"/>
          </a:p>
        </c:txPr>
        <c:crossAx val="17475891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35958005249346E-2"/>
          <c:y val="0.18518518518518517"/>
          <c:w val="0.84294181977252858"/>
          <c:h val="0.71531605424321965"/>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586B-48B3-BA75-927805F0A11A}"/>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586B-48B3-BA75-927805F0A11A}"/>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586B-48B3-BA75-927805F0A11A}"/>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6-586B-48B3-BA75-927805F0A11A}"/>
              </c:ext>
            </c:extLst>
          </c:dPt>
          <c:dLbls>
            <c:spPr>
              <a:noFill/>
              <a:ln>
                <a:noFill/>
              </a:ln>
              <a:effectLst/>
            </c:spPr>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'Physical activity'!$A$1:$A$4</c:f>
              <c:strCache>
                <c:ptCount val="4"/>
                <c:pt idx="0">
                  <c:v>Every day</c:v>
                </c:pt>
                <c:pt idx="1">
                  <c:v>5-6 days</c:v>
                </c:pt>
                <c:pt idx="2">
                  <c:v>2-4 days</c:v>
                </c:pt>
                <c:pt idx="3">
                  <c:v>One day or less</c:v>
                </c:pt>
              </c:strCache>
            </c:strRef>
          </c:cat>
          <c:val>
            <c:numRef>
              <c:f>'Physical activity'!$B$1:$B$4</c:f>
              <c:numCache>
                <c:formatCode>0%</c:formatCode>
                <c:ptCount val="4"/>
                <c:pt idx="0">
                  <c:v>0.83</c:v>
                </c:pt>
                <c:pt idx="1">
                  <c:v>0.09</c:v>
                </c:pt>
                <c:pt idx="2">
                  <c:v>0.05</c:v>
                </c:pt>
                <c:pt idx="3">
                  <c:v>0.03</c:v>
                </c:pt>
              </c:numCache>
            </c:numRef>
          </c:val>
          <c:extLst xmlns:c16r2="http://schemas.microsoft.com/office/drawing/2015/06/chart">
            <c:ext xmlns:c16="http://schemas.microsoft.com/office/drawing/2014/chart" uri="{C3380CC4-5D6E-409C-BE32-E72D297353CC}">
              <c16:uniqueId val="{00000007-586B-48B3-BA75-927805F0A11A}"/>
            </c:ext>
          </c:extLst>
        </c:ser>
        <c:dLbls>
          <c:dLblPos val="outEnd"/>
          <c:showLegendKey val="0"/>
          <c:showVal val="1"/>
          <c:showCatName val="0"/>
          <c:showSerName val="0"/>
          <c:showPercent val="0"/>
          <c:showBubbleSize val="0"/>
        </c:dLbls>
        <c:gapWidth val="0"/>
        <c:axId val="174786816"/>
        <c:axId val="174815488"/>
      </c:barChart>
      <c:catAx>
        <c:axId val="174786816"/>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crossAx val="174815488"/>
        <c:crosses val="autoZero"/>
        <c:auto val="1"/>
        <c:lblAlgn val="ctr"/>
        <c:lblOffset val="100"/>
        <c:noMultiLvlLbl val="0"/>
      </c:catAx>
      <c:valAx>
        <c:axId val="174815488"/>
        <c:scaling>
          <c:orientation val="minMax"/>
        </c:scaling>
        <c:delete val="0"/>
        <c:axPos val="l"/>
        <c:numFmt formatCode="0%" sourceLinked="1"/>
        <c:majorTickMark val="out"/>
        <c:minorTickMark val="none"/>
        <c:tickLblPos val="nextTo"/>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crossAx val="174786816"/>
        <c:crosses val="autoZero"/>
        <c:crossBetween val="between"/>
      </c:valAx>
    </c:plotArea>
    <c:plotVisOnly val="1"/>
    <c:dispBlanksAs val="gap"/>
    <c:showDLblsOverMax val="0"/>
  </c:chart>
  <c:spPr>
    <a:ln>
      <a:noFill/>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0718448329552"/>
          <c:y val="0.20636612122257114"/>
          <c:w val="0.76061230481782993"/>
          <c:h val="0.64050213420292157"/>
        </c:manualLayout>
      </c:layout>
      <c:barChart>
        <c:barDir val="col"/>
        <c:grouping val="percentStacked"/>
        <c:varyColors val="0"/>
        <c:ser>
          <c:idx val="0"/>
          <c:order val="0"/>
          <c:tx>
            <c:strRef>
              <c:f>SDQ!$G$3</c:f>
              <c:strCache>
                <c:ptCount val="1"/>
                <c:pt idx="0">
                  <c:v>Close to average</c:v>
                </c:pt>
              </c:strCache>
            </c:strRef>
          </c:tx>
          <c:spPr>
            <a:solidFill>
              <a:schemeClr val="tx2"/>
            </a:solidFill>
            <a:ln w="9525">
              <a:solidFill>
                <a:schemeClr val="bg1"/>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6EDE-4645-9E6A-30512123BA29}"/>
              </c:ext>
            </c:extLst>
          </c:dPt>
          <c:dPt>
            <c:idx val="1"/>
            <c:invertIfNegative val="0"/>
            <c:bubble3D val="0"/>
            <c:extLst xmlns:c16r2="http://schemas.microsoft.com/office/drawing/2015/06/chart">
              <c:ext xmlns:c16="http://schemas.microsoft.com/office/drawing/2014/chart" uri="{C3380CC4-5D6E-409C-BE32-E72D297353CC}">
                <c16:uniqueId val="{00000001-6EDE-4645-9E6A-30512123BA29}"/>
              </c:ext>
            </c:extLst>
          </c:dPt>
          <c:dPt>
            <c:idx val="3"/>
            <c:invertIfNegative val="0"/>
            <c:bubble3D val="0"/>
            <c:extLst xmlns:c16r2="http://schemas.microsoft.com/office/drawing/2015/06/chart">
              <c:ext xmlns:c16="http://schemas.microsoft.com/office/drawing/2014/chart" uri="{C3380CC4-5D6E-409C-BE32-E72D297353CC}">
                <c16:uniqueId val="{00000002-6EDE-4645-9E6A-30512123BA29}"/>
              </c:ext>
            </c:extLst>
          </c:dPt>
          <c:dPt>
            <c:idx val="4"/>
            <c:invertIfNegative val="0"/>
            <c:bubble3D val="0"/>
            <c:extLst xmlns:c16r2="http://schemas.microsoft.com/office/drawing/2015/06/chart">
              <c:ext xmlns:c16="http://schemas.microsoft.com/office/drawing/2014/chart" uri="{C3380CC4-5D6E-409C-BE32-E72D297353CC}">
                <c16:uniqueId val="{00000003-6EDE-4645-9E6A-30512123BA29}"/>
              </c:ext>
            </c:extLst>
          </c:dPt>
          <c:dPt>
            <c:idx val="5"/>
            <c:invertIfNegative val="0"/>
            <c:bubble3D val="0"/>
            <c:extLst xmlns:c16r2="http://schemas.microsoft.com/office/drawing/2015/06/chart">
              <c:ext xmlns:c16="http://schemas.microsoft.com/office/drawing/2014/chart" uri="{C3380CC4-5D6E-409C-BE32-E72D297353CC}">
                <c16:uniqueId val="{00000004-6EDE-4645-9E6A-30512123BA29}"/>
              </c:ext>
            </c:extLst>
          </c:dPt>
          <c:dPt>
            <c:idx val="6"/>
            <c:invertIfNegative val="0"/>
            <c:bubble3D val="0"/>
            <c:extLst xmlns:c16r2="http://schemas.microsoft.com/office/drawing/2015/06/chart">
              <c:ext xmlns:c16="http://schemas.microsoft.com/office/drawing/2014/chart" uri="{C3380CC4-5D6E-409C-BE32-E72D297353CC}">
                <c16:uniqueId val="{00000005-6EDE-4645-9E6A-30512123BA29}"/>
              </c:ext>
            </c:extLst>
          </c:dPt>
          <c:dPt>
            <c:idx val="7"/>
            <c:invertIfNegative val="0"/>
            <c:bubble3D val="0"/>
            <c:extLst xmlns:c16r2="http://schemas.microsoft.com/office/drawing/2015/06/chart">
              <c:ext xmlns:c16="http://schemas.microsoft.com/office/drawing/2014/chart" uri="{C3380CC4-5D6E-409C-BE32-E72D297353CC}">
                <c16:uniqueId val="{00000006-6EDE-4645-9E6A-30512123BA29}"/>
              </c:ext>
            </c:extLst>
          </c:dPt>
          <c:dLbls>
            <c:spPr>
              <a:noFill/>
            </c:spPr>
            <c:txPr>
              <a:bodyPr/>
              <a:lstStyle/>
              <a:p>
                <a:pPr>
                  <a:defRPr sz="8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SDQ!$F$4:$F$10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SDQ!$G$4:$G$10</c:f>
              <c:numCache>
                <c:formatCode>0%</c:formatCode>
                <c:ptCount val="7"/>
                <c:pt idx="0">
                  <c:v>0.88</c:v>
                </c:pt>
                <c:pt idx="1">
                  <c:v>0.81</c:v>
                </c:pt>
                <c:pt idx="2">
                  <c:v>0.79</c:v>
                </c:pt>
                <c:pt idx="3">
                  <c:v>0.84</c:v>
                </c:pt>
                <c:pt idx="4">
                  <c:v>0.85</c:v>
                </c:pt>
                <c:pt idx="6">
                  <c:v>0.75</c:v>
                </c:pt>
              </c:numCache>
            </c:numRef>
          </c:val>
          <c:extLst xmlns:c16r2="http://schemas.microsoft.com/office/drawing/2015/06/chart">
            <c:ext xmlns:c16="http://schemas.microsoft.com/office/drawing/2014/chart" uri="{C3380CC4-5D6E-409C-BE32-E72D297353CC}">
              <c16:uniqueId val="{00000007-6EDE-4645-9E6A-30512123BA29}"/>
            </c:ext>
          </c:extLst>
        </c:ser>
        <c:ser>
          <c:idx val="1"/>
          <c:order val="1"/>
          <c:tx>
            <c:strRef>
              <c:f>SDQ!$H$3</c:f>
              <c:strCache>
                <c:ptCount val="1"/>
                <c:pt idx="0">
                  <c:v>Slightly raised (lowered for prosocial)</c:v>
                </c:pt>
              </c:strCache>
            </c:strRef>
          </c:tx>
          <c:spPr>
            <a:solidFill>
              <a:schemeClr val="accent1"/>
            </a:solidFill>
            <a:ln>
              <a:solidFill>
                <a:schemeClr val="bg1"/>
              </a:solidFill>
            </a:ln>
          </c:spPr>
          <c:invertIfNegative val="0"/>
          <c:dLbls>
            <c:spPr>
              <a:noFill/>
              <a:ln>
                <a:noFill/>
              </a:ln>
              <a:effectLst/>
            </c:spPr>
            <c:txPr>
              <a:bodyPr/>
              <a:lstStyle/>
              <a:p>
                <a:pPr>
                  <a:defRPr>
                    <a:solidFill>
                      <a:schemeClr val="bg1"/>
                    </a:solidFill>
                    <a:latin typeface="+mn-lt"/>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SDQ!$F$4:$F$10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SDQ!$H$4:$H$10</c:f>
              <c:numCache>
                <c:formatCode>0%</c:formatCode>
                <c:ptCount val="7"/>
                <c:pt idx="0">
                  <c:v>0.05</c:v>
                </c:pt>
                <c:pt idx="1">
                  <c:v>0.08</c:v>
                </c:pt>
                <c:pt idx="2">
                  <c:v>0.11</c:v>
                </c:pt>
                <c:pt idx="3">
                  <c:v>0.05</c:v>
                </c:pt>
                <c:pt idx="4">
                  <c:v>0.04</c:v>
                </c:pt>
                <c:pt idx="6">
                  <c:v>0.1</c:v>
                </c:pt>
              </c:numCache>
            </c:numRef>
          </c:val>
          <c:extLst xmlns:c16r2="http://schemas.microsoft.com/office/drawing/2015/06/chart">
            <c:ext xmlns:c16="http://schemas.microsoft.com/office/drawing/2014/chart" uri="{C3380CC4-5D6E-409C-BE32-E72D297353CC}">
              <c16:uniqueId val="{00000008-6EDE-4645-9E6A-30512123BA29}"/>
            </c:ext>
          </c:extLst>
        </c:ser>
        <c:ser>
          <c:idx val="2"/>
          <c:order val="2"/>
          <c:tx>
            <c:strRef>
              <c:f>SDQ!$I$3</c:f>
              <c:strCache>
                <c:ptCount val="1"/>
                <c:pt idx="0">
                  <c:v>High (low for prosocial)</c:v>
                </c:pt>
              </c:strCache>
            </c:strRef>
          </c:tx>
          <c:spPr>
            <a:solidFill>
              <a:schemeClr val="accent4">
                <a:lumMod val="40000"/>
                <a:lumOff val="60000"/>
              </a:schemeClr>
            </a:solidFill>
            <a:ln>
              <a:solidFill>
                <a:schemeClr val="bg1"/>
              </a:solidFill>
            </a:ln>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SDQ!$F$4:$F$10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SDQ!$I$4:$I$10</c:f>
              <c:numCache>
                <c:formatCode>0%</c:formatCode>
                <c:ptCount val="7"/>
                <c:pt idx="0">
                  <c:v>0.05</c:v>
                </c:pt>
                <c:pt idx="1">
                  <c:v>0.09</c:v>
                </c:pt>
                <c:pt idx="2">
                  <c:v>0.04</c:v>
                </c:pt>
                <c:pt idx="3">
                  <c:v>0.04</c:v>
                </c:pt>
                <c:pt idx="4">
                  <c:v>0.05</c:v>
                </c:pt>
                <c:pt idx="6">
                  <c:v>0.05</c:v>
                </c:pt>
              </c:numCache>
            </c:numRef>
          </c:val>
          <c:extLst xmlns:c16r2="http://schemas.microsoft.com/office/drawing/2015/06/chart">
            <c:ext xmlns:c16="http://schemas.microsoft.com/office/drawing/2014/chart" uri="{C3380CC4-5D6E-409C-BE32-E72D297353CC}">
              <c16:uniqueId val="{00000009-6EDE-4645-9E6A-30512123BA29}"/>
            </c:ext>
          </c:extLst>
        </c:ser>
        <c:ser>
          <c:idx val="3"/>
          <c:order val="3"/>
          <c:tx>
            <c:strRef>
              <c:f>SDQ!$J$3</c:f>
              <c:strCache>
                <c:ptCount val="1"/>
                <c:pt idx="0">
                  <c:v>Very high (very low for prosocial)</c:v>
                </c:pt>
              </c:strCache>
            </c:strRef>
          </c:tx>
          <c:spPr>
            <a:solidFill>
              <a:schemeClr val="accent6"/>
            </a:solidFill>
            <a:ln>
              <a:solidFill>
                <a:schemeClr val="bg1"/>
              </a:solidFill>
            </a:ln>
          </c:spPr>
          <c:invertIfNegative val="0"/>
          <c:dLbls>
            <c:spPr>
              <a:noFill/>
              <a:ln>
                <a:noFill/>
              </a:ln>
              <a:effectLst/>
            </c:spPr>
            <c:txPr>
              <a:bodyPr/>
              <a:lstStyle/>
              <a:p>
                <a:pPr>
                  <a:defRPr>
                    <a:latin typeface="+mn-lt"/>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SDQ!$F$4:$F$10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SDQ!$J$4:$J$10</c:f>
              <c:numCache>
                <c:formatCode>0%</c:formatCode>
                <c:ptCount val="7"/>
                <c:pt idx="0">
                  <c:v>0.02</c:v>
                </c:pt>
                <c:pt idx="1">
                  <c:v>0.02</c:v>
                </c:pt>
                <c:pt idx="2">
                  <c:v>0.05</c:v>
                </c:pt>
                <c:pt idx="3">
                  <c:v>7.0000000000000007E-2</c:v>
                </c:pt>
                <c:pt idx="4">
                  <c:v>0.06</c:v>
                </c:pt>
                <c:pt idx="6">
                  <c:v>0.11</c:v>
                </c:pt>
              </c:numCache>
            </c:numRef>
          </c:val>
          <c:extLst xmlns:c16r2="http://schemas.microsoft.com/office/drawing/2015/06/chart">
            <c:ext xmlns:c16="http://schemas.microsoft.com/office/drawing/2014/chart" uri="{C3380CC4-5D6E-409C-BE32-E72D297353CC}">
              <c16:uniqueId val="{0000000A-6EDE-4645-9E6A-30512123BA29}"/>
            </c:ext>
          </c:extLst>
        </c:ser>
        <c:dLbls>
          <c:showLegendKey val="0"/>
          <c:showVal val="0"/>
          <c:showCatName val="0"/>
          <c:showSerName val="0"/>
          <c:showPercent val="0"/>
          <c:showBubbleSize val="0"/>
        </c:dLbls>
        <c:gapWidth val="50"/>
        <c:overlap val="100"/>
        <c:axId val="177957120"/>
        <c:axId val="177963008"/>
      </c:barChart>
      <c:catAx>
        <c:axId val="177957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7963008"/>
        <c:crosses val="autoZero"/>
        <c:auto val="0"/>
        <c:lblAlgn val="ctr"/>
        <c:lblOffset val="100"/>
        <c:noMultiLvlLbl val="0"/>
      </c:catAx>
      <c:valAx>
        <c:axId val="17796300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7957120"/>
        <c:crosses val="autoZero"/>
        <c:crossBetween val="between"/>
        <c:majorUnit val="0.1"/>
        <c:minorUnit val="4.000000000000001E-3"/>
      </c:valAx>
      <c:spPr>
        <a:noFill/>
        <a:ln w="25400">
          <a:noFill/>
        </a:ln>
      </c:spPr>
    </c:plotArea>
    <c:legend>
      <c:legendPos val="r"/>
      <c:layout>
        <c:manualLayout>
          <c:xMode val="edge"/>
          <c:yMode val="edge"/>
          <c:x val="0.85926390724431656"/>
          <c:y val="0.1071876763068168"/>
          <c:w val="0.12722168988135743"/>
          <c:h val="0.73483908767319406"/>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093241538524962"/>
          <c:w val="0.83744846300992037"/>
          <c:h val="0.55945178649151273"/>
        </c:manualLayout>
      </c:layout>
      <c:barChart>
        <c:barDir val="col"/>
        <c:grouping val="clustered"/>
        <c:varyColors val="0"/>
        <c:ser>
          <c:idx val="0"/>
          <c:order val="0"/>
          <c:spPr>
            <a:solidFill>
              <a:srgbClr val="002060"/>
            </a:solidFill>
            <a:ln w="25400">
              <a:noFill/>
            </a:ln>
          </c:spPr>
          <c:invertIfNegative val="0"/>
          <c:dPt>
            <c:idx val="0"/>
            <c:invertIfNegative val="0"/>
            <c:bubble3D val="0"/>
            <c:spPr>
              <a:solidFill>
                <a:schemeClr val="tx2"/>
              </a:solidFill>
              <a:ln w="25400">
                <a:noFill/>
              </a:ln>
            </c:spPr>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5">
                  <a:lumMod val="75000"/>
                </a:schemeClr>
              </a:solidFill>
              <a:ln w="25400">
                <a:noFill/>
              </a:ln>
            </c:spPr>
          </c:dPt>
          <c:dPt>
            <c:idx val="4"/>
            <c:invertIfNegative val="0"/>
            <c:bubble3D val="0"/>
            <c:spPr>
              <a:solidFill>
                <a:schemeClr val="tx2"/>
              </a:solidFill>
              <a:ln w="25400">
                <a:noFill/>
              </a:ln>
            </c:spPr>
          </c:dPt>
          <c:dPt>
            <c:idx val="5"/>
            <c:invertIfNegative val="0"/>
            <c:bubble3D val="0"/>
            <c:spPr>
              <a:solidFill>
                <a:schemeClr val="accent1"/>
              </a:solidFill>
              <a:ln w="25400">
                <a:noFill/>
              </a:ln>
            </c:spPr>
          </c:dPt>
          <c:dPt>
            <c:idx val="6"/>
            <c:invertIfNegative val="0"/>
            <c:bubble3D val="0"/>
            <c:spPr>
              <a:solidFill>
                <a:schemeClr val="accent4">
                  <a:lumMod val="40000"/>
                  <a:lumOff val="60000"/>
                </a:schemeClr>
              </a:solidFill>
              <a:ln w="25400">
                <a:noFill/>
              </a:ln>
            </c:spPr>
          </c:dPt>
          <c:dPt>
            <c:idx val="7"/>
            <c:invertIfNegative val="0"/>
            <c:bubble3D val="0"/>
            <c:spPr>
              <a:solidFill>
                <a:schemeClr val="accent5">
                  <a:lumMod val="60000"/>
                  <a:lumOff val="40000"/>
                </a:schemeClr>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'[1]GarSpace OwnRm'!$A$3:$B$9</c:f>
              <c:multiLvlStrCache>
                <c:ptCount val="7"/>
                <c:lvl>
                  <c:pt idx="0">
                    <c:v>Least deprived
3 quintiles</c:v>
                  </c:pt>
                  <c:pt idx="1">
                    <c:v>Most deprived
2 quintiles</c:v>
                  </c:pt>
                  <c:pt idx="2">
                    <c:v>All</c:v>
                  </c:pt>
                  <c:pt idx="4">
                    <c:v>Least deprived
3 quintiles</c:v>
                  </c:pt>
                  <c:pt idx="5">
                    <c:v>Most deprived
2 quintiles</c:v>
                  </c:pt>
                  <c:pt idx="6">
                    <c:v>All</c:v>
                  </c:pt>
                </c:lvl>
                <c:lvl>
                  <c:pt idx="0">
                    <c:v>Own garden</c:v>
                  </c:pt>
                  <c:pt idx="3">
                    <c:v> </c:v>
                  </c:pt>
                  <c:pt idx="4">
                    <c:v>Own bedroom</c:v>
                  </c:pt>
                </c:lvl>
              </c:multiLvlStrCache>
            </c:multiLvlStrRef>
          </c:cat>
          <c:val>
            <c:numRef>
              <c:f>'[1]GarSpace OwnRm'!$C$3:$C$9</c:f>
              <c:numCache>
                <c:formatCode>###0%</c:formatCode>
                <c:ptCount val="7"/>
                <c:pt idx="0">
                  <c:v>0.85</c:v>
                </c:pt>
                <c:pt idx="1">
                  <c:v>0.73</c:v>
                </c:pt>
                <c:pt idx="2">
                  <c:v>0.8</c:v>
                </c:pt>
                <c:pt idx="4">
                  <c:v>0.99</c:v>
                </c:pt>
                <c:pt idx="5">
                  <c:v>0.85</c:v>
                </c:pt>
                <c:pt idx="6">
                  <c:v>0.93</c:v>
                </c:pt>
              </c:numCache>
            </c:numRef>
          </c:val>
        </c:ser>
        <c:dLbls>
          <c:showLegendKey val="0"/>
          <c:showVal val="0"/>
          <c:showCatName val="0"/>
          <c:showSerName val="0"/>
          <c:showPercent val="0"/>
          <c:showBubbleSize val="0"/>
        </c:dLbls>
        <c:gapWidth val="0"/>
        <c:axId val="176999808"/>
        <c:axId val="178427008"/>
      </c:barChart>
      <c:catAx>
        <c:axId val="1769998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8427008"/>
        <c:crosses val="autoZero"/>
        <c:auto val="0"/>
        <c:lblAlgn val="ctr"/>
        <c:lblOffset val="100"/>
        <c:noMultiLvlLbl val="0"/>
      </c:catAx>
      <c:valAx>
        <c:axId val="178427008"/>
        <c:scaling>
          <c:orientation val="minMax"/>
          <c:max val="1"/>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76999808"/>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18140083274930949"/>
          <c:w val="0.83744846300992037"/>
          <c:h val="0.72467710766923366"/>
        </c:manualLayout>
      </c:layout>
      <c:barChart>
        <c:barDir val="col"/>
        <c:grouping val="clustered"/>
        <c:varyColors val="0"/>
        <c:ser>
          <c:idx val="0"/>
          <c:order val="0"/>
          <c:tx>
            <c:strRef>
              <c:f>ChGenH!$B$2</c:f>
              <c:strCache>
                <c:ptCount val="1"/>
                <c:pt idx="0">
                  <c:v>High</c:v>
                </c:pt>
              </c:strCache>
            </c:strRef>
          </c:tx>
          <c:spPr>
            <a:solidFill>
              <a:srgbClr val="002060"/>
            </a:solidFill>
            <a:ln w="25400">
              <a:noFill/>
            </a:ln>
          </c:spPr>
          <c:invertIfNegative val="0"/>
          <c:dPt>
            <c:idx val="0"/>
            <c:invertIfNegative val="0"/>
            <c:bubble3D val="0"/>
            <c:spPr>
              <a:solidFill>
                <a:schemeClr val="tx2"/>
              </a:solidFill>
              <a:ln w="25400">
                <a:noFill/>
              </a:ln>
            </c:spPr>
            <c:extLst xmlns:c16r2="http://schemas.microsoft.com/office/drawing/2015/06/chart">
              <c:ext xmlns:c16="http://schemas.microsoft.com/office/drawing/2014/chart" uri="{C3380CC4-5D6E-409C-BE32-E72D297353CC}">
                <c16:uniqueId val="{00000001-7480-48E0-8F24-6A0D2DF0079B}"/>
              </c:ext>
            </c:extLst>
          </c:dPt>
          <c:dPt>
            <c:idx val="1"/>
            <c:invertIfNegative val="0"/>
            <c:bubble3D val="0"/>
            <c:spPr>
              <a:solidFill>
                <a:schemeClr val="accent1"/>
              </a:solidFill>
              <a:ln w="25400">
                <a:noFill/>
              </a:ln>
            </c:spPr>
            <c:extLst xmlns:c16r2="http://schemas.microsoft.com/office/drawing/2015/06/chart">
              <c:ext xmlns:c16="http://schemas.microsoft.com/office/drawing/2014/chart" uri="{C3380CC4-5D6E-409C-BE32-E72D297353CC}">
                <c16:uniqueId val="{00000003-7480-48E0-8F24-6A0D2DF0079B}"/>
              </c:ext>
            </c:extLst>
          </c:dPt>
          <c:dPt>
            <c:idx val="3"/>
            <c:invertIfNegative val="0"/>
            <c:bubble3D val="0"/>
            <c:spPr>
              <a:solidFill>
                <a:schemeClr val="tx2"/>
              </a:solidFill>
              <a:ln w="25400">
                <a:noFill/>
              </a:ln>
            </c:spPr>
            <c:extLst xmlns:c16r2="http://schemas.microsoft.com/office/drawing/2015/06/chart">
              <c:ext xmlns:c16="http://schemas.microsoft.com/office/drawing/2014/chart" uri="{C3380CC4-5D6E-409C-BE32-E72D297353CC}">
                <c16:uniqueId val="{00000005-7480-48E0-8F24-6A0D2DF0079B}"/>
              </c:ext>
            </c:extLst>
          </c:dPt>
          <c:dPt>
            <c:idx val="4"/>
            <c:invertIfNegative val="0"/>
            <c:bubble3D val="0"/>
            <c:spPr>
              <a:solidFill>
                <a:schemeClr val="accent1"/>
              </a:solidFill>
              <a:ln w="25400">
                <a:noFill/>
              </a:ln>
            </c:spPr>
            <c:extLst xmlns:c16r2="http://schemas.microsoft.com/office/drawing/2015/06/chart">
              <c:ext xmlns:c16="http://schemas.microsoft.com/office/drawing/2014/chart" uri="{C3380CC4-5D6E-409C-BE32-E72D297353CC}">
                <c16:uniqueId val="{00000007-7480-48E0-8F24-6A0D2DF0079B}"/>
              </c:ext>
            </c:extLst>
          </c:dPt>
          <c:dPt>
            <c:idx val="5"/>
            <c:invertIfNegative val="0"/>
            <c:bubble3D val="0"/>
            <c:spPr>
              <a:solidFill>
                <a:schemeClr val="accent2">
                  <a:lumMod val="60000"/>
                  <a:lumOff val="40000"/>
                </a:schemeClr>
              </a:solidFill>
              <a:ln w="25400">
                <a:noFill/>
              </a:ln>
            </c:spPr>
            <c:extLst xmlns:c16r2="http://schemas.microsoft.com/office/drawing/2015/06/chart">
              <c:ext xmlns:c16="http://schemas.microsoft.com/office/drawing/2014/chart" uri="{C3380CC4-5D6E-409C-BE32-E72D297353CC}">
                <c16:uniqueId val="{00000009-7480-48E0-8F24-6A0D2DF0079B}"/>
              </c:ext>
            </c:extLst>
          </c:dPt>
          <c:dPt>
            <c:idx val="6"/>
            <c:invertIfNegative val="0"/>
            <c:bubble3D val="0"/>
            <c:spPr>
              <a:solidFill>
                <a:schemeClr val="accent4">
                  <a:lumMod val="40000"/>
                  <a:lumOff val="60000"/>
                </a:schemeClr>
              </a:solidFill>
              <a:ln w="25400">
                <a:noFill/>
              </a:ln>
            </c:spPr>
            <c:extLst xmlns:c16r2="http://schemas.microsoft.com/office/drawing/2015/06/chart">
              <c:ext xmlns:c16="http://schemas.microsoft.com/office/drawing/2014/chart" uri="{C3380CC4-5D6E-409C-BE32-E72D297353CC}">
                <c16:uniqueId val="{0000000B-7480-48E0-8F24-6A0D2DF0079B}"/>
              </c:ext>
            </c:extLst>
          </c:dPt>
          <c:dPt>
            <c:idx val="7"/>
            <c:invertIfNegative val="0"/>
            <c:bubble3D val="0"/>
            <c:spPr>
              <a:solidFill>
                <a:schemeClr val="accent5">
                  <a:lumMod val="60000"/>
                  <a:lumOff val="40000"/>
                </a:schemeClr>
              </a:solidFill>
              <a:ln w="25400">
                <a:noFill/>
              </a:ln>
            </c:spPr>
            <c:extLst xmlns:c16r2="http://schemas.microsoft.com/office/drawing/2015/06/chart">
              <c:ext xmlns:c16="http://schemas.microsoft.com/office/drawing/2014/chart" uri="{C3380CC4-5D6E-409C-BE32-E72D297353CC}">
                <c16:uniqueId val="{0000000D-7480-48E0-8F24-6A0D2DF0079B}"/>
              </c:ext>
            </c:extLst>
          </c:dPt>
          <c:dLbls>
            <c:spPr>
              <a:noFill/>
              <a:ln>
                <a:noFill/>
              </a:ln>
              <a:effectLst/>
            </c:spPr>
            <c:txPr>
              <a:bodyPr/>
              <a:lstStyle/>
              <a:p>
                <a:pPr>
                  <a:defRPr sz="900">
                    <a:latin typeface="+mn-lt"/>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ChGenH!$A$3:$A$9</c:f>
              <c:strCache>
                <c:ptCount val="7"/>
                <c:pt idx="0">
                  <c:v>Average or better parental mental health</c:v>
                </c:pt>
                <c:pt idx="1">
                  <c:v>Poorer parental mental health</c:v>
                </c:pt>
                <c:pt idx="3">
                  <c:v>Average or better parental physical health</c:v>
                </c:pt>
                <c:pt idx="4">
                  <c:v>Poorer parental physical health</c:v>
                </c:pt>
                <c:pt idx="6">
                  <c:v>All</c:v>
                </c:pt>
              </c:strCache>
            </c:strRef>
          </c:cat>
          <c:val>
            <c:numRef>
              <c:f>ChGenH!$B$3:$B$9</c:f>
              <c:numCache>
                <c:formatCode>###0%</c:formatCode>
                <c:ptCount val="7"/>
                <c:pt idx="0">
                  <c:v>0.9</c:v>
                </c:pt>
                <c:pt idx="1">
                  <c:v>0.56000000000000005</c:v>
                </c:pt>
                <c:pt idx="3">
                  <c:v>0.87</c:v>
                </c:pt>
                <c:pt idx="4">
                  <c:v>0.7</c:v>
                </c:pt>
                <c:pt idx="6">
                  <c:v>0.85</c:v>
                </c:pt>
              </c:numCache>
            </c:numRef>
          </c:val>
          <c:extLst xmlns:c16r2="http://schemas.microsoft.com/office/drawing/2015/06/chart">
            <c:ext xmlns:c16="http://schemas.microsoft.com/office/drawing/2014/chart" uri="{C3380CC4-5D6E-409C-BE32-E72D297353CC}">
              <c16:uniqueId val="{0000000E-7480-48E0-8F24-6A0D2DF0079B}"/>
            </c:ext>
          </c:extLst>
        </c:ser>
        <c:dLbls>
          <c:showLegendKey val="0"/>
          <c:showVal val="0"/>
          <c:showCatName val="0"/>
          <c:showSerName val="0"/>
          <c:showPercent val="0"/>
          <c:showBubbleSize val="0"/>
        </c:dLbls>
        <c:gapWidth val="0"/>
        <c:axId val="178449792"/>
        <c:axId val="178848896"/>
      </c:barChart>
      <c:catAx>
        <c:axId val="178449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178848896"/>
        <c:crosses val="autoZero"/>
        <c:auto val="0"/>
        <c:lblAlgn val="ctr"/>
        <c:lblOffset val="100"/>
        <c:noMultiLvlLbl val="0"/>
      </c:catAx>
      <c:valAx>
        <c:axId val="178848896"/>
        <c:scaling>
          <c:orientation val="minMax"/>
          <c:max val="1"/>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Tahoma"/>
                <a:cs typeface="Tahoma"/>
              </a:defRPr>
            </a:pPr>
            <a:endParaRPr lang="en-US"/>
          </a:p>
        </c:txPr>
        <c:crossAx val="178449792"/>
        <c:crosses val="autoZero"/>
        <c:crossBetween val="between"/>
        <c:majorUnit val="0.2"/>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35958005249346E-2"/>
          <c:y val="0.17129629629629631"/>
          <c:w val="0.86516404199475072"/>
          <c:h val="0.68450568678915136"/>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DC4E-419F-A53E-357C5177AF69}"/>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DC4E-419F-A53E-357C5177AF69}"/>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DC4E-419F-A53E-357C5177AF69}"/>
              </c:ext>
            </c:extLst>
          </c:dPt>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'Life satisfaction'!$A$2:$A$4</c:f>
              <c:strCache>
                <c:ptCount val="3"/>
                <c:pt idx="0">
                  <c:v>7 to 10 (10= extremely satisfied)</c:v>
                </c:pt>
                <c:pt idx="1">
                  <c:v>4 to 6</c:v>
                </c:pt>
                <c:pt idx="2">
                  <c:v>0 to 3 (0= extremely dissatisfied)</c:v>
                </c:pt>
              </c:strCache>
            </c:strRef>
          </c:cat>
          <c:val>
            <c:numRef>
              <c:f>'Life satisfaction'!$B$2:$B$4</c:f>
              <c:numCache>
                <c:formatCode>###0%</c:formatCode>
                <c:ptCount val="3"/>
                <c:pt idx="0">
                  <c:v>0.8</c:v>
                </c:pt>
                <c:pt idx="1">
                  <c:v>0.16</c:v>
                </c:pt>
                <c:pt idx="2">
                  <c:v>0.04</c:v>
                </c:pt>
              </c:numCache>
            </c:numRef>
          </c:val>
          <c:extLst xmlns:c16r2="http://schemas.microsoft.com/office/drawing/2015/06/chart">
            <c:ext xmlns:c16="http://schemas.microsoft.com/office/drawing/2014/chart" uri="{C3380CC4-5D6E-409C-BE32-E72D297353CC}">
              <c16:uniqueId val="{00000005-DC4E-419F-A53E-357C5177AF69}"/>
            </c:ext>
          </c:extLst>
        </c:ser>
        <c:dLbls>
          <c:dLblPos val="outEnd"/>
          <c:showLegendKey val="0"/>
          <c:showVal val="1"/>
          <c:showCatName val="0"/>
          <c:showSerName val="0"/>
          <c:showPercent val="0"/>
          <c:showBubbleSize val="0"/>
        </c:dLbls>
        <c:gapWidth val="0"/>
        <c:axId val="179267456"/>
        <c:axId val="179271168"/>
      </c:barChart>
      <c:catAx>
        <c:axId val="179267456"/>
        <c:scaling>
          <c:orientation val="minMax"/>
        </c:scaling>
        <c:delete val="0"/>
        <c:axPos val="b"/>
        <c:numFmt formatCode="General" sourceLinked="0"/>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79271168"/>
        <c:crosses val="autoZero"/>
        <c:auto val="1"/>
        <c:lblAlgn val="ctr"/>
        <c:lblOffset val="100"/>
        <c:noMultiLvlLbl val="0"/>
      </c:catAx>
      <c:valAx>
        <c:axId val="179271168"/>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79267456"/>
        <c:crosses val="autoZero"/>
        <c:crossBetween val="between"/>
      </c:valAx>
    </c:plotArea>
    <c:plotVisOnly val="1"/>
    <c:dispBlanksAs val="gap"/>
    <c:showDLblsOverMax val="0"/>
  </c:chart>
  <c:spPr>
    <a:ln>
      <a:noFill/>
    </a:ln>
  </c:sp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0.16714129483814524"/>
          <c:w val="0.84703937007874031"/>
          <c:h val="0.66595290172061827"/>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F550-417C-96A8-5C73E7EB594F}"/>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F550-417C-96A8-5C73E7EB594F}"/>
              </c:ext>
            </c:extLst>
          </c:dPt>
          <c:dPt>
            <c:idx val="3"/>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F550-417C-96A8-5C73E7EB594F}"/>
              </c:ext>
            </c:extLst>
          </c:dPt>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Smoking!$A$2:$A$5</c:f>
              <c:strCache>
                <c:ptCount val="4"/>
                <c:pt idx="0">
                  <c:v>Least deprived
3 quintiles</c:v>
                </c:pt>
                <c:pt idx="1">
                  <c:v>Most deprived
2 quintiles</c:v>
                </c:pt>
                <c:pt idx="3">
                  <c:v>All</c:v>
                </c:pt>
              </c:strCache>
            </c:strRef>
          </c:cat>
          <c:val>
            <c:numRef>
              <c:f>Smoking!$B$2:$B$5</c:f>
              <c:numCache>
                <c:formatCode>###0%</c:formatCode>
                <c:ptCount val="4"/>
                <c:pt idx="0">
                  <c:v>0.11</c:v>
                </c:pt>
                <c:pt idx="1">
                  <c:v>0.28000000000000003</c:v>
                </c:pt>
                <c:pt idx="3">
                  <c:v>0.19</c:v>
                </c:pt>
              </c:numCache>
            </c:numRef>
          </c:val>
          <c:extLst xmlns:c16r2="http://schemas.microsoft.com/office/drawing/2015/06/chart">
            <c:ext xmlns:c16="http://schemas.microsoft.com/office/drawing/2014/chart" uri="{C3380CC4-5D6E-409C-BE32-E72D297353CC}">
              <c16:uniqueId val="{00000005-F550-417C-96A8-5C73E7EB594F}"/>
            </c:ext>
          </c:extLst>
        </c:ser>
        <c:dLbls>
          <c:showLegendKey val="0"/>
          <c:showVal val="0"/>
          <c:showCatName val="0"/>
          <c:showSerName val="0"/>
          <c:showPercent val="0"/>
          <c:showBubbleSize val="0"/>
        </c:dLbls>
        <c:gapWidth val="0"/>
        <c:axId val="190881792"/>
        <c:axId val="190883328"/>
      </c:barChart>
      <c:catAx>
        <c:axId val="190881792"/>
        <c:scaling>
          <c:orientation val="minMax"/>
        </c:scaling>
        <c:delete val="0"/>
        <c:axPos val="b"/>
        <c:numFmt formatCode="General" sourceLinked="0"/>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0883328"/>
        <c:crosses val="autoZero"/>
        <c:auto val="1"/>
        <c:lblAlgn val="ctr"/>
        <c:lblOffset val="100"/>
        <c:noMultiLvlLbl val="0"/>
      </c:catAx>
      <c:valAx>
        <c:axId val="190883328"/>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0881792"/>
        <c:crosses val="autoZero"/>
        <c:crossBetween val="between"/>
      </c:valAx>
    </c:plotArea>
    <c:plotVisOnly val="1"/>
    <c:dispBlanksAs val="gap"/>
    <c:showDLblsOverMax val="0"/>
  </c:chart>
  <c:spPr>
    <a:ln>
      <a:noFill/>
    </a:ln>
  </c:sp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17E-2"/>
          <c:y val="0.18565981335666376"/>
          <c:w val="0.87203937007874022"/>
          <c:h val="0.61217920676582083"/>
        </c:manualLayout>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accent1"/>
              </a:solidFill>
            </c:spPr>
          </c:dPt>
          <c:dPt>
            <c:idx val="2"/>
            <c:invertIfNegative val="0"/>
            <c:bubble3D val="0"/>
            <c:spPr>
              <a:solidFill>
                <a:schemeClr val="accent4">
                  <a:lumMod val="40000"/>
                  <a:lumOff val="60000"/>
                </a:schemeClr>
              </a:solidFill>
            </c:spPr>
          </c:dPt>
          <c:dPt>
            <c:idx val="3"/>
            <c:invertIfNegative val="0"/>
            <c:bubble3D val="0"/>
            <c:spPr>
              <a:solidFill>
                <a:schemeClr val="accent6"/>
              </a:solidFill>
            </c:spPr>
          </c:dPt>
          <c:dPt>
            <c:idx val="4"/>
            <c:invertIfNegative val="0"/>
            <c:bubble3D val="0"/>
            <c:spPr>
              <a:solidFill>
                <a:schemeClr val="accent6">
                  <a:lumMod val="40000"/>
                  <a:lumOff val="60000"/>
                </a:schemeClr>
              </a:solidFill>
            </c:spPr>
          </c:dPt>
          <c:dLbls>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TypeofPreSch!$A$2:$A$6</c:f>
              <c:strCache>
                <c:ptCount val="5"/>
                <c:pt idx="0">
                  <c:v>Nursery attached to LA primary school</c:v>
                </c:pt>
                <c:pt idx="1">
                  <c:v>Private day nursery / nursery school</c:v>
                </c:pt>
                <c:pt idx="2">
                  <c:v>LA nursery school/centre</c:v>
                </c:pt>
                <c:pt idx="3">
                  <c:v>Nursery attached to independent / private school</c:v>
                </c:pt>
                <c:pt idx="4">
                  <c:v>Family Centre</c:v>
                </c:pt>
              </c:strCache>
            </c:strRef>
          </c:cat>
          <c:val>
            <c:numRef>
              <c:f>TypeofPreSch!$B$2:$B$6</c:f>
              <c:numCache>
                <c:formatCode>###0%</c:formatCode>
                <c:ptCount val="5"/>
                <c:pt idx="0">
                  <c:v>0.79</c:v>
                </c:pt>
                <c:pt idx="1">
                  <c:v>0.09</c:v>
                </c:pt>
                <c:pt idx="2">
                  <c:v>7.0000000000000007E-2</c:v>
                </c:pt>
                <c:pt idx="3">
                  <c:v>0.04</c:v>
                </c:pt>
                <c:pt idx="4">
                  <c:v>0.01</c:v>
                </c:pt>
              </c:numCache>
            </c:numRef>
          </c:val>
        </c:ser>
        <c:dLbls>
          <c:dLblPos val="outEnd"/>
          <c:showLegendKey val="0"/>
          <c:showVal val="1"/>
          <c:showCatName val="0"/>
          <c:showSerName val="0"/>
          <c:showPercent val="0"/>
          <c:showBubbleSize val="0"/>
        </c:dLbls>
        <c:gapWidth val="0"/>
        <c:axId val="191816448"/>
        <c:axId val="192357888"/>
      </c:barChart>
      <c:catAx>
        <c:axId val="191816448"/>
        <c:scaling>
          <c:orientation val="minMax"/>
        </c:scaling>
        <c:delete val="0"/>
        <c:axPos val="b"/>
        <c:majorTickMark val="out"/>
        <c:minorTickMark val="none"/>
        <c:tickLblPos val="nextTo"/>
        <c:txPr>
          <a:bodyPr/>
          <a:lstStyle/>
          <a:p>
            <a:pPr>
              <a:defRPr sz="800">
                <a:latin typeface="Arial" panose="020B0604020202020204" pitchFamily="34" charset="0"/>
                <a:ea typeface="Tahoma" panose="020B0604030504040204" pitchFamily="34" charset="0"/>
                <a:cs typeface="Arial" panose="020B0604020202020204" pitchFamily="34" charset="0"/>
              </a:defRPr>
            </a:pPr>
            <a:endParaRPr lang="en-US"/>
          </a:p>
        </c:txPr>
        <c:crossAx val="192357888"/>
        <c:crosses val="autoZero"/>
        <c:auto val="1"/>
        <c:lblAlgn val="ctr"/>
        <c:lblOffset val="100"/>
        <c:noMultiLvlLbl val="0"/>
      </c:catAx>
      <c:valAx>
        <c:axId val="192357888"/>
        <c:scaling>
          <c:orientation val="minMax"/>
        </c:scaling>
        <c:delete val="0"/>
        <c:axPos val="l"/>
        <c:majorGridlines>
          <c:spPr>
            <a:ln>
              <a:noFill/>
            </a:ln>
          </c:spPr>
        </c:majorGridlines>
        <c:numFmt formatCode="###0%" sourceLinked="1"/>
        <c:majorTickMark val="out"/>
        <c:minorTickMark val="none"/>
        <c:tickLblPos val="nextTo"/>
        <c:txPr>
          <a:bodyPr/>
          <a:lstStyle/>
          <a:p>
            <a:pPr>
              <a:defRPr sz="800">
                <a:latin typeface="Arial" panose="020B0604020202020204" pitchFamily="34" charset="0"/>
                <a:ea typeface="Tahoma" panose="020B0604030504040204" pitchFamily="34" charset="0"/>
                <a:cs typeface="Arial" panose="020B0604020202020204" pitchFamily="34" charset="0"/>
              </a:defRPr>
            </a:pPr>
            <a:endParaRPr lang="en-US"/>
          </a:p>
        </c:txPr>
        <c:crossAx val="191816448"/>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76061230481782993"/>
          <c:h val="0.64050213420292157"/>
        </c:manualLayout>
      </c:layout>
      <c:barChart>
        <c:barDir val="col"/>
        <c:grouping val="percentStacked"/>
        <c:varyColors val="0"/>
        <c:ser>
          <c:idx val="0"/>
          <c:order val="0"/>
          <c:tx>
            <c:strRef>
              <c:f>SDQ!$D$3</c:f>
              <c:strCache>
                <c:ptCount val="1"/>
                <c:pt idx="0">
                  <c:v>Close to average</c:v>
                </c:pt>
              </c:strCache>
            </c:strRef>
          </c:tx>
          <c:spPr>
            <a:solidFill>
              <a:schemeClr val="tx2"/>
            </a:solidFill>
            <a:ln w="9525">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SDQ!$C$4:$C$10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SDQ!$D$4:$D$10</c:f>
              <c:numCache>
                <c:formatCode>0%</c:formatCode>
                <c:ptCount val="7"/>
                <c:pt idx="0">
                  <c:v>0.61</c:v>
                </c:pt>
                <c:pt idx="1">
                  <c:v>0.81</c:v>
                </c:pt>
                <c:pt idx="2">
                  <c:v>0.66</c:v>
                </c:pt>
                <c:pt idx="3">
                  <c:v>0.66614700000000004</c:v>
                </c:pt>
                <c:pt idx="4">
                  <c:v>0.66</c:v>
                </c:pt>
                <c:pt idx="6">
                  <c:v>0.61</c:v>
                </c:pt>
              </c:numCache>
            </c:numRef>
          </c:val>
        </c:ser>
        <c:ser>
          <c:idx val="1"/>
          <c:order val="1"/>
          <c:tx>
            <c:strRef>
              <c:f>SDQ!$E$3</c:f>
              <c:strCache>
                <c:ptCount val="1"/>
                <c:pt idx="0">
                  <c:v>Slightly raised (lowered for prosocial)</c:v>
                </c:pt>
              </c:strCache>
            </c:strRef>
          </c:tx>
          <c:spPr>
            <a:solidFill>
              <a:schemeClr val="accent1"/>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SDQ!$C$4:$C$10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SDQ!$E$4:$E$10</c:f>
              <c:numCache>
                <c:formatCode>0%</c:formatCode>
                <c:ptCount val="7"/>
                <c:pt idx="0">
                  <c:v>0.12</c:v>
                </c:pt>
                <c:pt idx="1">
                  <c:v>0.08</c:v>
                </c:pt>
                <c:pt idx="2">
                  <c:v>0.12</c:v>
                </c:pt>
                <c:pt idx="3">
                  <c:v>0.131523</c:v>
                </c:pt>
                <c:pt idx="4">
                  <c:v>0.14000000000000001</c:v>
                </c:pt>
                <c:pt idx="6">
                  <c:v>0.14000000000000001</c:v>
                </c:pt>
              </c:numCache>
            </c:numRef>
          </c:val>
        </c:ser>
        <c:ser>
          <c:idx val="2"/>
          <c:order val="2"/>
          <c:tx>
            <c:strRef>
              <c:f>SDQ!$F$3</c:f>
              <c:strCache>
                <c:ptCount val="1"/>
                <c:pt idx="0">
                  <c:v>High (low for prosocial)</c:v>
                </c:pt>
              </c:strCache>
            </c:strRef>
          </c:tx>
          <c:spPr>
            <a:solidFill>
              <a:schemeClr val="accent4">
                <a:lumMod val="40000"/>
                <a:lumOff val="60000"/>
              </a:schemeClr>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SDQ!$C$4:$C$10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SDQ!$F$4:$F$10</c:f>
              <c:numCache>
                <c:formatCode>0%</c:formatCode>
                <c:ptCount val="7"/>
                <c:pt idx="0">
                  <c:v>0.09</c:v>
                </c:pt>
                <c:pt idx="1">
                  <c:v>0.06</c:v>
                </c:pt>
                <c:pt idx="2">
                  <c:v>0.08</c:v>
                </c:pt>
                <c:pt idx="3">
                  <c:v>0.09</c:v>
                </c:pt>
                <c:pt idx="4">
                  <c:v>6.8628999999999996E-2</c:v>
                </c:pt>
                <c:pt idx="6">
                  <c:v>0.12</c:v>
                </c:pt>
              </c:numCache>
            </c:numRef>
          </c:val>
        </c:ser>
        <c:ser>
          <c:idx val="3"/>
          <c:order val="3"/>
          <c:tx>
            <c:strRef>
              <c:f>SDQ!$G$3</c:f>
              <c:strCache>
                <c:ptCount val="1"/>
                <c:pt idx="0">
                  <c:v>Very high (very low for prosocial)</c:v>
                </c:pt>
              </c:strCache>
            </c:strRef>
          </c:tx>
          <c:spPr>
            <a:solidFill>
              <a:schemeClr val="accent6"/>
            </a:solidFill>
            <a:ln>
              <a:solidFill>
                <a:schemeClr val="bg1"/>
              </a:solidFill>
            </a:ln>
          </c:spPr>
          <c:invertIfNegative val="0"/>
          <c:dLbls>
            <c:txPr>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SDQ!$C$4:$C$10</c:f>
              <c:strCache>
                <c:ptCount val="7"/>
                <c:pt idx="0">
                  <c:v>Emotional symptoms</c:v>
                </c:pt>
                <c:pt idx="1">
                  <c:v>Conduct problems</c:v>
                </c:pt>
                <c:pt idx="2">
                  <c:v>Hyperactivity</c:v>
                </c:pt>
                <c:pt idx="3">
                  <c:v>Peer problems</c:v>
                </c:pt>
                <c:pt idx="4">
                  <c:v>Total difficulties</c:v>
                </c:pt>
                <c:pt idx="5">
                  <c:v> </c:v>
                </c:pt>
                <c:pt idx="6">
                  <c:v>Prosocial behaviour</c:v>
                </c:pt>
              </c:strCache>
            </c:strRef>
          </c:cat>
          <c:val>
            <c:numRef>
              <c:f>SDQ!$G$4:$G$10</c:f>
              <c:numCache>
                <c:formatCode>0%</c:formatCode>
                <c:ptCount val="7"/>
                <c:pt idx="0">
                  <c:v>0.17</c:v>
                </c:pt>
                <c:pt idx="1">
                  <c:v>0.05</c:v>
                </c:pt>
                <c:pt idx="2">
                  <c:v>0.14000000000000001</c:v>
                </c:pt>
                <c:pt idx="3">
                  <c:v>0.10710699999999999</c:v>
                </c:pt>
                <c:pt idx="4">
                  <c:v>0.13542599999999999</c:v>
                </c:pt>
                <c:pt idx="6">
                  <c:v>0.13</c:v>
                </c:pt>
              </c:numCache>
            </c:numRef>
          </c:val>
        </c:ser>
        <c:dLbls>
          <c:showLegendKey val="0"/>
          <c:showVal val="0"/>
          <c:showCatName val="0"/>
          <c:showSerName val="0"/>
          <c:showPercent val="0"/>
          <c:showBubbleSize val="0"/>
        </c:dLbls>
        <c:gapWidth val="50"/>
        <c:overlap val="100"/>
        <c:axId val="186209792"/>
        <c:axId val="186211328"/>
      </c:barChart>
      <c:catAx>
        <c:axId val="186209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86211328"/>
        <c:crosses val="autoZero"/>
        <c:auto val="0"/>
        <c:lblAlgn val="ctr"/>
        <c:lblOffset val="100"/>
        <c:noMultiLvlLbl val="0"/>
      </c:catAx>
      <c:valAx>
        <c:axId val="18621132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j-lt"/>
                <a:ea typeface="Tahoma"/>
                <a:cs typeface="Tahoma"/>
              </a:defRPr>
            </a:pPr>
            <a:endParaRPr lang="en-US"/>
          </a:p>
        </c:txPr>
        <c:crossAx val="186209792"/>
        <c:crosses val="autoZero"/>
        <c:crossBetween val="between"/>
        <c:majorUnit val="0.1"/>
        <c:minorUnit val="4.000000000000001E-3"/>
      </c:valAx>
      <c:spPr>
        <a:noFill/>
        <a:ln w="25400">
          <a:noFill/>
        </a:ln>
      </c:spPr>
    </c:plotArea>
    <c:legend>
      <c:legendPos val="r"/>
      <c:layout>
        <c:manualLayout>
          <c:xMode val="edge"/>
          <c:yMode val="edge"/>
          <c:x val="0.85456244979250651"/>
          <c:y val="3.1984578917254709E-2"/>
          <c:w val="0.12957324778847087"/>
          <c:h val="0.7848858104355213"/>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0079699567"/>
          <c:y val="0.19344005457467597"/>
          <c:w val="0.83744846300992037"/>
          <c:h val="0.67521746406893535"/>
        </c:manualLayout>
      </c:layout>
      <c:barChart>
        <c:barDir val="col"/>
        <c:grouping val="clustered"/>
        <c:varyColors val="0"/>
        <c:ser>
          <c:idx val="0"/>
          <c:order val="0"/>
          <c:spPr>
            <a:solidFill>
              <a:srgbClr val="002060"/>
            </a:solidFill>
            <a:ln w="25400">
              <a:noFill/>
            </a:ln>
          </c:spPr>
          <c:invertIfNegative val="0"/>
          <c:dPt>
            <c:idx val="0"/>
            <c:invertIfNegative val="0"/>
            <c:bubble3D val="0"/>
            <c:spPr>
              <a:solidFill>
                <a:schemeClr val="tx2"/>
              </a:solidFill>
              <a:ln w="25400">
                <a:noFill/>
              </a:ln>
            </c:spPr>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lumMod val="40000"/>
                  <a:lumOff val="60000"/>
                </a:schemeClr>
              </a:solidFill>
              <a:ln w="25400">
                <a:noFill/>
              </a:ln>
            </c:spPr>
          </c:dPt>
          <c:dPt>
            <c:idx val="5"/>
            <c:invertIfNegative val="0"/>
            <c:bubble3D val="0"/>
            <c:spPr>
              <a:solidFill>
                <a:schemeClr val="accent2">
                  <a:lumMod val="60000"/>
                  <a:lumOff val="40000"/>
                </a:schemeClr>
              </a:solidFill>
              <a:ln w="25400">
                <a:noFill/>
              </a:ln>
            </c:spPr>
          </c:dPt>
          <c:dPt>
            <c:idx val="6"/>
            <c:invertIfNegative val="0"/>
            <c:bubble3D val="0"/>
            <c:spPr>
              <a:solidFill>
                <a:schemeClr val="accent6">
                  <a:lumMod val="60000"/>
                  <a:lumOff val="40000"/>
                </a:schemeClr>
              </a:solidFill>
              <a:ln w="25400">
                <a:noFill/>
              </a:ln>
            </c:spPr>
          </c:dPt>
          <c:dPt>
            <c:idx val="7"/>
            <c:invertIfNegative val="0"/>
            <c:bubble3D val="0"/>
            <c:spPr>
              <a:solidFill>
                <a:schemeClr val="accent5">
                  <a:lumMod val="60000"/>
                  <a:lumOff val="40000"/>
                </a:schemeClr>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HomeLearn!$C$8:$C$12</c:f>
              <c:strCache>
                <c:ptCount val="5"/>
                <c:pt idx="0">
                  <c:v>Indoor 
activities</c:v>
                </c:pt>
                <c:pt idx="1">
                  <c:v>Singing or 
playing music</c:v>
                </c:pt>
                <c:pt idx="2">
                  <c:v>Reading stories 
or books</c:v>
                </c:pt>
                <c:pt idx="3">
                  <c:v>Outdoor 
activities</c:v>
                </c:pt>
                <c:pt idx="4">
                  <c:v>Visiting 
friends</c:v>
                </c:pt>
              </c:strCache>
            </c:strRef>
          </c:cat>
          <c:val>
            <c:numRef>
              <c:f>HomeLearn!$D$8:$D$12</c:f>
              <c:numCache>
                <c:formatCode>0%</c:formatCode>
                <c:ptCount val="5"/>
                <c:pt idx="0">
                  <c:v>0.98</c:v>
                </c:pt>
                <c:pt idx="1">
                  <c:v>0.94</c:v>
                </c:pt>
                <c:pt idx="2">
                  <c:v>0.89</c:v>
                </c:pt>
                <c:pt idx="3">
                  <c:v>0.88</c:v>
                </c:pt>
                <c:pt idx="4">
                  <c:v>0.68</c:v>
                </c:pt>
              </c:numCache>
            </c:numRef>
          </c:val>
        </c:ser>
        <c:dLbls>
          <c:showLegendKey val="0"/>
          <c:showVal val="0"/>
          <c:showCatName val="0"/>
          <c:showSerName val="0"/>
          <c:showPercent val="0"/>
          <c:showBubbleSize val="0"/>
        </c:dLbls>
        <c:gapWidth val="0"/>
        <c:axId val="192381696"/>
        <c:axId val="192383232"/>
      </c:barChart>
      <c:catAx>
        <c:axId val="192381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92383232"/>
        <c:crosses val="autoZero"/>
        <c:auto val="0"/>
        <c:lblAlgn val="ctr"/>
        <c:lblOffset val="100"/>
        <c:noMultiLvlLbl val="0"/>
      </c:catAx>
      <c:valAx>
        <c:axId val="192383232"/>
        <c:scaling>
          <c:orientation val="minMax"/>
          <c:max val="1"/>
        </c:scaling>
        <c:delete val="0"/>
        <c:axPos val="l"/>
        <c:majorGridlines>
          <c:spPr>
            <a:ln w="3175">
              <a:no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92381696"/>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a:latin typeface="+mn-lt"/>
              </a:defRPr>
            </a:pPr>
            <a:r>
              <a:rPr lang="en-GB" sz="1000" b="1" i="0" baseline="0">
                <a:solidFill>
                  <a:schemeClr val="accent5">
                    <a:lumMod val="75000"/>
                  </a:schemeClr>
                </a:solidFill>
                <a:effectLst/>
                <a:latin typeface="Arial" panose="020B0604020202020204" pitchFamily="34" charset="0"/>
                <a:ea typeface="Tahoma" panose="020B0604030504040204" pitchFamily="34" charset="0"/>
                <a:cs typeface="Arial" panose="020B0604020202020204" pitchFamily="34" charset="0"/>
              </a:rPr>
              <a:t>Chart 4.3.2c</a:t>
            </a:r>
            <a:endParaRPr lang="en-GB" sz="1000">
              <a:solidFill>
                <a:schemeClr val="accent5">
                  <a:lumMod val="75000"/>
                </a:schemeClr>
              </a:solidFill>
              <a:effectLst/>
              <a:latin typeface="Arial" panose="020B0604020202020204" pitchFamily="34" charset="0"/>
              <a:ea typeface="Tahoma" panose="020B0604030504040204" pitchFamily="34" charset="0"/>
              <a:cs typeface="Arial" panose="020B0604020202020204" pitchFamily="34" charset="0"/>
            </a:endParaRPr>
          </a:p>
          <a:p>
            <a:pPr algn="l">
              <a:defRPr>
                <a:latin typeface="+mn-lt"/>
              </a:defRPr>
            </a:pPr>
            <a:r>
              <a:rPr lang="en-GB" sz="1000" b="0" i="0" baseline="0">
                <a:effectLst/>
                <a:latin typeface="Arial" panose="020B0604020202020204" pitchFamily="34" charset="0"/>
                <a:ea typeface="Tahoma" panose="020B0604030504040204" pitchFamily="34" charset="0"/>
                <a:cs typeface="Arial" panose="020B0604020202020204" pitchFamily="34" charset="0"/>
              </a:rPr>
              <a:t>Proportion of children aged 3-8 reported to have additional support needs</a:t>
            </a:r>
            <a:endParaRPr lang="en-GB" sz="1000">
              <a:effectLst/>
              <a:latin typeface="Arial" panose="020B0604020202020204" pitchFamily="34" charset="0"/>
              <a:ea typeface="Tahoma" panose="020B0604030504040204" pitchFamily="34" charset="0"/>
              <a:cs typeface="Arial" panose="020B0604020202020204" pitchFamily="34" charset="0"/>
            </a:endParaRPr>
          </a:p>
        </c:rich>
      </c:tx>
      <c:layout>
        <c:manualLayout>
          <c:xMode val="edge"/>
          <c:yMode val="edge"/>
          <c:x val="2.0701594992933579E-2"/>
          <c:y val="3.0153603554046761E-2"/>
        </c:manualLayout>
      </c:layout>
      <c:overlay val="0"/>
    </c:title>
    <c:autoTitleDeleted val="0"/>
    <c:plotArea>
      <c:layout>
        <c:manualLayout>
          <c:layoutTarget val="inner"/>
          <c:xMode val="edge"/>
          <c:yMode val="edge"/>
          <c:x val="8.7733614978605823E-2"/>
          <c:y val="0.22380249185490128"/>
          <c:w val="0.88200972657089505"/>
          <c:h val="0.51482333939026848"/>
        </c:manualLayout>
      </c:layout>
      <c:barChart>
        <c:barDir val="col"/>
        <c:grouping val="clustered"/>
        <c:varyColors val="0"/>
        <c:ser>
          <c:idx val="0"/>
          <c:order val="0"/>
          <c:invertIfNegative val="0"/>
          <c:dPt>
            <c:idx val="0"/>
            <c:invertIfNegative val="0"/>
            <c:bubble3D val="0"/>
            <c:spPr>
              <a:solidFill>
                <a:schemeClr val="tx2"/>
              </a:solidFill>
            </c:spPr>
          </c:dPt>
          <c:dPt>
            <c:idx val="1"/>
            <c:invertIfNegative val="0"/>
            <c:bubble3D val="0"/>
            <c:spPr>
              <a:solidFill>
                <a:schemeClr val="accent1"/>
              </a:solidFill>
            </c:spPr>
          </c:dPt>
          <c:dPt>
            <c:idx val="2"/>
            <c:invertIfNegative val="0"/>
            <c:bubble3D val="0"/>
            <c:spPr>
              <a:solidFill>
                <a:schemeClr val="accent4">
                  <a:lumMod val="40000"/>
                  <a:lumOff val="60000"/>
                </a:schemeClr>
              </a:solidFill>
            </c:spPr>
          </c:dPt>
          <c:dPt>
            <c:idx val="3"/>
            <c:invertIfNegative val="0"/>
            <c:bubble3D val="0"/>
            <c:spPr>
              <a:solidFill>
                <a:schemeClr val="accent6"/>
              </a:solidFill>
            </c:spPr>
          </c:dPt>
          <c:dPt>
            <c:idx val="4"/>
            <c:invertIfNegative val="0"/>
            <c:bubble3D val="0"/>
            <c:spPr>
              <a:solidFill>
                <a:schemeClr val="accent6">
                  <a:lumMod val="40000"/>
                  <a:lumOff val="60000"/>
                </a:schemeClr>
              </a:solidFill>
            </c:spPr>
          </c:dPt>
          <c:dPt>
            <c:idx val="5"/>
            <c:invertIfNegative val="0"/>
            <c:bubble3D val="0"/>
            <c:spPr>
              <a:solidFill>
                <a:schemeClr val="accent4"/>
              </a:solidFill>
            </c:spPr>
          </c:dPt>
          <c:dPt>
            <c:idx val="6"/>
            <c:invertIfNegative val="0"/>
            <c:bubble3D val="0"/>
            <c:spPr>
              <a:solidFill>
                <a:schemeClr val="tx2"/>
              </a:solidFill>
            </c:spPr>
          </c:dPt>
          <c:dPt>
            <c:idx val="7"/>
            <c:invertIfNegative val="0"/>
            <c:bubble3D val="0"/>
            <c:spPr>
              <a:solidFill>
                <a:schemeClr val="accent1"/>
              </a:solidFill>
            </c:spPr>
          </c:dPt>
          <c:dPt>
            <c:idx val="8"/>
            <c:invertIfNegative val="0"/>
            <c:bubble3D val="0"/>
            <c:spPr>
              <a:solidFill>
                <a:schemeClr val="accent4">
                  <a:lumMod val="40000"/>
                  <a:lumOff val="60000"/>
                </a:schemeClr>
              </a:solidFill>
            </c:spPr>
          </c:dPt>
          <c:dPt>
            <c:idx val="9"/>
            <c:invertIfNegative val="0"/>
            <c:bubble3D val="0"/>
            <c:spPr>
              <a:solidFill>
                <a:schemeClr val="accent6"/>
              </a:solidFill>
            </c:spPr>
          </c:dPt>
          <c:dPt>
            <c:idx val="10"/>
            <c:invertIfNegative val="0"/>
            <c:bubble3D val="0"/>
            <c:spPr>
              <a:solidFill>
                <a:schemeClr val="accent6">
                  <a:lumMod val="40000"/>
                  <a:lumOff val="60000"/>
                </a:schemeClr>
              </a:solidFill>
            </c:spPr>
          </c:dPt>
          <c:dPt>
            <c:idx val="11"/>
            <c:invertIfNegative val="0"/>
            <c:bubble3D val="0"/>
            <c:spPr>
              <a:solidFill>
                <a:schemeClr val="accent2">
                  <a:lumMod val="75000"/>
                </a:schemeClr>
              </a:solidFill>
            </c:spPr>
          </c:dPt>
          <c:dLbls>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strRef>
              <c:f>ASN!$A$1:$A$11</c:f>
              <c:strCache>
                <c:ptCount val="11"/>
                <c:pt idx="0">
                  <c:v>Language or speech problems</c:v>
                </c:pt>
                <c:pt idx="1">
                  <c:v>Social, emotional or behavioural difficulty</c:v>
                </c:pt>
                <c:pt idx="2">
                  <c:v>Learning disability</c:v>
                </c:pt>
                <c:pt idx="3">
                  <c:v>Autistic spectrum disorder</c:v>
                </c:pt>
                <c:pt idx="4">
                  <c:v>Mental health problem</c:v>
                </c:pt>
                <c:pt idx="5">
                  <c:v>Physical disability</c:v>
                </c:pt>
                <c:pt idx="6">
                  <c:v>Physical health problem</c:v>
                </c:pt>
                <c:pt idx="7">
                  <c:v>Sight problem</c:v>
                </c:pt>
                <c:pt idx="8">
                  <c:v>Dyslexia</c:v>
                </c:pt>
                <c:pt idx="9">
                  <c:v>Hearing problems</c:v>
                </c:pt>
                <c:pt idx="10">
                  <c:v>Interrupted schooling</c:v>
                </c:pt>
              </c:strCache>
            </c:strRef>
          </c:cat>
          <c:val>
            <c:numRef>
              <c:f>ASN!$B$1:$B$11</c:f>
              <c:numCache>
                <c:formatCode>0%</c:formatCode>
                <c:ptCount val="11"/>
                <c:pt idx="0">
                  <c:v>0.05</c:v>
                </c:pt>
                <c:pt idx="1">
                  <c:v>0.05</c:v>
                </c:pt>
                <c:pt idx="2">
                  <c:v>0.04</c:v>
                </c:pt>
                <c:pt idx="3">
                  <c:v>0.03</c:v>
                </c:pt>
                <c:pt idx="4">
                  <c:v>0.01</c:v>
                </c:pt>
                <c:pt idx="5">
                  <c:v>0.01</c:v>
                </c:pt>
                <c:pt idx="6">
                  <c:v>0.01</c:v>
                </c:pt>
                <c:pt idx="7">
                  <c:v>0.01</c:v>
                </c:pt>
                <c:pt idx="8">
                  <c:v>0.01</c:v>
                </c:pt>
                <c:pt idx="9">
                  <c:v>0.01</c:v>
                </c:pt>
                <c:pt idx="10">
                  <c:v>0.01</c:v>
                </c:pt>
              </c:numCache>
            </c:numRef>
          </c:val>
        </c:ser>
        <c:dLbls>
          <c:dLblPos val="outEnd"/>
          <c:showLegendKey val="0"/>
          <c:showVal val="1"/>
          <c:showCatName val="0"/>
          <c:showSerName val="0"/>
          <c:showPercent val="0"/>
          <c:showBubbleSize val="0"/>
        </c:dLbls>
        <c:gapWidth val="0"/>
        <c:axId val="192402944"/>
        <c:axId val="192562304"/>
      </c:barChart>
      <c:catAx>
        <c:axId val="192402944"/>
        <c:scaling>
          <c:orientation val="minMax"/>
        </c:scaling>
        <c:delete val="0"/>
        <c:axPos val="b"/>
        <c:majorTickMark val="out"/>
        <c:minorTickMark val="none"/>
        <c:tickLblPos val="nextTo"/>
        <c:txPr>
          <a:bodyPr rot="-5400000" vert="horz"/>
          <a:lstStyle/>
          <a:p>
            <a:pPr>
              <a:defRPr sz="800">
                <a:latin typeface="Arial" panose="020B0604020202020204" pitchFamily="34" charset="0"/>
                <a:ea typeface="Tahoma" panose="020B0604030504040204" pitchFamily="34" charset="0"/>
                <a:cs typeface="Arial" panose="020B0604020202020204" pitchFamily="34" charset="0"/>
              </a:defRPr>
            </a:pPr>
            <a:endParaRPr lang="en-US"/>
          </a:p>
        </c:txPr>
        <c:crossAx val="192562304"/>
        <c:crosses val="autoZero"/>
        <c:auto val="1"/>
        <c:lblAlgn val="ctr"/>
        <c:lblOffset val="100"/>
        <c:noMultiLvlLbl val="0"/>
      </c:catAx>
      <c:valAx>
        <c:axId val="192562304"/>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crossAx val="192402944"/>
        <c:crosses val="autoZero"/>
        <c:crossBetween val="between"/>
      </c:valAx>
    </c:plotArea>
    <c:plotVisOnly val="0"/>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latin typeface="+mn-lt"/>
              </a:defRPr>
            </a:pPr>
            <a:r>
              <a:rPr lang="en-GB" sz="1000" b="1" i="0" baseline="0">
                <a:solidFill>
                  <a:schemeClr val="accent5">
                    <a:lumMod val="75000"/>
                  </a:schemeClr>
                </a:solidFill>
                <a:effectLst/>
                <a:latin typeface="+mn-lt"/>
                <a:ea typeface="Tahoma" panose="020B0604030504040204" pitchFamily="34" charset="0"/>
                <a:cs typeface="Tahoma" panose="020B0604030504040204" pitchFamily="34" charset="0"/>
              </a:rPr>
              <a:t>Chart 4.4.1a</a:t>
            </a:r>
            <a:endParaRPr lang="en-GB" sz="1000">
              <a:solidFill>
                <a:schemeClr val="accent5">
                  <a:lumMod val="75000"/>
                </a:schemeClr>
              </a:solidFill>
              <a:effectLst/>
              <a:latin typeface="+mn-lt"/>
              <a:ea typeface="Tahoma" panose="020B0604030504040204" pitchFamily="34" charset="0"/>
              <a:cs typeface="Tahoma" panose="020B0604030504040204" pitchFamily="34" charset="0"/>
            </a:endParaRPr>
          </a:p>
          <a:p>
            <a:pPr algn="l">
              <a:defRPr>
                <a:latin typeface="+mn-lt"/>
              </a:defRPr>
            </a:pPr>
            <a:r>
              <a:rPr lang="en-GB" sz="1000" b="0" i="0" baseline="0">
                <a:effectLst/>
                <a:latin typeface="+mn-lt"/>
                <a:ea typeface="Tahoma" panose="020B0604030504040204" pitchFamily="34" charset="0"/>
                <a:cs typeface="Tahoma" panose="020B0604030504040204" pitchFamily="34" charset="0"/>
              </a:rPr>
              <a:t>Events and places visited in previous 12 months by children aged 5-8</a:t>
            </a:r>
            <a:endParaRPr lang="en-GB" sz="1000">
              <a:effectLst/>
              <a:latin typeface="+mn-lt"/>
              <a:ea typeface="Tahoma" panose="020B0604030504040204" pitchFamily="34" charset="0"/>
              <a:cs typeface="Tahoma" panose="020B0604030504040204" pitchFamily="34" charset="0"/>
            </a:endParaRPr>
          </a:p>
        </c:rich>
      </c:tx>
      <c:layout>
        <c:manualLayout>
          <c:xMode val="edge"/>
          <c:yMode val="edge"/>
          <c:x val="1.9457562385486828E-2"/>
          <c:y val="1.0963348758252785E-2"/>
        </c:manualLayout>
      </c:layout>
      <c:overlay val="0"/>
    </c:title>
    <c:autoTitleDeleted val="0"/>
    <c:plotArea>
      <c:layout>
        <c:manualLayout>
          <c:layoutTarget val="inner"/>
          <c:xMode val="edge"/>
          <c:yMode val="edge"/>
          <c:x val="8.9837141098815423E-2"/>
          <c:y val="0.17073611055948268"/>
          <c:w val="0.88120683688181967"/>
          <c:h val="0.62107108248383325"/>
        </c:manualLayout>
      </c:layout>
      <c:barChart>
        <c:barDir val="col"/>
        <c:grouping val="clustered"/>
        <c:varyColors val="0"/>
        <c:ser>
          <c:idx val="0"/>
          <c:order val="0"/>
          <c:invertIfNegative val="0"/>
          <c:dPt>
            <c:idx val="0"/>
            <c:invertIfNegative val="0"/>
            <c:bubble3D val="0"/>
            <c:spPr>
              <a:solidFill>
                <a:schemeClr val="tx2"/>
              </a:solidFill>
            </c:spPr>
            <c:extLst xmlns:c16r2="http://schemas.microsoft.com/office/drawing/2015/06/chart">
              <c:ext xmlns:c16="http://schemas.microsoft.com/office/drawing/2014/chart" uri="{C3380CC4-5D6E-409C-BE32-E72D297353CC}">
                <c16:uniqueId val="{00000001-C0A9-45CF-95C0-95C3F6CE9DD2}"/>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3-C0A9-45CF-95C0-95C3F6CE9DD2}"/>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C0A9-45CF-95C0-95C3F6CE9DD2}"/>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C0A9-45CF-95C0-95C3F6CE9DD2}"/>
              </c:ext>
            </c:extLst>
          </c:dPt>
          <c:dPt>
            <c:idx val="4"/>
            <c:invertIfNegative val="0"/>
            <c:bubble3D val="0"/>
            <c:spPr>
              <a:solidFill>
                <a:schemeClr val="tx2"/>
              </a:solidFill>
            </c:spPr>
            <c:extLst xmlns:c16r2="http://schemas.microsoft.com/office/drawing/2015/06/chart">
              <c:ext xmlns:c16="http://schemas.microsoft.com/office/drawing/2014/chart" uri="{C3380CC4-5D6E-409C-BE32-E72D297353CC}">
                <c16:uniqueId val="{00000009-C0A9-45CF-95C0-95C3F6CE9DD2}"/>
              </c:ext>
            </c:extLst>
          </c:dPt>
          <c:dPt>
            <c:idx val="5"/>
            <c:invertIfNegative val="0"/>
            <c:bubble3D val="0"/>
            <c:spPr>
              <a:solidFill>
                <a:schemeClr val="accent1"/>
              </a:solidFill>
            </c:spPr>
            <c:extLst xmlns:c16r2="http://schemas.microsoft.com/office/drawing/2015/06/chart">
              <c:ext xmlns:c16="http://schemas.microsoft.com/office/drawing/2014/chart" uri="{C3380CC4-5D6E-409C-BE32-E72D297353CC}">
                <c16:uniqueId val="{0000000B-C0A9-45CF-95C0-95C3F6CE9DD2}"/>
              </c:ext>
            </c:extLst>
          </c:dPt>
          <c:dPt>
            <c:idx val="6"/>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D-C0A9-45CF-95C0-95C3F6CE9DD2}"/>
              </c:ext>
            </c:extLst>
          </c:dPt>
          <c:dPt>
            <c:idx val="7"/>
            <c:invertIfNegative val="0"/>
            <c:bubble3D val="0"/>
            <c:spPr>
              <a:solidFill>
                <a:schemeClr val="accent6"/>
              </a:solidFill>
            </c:spPr>
            <c:extLst xmlns:c16r2="http://schemas.microsoft.com/office/drawing/2015/06/chart">
              <c:ext xmlns:c16="http://schemas.microsoft.com/office/drawing/2014/chart" uri="{C3380CC4-5D6E-409C-BE32-E72D297353CC}">
                <c16:uniqueId val="{0000000F-C0A9-45CF-95C0-95C3F6CE9DD2}"/>
              </c:ext>
            </c:extLst>
          </c:dPt>
          <c:dPt>
            <c:idx val="8"/>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11-C0A9-45CF-95C0-95C3F6CE9DD2}"/>
              </c:ext>
            </c:extLst>
          </c:dPt>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'Events and places'!$A$1:$A$8</c:f>
              <c:strCache>
                <c:ptCount val="8"/>
                <c:pt idx="0">
                  <c:v>Swimming pool</c:v>
                </c:pt>
                <c:pt idx="1">
                  <c:v>Cinema</c:v>
                </c:pt>
                <c:pt idx="2">
                  <c:v>Zoo / aquarium / farm</c:v>
                </c:pt>
                <c:pt idx="3">
                  <c:v>Live performance</c:v>
                </c:pt>
                <c:pt idx="4">
                  <c:v>Museum / art gallery / historical site</c:v>
                </c:pt>
                <c:pt idx="5">
                  <c:v>Library</c:v>
                </c:pt>
                <c:pt idx="6">
                  <c:v>Sporting event</c:v>
                </c:pt>
                <c:pt idx="7">
                  <c:v>Religious service</c:v>
                </c:pt>
              </c:strCache>
            </c:strRef>
          </c:cat>
          <c:val>
            <c:numRef>
              <c:f>'Events and places'!$B$1:$B$8</c:f>
              <c:numCache>
                <c:formatCode>0%</c:formatCode>
                <c:ptCount val="8"/>
                <c:pt idx="0">
                  <c:v>0.93</c:v>
                </c:pt>
                <c:pt idx="1">
                  <c:v>0.84</c:v>
                </c:pt>
                <c:pt idx="2">
                  <c:v>0.73</c:v>
                </c:pt>
                <c:pt idx="3">
                  <c:v>0.69</c:v>
                </c:pt>
                <c:pt idx="4">
                  <c:v>0.65</c:v>
                </c:pt>
                <c:pt idx="5">
                  <c:v>0.64</c:v>
                </c:pt>
                <c:pt idx="6">
                  <c:v>0.46</c:v>
                </c:pt>
                <c:pt idx="7">
                  <c:v>0.45</c:v>
                </c:pt>
              </c:numCache>
            </c:numRef>
          </c:val>
          <c:extLst xmlns:c16r2="http://schemas.microsoft.com/office/drawing/2015/06/chart">
            <c:ext xmlns:c16="http://schemas.microsoft.com/office/drawing/2014/chart" uri="{C3380CC4-5D6E-409C-BE32-E72D297353CC}">
              <c16:uniqueId val="{00000012-C0A9-45CF-95C0-95C3F6CE9DD2}"/>
            </c:ext>
          </c:extLst>
        </c:ser>
        <c:dLbls>
          <c:dLblPos val="outEnd"/>
          <c:showLegendKey val="0"/>
          <c:showVal val="1"/>
          <c:showCatName val="0"/>
          <c:showSerName val="0"/>
          <c:showPercent val="0"/>
          <c:showBubbleSize val="0"/>
        </c:dLbls>
        <c:gapWidth val="0"/>
        <c:axId val="192582016"/>
        <c:axId val="192604800"/>
      </c:barChart>
      <c:catAx>
        <c:axId val="192582016"/>
        <c:scaling>
          <c:orientation val="minMax"/>
        </c:scaling>
        <c:delete val="0"/>
        <c:axPos val="b"/>
        <c:numFmt formatCode="General" sourceLinked="0"/>
        <c:majorTickMark val="out"/>
        <c:minorTickMark val="none"/>
        <c:tickLblPos val="nextTo"/>
        <c:txPr>
          <a:bodyPr/>
          <a:lstStyle/>
          <a:p>
            <a:pPr>
              <a:defRPr sz="800">
                <a:latin typeface="+mn-lt"/>
                <a:ea typeface="Tahoma" panose="020B0604030504040204" pitchFamily="34" charset="0"/>
                <a:cs typeface="Tahoma" panose="020B0604030504040204" pitchFamily="34" charset="0"/>
              </a:defRPr>
            </a:pPr>
            <a:endParaRPr lang="en-US"/>
          </a:p>
        </c:txPr>
        <c:crossAx val="192604800"/>
        <c:crosses val="autoZero"/>
        <c:auto val="1"/>
        <c:lblAlgn val="ctr"/>
        <c:lblOffset val="100"/>
        <c:noMultiLvlLbl val="0"/>
      </c:catAx>
      <c:valAx>
        <c:axId val="192604800"/>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2582016"/>
        <c:crosses val="autoZero"/>
        <c:crossBetween val="between"/>
        <c:majorUnit val="0.2"/>
      </c:valAx>
    </c:plotArea>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670908221693388E-2"/>
          <c:y val="0.17485523400484029"/>
          <c:w val="0.72556508503351569"/>
          <c:h val="0.69686498278624265"/>
        </c:manualLayout>
      </c:layout>
      <c:barChart>
        <c:barDir val="col"/>
        <c:grouping val="stacked"/>
        <c:varyColors val="0"/>
        <c:ser>
          <c:idx val="0"/>
          <c:order val="0"/>
          <c:tx>
            <c:strRef>
              <c:f>Safety!$A$13</c:f>
              <c:strCache>
                <c:ptCount val="1"/>
                <c:pt idx="0">
                  <c:v>Low level of feeling safe / being part of community</c:v>
                </c:pt>
              </c:strCache>
            </c:strRef>
          </c:tx>
          <c:spPr>
            <a:solidFill>
              <a:schemeClr val="tx2"/>
            </a:solidFill>
            <a:ln w="3175">
              <a:solidFill>
                <a:schemeClr val="bg1"/>
              </a:solidFill>
              <a:prstDash val="solid"/>
            </a:ln>
          </c:spPr>
          <c:invertIfNegative val="0"/>
          <c:dLbls>
            <c:spPr>
              <a:noFill/>
              <a:ln w="25400">
                <a:noFill/>
              </a:ln>
            </c:spPr>
            <c:txPr>
              <a:bodyPr/>
              <a:lstStyle/>
              <a:p>
                <a:pPr>
                  <a:defRPr sz="900">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Safety!$B$12:$D$12</c:f>
              <c:strCache>
                <c:ptCount val="3"/>
                <c:pt idx="0">
                  <c:v>Most deprived two quintiles</c:v>
                </c:pt>
                <c:pt idx="1">
                  <c:v>Least deprived three quintiles</c:v>
                </c:pt>
                <c:pt idx="2">
                  <c:v>All</c:v>
                </c:pt>
              </c:strCache>
            </c:strRef>
          </c:cat>
          <c:val>
            <c:numRef>
              <c:f>Safety!$B$13:$D$13</c:f>
              <c:numCache>
                <c:formatCode>0%</c:formatCode>
                <c:ptCount val="3"/>
                <c:pt idx="0">
                  <c:v>0.25</c:v>
                </c:pt>
                <c:pt idx="1">
                  <c:v>0.1</c:v>
                </c:pt>
                <c:pt idx="2">
                  <c:v>0.16</c:v>
                </c:pt>
              </c:numCache>
            </c:numRef>
          </c:val>
          <c:extLst xmlns:c16r2="http://schemas.microsoft.com/office/drawing/2015/06/chart">
            <c:ext xmlns:c16="http://schemas.microsoft.com/office/drawing/2014/chart" uri="{C3380CC4-5D6E-409C-BE32-E72D297353CC}">
              <c16:uniqueId val="{00000000-2D35-4C62-A42C-1451C806827E}"/>
            </c:ext>
          </c:extLst>
        </c:ser>
        <c:ser>
          <c:idx val="1"/>
          <c:order val="1"/>
          <c:tx>
            <c:strRef>
              <c:f>Safety!$A$14</c:f>
              <c:strCache>
                <c:ptCount val="1"/>
                <c:pt idx="0">
                  <c:v>Medium level of feeling safe / being part of community</c:v>
                </c:pt>
              </c:strCache>
            </c:strRef>
          </c:tx>
          <c:spPr>
            <a:solidFill>
              <a:schemeClr val="accent1"/>
            </a:solidFill>
            <a:ln w="12700">
              <a:solidFill>
                <a:srgbClr val="FFFFFF"/>
              </a:solidFill>
              <a:prstDash val="solid"/>
            </a:ln>
          </c:spPr>
          <c:invertIfNegative val="0"/>
          <c:dLbls>
            <c:spPr>
              <a:noFill/>
              <a:ln w="25400">
                <a:noFill/>
              </a:ln>
            </c:spPr>
            <c:txPr>
              <a:bodyPr/>
              <a:lstStyle/>
              <a:p>
                <a:pPr>
                  <a:defRPr sz="900">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Safety!$B$12:$D$12</c:f>
              <c:strCache>
                <c:ptCount val="3"/>
                <c:pt idx="0">
                  <c:v>Most deprived two quintiles</c:v>
                </c:pt>
                <c:pt idx="1">
                  <c:v>Least deprived three quintiles</c:v>
                </c:pt>
                <c:pt idx="2">
                  <c:v>All</c:v>
                </c:pt>
              </c:strCache>
            </c:strRef>
          </c:cat>
          <c:val>
            <c:numRef>
              <c:f>Safety!$B$14:$D$14</c:f>
              <c:numCache>
                <c:formatCode>0%</c:formatCode>
                <c:ptCount val="3"/>
                <c:pt idx="0">
                  <c:v>0.54</c:v>
                </c:pt>
                <c:pt idx="1">
                  <c:v>0.53</c:v>
                </c:pt>
                <c:pt idx="2">
                  <c:v>0.53</c:v>
                </c:pt>
              </c:numCache>
            </c:numRef>
          </c:val>
          <c:extLst xmlns:c16r2="http://schemas.microsoft.com/office/drawing/2015/06/chart">
            <c:ext xmlns:c16="http://schemas.microsoft.com/office/drawing/2014/chart" uri="{C3380CC4-5D6E-409C-BE32-E72D297353CC}">
              <c16:uniqueId val="{00000001-2D35-4C62-A42C-1451C806827E}"/>
            </c:ext>
          </c:extLst>
        </c:ser>
        <c:ser>
          <c:idx val="2"/>
          <c:order val="2"/>
          <c:tx>
            <c:strRef>
              <c:f>Safety!$A$15</c:f>
              <c:strCache>
                <c:ptCount val="1"/>
                <c:pt idx="0">
                  <c:v>High level of feeling safe / being part of community</c:v>
                </c:pt>
              </c:strCache>
            </c:strRef>
          </c:tx>
          <c:spPr>
            <a:solidFill>
              <a:schemeClr val="accent4">
                <a:lumMod val="40000"/>
                <a:lumOff val="60000"/>
              </a:schemeClr>
            </a:solidFill>
            <a:ln w="3175">
              <a:solidFill>
                <a:srgbClr val="FFFFFF"/>
              </a:solidFill>
              <a:prstDash val="solid"/>
            </a:ln>
          </c:spPr>
          <c:invertIfNegative val="0"/>
          <c:dLbls>
            <c:spPr>
              <a:noFill/>
              <a:ln w="25400">
                <a:noFill/>
              </a:ln>
            </c:spPr>
            <c:txPr>
              <a:bodyPr/>
              <a:lstStyle/>
              <a:p>
                <a:pPr>
                  <a:defRPr sz="900">
                    <a:solidFill>
                      <a:sysClr val="windowText" lastClr="000000"/>
                    </a:solidFill>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Safety!$B$12:$D$12</c:f>
              <c:strCache>
                <c:ptCount val="3"/>
                <c:pt idx="0">
                  <c:v>Most deprived two quintiles</c:v>
                </c:pt>
                <c:pt idx="1">
                  <c:v>Least deprived three quintiles</c:v>
                </c:pt>
                <c:pt idx="2">
                  <c:v>All</c:v>
                </c:pt>
              </c:strCache>
            </c:strRef>
          </c:cat>
          <c:val>
            <c:numRef>
              <c:f>Safety!$B$15:$D$15</c:f>
              <c:numCache>
                <c:formatCode>0%</c:formatCode>
                <c:ptCount val="3"/>
                <c:pt idx="0">
                  <c:v>0.22</c:v>
                </c:pt>
                <c:pt idx="1">
                  <c:v>0.37</c:v>
                </c:pt>
                <c:pt idx="2">
                  <c:v>0.3</c:v>
                </c:pt>
              </c:numCache>
            </c:numRef>
          </c:val>
          <c:extLst xmlns:c16r2="http://schemas.microsoft.com/office/drawing/2015/06/chart">
            <c:ext xmlns:c16="http://schemas.microsoft.com/office/drawing/2014/chart" uri="{C3380CC4-5D6E-409C-BE32-E72D297353CC}">
              <c16:uniqueId val="{00000002-2D35-4C62-A42C-1451C806827E}"/>
            </c:ext>
          </c:extLst>
        </c:ser>
        <c:dLbls>
          <c:showLegendKey val="0"/>
          <c:showVal val="1"/>
          <c:showCatName val="0"/>
          <c:showSerName val="0"/>
          <c:showPercent val="0"/>
          <c:showBubbleSize val="0"/>
        </c:dLbls>
        <c:gapWidth val="75"/>
        <c:overlap val="100"/>
        <c:axId val="197409024"/>
        <c:axId val="197423104"/>
      </c:barChart>
      <c:catAx>
        <c:axId val="197409024"/>
        <c:scaling>
          <c:orientation val="minMax"/>
        </c:scaling>
        <c:delete val="0"/>
        <c:axPos val="b"/>
        <c:numFmt formatCode="General" sourceLinked="1"/>
        <c:majorTickMark val="none"/>
        <c:minorTickMark val="none"/>
        <c:tickLblPos val="nextTo"/>
        <c:spPr>
          <a:ln w="3175">
            <a:solidFill>
              <a:schemeClr val="tx1"/>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97423104"/>
        <c:crosses val="autoZero"/>
        <c:auto val="0"/>
        <c:lblAlgn val="ctr"/>
        <c:lblOffset val="100"/>
        <c:tickLblSkip val="1"/>
        <c:tickMarkSkip val="1"/>
        <c:noMultiLvlLbl val="0"/>
      </c:catAx>
      <c:valAx>
        <c:axId val="197423104"/>
        <c:scaling>
          <c:orientation val="minMax"/>
          <c:max val="1"/>
        </c:scaling>
        <c:delete val="0"/>
        <c:axPos val="l"/>
        <c:numFmt formatCode="0%" sourceLinked="1"/>
        <c:majorTickMark val="out"/>
        <c:minorTickMark val="none"/>
        <c:tickLblPos val="nextTo"/>
        <c:txPr>
          <a:bodyPr/>
          <a:lstStyle/>
          <a:p>
            <a:pPr>
              <a:defRPr sz="900"/>
            </a:pPr>
            <a:endParaRPr lang="en-US"/>
          </a:p>
        </c:txPr>
        <c:crossAx val="197409024"/>
        <c:crosses val="autoZero"/>
        <c:crossBetween val="between"/>
        <c:majorUnit val="0.2"/>
      </c:valAx>
      <c:spPr>
        <a:noFill/>
        <a:ln w="25400">
          <a:noFill/>
        </a:ln>
      </c:spPr>
    </c:plotArea>
    <c:legend>
      <c:legendPos val="r"/>
      <c:layout>
        <c:manualLayout>
          <c:xMode val="edge"/>
          <c:yMode val="edge"/>
          <c:x val="0.78924723628877236"/>
          <c:y val="0.11278726522821013"/>
          <c:w val="0.18818858609216599"/>
          <c:h val="0.81299055799843201"/>
        </c:manualLayout>
      </c:layout>
      <c:overlay val="0"/>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latin typeface="+mn-lt"/>
              </a:defRPr>
            </a:pPr>
            <a:r>
              <a:rPr lang="en-GB" sz="1000" b="1" i="0" baseline="0">
                <a:solidFill>
                  <a:schemeClr val="accent5">
                    <a:lumMod val="75000"/>
                  </a:schemeClr>
                </a:solidFill>
                <a:effectLst/>
                <a:latin typeface="+mn-lt"/>
                <a:ea typeface="Tahoma" panose="020B0604030504040204" pitchFamily="34" charset="0"/>
                <a:cs typeface="Tahoma" panose="020B0604030504040204" pitchFamily="34" charset="0"/>
              </a:rPr>
              <a:t>Chart 4.5.1a</a:t>
            </a:r>
            <a:endParaRPr lang="en-GB" sz="1000">
              <a:solidFill>
                <a:schemeClr val="accent5">
                  <a:lumMod val="75000"/>
                </a:schemeClr>
              </a:solidFill>
              <a:effectLst/>
              <a:latin typeface="+mn-lt"/>
              <a:ea typeface="Tahoma" panose="020B0604030504040204" pitchFamily="34" charset="0"/>
              <a:cs typeface="Tahoma" panose="020B0604030504040204" pitchFamily="34" charset="0"/>
            </a:endParaRPr>
          </a:p>
          <a:p>
            <a:pPr algn="l">
              <a:defRPr>
                <a:latin typeface="+mn-lt"/>
              </a:defRPr>
            </a:pPr>
            <a:r>
              <a:rPr lang="en-GB" sz="1000" b="0" i="0" baseline="0">
                <a:effectLst/>
                <a:latin typeface="+mn-lt"/>
                <a:ea typeface="Tahoma" panose="020B0604030504040204" pitchFamily="34" charset="0"/>
                <a:cs typeface="Tahoma" panose="020B0604030504040204" pitchFamily="34" charset="0"/>
              </a:rPr>
              <a:t>Availability of local services</a:t>
            </a:r>
            <a:endParaRPr lang="en-GB" sz="1000">
              <a:effectLst/>
              <a:latin typeface="+mn-lt"/>
              <a:ea typeface="Tahoma" panose="020B0604030504040204" pitchFamily="34" charset="0"/>
              <a:cs typeface="Tahoma" panose="020B0604030504040204" pitchFamily="34" charset="0"/>
            </a:endParaRPr>
          </a:p>
        </c:rich>
      </c:tx>
      <c:layout>
        <c:manualLayout>
          <c:xMode val="edge"/>
          <c:yMode val="edge"/>
          <c:x val="1.2384177971550142E-2"/>
          <c:y val="3.9086769962985192E-3"/>
        </c:manualLayout>
      </c:layout>
      <c:overlay val="0"/>
    </c:title>
    <c:autoTitleDeleted val="0"/>
    <c:plotArea>
      <c:layout>
        <c:manualLayout>
          <c:layoutTarget val="inner"/>
          <c:xMode val="edge"/>
          <c:yMode val="edge"/>
          <c:x val="8.9837141098815423E-2"/>
          <c:y val="0.1460446489197279"/>
          <c:w val="0.88120683688181967"/>
          <c:h val="0.7021998077463073"/>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6A19-4244-A9B2-E89AE85FADAA}"/>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6A19-4244-A9B2-E89AE85FADAA}"/>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6A19-4244-A9B2-E89AE85FADAA}"/>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6-6A19-4244-A9B2-E89AE85FADAA}"/>
              </c:ext>
            </c:extLst>
          </c:dPt>
          <c:dPt>
            <c:idx val="4"/>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8-6A19-4244-A9B2-E89AE85FADAA}"/>
              </c:ext>
            </c:extLst>
          </c:dPt>
          <c:dPt>
            <c:idx val="5"/>
            <c:invertIfNegative val="0"/>
            <c:bubble3D val="0"/>
            <c:extLst xmlns:c16r2="http://schemas.microsoft.com/office/drawing/2015/06/chart">
              <c:ext xmlns:c16="http://schemas.microsoft.com/office/drawing/2014/chart" uri="{C3380CC4-5D6E-409C-BE32-E72D297353CC}">
                <c16:uniqueId val="{00000009-6A19-4244-A9B2-E89AE85FADAA}"/>
              </c:ext>
            </c:extLst>
          </c:dPt>
          <c:dPt>
            <c:idx val="6"/>
            <c:invertIfNegative val="0"/>
            <c:bubble3D val="0"/>
            <c:spPr>
              <a:solidFill>
                <a:schemeClr val="accent1"/>
              </a:solidFill>
            </c:spPr>
            <c:extLst xmlns:c16r2="http://schemas.microsoft.com/office/drawing/2015/06/chart">
              <c:ext xmlns:c16="http://schemas.microsoft.com/office/drawing/2014/chart" uri="{C3380CC4-5D6E-409C-BE32-E72D297353CC}">
                <c16:uniqueId val="{0000000B-6A19-4244-A9B2-E89AE85FADAA}"/>
              </c:ext>
            </c:extLst>
          </c:dPt>
          <c:dPt>
            <c:idx val="7"/>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D-6A19-4244-A9B2-E89AE85FADAA}"/>
              </c:ext>
            </c:extLst>
          </c:dPt>
          <c:dPt>
            <c:idx val="8"/>
            <c:invertIfNegative val="0"/>
            <c:bubble3D val="0"/>
            <c:spPr>
              <a:solidFill>
                <a:schemeClr val="accent6"/>
              </a:solidFill>
            </c:spPr>
            <c:extLst xmlns:c16r2="http://schemas.microsoft.com/office/drawing/2015/06/chart">
              <c:ext xmlns:c16="http://schemas.microsoft.com/office/drawing/2014/chart" uri="{C3380CC4-5D6E-409C-BE32-E72D297353CC}">
                <c16:uniqueId val="{0000000F-6A19-4244-A9B2-E89AE85FADAA}"/>
              </c:ext>
            </c:extLst>
          </c:dPt>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'Availability of services'!$A$1:$A$9</c:f>
              <c:strCache>
                <c:ptCount val="9"/>
                <c:pt idx="0">
                  <c:v>Schools</c:v>
                </c:pt>
                <c:pt idx="1">
                  <c:v>GP or 
health 
clinic</c:v>
                </c:pt>
                <c:pt idx="2">
                  <c:v>Grocery 
shopping</c:v>
                </c:pt>
                <c:pt idx="3">
                  <c:v>Regular 
public 
transport</c:v>
                </c:pt>
                <c:pt idx="4">
                  <c:v>Library</c:v>
                </c:pt>
                <c:pt idx="5">
                  <c:v>Groups, 
clubs, 
activities</c:v>
                </c:pt>
                <c:pt idx="6">
                  <c:v>Creche, mother-
toddler 
groups</c:v>
                </c:pt>
                <c:pt idx="7">
                  <c:v>Banking / 
credit union</c:v>
                </c:pt>
                <c:pt idx="8">
                  <c:v>Social 
welfare 
office</c:v>
                </c:pt>
              </c:strCache>
            </c:strRef>
          </c:cat>
          <c:val>
            <c:numRef>
              <c:f>'Availability of services'!$B$1:$B$9</c:f>
              <c:numCache>
                <c:formatCode>0%</c:formatCode>
                <c:ptCount val="9"/>
                <c:pt idx="0">
                  <c:v>0.97</c:v>
                </c:pt>
                <c:pt idx="1">
                  <c:v>0.93</c:v>
                </c:pt>
                <c:pt idx="2">
                  <c:v>0.9</c:v>
                </c:pt>
                <c:pt idx="3">
                  <c:v>0.86</c:v>
                </c:pt>
                <c:pt idx="4">
                  <c:v>0.81</c:v>
                </c:pt>
                <c:pt idx="5">
                  <c:v>0.71</c:v>
                </c:pt>
                <c:pt idx="6">
                  <c:v>0.7</c:v>
                </c:pt>
                <c:pt idx="7">
                  <c:v>0.47</c:v>
                </c:pt>
                <c:pt idx="8">
                  <c:v>0.25</c:v>
                </c:pt>
              </c:numCache>
            </c:numRef>
          </c:val>
          <c:extLst xmlns:c16r2="http://schemas.microsoft.com/office/drawing/2015/06/chart">
            <c:ext xmlns:c16="http://schemas.microsoft.com/office/drawing/2014/chart" uri="{C3380CC4-5D6E-409C-BE32-E72D297353CC}">
              <c16:uniqueId val="{00000010-6A19-4244-A9B2-E89AE85FADAA}"/>
            </c:ext>
          </c:extLst>
        </c:ser>
        <c:dLbls>
          <c:dLblPos val="outEnd"/>
          <c:showLegendKey val="0"/>
          <c:showVal val="1"/>
          <c:showCatName val="0"/>
          <c:showSerName val="0"/>
          <c:showPercent val="0"/>
          <c:showBubbleSize val="0"/>
        </c:dLbls>
        <c:gapWidth val="0"/>
        <c:axId val="198708224"/>
        <c:axId val="198730496"/>
      </c:barChart>
      <c:catAx>
        <c:axId val="198708224"/>
        <c:scaling>
          <c:orientation val="minMax"/>
        </c:scaling>
        <c:delete val="0"/>
        <c:axPos val="b"/>
        <c:numFmt formatCode="General" sourceLinked="0"/>
        <c:majorTickMark val="out"/>
        <c:minorTickMark val="none"/>
        <c:tickLblPos val="nextTo"/>
        <c:txPr>
          <a:bodyPr rot="0"/>
          <a:lstStyle/>
          <a:p>
            <a:pPr>
              <a:defRPr sz="700">
                <a:latin typeface="+mn-lt"/>
                <a:ea typeface="Tahoma" panose="020B0604030504040204" pitchFamily="34" charset="0"/>
                <a:cs typeface="Tahoma" panose="020B0604030504040204" pitchFamily="34" charset="0"/>
              </a:defRPr>
            </a:pPr>
            <a:endParaRPr lang="en-US"/>
          </a:p>
        </c:txPr>
        <c:crossAx val="198730496"/>
        <c:crosses val="autoZero"/>
        <c:auto val="1"/>
        <c:lblAlgn val="ctr"/>
        <c:lblOffset val="100"/>
        <c:noMultiLvlLbl val="0"/>
      </c:catAx>
      <c:valAx>
        <c:axId val="198730496"/>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8708224"/>
        <c:crosses val="autoZero"/>
        <c:crossBetween val="between"/>
        <c:majorUnit val="0.2"/>
      </c:valAx>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1000" b="1" i="0" baseline="0">
                <a:solidFill>
                  <a:schemeClr val="accent5">
                    <a:lumMod val="75000"/>
                  </a:schemeClr>
                </a:solidFill>
                <a:effectLst/>
                <a:latin typeface="+mn-lt"/>
                <a:ea typeface="Tahoma" panose="020B0604030504040204" pitchFamily="34" charset="0"/>
                <a:cs typeface="Tahoma" panose="020B0604030504040204" pitchFamily="34" charset="0"/>
              </a:rPr>
              <a:t>Chart 4.5.1b</a:t>
            </a:r>
            <a:endParaRPr lang="en-GB" sz="1000">
              <a:solidFill>
                <a:schemeClr val="accent5">
                  <a:lumMod val="75000"/>
                </a:schemeClr>
              </a:solidFill>
              <a:effectLst/>
              <a:latin typeface="+mn-lt"/>
              <a:ea typeface="Tahoma" panose="020B0604030504040204" pitchFamily="34" charset="0"/>
              <a:cs typeface="Tahoma" panose="020B0604030504040204" pitchFamily="34" charset="0"/>
            </a:endParaRPr>
          </a:p>
          <a:p>
            <a:pPr algn="l">
              <a:defRPr/>
            </a:pPr>
            <a:r>
              <a:rPr lang="en-GB" sz="1000" b="0" i="0" baseline="0">
                <a:effectLst/>
                <a:latin typeface="+mn-lt"/>
                <a:ea typeface="Tahoma" panose="020B0604030504040204" pitchFamily="34" charset="0"/>
                <a:cs typeface="Tahoma" panose="020B0604030504040204" pitchFamily="34" charset="0"/>
              </a:rPr>
              <a:t>Contact with professionals in previous 12 months</a:t>
            </a:r>
            <a:endParaRPr lang="en-GB" sz="1000">
              <a:effectLst/>
              <a:latin typeface="+mn-lt"/>
              <a:ea typeface="Tahoma" panose="020B0604030504040204" pitchFamily="34" charset="0"/>
              <a:cs typeface="Tahoma" panose="020B0604030504040204" pitchFamily="34" charset="0"/>
            </a:endParaRPr>
          </a:p>
        </c:rich>
      </c:tx>
      <c:layout>
        <c:manualLayout>
          <c:xMode val="edge"/>
          <c:yMode val="edge"/>
          <c:x val="1.9457562385486828E-2"/>
          <c:y val="1.801802052020705E-2"/>
        </c:manualLayout>
      </c:layout>
      <c:overlay val="0"/>
      <c:spPr>
        <a:noFill/>
      </c:spPr>
    </c:title>
    <c:autoTitleDeleted val="0"/>
    <c:plotArea>
      <c:layout>
        <c:manualLayout>
          <c:layoutTarget val="inner"/>
          <c:xMode val="edge"/>
          <c:yMode val="edge"/>
          <c:x val="8.9837141098815423E-2"/>
          <c:y val="0.17073611055948268"/>
          <c:w val="0.88120683688181967"/>
          <c:h val="0.66022395527671396"/>
        </c:manualLayout>
      </c:layout>
      <c:barChart>
        <c:barDir val="col"/>
        <c:grouping val="clustered"/>
        <c:varyColors val="0"/>
        <c:ser>
          <c:idx val="0"/>
          <c:order val="0"/>
          <c:invertIfNegative val="0"/>
          <c:dPt>
            <c:idx val="0"/>
            <c:invertIfNegative val="0"/>
            <c:bubble3D val="0"/>
            <c:spPr>
              <a:solidFill>
                <a:schemeClr val="tx2"/>
              </a:solidFill>
            </c:spPr>
            <c:extLst xmlns:c16r2="http://schemas.microsoft.com/office/drawing/2015/06/chart">
              <c:ext xmlns:c16="http://schemas.microsoft.com/office/drawing/2014/chart" uri="{C3380CC4-5D6E-409C-BE32-E72D297353CC}">
                <c16:uniqueId val="{00000001-BF57-4F89-8E1B-1A7967C1EDC1}"/>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3-BF57-4F89-8E1B-1A7967C1EDC1}"/>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5-BF57-4F89-8E1B-1A7967C1EDC1}"/>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7-BF57-4F89-8E1B-1A7967C1EDC1}"/>
              </c:ext>
            </c:extLst>
          </c:dPt>
          <c:dPt>
            <c:idx val="4"/>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9-BF57-4F89-8E1B-1A7967C1EDC1}"/>
              </c:ext>
            </c:extLst>
          </c:dPt>
          <c:dPt>
            <c:idx val="5"/>
            <c:invertIfNegative val="0"/>
            <c:bubble3D val="0"/>
            <c:spPr>
              <a:solidFill>
                <a:schemeClr val="tx2"/>
              </a:solidFill>
            </c:spPr>
            <c:extLst xmlns:c16r2="http://schemas.microsoft.com/office/drawing/2015/06/chart">
              <c:ext xmlns:c16="http://schemas.microsoft.com/office/drawing/2014/chart" uri="{C3380CC4-5D6E-409C-BE32-E72D297353CC}">
                <c16:uniqueId val="{0000000B-BF57-4F89-8E1B-1A7967C1EDC1}"/>
              </c:ext>
            </c:extLst>
          </c:dPt>
          <c:dPt>
            <c:idx val="6"/>
            <c:invertIfNegative val="0"/>
            <c:bubble3D val="0"/>
            <c:spPr>
              <a:solidFill>
                <a:schemeClr val="accent1"/>
              </a:solidFill>
            </c:spPr>
            <c:extLst xmlns:c16r2="http://schemas.microsoft.com/office/drawing/2015/06/chart">
              <c:ext xmlns:c16="http://schemas.microsoft.com/office/drawing/2014/chart" uri="{C3380CC4-5D6E-409C-BE32-E72D297353CC}">
                <c16:uniqueId val="{0000000D-BF57-4F89-8E1B-1A7967C1EDC1}"/>
              </c:ext>
            </c:extLst>
          </c:dPt>
          <c:dPt>
            <c:idx val="7"/>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F-BF57-4F89-8E1B-1A7967C1EDC1}"/>
              </c:ext>
            </c:extLst>
          </c:dPt>
          <c:dPt>
            <c:idx val="8"/>
            <c:invertIfNegative val="0"/>
            <c:bubble3D val="0"/>
            <c:spPr>
              <a:solidFill>
                <a:schemeClr val="accent6"/>
              </a:solidFill>
            </c:spPr>
            <c:extLst xmlns:c16r2="http://schemas.microsoft.com/office/drawing/2015/06/chart">
              <c:ext xmlns:c16="http://schemas.microsoft.com/office/drawing/2014/chart" uri="{C3380CC4-5D6E-409C-BE32-E72D297353CC}">
                <c16:uniqueId val="{00000011-BF57-4F89-8E1B-1A7967C1EDC1}"/>
              </c:ext>
            </c:extLst>
          </c:dPt>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'Contact with professionals'!$A$1:$A$10</c:f>
              <c:strCache>
                <c:ptCount val="10"/>
                <c:pt idx="0">
                  <c:v>GP / Doctor</c:v>
                </c:pt>
                <c:pt idx="1">
                  <c:v>Health visitor</c:v>
                </c:pt>
                <c:pt idx="2">
                  <c:v>Teacher / head teacher</c:v>
                </c:pt>
                <c:pt idx="3">
                  <c:v>Other health professional </c:v>
                </c:pt>
                <c:pt idx="4">
                  <c:v>Social worker</c:v>
                </c:pt>
                <c:pt idx="5">
                  <c:v>Other education professional</c:v>
                </c:pt>
                <c:pt idx="6">
                  <c:v>Special needs assistant</c:v>
                </c:pt>
                <c:pt idx="7">
                  <c:v>Educational psychologist</c:v>
                </c:pt>
                <c:pt idx="8">
                  <c:v>Psychiatrist / clinical psychologist</c:v>
                </c:pt>
                <c:pt idx="9">
                  <c:v>None of these</c:v>
                </c:pt>
              </c:strCache>
            </c:strRef>
          </c:cat>
          <c:val>
            <c:numRef>
              <c:f>'Contact with professionals'!$B$1:$B$10</c:f>
              <c:numCache>
                <c:formatCode>0%</c:formatCode>
                <c:ptCount val="10"/>
                <c:pt idx="0">
                  <c:v>0.8</c:v>
                </c:pt>
                <c:pt idx="1">
                  <c:v>0.38</c:v>
                </c:pt>
                <c:pt idx="2">
                  <c:v>0.25</c:v>
                </c:pt>
                <c:pt idx="3">
                  <c:v>0.14000000000000001</c:v>
                </c:pt>
                <c:pt idx="4">
                  <c:v>0.05</c:v>
                </c:pt>
                <c:pt idx="5">
                  <c:v>0.04</c:v>
                </c:pt>
                <c:pt idx="6">
                  <c:v>0.04</c:v>
                </c:pt>
                <c:pt idx="7">
                  <c:v>0.03</c:v>
                </c:pt>
                <c:pt idx="8">
                  <c:v>0.03</c:v>
                </c:pt>
                <c:pt idx="9">
                  <c:v>0.12</c:v>
                </c:pt>
              </c:numCache>
            </c:numRef>
          </c:val>
          <c:extLst xmlns:c16r2="http://schemas.microsoft.com/office/drawing/2015/06/chart">
            <c:ext xmlns:c16="http://schemas.microsoft.com/office/drawing/2014/chart" uri="{C3380CC4-5D6E-409C-BE32-E72D297353CC}">
              <c16:uniqueId val="{00000012-BF57-4F89-8E1B-1A7967C1EDC1}"/>
            </c:ext>
          </c:extLst>
        </c:ser>
        <c:dLbls>
          <c:dLblPos val="outEnd"/>
          <c:showLegendKey val="0"/>
          <c:showVal val="1"/>
          <c:showCatName val="0"/>
          <c:showSerName val="0"/>
          <c:showPercent val="0"/>
          <c:showBubbleSize val="0"/>
        </c:dLbls>
        <c:gapWidth val="0"/>
        <c:axId val="198774784"/>
        <c:axId val="198785280"/>
      </c:barChart>
      <c:catAx>
        <c:axId val="198774784"/>
        <c:scaling>
          <c:orientation val="minMax"/>
        </c:scaling>
        <c:delete val="0"/>
        <c:axPos val="b"/>
        <c:numFmt formatCode="General" sourceLinked="0"/>
        <c:majorTickMark val="out"/>
        <c:minorTickMark val="none"/>
        <c:tickLblPos val="nextTo"/>
        <c:txPr>
          <a:bodyPr rot="0"/>
          <a:lstStyle/>
          <a:p>
            <a:pPr>
              <a:defRPr sz="700">
                <a:latin typeface="Arial" panose="020B0604020202020204" pitchFamily="34" charset="0"/>
                <a:ea typeface="Tahoma" panose="020B0604030504040204" pitchFamily="34" charset="0"/>
                <a:cs typeface="Arial" panose="020B0604020202020204" pitchFamily="34" charset="0"/>
              </a:defRPr>
            </a:pPr>
            <a:endParaRPr lang="en-US"/>
          </a:p>
        </c:txPr>
        <c:crossAx val="198785280"/>
        <c:crosses val="autoZero"/>
        <c:auto val="1"/>
        <c:lblAlgn val="ctr"/>
        <c:lblOffset val="100"/>
        <c:noMultiLvlLbl val="0"/>
      </c:catAx>
      <c:valAx>
        <c:axId val="198785280"/>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crossAx val="198774784"/>
        <c:crosses val="autoZero"/>
        <c:crossBetween val="between"/>
        <c:majorUnit val="0.2"/>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86158309158721E-2"/>
          <c:y val="0.21748399395082851"/>
          <c:w val="0.79498425196850397"/>
          <c:h val="0.62796660834062412"/>
        </c:manualLayout>
      </c:layout>
      <c:barChart>
        <c:barDir val="col"/>
        <c:grouping val="clustered"/>
        <c:varyColors val="0"/>
        <c:ser>
          <c:idx val="0"/>
          <c:order val="0"/>
          <c:tx>
            <c:strRef>
              <c:f>'Childcare support'!$B$1</c:f>
              <c:strCache>
                <c:ptCount val="1"/>
                <c:pt idx="0">
                  <c:v>Day time</c:v>
                </c:pt>
              </c:strCache>
            </c:strRef>
          </c:tx>
          <c:spPr>
            <a:solidFill>
              <a:schemeClr val="tx2"/>
            </a:solidFill>
          </c:spPr>
          <c:invertIfNegative val="0"/>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'Childcare support'!$A$2:$A$4</c:f>
              <c:strCache>
                <c:ptCount val="3"/>
                <c:pt idx="0">
                  <c:v>1 hr or more at least once a month</c:v>
                </c:pt>
                <c:pt idx="1">
                  <c:v>1 hr or more at least once a week</c:v>
                </c:pt>
                <c:pt idx="2">
                  <c:v>Every or almost every day</c:v>
                </c:pt>
              </c:strCache>
            </c:strRef>
          </c:cat>
          <c:val>
            <c:numRef>
              <c:f>'Childcare support'!$B$2:$B$4</c:f>
              <c:numCache>
                <c:formatCode>###0%</c:formatCode>
                <c:ptCount val="3"/>
                <c:pt idx="0">
                  <c:v>0.15</c:v>
                </c:pt>
                <c:pt idx="1">
                  <c:v>0.37</c:v>
                </c:pt>
                <c:pt idx="2">
                  <c:v>0.19</c:v>
                </c:pt>
              </c:numCache>
            </c:numRef>
          </c:val>
          <c:extLst xmlns:c16r2="http://schemas.microsoft.com/office/drawing/2015/06/chart">
            <c:ext xmlns:c16="http://schemas.microsoft.com/office/drawing/2014/chart" uri="{C3380CC4-5D6E-409C-BE32-E72D297353CC}">
              <c16:uniqueId val="{00000000-2EC8-41A4-B97D-F9641F6992CE}"/>
            </c:ext>
          </c:extLst>
        </c:ser>
        <c:ser>
          <c:idx val="1"/>
          <c:order val="1"/>
          <c:tx>
            <c:strRef>
              <c:f>'Childcare support'!$C$1</c:f>
              <c:strCache>
                <c:ptCount val="1"/>
                <c:pt idx="0">
                  <c:v>Evening time</c:v>
                </c:pt>
              </c:strCache>
            </c:strRef>
          </c:tx>
          <c:spPr>
            <a:solidFill>
              <a:schemeClr val="accent4">
                <a:lumMod val="40000"/>
                <a:lumOff val="60000"/>
              </a:schemeClr>
            </a:solidFill>
          </c:spPr>
          <c:invertIfNegative val="0"/>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'Childcare support'!$A$2:$A$4</c:f>
              <c:strCache>
                <c:ptCount val="3"/>
                <c:pt idx="0">
                  <c:v>1 hr or more at least once a month</c:v>
                </c:pt>
                <c:pt idx="1">
                  <c:v>1 hr or more at least once a week</c:v>
                </c:pt>
                <c:pt idx="2">
                  <c:v>Every or almost every day</c:v>
                </c:pt>
              </c:strCache>
            </c:strRef>
          </c:cat>
          <c:val>
            <c:numRef>
              <c:f>'Childcare support'!$C$2:$C$4</c:f>
              <c:numCache>
                <c:formatCode>###0%</c:formatCode>
                <c:ptCount val="3"/>
                <c:pt idx="0">
                  <c:v>0.2</c:v>
                </c:pt>
                <c:pt idx="1">
                  <c:v>0.14000000000000001</c:v>
                </c:pt>
                <c:pt idx="2">
                  <c:v>0.03</c:v>
                </c:pt>
              </c:numCache>
            </c:numRef>
          </c:val>
          <c:extLst xmlns:c16r2="http://schemas.microsoft.com/office/drawing/2015/06/chart">
            <c:ext xmlns:c16="http://schemas.microsoft.com/office/drawing/2014/chart" uri="{C3380CC4-5D6E-409C-BE32-E72D297353CC}">
              <c16:uniqueId val="{00000001-2EC8-41A4-B97D-F9641F6992CE}"/>
            </c:ext>
          </c:extLst>
        </c:ser>
        <c:dLbls>
          <c:dLblPos val="outEnd"/>
          <c:showLegendKey val="0"/>
          <c:showVal val="1"/>
          <c:showCatName val="0"/>
          <c:showSerName val="0"/>
          <c:showPercent val="0"/>
          <c:showBubbleSize val="0"/>
        </c:dLbls>
        <c:gapWidth val="150"/>
        <c:axId val="199303168"/>
        <c:axId val="199304704"/>
      </c:barChart>
      <c:catAx>
        <c:axId val="199303168"/>
        <c:scaling>
          <c:orientation val="minMax"/>
        </c:scaling>
        <c:delete val="0"/>
        <c:axPos val="b"/>
        <c:numFmt formatCode="General" sourceLinked="0"/>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9304704"/>
        <c:crosses val="autoZero"/>
        <c:auto val="1"/>
        <c:lblAlgn val="ctr"/>
        <c:lblOffset val="100"/>
        <c:noMultiLvlLbl val="0"/>
      </c:catAx>
      <c:valAx>
        <c:axId val="199304704"/>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199303168"/>
        <c:crosses val="autoZero"/>
        <c:crossBetween val="between"/>
      </c:valAx>
    </c:plotArea>
    <c:legend>
      <c:legendPos val="r"/>
      <c:layout>
        <c:manualLayout>
          <c:xMode val="edge"/>
          <c:yMode val="edge"/>
          <c:x val="0.80627821522309706"/>
          <c:y val="0.26350503062117236"/>
          <c:w val="0.16799890638670167"/>
          <c:h val="0.16887354031118318"/>
        </c:manualLayout>
      </c:layout>
      <c:overlay val="0"/>
      <c:txPr>
        <a:bodyPr/>
        <a:lstStyle/>
        <a:p>
          <a:pPr>
            <a:defRPr sz="900">
              <a:latin typeface="+mn-lt"/>
              <a:ea typeface="Tahoma" panose="020B0604030504040204" pitchFamily="34" charset="0"/>
              <a:cs typeface="Tahoma" panose="020B060403050404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16743918821170972"/>
          <c:w val="0.83744846300992037"/>
          <c:h val="0.72467710766923366"/>
        </c:manualLayout>
      </c:layout>
      <c:barChart>
        <c:barDir val="col"/>
        <c:grouping val="clustered"/>
        <c:varyColors val="0"/>
        <c:ser>
          <c:idx val="0"/>
          <c:order val="0"/>
          <c:spPr>
            <a:solidFill>
              <a:srgbClr val="002060"/>
            </a:solidFill>
            <a:ln w="25400">
              <a:noFill/>
            </a:ln>
          </c:spPr>
          <c:invertIfNegative val="0"/>
          <c:dPt>
            <c:idx val="0"/>
            <c:invertIfNegative val="0"/>
            <c:bubble3D val="0"/>
            <c:spPr>
              <a:solidFill>
                <a:schemeClr val="tx2"/>
              </a:solidFill>
              <a:ln w="25400">
                <a:noFill/>
              </a:ln>
            </c:spPr>
            <c:extLst xmlns:c16r2="http://schemas.microsoft.com/office/drawing/2015/06/chart">
              <c:ext xmlns:c16="http://schemas.microsoft.com/office/drawing/2014/chart" uri="{C3380CC4-5D6E-409C-BE32-E72D297353CC}">
                <c16:uniqueId val="{00000001-D88C-4B18-89E6-60A08D323031}"/>
              </c:ext>
            </c:extLst>
          </c:dPt>
          <c:dPt>
            <c:idx val="1"/>
            <c:invertIfNegative val="0"/>
            <c:bubble3D val="0"/>
            <c:spPr>
              <a:solidFill>
                <a:schemeClr val="accent1"/>
              </a:solidFill>
              <a:ln w="25400">
                <a:noFill/>
              </a:ln>
            </c:spPr>
            <c:extLst xmlns:c16r2="http://schemas.microsoft.com/office/drawing/2015/06/chart">
              <c:ext xmlns:c16="http://schemas.microsoft.com/office/drawing/2014/chart" uri="{C3380CC4-5D6E-409C-BE32-E72D297353CC}">
                <c16:uniqueId val="{00000003-D88C-4B18-89E6-60A08D323031}"/>
              </c:ext>
            </c:extLst>
          </c:dPt>
          <c:dPt>
            <c:idx val="2"/>
            <c:invertIfNegative val="0"/>
            <c:bubble3D val="0"/>
            <c:spPr>
              <a:solidFill>
                <a:schemeClr val="accent4">
                  <a:lumMod val="40000"/>
                  <a:lumOff val="60000"/>
                </a:schemeClr>
              </a:solidFill>
              <a:ln w="25400">
                <a:noFill/>
              </a:ln>
            </c:spPr>
            <c:extLst xmlns:c16r2="http://schemas.microsoft.com/office/drawing/2015/06/chart">
              <c:ext xmlns:c16="http://schemas.microsoft.com/office/drawing/2014/chart" uri="{C3380CC4-5D6E-409C-BE32-E72D297353CC}">
                <c16:uniqueId val="{00000005-D88C-4B18-89E6-60A08D323031}"/>
              </c:ext>
            </c:extLst>
          </c:dPt>
          <c:dPt>
            <c:idx val="3"/>
            <c:invertIfNegative val="0"/>
            <c:bubble3D val="0"/>
            <c:spPr>
              <a:solidFill>
                <a:schemeClr val="accent6"/>
              </a:solidFill>
              <a:ln w="25400">
                <a:noFill/>
              </a:ln>
            </c:spPr>
            <c:extLst xmlns:c16r2="http://schemas.microsoft.com/office/drawing/2015/06/chart">
              <c:ext xmlns:c16="http://schemas.microsoft.com/office/drawing/2014/chart" uri="{C3380CC4-5D6E-409C-BE32-E72D297353CC}">
                <c16:uniqueId val="{00000007-D88C-4B18-89E6-60A08D323031}"/>
              </c:ext>
            </c:extLst>
          </c:dPt>
          <c:dPt>
            <c:idx val="4"/>
            <c:invertIfNegative val="0"/>
            <c:bubble3D val="0"/>
            <c:spPr>
              <a:solidFill>
                <a:schemeClr val="accent6">
                  <a:lumMod val="40000"/>
                  <a:lumOff val="60000"/>
                </a:schemeClr>
              </a:solidFill>
              <a:ln w="25400">
                <a:noFill/>
              </a:ln>
            </c:spPr>
            <c:extLst xmlns:c16r2="http://schemas.microsoft.com/office/drawing/2015/06/chart">
              <c:ext xmlns:c16="http://schemas.microsoft.com/office/drawing/2014/chart" uri="{C3380CC4-5D6E-409C-BE32-E72D297353CC}">
                <c16:uniqueId val="{00000009-D88C-4B18-89E6-60A08D323031}"/>
              </c:ext>
            </c:extLst>
          </c:dPt>
          <c:dPt>
            <c:idx val="5"/>
            <c:invertIfNegative val="0"/>
            <c:bubble3D val="0"/>
            <c:spPr>
              <a:solidFill>
                <a:schemeClr val="accent4"/>
              </a:solidFill>
              <a:ln w="25400">
                <a:noFill/>
              </a:ln>
            </c:spPr>
            <c:extLst xmlns:c16r2="http://schemas.microsoft.com/office/drawing/2015/06/chart">
              <c:ext xmlns:c16="http://schemas.microsoft.com/office/drawing/2014/chart" uri="{C3380CC4-5D6E-409C-BE32-E72D297353CC}">
                <c16:uniqueId val="{0000000B-D88C-4B18-89E6-60A08D323031}"/>
              </c:ext>
            </c:extLst>
          </c:dPt>
          <c:dPt>
            <c:idx val="6"/>
            <c:invertIfNegative val="0"/>
            <c:bubble3D val="0"/>
            <c:spPr>
              <a:solidFill>
                <a:schemeClr val="accent6">
                  <a:lumMod val="60000"/>
                  <a:lumOff val="40000"/>
                </a:schemeClr>
              </a:solidFill>
              <a:ln w="25400">
                <a:noFill/>
              </a:ln>
            </c:spPr>
            <c:extLst xmlns:c16r2="http://schemas.microsoft.com/office/drawing/2015/06/chart">
              <c:ext xmlns:c16="http://schemas.microsoft.com/office/drawing/2014/chart" uri="{C3380CC4-5D6E-409C-BE32-E72D297353CC}">
                <c16:uniqueId val="{0000000D-D88C-4B18-89E6-60A08D323031}"/>
              </c:ext>
            </c:extLst>
          </c:dPt>
          <c:dPt>
            <c:idx val="7"/>
            <c:invertIfNegative val="0"/>
            <c:bubble3D val="0"/>
            <c:spPr>
              <a:solidFill>
                <a:schemeClr val="accent5">
                  <a:lumMod val="60000"/>
                  <a:lumOff val="40000"/>
                </a:schemeClr>
              </a:solidFill>
              <a:ln w="25400">
                <a:noFill/>
              </a:ln>
            </c:spPr>
            <c:extLst xmlns:c16r2="http://schemas.microsoft.com/office/drawing/2015/06/chart">
              <c:ext xmlns:c16="http://schemas.microsoft.com/office/drawing/2014/chart" uri="{C3380CC4-5D6E-409C-BE32-E72D297353CC}">
                <c16:uniqueId val="{0000000F-D88C-4B18-89E6-60A08D323031}"/>
              </c:ext>
            </c:extLst>
          </c:dPt>
          <c:dLbls>
            <c:spPr>
              <a:noFill/>
              <a:ln>
                <a:noFill/>
              </a:ln>
              <a:effectLst/>
            </c:spPr>
            <c:txPr>
              <a:bodyPr/>
              <a:lstStyle/>
              <a:p>
                <a:pPr>
                  <a:defRPr sz="900">
                    <a:latin typeface="+mn-lt"/>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FamFDone!$A$1:$A$6</c:f>
              <c:strCache>
                <c:ptCount val="6"/>
                <c:pt idx="0">
                  <c:v>Toys, clothes or equipment</c:v>
                </c:pt>
                <c:pt idx="1">
                  <c:v>Outings or daytrips</c:v>
                </c:pt>
                <c:pt idx="2">
                  <c:v>Provided advice/support</c:v>
                </c:pt>
                <c:pt idx="3">
                  <c:v>Helped around the house</c:v>
                </c:pt>
                <c:pt idx="4">
                  <c:v>Helped financially</c:v>
                </c:pt>
                <c:pt idx="5">
                  <c:v>None of these</c:v>
                </c:pt>
              </c:strCache>
            </c:strRef>
          </c:cat>
          <c:val>
            <c:numRef>
              <c:f>FamFDone!$B$1:$B$6</c:f>
              <c:numCache>
                <c:formatCode>0%</c:formatCode>
                <c:ptCount val="6"/>
                <c:pt idx="0">
                  <c:v>0.84</c:v>
                </c:pt>
                <c:pt idx="1">
                  <c:v>0.73</c:v>
                </c:pt>
                <c:pt idx="2">
                  <c:v>0.54</c:v>
                </c:pt>
                <c:pt idx="3">
                  <c:v>0.47</c:v>
                </c:pt>
                <c:pt idx="4">
                  <c:v>0.28000000000000003</c:v>
                </c:pt>
                <c:pt idx="5">
                  <c:v>7.0000000000000007E-2</c:v>
                </c:pt>
              </c:numCache>
            </c:numRef>
          </c:val>
          <c:extLst xmlns:c16r2="http://schemas.microsoft.com/office/drawing/2015/06/chart">
            <c:ext xmlns:c16="http://schemas.microsoft.com/office/drawing/2014/chart" uri="{C3380CC4-5D6E-409C-BE32-E72D297353CC}">
              <c16:uniqueId val="{00000010-D88C-4B18-89E6-60A08D323031}"/>
            </c:ext>
          </c:extLst>
        </c:ser>
        <c:dLbls>
          <c:showLegendKey val="0"/>
          <c:showVal val="0"/>
          <c:showCatName val="0"/>
          <c:showSerName val="0"/>
          <c:showPercent val="0"/>
          <c:showBubbleSize val="0"/>
        </c:dLbls>
        <c:gapWidth val="0"/>
        <c:axId val="201810688"/>
        <c:axId val="201812224"/>
      </c:barChart>
      <c:catAx>
        <c:axId val="2018106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201812224"/>
        <c:crosses val="autoZero"/>
        <c:auto val="0"/>
        <c:lblAlgn val="ctr"/>
        <c:lblOffset val="100"/>
        <c:noMultiLvlLbl val="0"/>
      </c:catAx>
      <c:valAx>
        <c:axId val="201812224"/>
        <c:scaling>
          <c:orientation val="minMax"/>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Tahoma"/>
                <a:cs typeface="Tahoma"/>
              </a:defRPr>
            </a:pPr>
            <a:endParaRPr lang="en-US"/>
          </a:p>
        </c:txPr>
        <c:crossAx val="2018106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17E-2"/>
          <c:y val="0.17640055409740449"/>
          <c:w val="0.85815048118985138"/>
          <c:h val="0.6741136727836331"/>
        </c:manualLayout>
      </c:layout>
      <c:barChart>
        <c:barDir val="col"/>
        <c:grouping val="clustered"/>
        <c:varyColors val="0"/>
        <c:ser>
          <c:idx val="0"/>
          <c:order val="0"/>
          <c:spPr>
            <a:solidFill>
              <a:schemeClr val="tx2"/>
            </a:solidFill>
          </c:spPr>
          <c:invertIfNegative val="0"/>
          <c:dPt>
            <c:idx val="0"/>
            <c:invertIfNegative val="0"/>
            <c:bubble3D val="0"/>
          </c:dPt>
          <c:dPt>
            <c:idx val="1"/>
            <c:invertIfNegative val="0"/>
            <c:bubble3D val="0"/>
            <c:spPr>
              <a:solidFill>
                <a:schemeClr val="accent1"/>
              </a:solidFill>
            </c:spPr>
          </c:dPt>
          <c:dPt>
            <c:idx val="2"/>
            <c:invertIfNegative val="0"/>
            <c:bubble3D val="0"/>
            <c:spPr>
              <a:solidFill>
                <a:schemeClr val="accent4">
                  <a:lumMod val="40000"/>
                  <a:lumOff val="60000"/>
                </a:schemeClr>
              </a:solidFill>
            </c:spPr>
          </c:dPt>
          <c:dPt>
            <c:idx val="3"/>
            <c:invertIfNegative val="0"/>
            <c:bubble3D val="0"/>
            <c:spPr>
              <a:solidFill>
                <a:schemeClr val="accent6"/>
              </a:solidFill>
            </c:spPr>
          </c:dPt>
          <c:dPt>
            <c:idx val="4"/>
            <c:invertIfNegative val="0"/>
            <c:bubble3D val="0"/>
            <c:spPr>
              <a:solidFill>
                <a:schemeClr val="accent6">
                  <a:lumMod val="40000"/>
                  <a:lumOff val="60000"/>
                </a:schemeClr>
              </a:solidFill>
            </c:spPr>
          </c:dPt>
          <c:dPt>
            <c:idx val="5"/>
            <c:invertIfNegative val="0"/>
            <c:bubble3D val="0"/>
            <c:spPr>
              <a:solidFill>
                <a:schemeClr val="accent4"/>
              </a:solidFill>
            </c:spPr>
          </c:dPt>
          <c:dPt>
            <c:idx val="6"/>
            <c:invertIfNegative val="0"/>
            <c:bubble3D val="0"/>
          </c:dPt>
          <c:dPt>
            <c:idx val="7"/>
            <c:invertIfNegative val="0"/>
            <c:bubble3D val="0"/>
            <c:spPr>
              <a:solidFill>
                <a:schemeClr val="accent1"/>
              </a:solidFill>
            </c:spPr>
          </c:dPt>
          <c:dPt>
            <c:idx val="8"/>
            <c:invertIfNegative val="0"/>
            <c:bubble3D val="0"/>
            <c:spPr>
              <a:solidFill>
                <a:schemeClr val="accent4">
                  <a:lumMod val="40000"/>
                  <a:lumOff val="60000"/>
                </a:schemeClr>
              </a:solidFill>
            </c:spPr>
          </c:dPt>
          <c:dPt>
            <c:idx val="9"/>
            <c:invertIfNegative val="0"/>
            <c:bubble3D val="0"/>
            <c:spPr>
              <a:solidFill>
                <a:schemeClr val="accent6"/>
              </a:solidFill>
            </c:spPr>
          </c:dPt>
          <c:dPt>
            <c:idx val="10"/>
            <c:invertIfNegative val="0"/>
            <c:bubble3D val="0"/>
            <c:spPr>
              <a:solidFill>
                <a:schemeClr val="accent6">
                  <a:lumMod val="40000"/>
                  <a:lumOff val="60000"/>
                </a:schemeClr>
              </a:solidFill>
            </c:spPr>
          </c:dPt>
          <c:dLbls>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dLbls>
          <c:cat>
            <c:strRef>
              <c:f>'[Chart in Microsoft Word]Org activities'!$A$2:$A$10</c:f>
              <c:strCache>
                <c:ptCount val="9"/>
                <c:pt idx="0">
                  <c:v>None</c:v>
                </c:pt>
                <c:pt idx="1">
                  <c:v>Swimming</c:v>
                </c:pt>
                <c:pt idx="2">
                  <c:v>Book bug / library</c:v>
                </c:pt>
                <c:pt idx="3">
                  <c:v>Tuneful tots</c:v>
                </c:pt>
                <c:pt idx="4">
                  <c:v>Baby massage</c:v>
                </c:pt>
                <c:pt idx="5">
                  <c:v>Hartbeeps</c:v>
                </c:pt>
                <c:pt idx="6">
                  <c:v>Gym</c:v>
                </c:pt>
                <c:pt idx="7">
                  <c:v>Baby sensory</c:v>
                </c:pt>
                <c:pt idx="8">
                  <c:v>Baby / toddler yoga</c:v>
                </c:pt>
              </c:strCache>
            </c:strRef>
          </c:cat>
          <c:val>
            <c:numRef>
              <c:f>'[Chart in Microsoft Word]Org activities'!$B$2:$B$10</c:f>
              <c:numCache>
                <c:formatCode>###0%</c:formatCode>
                <c:ptCount val="9"/>
                <c:pt idx="0">
                  <c:v>0.35</c:v>
                </c:pt>
                <c:pt idx="1">
                  <c:v>0.35</c:v>
                </c:pt>
                <c:pt idx="2">
                  <c:v>0.27</c:v>
                </c:pt>
                <c:pt idx="3">
                  <c:v>0.18</c:v>
                </c:pt>
                <c:pt idx="4">
                  <c:v>0.17</c:v>
                </c:pt>
                <c:pt idx="5">
                  <c:v>0.13</c:v>
                </c:pt>
                <c:pt idx="6">
                  <c:v>0.1</c:v>
                </c:pt>
                <c:pt idx="7">
                  <c:v>0.1</c:v>
                </c:pt>
                <c:pt idx="8">
                  <c:v>0.08</c:v>
                </c:pt>
              </c:numCache>
            </c:numRef>
          </c:val>
        </c:ser>
        <c:dLbls>
          <c:dLblPos val="outEnd"/>
          <c:showLegendKey val="0"/>
          <c:showVal val="1"/>
          <c:showCatName val="0"/>
          <c:showSerName val="0"/>
          <c:showPercent val="0"/>
          <c:showBubbleSize val="0"/>
        </c:dLbls>
        <c:gapWidth val="0"/>
        <c:axId val="204559872"/>
        <c:axId val="204591104"/>
      </c:barChart>
      <c:catAx>
        <c:axId val="204559872"/>
        <c:scaling>
          <c:orientation val="minMax"/>
        </c:scaling>
        <c:delete val="0"/>
        <c:axPos val="b"/>
        <c:majorTickMark val="out"/>
        <c:minorTickMark val="none"/>
        <c:tickLblPos val="nextTo"/>
        <c:txPr>
          <a:bodyPr rot="0"/>
          <a:lstStyle/>
          <a:p>
            <a:pPr>
              <a:defRPr sz="800">
                <a:latin typeface="+mn-lt"/>
                <a:ea typeface="Tahoma" panose="020B0604030504040204" pitchFamily="34" charset="0"/>
                <a:cs typeface="Tahoma" panose="020B0604030504040204" pitchFamily="34" charset="0"/>
              </a:defRPr>
            </a:pPr>
            <a:endParaRPr lang="en-US"/>
          </a:p>
        </c:txPr>
        <c:crossAx val="204591104"/>
        <c:crosses val="autoZero"/>
        <c:auto val="1"/>
        <c:lblAlgn val="ctr"/>
        <c:lblOffset val="100"/>
        <c:noMultiLvlLbl val="0"/>
      </c:catAx>
      <c:valAx>
        <c:axId val="204591104"/>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204559872"/>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17E-2"/>
          <c:y val="0.26615578809874096"/>
          <c:w val="0.86720647419072616"/>
          <c:h val="0.57524827584536931"/>
        </c:manualLayout>
      </c:layout>
      <c:barChart>
        <c:barDir val="col"/>
        <c:grouping val="clustered"/>
        <c:varyColors val="0"/>
        <c:ser>
          <c:idx val="0"/>
          <c:order val="0"/>
          <c:tx>
            <c:strRef>
              <c:f>'Parenting advice'!$B$1</c:f>
              <c:strCache>
                <c:ptCount val="1"/>
                <c:pt idx="0">
                  <c:v>Agree</c:v>
                </c:pt>
              </c:strCache>
            </c:strRef>
          </c:tx>
          <c:spPr>
            <a:solidFill>
              <a:schemeClr val="tx2"/>
            </a:solidFill>
          </c:spPr>
          <c:invertIfNegative val="0"/>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'Parenting advice'!$A$2:$A$5</c:f>
              <c:strCache>
                <c:ptCount val="4"/>
                <c:pt idx="0">
                  <c:v>Know where to get parenting advice</c:v>
                </c:pt>
                <c:pt idx="1">
                  <c:v>Professionals interfere with parenting</c:v>
                </c:pt>
                <c:pt idx="2">
                  <c:v>Professionals don't offer enough support</c:v>
                </c:pt>
                <c:pt idx="3">
                  <c:v>Professionals would think you a bad parent</c:v>
                </c:pt>
              </c:strCache>
            </c:strRef>
          </c:cat>
          <c:val>
            <c:numRef>
              <c:f>'Parenting advice'!$B$2:$B$5</c:f>
              <c:numCache>
                <c:formatCode>###0%</c:formatCode>
                <c:ptCount val="4"/>
                <c:pt idx="0">
                  <c:v>0.62</c:v>
                </c:pt>
                <c:pt idx="1">
                  <c:v>0.13</c:v>
                </c:pt>
                <c:pt idx="2">
                  <c:v>0.2</c:v>
                </c:pt>
                <c:pt idx="3">
                  <c:v>0.26</c:v>
                </c:pt>
              </c:numCache>
            </c:numRef>
          </c:val>
          <c:extLst xmlns:c16r2="http://schemas.microsoft.com/office/drawing/2015/06/chart">
            <c:ext xmlns:c16="http://schemas.microsoft.com/office/drawing/2014/chart" uri="{C3380CC4-5D6E-409C-BE32-E72D297353CC}">
              <c16:uniqueId val="{00000000-5D1B-4363-92F0-D02F800D01FA}"/>
            </c:ext>
          </c:extLst>
        </c:ser>
        <c:ser>
          <c:idx val="1"/>
          <c:order val="1"/>
          <c:tx>
            <c:strRef>
              <c:f>'Parenting advice'!$C$1</c:f>
              <c:strCache>
                <c:ptCount val="1"/>
                <c:pt idx="0">
                  <c:v>Disagree</c:v>
                </c:pt>
              </c:strCache>
            </c:strRef>
          </c:tx>
          <c:spPr>
            <a:solidFill>
              <a:schemeClr val="accent4">
                <a:lumMod val="40000"/>
                <a:lumOff val="60000"/>
              </a:schemeClr>
            </a:solidFill>
          </c:spPr>
          <c:invertIfNegative val="0"/>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'Parenting advice'!$A$2:$A$5</c:f>
              <c:strCache>
                <c:ptCount val="4"/>
                <c:pt idx="0">
                  <c:v>Know where to get parenting advice</c:v>
                </c:pt>
                <c:pt idx="1">
                  <c:v>Professionals interfere with parenting</c:v>
                </c:pt>
                <c:pt idx="2">
                  <c:v>Professionals don't offer enough support</c:v>
                </c:pt>
                <c:pt idx="3">
                  <c:v>Professionals would think you a bad parent</c:v>
                </c:pt>
              </c:strCache>
            </c:strRef>
          </c:cat>
          <c:val>
            <c:numRef>
              <c:f>'Parenting advice'!$C$2:$C$5</c:f>
              <c:numCache>
                <c:formatCode>###0%</c:formatCode>
                <c:ptCount val="4"/>
                <c:pt idx="0">
                  <c:v>0.26</c:v>
                </c:pt>
                <c:pt idx="1">
                  <c:v>0.56999999999999995</c:v>
                </c:pt>
                <c:pt idx="2">
                  <c:v>0.5</c:v>
                </c:pt>
                <c:pt idx="3">
                  <c:v>0.57999999999999996</c:v>
                </c:pt>
              </c:numCache>
            </c:numRef>
          </c:val>
          <c:extLst xmlns:c16r2="http://schemas.microsoft.com/office/drawing/2015/06/chart">
            <c:ext xmlns:c16="http://schemas.microsoft.com/office/drawing/2014/chart" uri="{C3380CC4-5D6E-409C-BE32-E72D297353CC}">
              <c16:uniqueId val="{00000001-5D1B-4363-92F0-D02F800D01FA}"/>
            </c:ext>
          </c:extLst>
        </c:ser>
        <c:dLbls>
          <c:dLblPos val="outEnd"/>
          <c:showLegendKey val="0"/>
          <c:showVal val="1"/>
          <c:showCatName val="0"/>
          <c:showSerName val="0"/>
          <c:showPercent val="0"/>
          <c:showBubbleSize val="0"/>
        </c:dLbls>
        <c:gapWidth val="150"/>
        <c:axId val="206116736"/>
        <c:axId val="206118272"/>
      </c:barChart>
      <c:catAx>
        <c:axId val="206116736"/>
        <c:scaling>
          <c:orientation val="minMax"/>
        </c:scaling>
        <c:delete val="0"/>
        <c:axPos val="b"/>
        <c:numFmt formatCode="General" sourceLinked="0"/>
        <c:majorTickMark val="out"/>
        <c:minorTickMark val="none"/>
        <c:tickLblPos val="nextTo"/>
        <c:txPr>
          <a:bodyPr/>
          <a:lstStyle/>
          <a:p>
            <a:pPr>
              <a:defRPr sz="800">
                <a:latin typeface="+mn-lt"/>
                <a:ea typeface="Tahoma" panose="020B0604030504040204" pitchFamily="34" charset="0"/>
                <a:cs typeface="Tahoma" panose="020B0604030504040204" pitchFamily="34" charset="0"/>
              </a:defRPr>
            </a:pPr>
            <a:endParaRPr lang="en-US"/>
          </a:p>
        </c:txPr>
        <c:crossAx val="206118272"/>
        <c:crosses val="autoZero"/>
        <c:auto val="1"/>
        <c:lblAlgn val="ctr"/>
        <c:lblOffset val="100"/>
        <c:noMultiLvlLbl val="0"/>
      </c:catAx>
      <c:valAx>
        <c:axId val="206118272"/>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206116736"/>
        <c:crosses val="autoZero"/>
        <c:crossBetween val="between"/>
      </c:valAx>
    </c:plotArea>
    <c:legend>
      <c:legendPos val="r"/>
      <c:layout>
        <c:manualLayout>
          <c:xMode val="edge"/>
          <c:yMode val="edge"/>
          <c:x val="0.80934985585818164"/>
          <c:y val="7.2602759517445645E-2"/>
          <c:w val="0.16799890638670167"/>
          <c:h val="0.19295926945562122"/>
        </c:manualLayout>
      </c:layout>
      <c:overlay val="0"/>
      <c:txPr>
        <a:bodyPr/>
        <a:lstStyle/>
        <a:p>
          <a:pPr>
            <a:defRPr sz="900">
              <a:latin typeface="+mn-lt"/>
              <a:ea typeface="Tahoma" panose="020B0604030504040204" pitchFamily="34" charset="0"/>
              <a:cs typeface="Tahoma" panose="020B060403050404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76061230481782993"/>
          <c:h val="0.63659663273798095"/>
        </c:manualLayout>
      </c:layout>
      <c:barChart>
        <c:barDir val="col"/>
        <c:grouping val="percentStacked"/>
        <c:varyColors val="0"/>
        <c:ser>
          <c:idx val="0"/>
          <c:order val="0"/>
          <c:tx>
            <c:strRef>
              <c:f>'SDQ (2)'!$C$3</c:f>
              <c:strCache>
                <c:ptCount val="1"/>
                <c:pt idx="0">
                  <c:v>Normal</c:v>
                </c:pt>
              </c:strCache>
            </c:strRef>
          </c:tx>
          <c:spPr>
            <a:solidFill>
              <a:schemeClr val="tx2"/>
            </a:solidFill>
            <a:ln w="9525">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 (2)'!$B$4:$B$10</c:f>
              <c:strCache>
                <c:ptCount val="7"/>
                <c:pt idx="0">
                  <c:v>Scotland
 2010</c:v>
                </c:pt>
                <c:pt idx="1">
                  <c:v>Scotland
 2013</c:v>
                </c:pt>
                <c:pt idx="2">
                  <c:v>Scotland
 2015</c:v>
                </c:pt>
                <c:pt idx="4">
                  <c:v>Falkirk
 2010</c:v>
                </c:pt>
                <c:pt idx="5">
                  <c:v>Falkirk
 2013</c:v>
                </c:pt>
                <c:pt idx="6">
                  <c:v>Falkirk
 2017</c:v>
                </c:pt>
              </c:strCache>
            </c:strRef>
          </c:cat>
          <c:val>
            <c:numRef>
              <c:f>'SDQ (2)'!$C$4:$C$10</c:f>
              <c:numCache>
                <c:formatCode>0%</c:formatCode>
                <c:ptCount val="7"/>
                <c:pt idx="0">
                  <c:v>0.75</c:v>
                </c:pt>
                <c:pt idx="1">
                  <c:v>0.71</c:v>
                </c:pt>
                <c:pt idx="2">
                  <c:v>0.69</c:v>
                </c:pt>
                <c:pt idx="4">
                  <c:v>0.76</c:v>
                </c:pt>
                <c:pt idx="5">
                  <c:v>0.69</c:v>
                </c:pt>
                <c:pt idx="6">
                  <c:v>0.69</c:v>
                </c:pt>
              </c:numCache>
            </c:numRef>
          </c:val>
        </c:ser>
        <c:ser>
          <c:idx val="1"/>
          <c:order val="1"/>
          <c:tx>
            <c:strRef>
              <c:f>'SDQ (2)'!$D$3</c:f>
              <c:strCache>
                <c:ptCount val="1"/>
                <c:pt idx="0">
                  <c:v>Borderline</c:v>
                </c:pt>
              </c:strCache>
            </c:strRef>
          </c:tx>
          <c:spPr>
            <a:solidFill>
              <a:schemeClr val="accent1"/>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 (2)'!$B$4:$B$10</c:f>
              <c:strCache>
                <c:ptCount val="7"/>
                <c:pt idx="0">
                  <c:v>Scotland
 2010</c:v>
                </c:pt>
                <c:pt idx="1">
                  <c:v>Scotland
 2013</c:v>
                </c:pt>
                <c:pt idx="2">
                  <c:v>Scotland
 2015</c:v>
                </c:pt>
                <c:pt idx="4">
                  <c:v>Falkirk
 2010</c:v>
                </c:pt>
                <c:pt idx="5">
                  <c:v>Falkirk
 2013</c:v>
                </c:pt>
                <c:pt idx="6">
                  <c:v>Falkirk
 2017</c:v>
                </c:pt>
              </c:strCache>
            </c:strRef>
          </c:cat>
          <c:val>
            <c:numRef>
              <c:f>'SDQ (2)'!$D$4:$D$10</c:f>
              <c:numCache>
                <c:formatCode>0%</c:formatCode>
                <c:ptCount val="7"/>
                <c:pt idx="0">
                  <c:v>0.14000000000000001</c:v>
                </c:pt>
                <c:pt idx="1">
                  <c:v>0.16</c:v>
                </c:pt>
                <c:pt idx="2">
                  <c:v>0.16</c:v>
                </c:pt>
                <c:pt idx="4">
                  <c:v>0.14000000000000001</c:v>
                </c:pt>
                <c:pt idx="5">
                  <c:v>0.16</c:v>
                </c:pt>
                <c:pt idx="6">
                  <c:v>0.16</c:v>
                </c:pt>
              </c:numCache>
            </c:numRef>
          </c:val>
        </c:ser>
        <c:ser>
          <c:idx val="2"/>
          <c:order val="2"/>
          <c:tx>
            <c:strRef>
              <c:f>'SDQ (2)'!$E$3</c:f>
              <c:strCache>
                <c:ptCount val="1"/>
                <c:pt idx="0">
                  <c:v>Abnormal</c:v>
                </c:pt>
              </c:strCache>
            </c:strRef>
          </c:tx>
          <c:spPr>
            <a:solidFill>
              <a:schemeClr val="accent4">
                <a:lumMod val="40000"/>
                <a:lumOff val="60000"/>
              </a:schemeClr>
            </a:solidFill>
            <a:ln>
              <a:solidFill>
                <a:schemeClr val="bg1"/>
              </a:solidFill>
            </a:ln>
          </c:spPr>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'SDQ (2)'!$B$4:$B$10</c:f>
              <c:strCache>
                <c:ptCount val="7"/>
                <c:pt idx="0">
                  <c:v>Scotland
 2010</c:v>
                </c:pt>
                <c:pt idx="1">
                  <c:v>Scotland
 2013</c:v>
                </c:pt>
                <c:pt idx="2">
                  <c:v>Scotland
 2015</c:v>
                </c:pt>
                <c:pt idx="4">
                  <c:v>Falkirk
 2010</c:v>
                </c:pt>
                <c:pt idx="5">
                  <c:v>Falkirk
 2013</c:v>
                </c:pt>
                <c:pt idx="6">
                  <c:v>Falkirk
 2017</c:v>
                </c:pt>
              </c:strCache>
            </c:strRef>
          </c:cat>
          <c:val>
            <c:numRef>
              <c:f>'SDQ (2)'!$E$4:$E$10</c:f>
              <c:numCache>
                <c:formatCode>0%</c:formatCode>
                <c:ptCount val="7"/>
                <c:pt idx="0">
                  <c:v>0.1</c:v>
                </c:pt>
                <c:pt idx="1">
                  <c:v>0.14000000000000001</c:v>
                </c:pt>
                <c:pt idx="2">
                  <c:v>0.15</c:v>
                </c:pt>
                <c:pt idx="4">
                  <c:v>0.1</c:v>
                </c:pt>
                <c:pt idx="5">
                  <c:v>0.15</c:v>
                </c:pt>
                <c:pt idx="6">
                  <c:v>0.15</c:v>
                </c:pt>
              </c:numCache>
            </c:numRef>
          </c:val>
        </c:ser>
        <c:dLbls>
          <c:showLegendKey val="0"/>
          <c:showVal val="0"/>
          <c:showCatName val="0"/>
          <c:showSerName val="0"/>
          <c:showPercent val="0"/>
          <c:showBubbleSize val="0"/>
        </c:dLbls>
        <c:gapWidth val="50"/>
        <c:overlap val="100"/>
        <c:axId val="222362240"/>
        <c:axId val="222497792"/>
      </c:barChart>
      <c:catAx>
        <c:axId val="222362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222497792"/>
        <c:crosses val="autoZero"/>
        <c:auto val="0"/>
        <c:lblAlgn val="ctr"/>
        <c:lblOffset val="100"/>
        <c:noMultiLvlLbl val="0"/>
      </c:catAx>
      <c:valAx>
        <c:axId val="222497792"/>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222362240"/>
        <c:crosses val="autoZero"/>
        <c:crossBetween val="between"/>
        <c:majorUnit val="0.1"/>
        <c:minorUnit val="4.000000000000001E-3"/>
      </c:valAx>
      <c:spPr>
        <a:noFill/>
        <a:ln w="25400">
          <a:noFill/>
        </a:ln>
      </c:spPr>
    </c:plotArea>
    <c:legend>
      <c:legendPos val="r"/>
      <c:layout>
        <c:manualLayout>
          <c:xMode val="edge"/>
          <c:yMode val="edge"/>
          <c:x val="0.84537653947102764"/>
          <c:y val="0.25672040371512161"/>
          <c:w val="0.14116877175655082"/>
          <c:h val="0.47565965205676725"/>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1000" b="1" i="0" baseline="0">
                <a:solidFill>
                  <a:schemeClr val="accent5">
                    <a:lumMod val="75000"/>
                  </a:schemeClr>
                </a:solidFill>
                <a:effectLst/>
                <a:latin typeface="+mn-lt"/>
                <a:ea typeface="Tahoma" panose="020B0604030504040204" pitchFamily="34" charset="0"/>
                <a:cs typeface="Tahoma" panose="020B0604030504040204" pitchFamily="34" charset="0"/>
              </a:rPr>
              <a:t>Chart 4.5.4c</a:t>
            </a:r>
            <a:endParaRPr lang="en-GB" sz="1000">
              <a:solidFill>
                <a:schemeClr val="accent5">
                  <a:lumMod val="75000"/>
                </a:schemeClr>
              </a:solidFill>
              <a:effectLst/>
              <a:latin typeface="+mn-lt"/>
              <a:ea typeface="Tahoma" panose="020B0604030504040204" pitchFamily="34" charset="0"/>
              <a:cs typeface="Tahoma" panose="020B0604030504040204" pitchFamily="34" charset="0"/>
            </a:endParaRPr>
          </a:p>
          <a:p>
            <a:pPr algn="l">
              <a:defRPr/>
            </a:pPr>
            <a:r>
              <a:rPr lang="en-GB" sz="1000" b="0" i="0" baseline="0">
                <a:effectLst/>
                <a:latin typeface="+mn-lt"/>
                <a:ea typeface="Tahoma" panose="020B0604030504040204" pitchFamily="34" charset="0"/>
                <a:cs typeface="Tahoma" panose="020B0604030504040204" pitchFamily="34" charset="0"/>
              </a:rPr>
              <a:t>Specific public resources used or contacted</a:t>
            </a:r>
            <a:endParaRPr lang="en-GB" sz="1000">
              <a:effectLst/>
              <a:latin typeface="+mn-lt"/>
              <a:ea typeface="Tahoma" panose="020B0604030504040204" pitchFamily="34" charset="0"/>
              <a:cs typeface="Tahoma" panose="020B0604030504040204" pitchFamily="34" charset="0"/>
            </a:endParaRPr>
          </a:p>
        </c:rich>
      </c:tx>
      <c:layout>
        <c:manualLayout>
          <c:xMode val="edge"/>
          <c:yMode val="edge"/>
          <c:x val="1.9183819753509072E-2"/>
          <c:y val="2.4900882642834202E-2"/>
        </c:manualLayout>
      </c:layout>
      <c:overlay val="0"/>
    </c:title>
    <c:autoTitleDeleted val="0"/>
    <c:plotArea>
      <c:layout>
        <c:manualLayout>
          <c:layoutTarget val="inner"/>
          <c:xMode val="edge"/>
          <c:yMode val="edge"/>
          <c:x val="9.6639884300176768E-2"/>
          <c:y val="0.1456358133804703"/>
          <c:w val="0.88347438713018012"/>
          <c:h val="0.64199173379189667"/>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919A-4319-938A-3A707FCB99DD}"/>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919A-4319-938A-3A707FCB99DD}"/>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919A-4319-938A-3A707FCB99DD}"/>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6-919A-4319-938A-3A707FCB99DD}"/>
              </c:ext>
            </c:extLst>
          </c:dPt>
          <c:dPt>
            <c:idx val="4"/>
            <c:invertIfNegative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8-919A-4319-938A-3A707FCB99DD}"/>
              </c:ext>
            </c:extLst>
          </c:dPt>
          <c:dPt>
            <c:idx val="5"/>
            <c:invertIfNegative val="0"/>
            <c:bubble3D val="0"/>
            <c:extLst xmlns:c16r2="http://schemas.microsoft.com/office/drawing/2015/06/chart">
              <c:ext xmlns:c16="http://schemas.microsoft.com/office/drawing/2014/chart" uri="{C3380CC4-5D6E-409C-BE32-E72D297353CC}">
                <c16:uniqueId val="{00000009-919A-4319-938A-3A707FCB99DD}"/>
              </c:ext>
            </c:extLst>
          </c:dPt>
          <c:dPt>
            <c:idx val="6"/>
            <c:invertIfNegative val="0"/>
            <c:bubble3D val="0"/>
            <c:spPr>
              <a:solidFill>
                <a:schemeClr val="accent1"/>
              </a:solidFill>
            </c:spPr>
            <c:extLst xmlns:c16r2="http://schemas.microsoft.com/office/drawing/2015/06/chart">
              <c:ext xmlns:c16="http://schemas.microsoft.com/office/drawing/2014/chart" uri="{C3380CC4-5D6E-409C-BE32-E72D297353CC}">
                <c16:uniqueId val="{0000000B-919A-4319-938A-3A707FCB99DD}"/>
              </c:ext>
            </c:extLst>
          </c:dPt>
          <c:dPt>
            <c:idx val="7"/>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D-919A-4319-938A-3A707FCB99DD}"/>
              </c:ext>
            </c:extLst>
          </c:dPt>
          <c:dPt>
            <c:idx val="8"/>
            <c:invertIfNegative val="0"/>
            <c:bubble3D val="0"/>
            <c:spPr>
              <a:solidFill>
                <a:schemeClr val="accent6"/>
              </a:solidFill>
            </c:spPr>
            <c:extLst xmlns:c16r2="http://schemas.microsoft.com/office/drawing/2015/06/chart">
              <c:ext xmlns:c16="http://schemas.microsoft.com/office/drawing/2014/chart" uri="{C3380CC4-5D6E-409C-BE32-E72D297353CC}">
                <c16:uniqueId val="{0000000F-919A-4319-938A-3A707FCB99DD}"/>
              </c:ext>
            </c:extLst>
          </c:dPt>
          <c:dLbls>
            <c:spPr>
              <a:noFill/>
              <a:ln>
                <a:noFill/>
              </a:ln>
              <a:effectLst/>
            </c:spPr>
            <c:txPr>
              <a:bodyPr/>
              <a:lstStyle/>
              <a:p>
                <a:pPr>
                  <a:defRPr sz="9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'Use of govt resources'!$A$1:$A$11</c:f>
              <c:strCache>
                <c:ptCount val="11"/>
                <c:pt idx="0">
                  <c:v>Child Smile</c:v>
                </c:pt>
                <c:pt idx="1">
                  <c:v>Ready steady baby/toddler</c:v>
                </c:pt>
                <c:pt idx="2">
                  <c:v>Healthy start</c:v>
                </c:pt>
                <c:pt idx="3">
                  <c:v>Play, talk, read</c:v>
                </c:pt>
                <c:pt idx="4">
                  <c:v>Play@home</c:v>
                </c:pt>
                <c:pt idx="5">
                  <c:v>Parent zone</c:v>
                </c:pt>
                <c:pt idx="6">
                  <c:v>Childcare link</c:v>
                </c:pt>
                <c:pt idx="7">
                  <c:v>Everyday's a learning day</c:v>
                </c:pt>
                <c:pt idx="8">
                  <c:v>Parentline Scotland</c:v>
                </c:pt>
                <c:pt idx="9">
                  <c:v>Parenting Across Scotland</c:v>
                </c:pt>
                <c:pt idx="10">
                  <c:v>None of these</c:v>
                </c:pt>
              </c:strCache>
            </c:strRef>
          </c:cat>
          <c:val>
            <c:numRef>
              <c:f>'Use of govt resources'!$B$1:$B$11</c:f>
              <c:numCache>
                <c:formatCode>0%</c:formatCode>
                <c:ptCount val="11"/>
                <c:pt idx="0">
                  <c:v>0.47</c:v>
                </c:pt>
                <c:pt idx="1">
                  <c:v>0.45</c:v>
                </c:pt>
                <c:pt idx="2">
                  <c:v>0.32</c:v>
                </c:pt>
                <c:pt idx="3">
                  <c:v>0.26</c:v>
                </c:pt>
                <c:pt idx="4">
                  <c:v>0.13</c:v>
                </c:pt>
                <c:pt idx="5">
                  <c:v>0.04</c:v>
                </c:pt>
                <c:pt idx="6">
                  <c:v>0.02</c:v>
                </c:pt>
                <c:pt idx="7">
                  <c:v>0.01</c:v>
                </c:pt>
                <c:pt idx="8">
                  <c:v>0.01</c:v>
                </c:pt>
                <c:pt idx="9">
                  <c:v>0.01</c:v>
                </c:pt>
                <c:pt idx="10">
                  <c:v>0.3</c:v>
                </c:pt>
              </c:numCache>
            </c:numRef>
          </c:val>
          <c:extLst xmlns:c16r2="http://schemas.microsoft.com/office/drawing/2015/06/chart">
            <c:ext xmlns:c16="http://schemas.microsoft.com/office/drawing/2014/chart" uri="{C3380CC4-5D6E-409C-BE32-E72D297353CC}">
              <c16:uniqueId val="{00000010-919A-4319-938A-3A707FCB99DD}"/>
            </c:ext>
          </c:extLst>
        </c:ser>
        <c:dLbls>
          <c:dLblPos val="outEnd"/>
          <c:showLegendKey val="0"/>
          <c:showVal val="1"/>
          <c:showCatName val="0"/>
          <c:showSerName val="0"/>
          <c:showPercent val="0"/>
          <c:showBubbleSize val="0"/>
        </c:dLbls>
        <c:gapWidth val="0"/>
        <c:axId val="206371456"/>
        <c:axId val="206381440"/>
      </c:barChart>
      <c:catAx>
        <c:axId val="206371456"/>
        <c:scaling>
          <c:orientation val="minMax"/>
        </c:scaling>
        <c:delete val="0"/>
        <c:axPos val="b"/>
        <c:numFmt formatCode="General" sourceLinked="0"/>
        <c:majorTickMark val="out"/>
        <c:minorTickMark val="none"/>
        <c:tickLblPos val="nextTo"/>
        <c:txPr>
          <a:bodyPr rot="-5400000" vert="horz"/>
          <a:lstStyle/>
          <a:p>
            <a:pPr>
              <a:defRPr sz="700">
                <a:latin typeface="Arial" panose="020B0604020202020204" pitchFamily="34" charset="0"/>
                <a:ea typeface="Tahoma" panose="020B0604030504040204" pitchFamily="34" charset="0"/>
                <a:cs typeface="Arial" panose="020B0604020202020204" pitchFamily="34" charset="0"/>
              </a:defRPr>
            </a:pPr>
            <a:endParaRPr lang="en-US"/>
          </a:p>
        </c:txPr>
        <c:crossAx val="206381440"/>
        <c:crosses val="autoZero"/>
        <c:auto val="1"/>
        <c:lblAlgn val="ctr"/>
        <c:lblOffset val="100"/>
        <c:noMultiLvlLbl val="0"/>
      </c:catAx>
      <c:valAx>
        <c:axId val="206381440"/>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Arial" panose="020B0604020202020204" pitchFamily="34" charset="0"/>
                <a:ea typeface="Tahoma" panose="020B0604030504040204" pitchFamily="34" charset="0"/>
                <a:cs typeface="Arial" panose="020B0604020202020204" pitchFamily="34" charset="0"/>
              </a:defRPr>
            </a:pPr>
            <a:endParaRPr lang="en-US"/>
          </a:p>
        </c:txPr>
        <c:crossAx val="206371456"/>
        <c:crosses val="autoZero"/>
        <c:crossBetween val="between"/>
        <c:majorUnit val="0.1"/>
      </c:valAx>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0.16251166520851559"/>
          <c:w val="0.84981714785651807"/>
          <c:h val="0.72150845727617385"/>
        </c:manualLayout>
      </c:layout>
      <c:barChart>
        <c:barDir val="col"/>
        <c:grouping val="clustered"/>
        <c:varyColors val="0"/>
        <c:ser>
          <c:idx val="0"/>
          <c:order val="0"/>
          <c:spPr>
            <a:solidFill>
              <a:schemeClr val="tx2"/>
            </a:solidFill>
          </c:spPr>
          <c:invertIfNegative val="0"/>
          <c:dPt>
            <c:idx val="0"/>
            <c:invertIfNegative val="0"/>
            <c:bubble3D val="0"/>
            <c:extLst xmlns:c16r2="http://schemas.microsoft.com/office/drawing/2015/06/chart">
              <c:ext xmlns:c16="http://schemas.microsoft.com/office/drawing/2014/chart" uri="{C3380CC4-5D6E-409C-BE32-E72D297353CC}">
                <c16:uniqueId val="{00000000-9F0A-4FA7-8FE4-F7C4C89D3CEB}"/>
              </c:ext>
            </c:extLst>
          </c:dPt>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2-9F0A-4FA7-8FE4-F7C4C89D3CEB}"/>
              </c:ext>
            </c:extLst>
          </c:dPt>
          <c:dPt>
            <c:idx val="2"/>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4-9F0A-4FA7-8FE4-F7C4C89D3CEB}"/>
              </c:ext>
            </c:extLst>
          </c:dPt>
          <c:dPt>
            <c:idx val="3"/>
            <c:invertIfNegative val="0"/>
            <c:bubble3D val="0"/>
            <c:spPr>
              <a:solidFill>
                <a:schemeClr val="accent6"/>
              </a:solidFill>
            </c:spPr>
            <c:extLst xmlns:c16r2="http://schemas.microsoft.com/office/drawing/2015/06/chart">
              <c:ext xmlns:c16="http://schemas.microsoft.com/office/drawing/2014/chart" uri="{C3380CC4-5D6E-409C-BE32-E72D297353CC}">
                <c16:uniqueId val="{00000006-9F0A-4FA7-8FE4-F7C4C89D3CEB}"/>
              </c:ext>
            </c:extLst>
          </c:dPt>
          <c:dLbls>
            <c:spPr>
              <a:noFill/>
              <a:ln>
                <a:noFill/>
              </a:ln>
              <a:effectLst/>
            </c:spPr>
            <c:txPr>
              <a:bodyPr/>
              <a:lstStyle/>
              <a:p>
                <a:pPr>
                  <a:defRPr sz="900">
                    <a:latin typeface="+mn-lt"/>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'Chilcare choice'!$A$2:$A$5</c:f>
              <c:strCache>
                <c:ptCount val="4"/>
                <c:pt idx="0">
                  <c:v>A great deal</c:v>
                </c:pt>
                <c:pt idx="1">
                  <c:v>Quite a lot</c:v>
                </c:pt>
                <c:pt idx="2">
                  <c:v>Not very much</c:v>
                </c:pt>
                <c:pt idx="3">
                  <c:v>None at all</c:v>
                </c:pt>
              </c:strCache>
            </c:strRef>
          </c:cat>
          <c:val>
            <c:numRef>
              <c:f>'Chilcare choice'!$B$2:$B$5</c:f>
              <c:numCache>
                <c:formatCode>###0%</c:formatCode>
                <c:ptCount val="4"/>
                <c:pt idx="0">
                  <c:v>7.0000000000000007E-2</c:v>
                </c:pt>
                <c:pt idx="1">
                  <c:v>0.31</c:v>
                </c:pt>
                <c:pt idx="2">
                  <c:v>0.5</c:v>
                </c:pt>
                <c:pt idx="3">
                  <c:v>0.12</c:v>
                </c:pt>
              </c:numCache>
            </c:numRef>
          </c:val>
          <c:extLst xmlns:c16r2="http://schemas.microsoft.com/office/drawing/2015/06/chart">
            <c:ext xmlns:c16="http://schemas.microsoft.com/office/drawing/2014/chart" uri="{C3380CC4-5D6E-409C-BE32-E72D297353CC}">
              <c16:uniqueId val="{00000007-9F0A-4FA7-8FE4-F7C4C89D3CEB}"/>
            </c:ext>
          </c:extLst>
        </c:ser>
        <c:dLbls>
          <c:showLegendKey val="0"/>
          <c:showVal val="0"/>
          <c:showCatName val="0"/>
          <c:showSerName val="0"/>
          <c:showPercent val="0"/>
          <c:showBubbleSize val="0"/>
        </c:dLbls>
        <c:gapWidth val="0"/>
        <c:axId val="206422016"/>
        <c:axId val="206423552"/>
      </c:barChart>
      <c:catAx>
        <c:axId val="206422016"/>
        <c:scaling>
          <c:orientation val="minMax"/>
        </c:scaling>
        <c:delete val="0"/>
        <c:axPos val="b"/>
        <c:numFmt formatCode="General" sourceLinked="0"/>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206423552"/>
        <c:crosses val="autoZero"/>
        <c:auto val="1"/>
        <c:lblAlgn val="ctr"/>
        <c:lblOffset val="100"/>
        <c:noMultiLvlLbl val="0"/>
      </c:catAx>
      <c:valAx>
        <c:axId val="206423552"/>
        <c:scaling>
          <c:orientation val="minMax"/>
        </c:scaling>
        <c:delete val="0"/>
        <c:axPos val="l"/>
        <c:majorGridlines>
          <c:spPr>
            <a:ln>
              <a:noFill/>
            </a:ln>
          </c:spPr>
        </c:majorGridlines>
        <c:numFmt formatCode="###0%" sourceLinked="1"/>
        <c:majorTickMark val="out"/>
        <c:minorTickMark val="none"/>
        <c:tickLblPos val="nextTo"/>
        <c:txPr>
          <a:bodyPr/>
          <a:lstStyle/>
          <a:p>
            <a:pPr>
              <a:defRPr sz="900">
                <a:latin typeface="+mn-lt"/>
                <a:ea typeface="Tahoma" panose="020B0604030504040204" pitchFamily="34" charset="0"/>
                <a:cs typeface="Tahoma" panose="020B0604030504040204" pitchFamily="34" charset="0"/>
              </a:defRPr>
            </a:pPr>
            <a:endParaRPr lang="en-US"/>
          </a:p>
        </c:txPr>
        <c:crossAx val="206422016"/>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81195782730548"/>
          <c:y val="0.24824730242053078"/>
          <c:w val="0.83744846300992037"/>
          <c:h val="0.45167779882664677"/>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solidFill>
              <a:ln w="25400">
                <a:noFill/>
              </a:ln>
            </c:spPr>
          </c:dPt>
          <c:dPt>
            <c:idx val="5"/>
            <c:invertIfNegative val="0"/>
            <c:bubble3D val="0"/>
          </c:dPt>
          <c:dPt>
            <c:idx val="6"/>
            <c:invertIfNegative val="0"/>
            <c:bubble3D val="0"/>
            <c:spPr>
              <a:solidFill>
                <a:schemeClr val="accent1"/>
              </a:solidFill>
              <a:ln w="25400">
                <a:noFill/>
              </a:ln>
            </c:spPr>
          </c:dPt>
          <c:dPt>
            <c:idx val="7"/>
            <c:invertIfNegative val="0"/>
            <c:bubble3D val="0"/>
          </c:dPt>
          <c:dPt>
            <c:idx val="9"/>
            <c:invertIfNegative val="0"/>
            <c:bubble3D val="0"/>
            <c:spPr>
              <a:solidFill>
                <a:schemeClr val="accent1"/>
              </a:solidFill>
              <a:ln w="25400">
                <a:noFill/>
              </a:ln>
            </c:spPr>
          </c:dPt>
          <c:dPt>
            <c:idx val="10"/>
            <c:invertIfNegative val="0"/>
            <c:bubble3D val="0"/>
            <c:spPr>
              <a:solidFill>
                <a:schemeClr val="accent4">
                  <a:lumMod val="40000"/>
                  <a:lumOff val="60000"/>
                </a:schemeClr>
              </a:solidFill>
              <a:ln w="25400">
                <a:noFill/>
              </a:ln>
            </c:spPr>
          </c:dPt>
          <c:dPt>
            <c:idx val="11"/>
            <c:invertIfNegative val="0"/>
            <c:bubble3D val="0"/>
            <c:spPr>
              <a:solidFill>
                <a:schemeClr val="accent6"/>
              </a:solidFill>
              <a:ln w="25400">
                <a:noFill/>
              </a:ln>
            </c:spPr>
          </c:dPt>
          <c:dPt>
            <c:idx val="12"/>
            <c:invertIfNegative val="0"/>
            <c:bubble3D val="0"/>
            <c:spPr>
              <a:solidFill>
                <a:schemeClr val="accent6">
                  <a:lumMod val="40000"/>
                  <a:lumOff val="60000"/>
                </a:schemeClr>
              </a:solidFill>
              <a:ln w="25400">
                <a:noFill/>
              </a:ln>
            </c:spPr>
          </c:dPt>
          <c:dLbls>
            <c:dLbl>
              <c:idx val="0"/>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1"/>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2"/>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3"/>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5"/>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6"/>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8"/>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9"/>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10"/>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11"/>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dLbl>
              <c:idx val="12"/>
              <c:spPr/>
              <c:txPr>
                <a:bodyPr/>
                <a:lstStyle/>
                <a:p>
                  <a:pPr>
                    <a:defRPr sz="8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WEMWBS!$I$2:$J$14</c:f>
              <c:multiLvlStrCache>
                <c:ptCount val="13"/>
                <c:lvl>
                  <c:pt idx="0">
                    <c:v>A lot</c:v>
                  </c:pt>
                  <c:pt idx="1">
                    <c:v>A bit</c:v>
                  </c:pt>
                  <c:pt idx="2">
                    <c:v>Not much</c:v>
                  </c:pt>
                  <c:pt idx="3">
                    <c:v>Not at all</c:v>
                  </c:pt>
                  <c:pt idx="4">
                    <c:v> </c:v>
                  </c:pt>
                  <c:pt idx="5">
                    <c:v>Yes</c:v>
                  </c:pt>
                  <c:pt idx="6">
                    <c:v>No</c:v>
                  </c:pt>
                  <c:pt idx="7">
                    <c:v> </c:v>
                  </c:pt>
                  <c:pt idx="8">
                    <c:v>Very happy</c:v>
                  </c:pt>
                  <c:pt idx="9">
                    <c:v>Fairly happy</c:v>
                  </c:pt>
                  <c:pt idx="10">
                    <c:v>Not very happy</c:v>
                  </c:pt>
                  <c:pt idx="11">
                    <c:v>Not at all happy</c:v>
                  </c:pt>
                  <c:pt idx="12">
                    <c:v>Don't care about looks</c:v>
                  </c:pt>
                </c:lvl>
                <c:lvl>
                  <c:pt idx="0">
                    <c:v>How much like school</c:v>
                  </c:pt>
                  <c:pt idx="4">
                    <c:v> </c:v>
                  </c:pt>
                  <c:pt idx="5">
                    <c:v>Been victim of rumours</c:v>
                  </c:pt>
                  <c:pt idx="7">
                    <c:v> </c:v>
                  </c:pt>
                  <c:pt idx="8">
                    <c:v>Feelings about appearance</c:v>
                  </c:pt>
                </c:lvl>
              </c:multiLvlStrCache>
            </c:multiLvlStrRef>
          </c:cat>
          <c:val>
            <c:numRef>
              <c:f>WEMWBS!$K$2:$K$14</c:f>
              <c:numCache>
                <c:formatCode>0.0</c:formatCode>
                <c:ptCount val="13"/>
                <c:pt idx="0">
                  <c:v>55.3</c:v>
                </c:pt>
                <c:pt idx="1">
                  <c:v>51</c:v>
                </c:pt>
                <c:pt idx="2">
                  <c:v>46.2</c:v>
                </c:pt>
                <c:pt idx="3">
                  <c:v>41.5</c:v>
                </c:pt>
                <c:pt idx="5">
                  <c:v>46</c:v>
                </c:pt>
                <c:pt idx="6">
                  <c:v>51.9</c:v>
                </c:pt>
                <c:pt idx="8">
                  <c:v>55.4</c:v>
                </c:pt>
                <c:pt idx="9">
                  <c:v>51.2</c:v>
                </c:pt>
                <c:pt idx="10">
                  <c:v>44.5</c:v>
                </c:pt>
                <c:pt idx="11" formatCode="General">
                  <c:v>36.6</c:v>
                </c:pt>
                <c:pt idx="12" formatCode="General">
                  <c:v>49.2</c:v>
                </c:pt>
              </c:numCache>
            </c:numRef>
          </c:val>
        </c:ser>
        <c:dLbls>
          <c:showLegendKey val="0"/>
          <c:showVal val="0"/>
          <c:showCatName val="0"/>
          <c:showSerName val="0"/>
          <c:showPercent val="0"/>
          <c:showBubbleSize val="0"/>
        </c:dLbls>
        <c:gapWidth val="0"/>
        <c:axId val="121941376"/>
        <c:axId val="121951360"/>
      </c:barChart>
      <c:catAx>
        <c:axId val="121941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21951360"/>
        <c:crosses val="autoZero"/>
        <c:auto val="0"/>
        <c:lblAlgn val="ctr"/>
        <c:lblOffset val="100"/>
        <c:noMultiLvlLbl val="0"/>
      </c:catAx>
      <c:valAx>
        <c:axId val="121951360"/>
        <c:scaling>
          <c:orientation val="minMax"/>
          <c:min val="0"/>
        </c:scaling>
        <c:delete val="0"/>
        <c:axPos val="l"/>
        <c:majorGridlines>
          <c:spPr>
            <a:ln w="3175">
              <a:noFill/>
              <a:prstDash val="solid"/>
            </a:ln>
          </c:spPr>
        </c:majorGridlines>
        <c:numFmt formatCode="0.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219413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74931286978958134"/>
          <c:h val="0.53112887073654447"/>
        </c:manualLayout>
      </c:layout>
      <c:barChart>
        <c:barDir val="col"/>
        <c:grouping val="percentStacked"/>
        <c:varyColors val="0"/>
        <c:ser>
          <c:idx val="0"/>
          <c:order val="0"/>
          <c:tx>
            <c:strRef>
              <c:f>Smoking!$D$6</c:f>
              <c:strCache>
                <c:ptCount val="1"/>
                <c:pt idx="0">
                  <c:v>Never smoked</c:v>
                </c:pt>
              </c:strCache>
            </c:strRef>
          </c:tx>
          <c:spPr>
            <a:solidFill>
              <a:schemeClr val="tx2"/>
            </a:solidFill>
            <a:ln w="25400">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Smoking!$B$7:$C$20</c:f>
              <c:multiLvlStrCache>
                <c:ptCount val="14"/>
                <c:lvl>
                  <c:pt idx="0">
                    <c:v>S1</c:v>
                  </c:pt>
                  <c:pt idx="1">
                    <c:v>S2</c:v>
                  </c:pt>
                  <c:pt idx="2">
                    <c:v>S3</c:v>
                  </c:pt>
                  <c:pt idx="3">
                    <c:v>S4</c:v>
                  </c:pt>
                  <c:pt idx="5">
                    <c:v>Yes</c:v>
                  </c:pt>
                  <c:pt idx="6">
                    <c:v>No</c:v>
                  </c:pt>
                  <c:pt idx="8">
                    <c:v>2 
parents</c:v>
                  </c:pt>
                  <c:pt idx="9">
                    <c:v>1 
parent</c:v>
                  </c:pt>
                  <c:pt idx="10">
                    <c:v>Step-
family</c:v>
                  </c:pt>
                  <c:pt idx="11">
                    <c:v>Other</c:v>
                  </c:pt>
                  <c:pt idx="13">
                    <c:v>All</c:v>
                  </c:pt>
                </c:lvl>
                <c:lvl>
                  <c:pt idx="0">
                    <c:v>Year group</c:v>
                  </c:pt>
                  <c:pt idx="4">
                    <c:v> </c:v>
                  </c:pt>
                  <c:pt idx="5">
                    <c:v>Eligible for free school meals</c:v>
                  </c:pt>
                  <c:pt idx="7">
                    <c:v> </c:v>
                  </c:pt>
                  <c:pt idx="8">
                    <c:v>Household type</c:v>
                  </c:pt>
                  <c:pt idx="12">
                    <c:v> </c:v>
                  </c:pt>
                  <c:pt idx="13">
                    <c:v> </c:v>
                  </c:pt>
                </c:lvl>
              </c:multiLvlStrCache>
            </c:multiLvlStrRef>
          </c:cat>
          <c:val>
            <c:numRef>
              <c:f>Smoking!$D$7:$D$20</c:f>
              <c:numCache>
                <c:formatCode>0%</c:formatCode>
                <c:ptCount val="14"/>
                <c:pt idx="0">
                  <c:v>0.95</c:v>
                </c:pt>
                <c:pt idx="1">
                  <c:v>0.85</c:v>
                </c:pt>
                <c:pt idx="2">
                  <c:v>0.78</c:v>
                </c:pt>
                <c:pt idx="3">
                  <c:v>0.7</c:v>
                </c:pt>
                <c:pt idx="5">
                  <c:v>0.72</c:v>
                </c:pt>
                <c:pt idx="6">
                  <c:v>0.83</c:v>
                </c:pt>
                <c:pt idx="8">
                  <c:v>0.8738769999999999</c:v>
                </c:pt>
                <c:pt idx="9">
                  <c:v>0.74</c:v>
                </c:pt>
                <c:pt idx="10">
                  <c:v>0.75</c:v>
                </c:pt>
                <c:pt idx="11">
                  <c:v>0.54</c:v>
                </c:pt>
                <c:pt idx="13">
                  <c:v>0.82</c:v>
                </c:pt>
              </c:numCache>
            </c:numRef>
          </c:val>
        </c:ser>
        <c:ser>
          <c:idx val="1"/>
          <c:order val="1"/>
          <c:tx>
            <c:strRef>
              <c:f>Smoking!$E$6</c:f>
              <c:strCache>
                <c:ptCount val="1"/>
                <c:pt idx="0">
                  <c:v>Used to smoke</c:v>
                </c:pt>
              </c:strCache>
            </c:strRef>
          </c:tx>
          <c:spPr>
            <a:solidFill>
              <a:schemeClr val="accent4">
                <a:lumMod val="40000"/>
                <a:lumOff val="60000"/>
              </a:schemeClr>
            </a:solidFill>
            <a:ln>
              <a:solidFill>
                <a:schemeClr val="bg1"/>
              </a:solidFill>
            </a:ln>
          </c:spPr>
          <c:invertIfNegative val="0"/>
          <c:dLbls>
            <c:dLbl>
              <c:idx val="12"/>
              <c:delete val="1"/>
            </c:dLbl>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Smoking!$B$7:$C$20</c:f>
              <c:multiLvlStrCache>
                <c:ptCount val="14"/>
                <c:lvl>
                  <c:pt idx="0">
                    <c:v>S1</c:v>
                  </c:pt>
                  <c:pt idx="1">
                    <c:v>S2</c:v>
                  </c:pt>
                  <c:pt idx="2">
                    <c:v>S3</c:v>
                  </c:pt>
                  <c:pt idx="3">
                    <c:v>S4</c:v>
                  </c:pt>
                  <c:pt idx="5">
                    <c:v>Yes</c:v>
                  </c:pt>
                  <c:pt idx="6">
                    <c:v>No</c:v>
                  </c:pt>
                  <c:pt idx="8">
                    <c:v>2 
parents</c:v>
                  </c:pt>
                  <c:pt idx="9">
                    <c:v>1 
parent</c:v>
                  </c:pt>
                  <c:pt idx="10">
                    <c:v>Step-
family</c:v>
                  </c:pt>
                  <c:pt idx="11">
                    <c:v>Other</c:v>
                  </c:pt>
                  <c:pt idx="13">
                    <c:v>All</c:v>
                  </c:pt>
                </c:lvl>
                <c:lvl>
                  <c:pt idx="0">
                    <c:v>Year group</c:v>
                  </c:pt>
                  <c:pt idx="4">
                    <c:v> </c:v>
                  </c:pt>
                  <c:pt idx="5">
                    <c:v>Eligible for free school meals</c:v>
                  </c:pt>
                  <c:pt idx="7">
                    <c:v> </c:v>
                  </c:pt>
                  <c:pt idx="8">
                    <c:v>Household type</c:v>
                  </c:pt>
                  <c:pt idx="12">
                    <c:v> </c:v>
                  </c:pt>
                  <c:pt idx="13">
                    <c:v> </c:v>
                  </c:pt>
                </c:lvl>
              </c:multiLvlStrCache>
            </c:multiLvlStrRef>
          </c:cat>
          <c:val>
            <c:numRef>
              <c:f>Smoking!$E$7:$E$20</c:f>
              <c:numCache>
                <c:formatCode>0%</c:formatCode>
                <c:ptCount val="14"/>
                <c:pt idx="0">
                  <c:v>0.01</c:v>
                </c:pt>
                <c:pt idx="1">
                  <c:v>0.02</c:v>
                </c:pt>
                <c:pt idx="2">
                  <c:v>0.04</c:v>
                </c:pt>
                <c:pt idx="3">
                  <c:v>0.06</c:v>
                </c:pt>
                <c:pt idx="5">
                  <c:v>0.05</c:v>
                </c:pt>
                <c:pt idx="6">
                  <c:v>0.03</c:v>
                </c:pt>
                <c:pt idx="8">
                  <c:v>0.02</c:v>
                </c:pt>
                <c:pt idx="9">
                  <c:v>0.06</c:v>
                </c:pt>
                <c:pt idx="10">
                  <c:v>0.03</c:v>
                </c:pt>
                <c:pt idx="11">
                  <c:v>0.06</c:v>
                </c:pt>
                <c:pt idx="13">
                  <c:v>0.03</c:v>
                </c:pt>
              </c:numCache>
            </c:numRef>
          </c:val>
        </c:ser>
        <c:ser>
          <c:idx val="2"/>
          <c:order val="2"/>
          <c:tx>
            <c:strRef>
              <c:f>Smoking!$F$6</c:f>
              <c:strCache>
                <c:ptCount val="1"/>
                <c:pt idx="0">
                  <c:v>Current smoker</c:v>
                </c:pt>
              </c:strCache>
            </c:strRef>
          </c:tx>
          <c:spPr>
            <a:solidFill>
              <a:schemeClr val="accent6"/>
            </a:solidFill>
            <a:ln>
              <a:solidFill>
                <a:schemeClr val="bg1"/>
              </a:solidFill>
            </a:ln>
          </c:spPr>
          <c:invertIfNegative val="0"/>
          <c:dLbls>
            <c:dLbl>
              <c:idx val="0"/>
              <c:layout>
                <c:manualLayout>
                  <c:x val="0"/>
                  <c:y val="-1.0373443983402522E-2"/>
                </c:manualLayout>
              </c:layout>
              <c:showLegendKey val="0"/>
              <c:showVal val="1"/>
              <c:showCatName val="0"/>
              <c:showSerName val="0"/>
              <c:showPercent val="0"/>
              <c:showBubbleSize val="0"/>
            </c:dLbl>
            <c:dLbl>
              <c:idx val="1"/>
              <c:layout>
                <c:manualLayout>
                  <c:x val="0"/>
                  <c:y val="-3.4578146611341631E-3"/>
                </c:manualLayout>
              </c:layout>
              <c:showLegendKey val="0"/>
              <c:showVal val="1"/>
              <c:showCatName val="0"/>
              <c:showSerName val="0"/>
              <c:showPercent val="0"/>
              <c:showBubbleSize val="0"/>
            </c:dLbl>
            <c:dLbl>
              <c:idx val="6"/>
              <c:layout>
                <c:manualLayout>
                  <c:x val="0"/>
                  <c:y val="-6.9156293222683261E-3"/>
                </c:manualLayout>
              </c:layout>
              <c:showLegendKey val="0"/>
              <c:showVal val="1"/>
              <c:showCatName val="0"/>
              <c:showSerName val="0"/>
              <c:showPercent val="0"/>
              <c:showBubbleSize val="0"/>
            </c:dLbl>
            <c:dLbl>
              <c:idx val="8"/>
              <c:layout>
                <c:manualLayout>
                  <c:x val="4.7014574518100608E-3"/>
                  <c:y val="-6.9156293222682949E-3"/>
                </c:manualLayout>
              </c:layout>
              <c:showLegendKey val="0"/>
              <c:showVal val="1"/>
              <c:showCatName val="0"/>
              <c:showSerName val="0"/>
              <c:showPercent val="0"/>
              <c:showBubbleSize val="0"/>
            </c:dLbl>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multiLvlStrRef>
              <c:f>Smoking!$B$7:$C$20</c:f>
              <c:multiLvlStrCache>
                <c:ptCount val="14"/>
                <c:lvl>
                  <c:pt idx="0">
                    <c:v>S1</c:v>
                  </c:pt>
                  <c:pt idx="1">
                    <c:v>S2</c:v>
                  </c:pt>
                  <c:pt idx="2">
                    <c:v>S3</c:v>
                  </c:pt>
                  <c:pt idx="3">
                    <c:v>S4</c:v>
                  </c:pt>
                  <c:pt idx="5">
                    <c:v>Yes</c:v>
                  </c:pt>
                  <c:pt idx="6">
                    <c:v>No</c:v>
                  </c:pt>
                  <c:pt idx="8">
                    <c:v>2 
parents</c:v>
                  </c:pt>
                  <c:pt idx="9">
                    <c:v>1 
parent</c:v>
                  </c:pt>
                  <c:pt idx="10">
                    <c:v>Step-
family</c:v>
                  </c:pt>
                  <c:pt idx="11">
                    <c:v>Other</c:v>
                  </c:pt>
                  <c:pt idx="13">
                    <c:v>All</c:v>
                  </c:pt>
                </c:lvl>
                <c:lvl>
                  <c:pt idx="0">
                    <c:v>Year group</c:v>
                  </c:pt>
                  <c:pt idx="4">
                    <c:v> </c:v>
                  </c:pt>
                  <c:pt idx="5">
                    <c:v>Eligible for free school meals</c:v>
                  </c:pt>
                  <c:pt idx="7">
                    <c:v> </c:v>
                  </c:pt>
                  <c:pt idx="8">
                    <c:v>Household type</c:v>
                  </c:pt>
                  <c:pt idx="12">
                    <c:v> </c:v>
                  </c:pt>
                  <c:pt idx="13">
                    <c:v> </c:v>
                  </c:pt>
                </c:lvl>
              </c:multiLvlStrCache>
            </c:multiLvlStrRef>
          </c:cat>
          <c:val>
            <c:numRef>
              <c:f>Smoking!$F$7:$F$20</c:f>
              <c:numCache>
                <c:formatCode>0%</c:formatCode>
                <c:ptCount val="14"/>
                <c:pt idx="0">
                  <c:v>0.01</c:v>
                </c:pt>
                <c:pt idx="1">
                  <c:v>0.04</c:v>
                </c:pt>
                <c:pt idx="2">
                  <c:v>0.08</c:v>
                </c:pt>
                <c:pt idx="3">
                  <c:v>0.09</c:v>
                </c:pt>
                <c:pt idx="5">
                  <c:v>0.08</c:v>
                </c:pt>
                <c:pt idx="6">
                  <c:v>0.05</c:v>
                </c:pt>
                <c:pt idx="8">
                  <c:v>0.04</c:v>
                </c:pt>
                <c:pt idx="9">
                  <c:v>7.0000000000000007E-2</c:v>
                </c:pt>
                <c:pt idx="10">
                  <c:v>7.0000000000000007E-2</c:v>
                </c:pt>
                <c:pt idx="11">
                  <c:v>0.28000000000000003</c:v>
                </c:pt>
                <c:pt idx="13">
                  <c:v>0.05</c:v>
                </c:pt>
              </c:numCache>
            </c:numRef>
          </c:val>
        </c:ser>
        <c:dLbls>
          <c:showLegendKey val="0"/>
          <c:showVal val="0"/>
          <c:showCatName val="0"/>
          <c:showSerName val="0"/>
          <c:showPercent val="0"/>
          <c:showBubbleSize val="0"/>
        </c:dLbls>
        <c:gapWidth val="0"/>
        <c:overlap val="100"/>
        <c:axId val="121979648"/>
        <c:axId val="121981184"/>
      </c:barChart>
      <c:catAx>
        <c:axId val="121979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21981184"/>
        <c:crosses val="autoZero"/>
        <c:auto val="0"/>
        <c:lblAlgn val="ctr"/>
        <c:lblOffset val="100"/>
        <c:noMultiLvlLbl val="0"/>
      </c:catAx>
      <c:valAx>
        <c:axId val="121981184"/>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21979648"/>
        <c:crosses val="autoZero"/>
        <c:crossBetween val="between"/>
        <c:majorUnit val="0.1"/>
        <c:minorUnit val="4.000000000000001E-3"/>
      </c:valAx>
      <c:spPr>
        <a:noFill/>
        <a:ln w="25400">
          <a:noFill/>
        </a:ln>
      </c:spPr>
    </c:plotArea>
    <c:legend>
      <c:legendPos val="r"/>
      <c:layout>
        <c:manualLayout>
          <c:xMode val="edge"/>
          <c:yMode val="edge"/>
          <c:x val="0.8710175719560479"/>
          <c:y val="0.23024629497070442"/>
          <c:w val="0.11542310601005383"/>
          <c:h val="0.33412020467138576"/>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83744846300992037"/>
          <c:h val="0.5664280601288475"/>
        </c:manualLayout>
      </c:layout>
      <c:barChart>
        <c:barDir val="col"/>
        <c:grouping val="clustered"/>
        <c:varyColors val="0"/>
        <c:ser>
          <c:idx val="0"/>
          <c:order val="0"/>
          <c:spPr>
            <a:solidFill>
              <a:schemeClr val="tx2"/>
            </a:solidFill>
            <a:ln w="25400">
              <a:noFill/>
            </a:ln>
          </c:spPr>
          <c:invertIfNegative val="0"/>
          <c:dPt>
            <c:idx val="0"/>
            <c:invertIfNegative val="0"/>
            <c:bubble3D val="0"/>
          </c:dPt>
          <c:dPt>
            <c:idx val="1"/>
            <c:invertIfNegative val="0"/>
            <c:bubble3D val="0"/>
            <c:spPr>
              <a:solidFill>
                <a:schemeClr val="accent1"/>
              </a:solidFill>
              <a:ln w="25400">
                <a:noFill/>
              </a:ln>
            </c:spPr>
          </c:dPt>
          <c:dPt>
            <c:idx val="2"/>
            <c:invertIfNegative val="0"/>
            <c:bubble3D val="0"/>
            <c:spPr>
              <a:solidFill>
                <a:schemeClr val="accent4">
                  <a:lumMod val="40000"/>
                  <a:lumOff val="60000"/>
                </a:schemeClr>
              </a:solidFill>
              <a:ln w="25400">
                <a:noFill/>
              </a:ln>
            </c:spPr>
          </c:dPt>
          <c:dPt>
            <c:idx val="3"/>
            <c:invertIfNegative val="0"/>
            <c:bubble3D val="0"/>
            <c:spPr>
              <a:solidFill>
                <a:schemeClr val="accent6"/>
              </a:solidFill>
              <a:ln w="25400">
                <a:noFill/>
              </a:ln>
            </c:spPr>
          </c:dPt>
          <c:dPt>
            <c:idx val="4"/>
            <c:invertIfNegative val="0"/>
            <c:bubble3D val="0"/>
            <c:spPr>
              <a:solidFill>
                <a:schemeClr val="accent6"/>
              </a:solidFill>
              <a:ln w="25400">
                <a:noFill/>
              </a:ln>
            </c:spPr>
          </c:dPt>
          <c:dPt>
            <c:idx val="5"/>
            <c:invertIfNegative val="0"/>
            <c:bubble3D val="0"/>
          </c:dPt>
          <c:dPt>
            <c:idx val="6"/>
            <c:invertIfNegative val="0"/>
            <c:bubble3D val="0"/>
            <c:spPr>
              <a:solidFill>
                <a:schemeClr val="accent1"/>
              </a:solidFill>
              <a:ln w="25400">
                <a:noFill/>
              </a:ln>
            </c:spPr>
          </c:dPt>
          <c:dPt>
            <c:idx val="7"/>
            <c:invertIfNegative val="0"/>
            <c:bubble3D val="0"/>
            <c:spPr>
              <a:solidFill>
                <a:schemeClr val="accent4">
                  <a:lumMod val="40000"/>
                  <a:lumOff val="60000"/>
                </a:schemeClr>
              </a:solidFill>
              <a:ln w="25400">
                <a:noFill/>
              </a:ln>
            </c:spPr>
          </c:dPt>
          <c:dPt>
            <c:idx val="8"/>
            <c:invertIfNegative val="0"/>
            <c:bubble3D val="0"/>
            <c:spPr>
              <a:solidFill>
                <a:schemeClr val="accent6"/>
              </a:solidFill>
              <a:ln w="25400">
                <a:noFill/>
              </a:ln>
            </c:spPr>
          </c:dPt>
          <c:dPt>
            <c:idx val="9"/>
            <c:invertIfNegative val="0"/>
            <c:bubble3D val="0"/>
          </c:dPt>
          <c:dPt>
            <c:idx val="10"/>
            <c:invertIfNegative val="0"/>
            <c:bubble3D val="0"/>
            <c:spPr>
              <a:solidFill>
                <a:schemeClr val="accent1"/>
              </a:solidFill>
              <a:ln w="25400">
                <a:noFill/>
              </a:ln>
            </c:spPr>
          </c:dPt>
          <c:dPt>
            <c:idx val="11"/>
            <c:invertIfNegative val="0"/>
            <c:bubble3D val="0"/>
            <c:spPr>
              <a:solidFill>
                <a:schemeClr val="accent4">
                  <a:lumMod val="40000"/>
                  <a:lumOff val="60000"/>
                </a:schemeClr>
              </a:solidFill>
              <a:ln w="25400">
                <a:noFill/>
              </a:ln>
            </c:spPr>
          </c:dPt>
          <c:dLbls>
            <c:txPr>
              <a:bodyPr/>
              <a:lstStyle/>
              <a:p>
                <a:pPr>
                  <a:defRPr sz="9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dLbls>
          <c:cat>
            <c:multiLvlStrRef>
              <c:f>Drinking!$A$3:$B$14</c:f>
              <c:multiLvlStrCache>
                <c:ptCount val="12"/>
                <c:lvl>
                  <c:pt idx="0">
                    <c:v>S1</c:v>
                  </c:pt>
                  <c:pt idx="1">
                    <c:v>S2</c:v>
                  </c:pt>
                  <c:pt idx="2">
                    <c:v>S3</c:v>
                  </c:pt>
                  <c:pt idx="3">
                    <c:v>S4</c:v>
                  </c:pt>
                  <c:pt idx="5">
                    <c:v>Agree</c:v>
                  </c:pt>
                  <c:pt idx="6">
                    <c:v>Neither / nor</c:v>
                  </c:pt>
                  <c:pt idx="7">
                    <c:v>Disagree</c:v>
                  </c:pt>
                  <c:pt idx="9">
                    <c:v>Below average</c:v>
                  </c:pt>
                  <c:pt idx="10">
                    <c:v>Average</c:v>
                  </c:pt>
                  <c:pt idx="11">
                    <c:v>Above average</c:v>
                  </c:pt>
                </c:lvl>
                <c:lvl>
                  <c:pt idx="0">
                    <c:v>Year group</c:v>
                  </c:pt>
                  <c:pt idx="4">
                    <c:v> </c:v>
                  </c:pt>
                  <c:pt idx="5">
                    <c:v>There is nothing for young people to do around here</c:v>
                  </c:pt>
                  <c:pt idx="8">
                    <c:v> </c:v>
                  </c:pt>
                  <c:pt idx="9">
                    <c:v>Wellbeing (WEMWBS)</c:v>
                  </c:pt>
                </c:lvl>
              </c:multiLvlStrCache>
            </c:multiLvlStrRef>
          </c:cat>
          <c:val>
            <c:numRef>
              <c:f>Drinking!$C$3:$C$14</c:f>
              <c:numCache>
                <c:formatCode>0%</c:formatCode>
                <c:ptCount val="12"/>
                <c:pt idx="0">
                  <c:v>0.12</c:v>
                </c:pt>
                <c:pt idx="1">
                  <c:v>0.3</c:v>
                </c:pt>
                <c:pt idx="2">
                  <c:v>0.49</c:v>
                </c:pt>
                <c:pt idx="3">
                  <c:v>0.67</c:v>
                </c:pt>
                <c:pt idx="5">
                  <c:v>0.48</c:v>
                </c:pt>
                <c:pt idx="6">
                  <c:v>0.38</c:v>
                </c:pt>
                <c:pt idx="7">
                  <c:v>0.28000000000000003</c:v>
                </c:pt>
                <c:pt idx="9">
                  <c:v>0.6</c:v>
                </c:pt>
                <c:pt idx="10">
                  <c:v>0.39</c:v>
                </c:pt>
                <c:pt idx="11">
                  <c:v>0.28999999999999998</c:v>
                </c:pt>
              </c:numCache>
            </c:numRef>
          </c:val>
        </c:ser>
        <c:dLbls>
          <c:showLegendKey val="0"/>
          <c:showVal val="0"/>
          <c:showCatName val="0"/>
          <c:showSerName val="0"/>
          <c:showPercent val="0"/>
          <c:showBubbleSize val="0"/>
        </c:dLbls>
        <c:gapWidth val="0"/>
        <c:axId val="148408192"/>
        <c:axId val="148409728"/>
      </c:barChart>
      <c:catAx>
        <c:axId val="148408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48409728"/>
        <c:crosses val="autoZero"/>
        <c:auto val="0"/>
        <c:lblAlgn val="ctr"/>
        <c:lblOffset val="100"/>
        <c:noMultiLvlLbl val="0"/>
      </c:catAx>
      <c:valAx>
        <c:axId val="148409728"/>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48408192"/>
        <c:crosses val="autoZero"/>
        <c:crossBetween val="between"/>
        <c:majorUnit val="0.1"/>
        <c:minorUnit val="4.000000000000001E-3"/>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195782730548"/>
          <c:y val="0.24824730242053078"/>
          <c:w val="0.74931286978958134"/>
          <c:h val="0.64050213420292157"/>
        </c:manualLayout>
      </c:layout>
      <c:barChart>
        <c:barDir val="col"/>
        <c:grouping val="percentStacked"/>
        <c:varyColors val="0"/>
        <c:ser>
          <c:idx val="0"/>
          <c:order val="0"/>
          <c:tx>
            <c:strRef>
              <c:f>'Ever drugs'!$I$2</c:f>
              <c:strCache>
                <c:ptCount val="1"/>
                <c:pt idx="0">
                  <c:v>Never taken drugs</c:v>
                </c:pt>
              </c:strCache>
            </c:strRef>
          </c:tx>
          <c:spPr>
            <a:solidFill>
              <a:schemeClr val="tx2"/>
            </a:solidFill>
            <a:ln w="9525">
              <a:solidFill>
                <a:schemeClr val="bg1"/>
              </a:solidFill>
            </a:ln>
          </c:spPr>
          <c:invertIfNegative val="0"/>
          <c:dPt>
            <c:idx val="0"/>
            <c:invertIfNegative val="0"/>
            <c:bubble3D val="0"/>
          </c:dPt>
          <c:dPt>
            <c:idx val="1"/>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spPr>
              <a:noFill/>
            </c:spPr>
            <c:txPr>
              <a:bodyPr/>
              <a:lstStyle/>
              <a:p>
                <a:pPr>
                  <a:defRPr>
                    <a:solidFill>
                      <a:schemeClr val="bg1"/>
                    </a:solidFill>
                    <a:latin typeface="+mn-lt"/>
                  </a:defRPr>
                </a:pPr>
                <a:endParaRPr lang="en-US"/>
              </a:p>
            </c:txPr>
            <c:showLegendKey val="0"/>
            <c:showVal val="1"/>
            <c:showCatName val="0"/>
            <c:showSerName val="0"/>
            <c:showPercent val="0"/>
            <c:showBubbleSize val="0"/>
            <c:showLeaderLines val="0"/>
          </c:dLbls>
          <c:cat>
            <c:strRef>
              <c:f>'Ever drugs'!$H$3:$H$13</c:f>
              <c:strCache>
                <c:ptCount val="11"/>
                <c:pt idx="0">
                  <c:v>S1</c:v>
                </c:pt>
                <c:pt idx="1">
                  <c:v>S2</c:v>
                </c:pt>
                <c:pt idx="2">
                  <c:v>S3</c:v>
                </c:pt>
                <c:pt idx="3">
                  <c:v>S4</c:v>
                </c:pt>
                <c:pt idx="5">
                  <c:v>2 
parents</c:v>
                </c:pt>
                <c:pt idx="6">
                  <c:v>1 
parent</c:v>
                </c:pt>
                <c:pt idx="7">
                  <c:v>Step-
family</c:v>
                </c:pt>
                <c:pt idx="8">
                  <c:v>Other</c:v>
                </c:pt>
                <c:pt idx="10">
                  <c:v>All</c:v>
                </c:pt>
              </c:strCache>
            </c:strRef>
          </c:cat>
          <c:val>
            <c:numRef>
              <c:f>'Ever drugs'!$I$3:$I$13</c:f>
              <c:numCache>
                <c:formatCode>0%</c:formatCode>
                <c:ptCount val="11"/>
                <c:pt idx="0">
                  <c:v>0.98889000000000005</c:v>
                </c:pt>
                <c:pt idx="1">
                  <c:v>0.95516000000000001</c:v>
                </c:pt>
                <c:pt idx="2">
                  <c:v>0.89272799999999997</c:v>
                </c:pt>
                <c:pt idx="3">
                  <c:v>0.82395200000000002</c:v>
                </c:pt>
                <c:pt idx="5">
                  <c:v>0.93710899999999997</c:v>
                </c:pt>
                <c:pt idx="6">
                  <c:v>0.87958599999999998</c:v>
                </c:pt>
                <c:pt idx="7">
                  <c:v>0.89954299999999998</c:v>
                </c:pt>
                <c:pt idx="8">
                  <c:v>0.70424500000000001</c:v>
                </c:pt>
                <c:pt idx="10">
                  <c:v>0.91564099999999993</c:v>
                </c:pt>
              </c:numCache>
            </c:numRef>
          </c:val>
        </c:ser>
        <c:ser>
          <c:idx val="1"/>
          <c:order val="1"/>
          <c:tx>
            <c:strRef>
              <c:f>'Ever drugs'!$J$2</c:f>
              <c:strCache>
                <c:ptCount val="1"/>
                <c:pt idx="0">
                  <c:v>Taken, but not in last month</c:v>
                </c:pt>
              </c:strCache>
            </c:strRef>
          </c:tx>
          <c:spPr>
            <a:solidFill>
              <a:schemeClr val="accent4">
                <a:lumMod val="40000"/>
                <a:lumOff val="60000"/>
              </a:schemeClr>
            </a:solidFill>
            <a:ln>
              <a:solidFill>
                <a:schemeClr val="bg1"/>
              </a:solidFill>
            </a:ln>
          </c:spPr>
          <c:invertIfNegative val="0"/>
          <c:dLbls>
            <c:dLbl>
              <c:idx val="0"/>
              <c:layout>
                <c:manualLayout>
                  <c:x val="0"/>
                  <c:y val="-1.4005602240896359E-2"/>
                </c:manualLayout>
              </c:layout>
              <c:showLegendKey val="0"/>
              <c:showVal val="1"/>
              <c:showCatName val="0"/>
              <c:showSerName val="0"/>
              <c:showPercent val="0"/>
              <c:showBubbleSize val="0"/>
            </c:dLbl>
            <c:txPr>
              <a:bodyPr/>
              <a:lstStyle/>
              <a:p>
                <a:pPr>
                  <a:defRPr>
                    <a:latin typeface="+mn-lt"/>
                  </a:defRPr>
                </a:pPr>
                <a:endParaRPr lang="en-US"/>
              </a:p>
            </c:txPr>
            <c:showLegendKey val="0"/>
            <c:showVal val="1"/>
            <c:showCatName val="0"/>
            <c:showSerName val="0"/>
            <c:showPercent val="0"/>
            <c:showBubbleSize val="0"/>
            <c:showLeaderLines val="0"/>
          </c:dLbls>
          <c:cat>
            <c:strRef>
              <c:f>'Ever drugs'!$H$3:$H$13</c:f>
              <c:strCache>
                <c:ptCount val="11"/>
                <c:pt idx="0">
                  <c:v>S1</c:v>
                </c:pt>
                <c:pt idx="1">
                  <c:v>S2</c:v>
                </c:pt>
                <c:pt idx="2">
                  <c:v>S3</c:v>
                </c:pt>
                <c:pt idx="3">
                  <c:v>S4</c:v>
                </c:pt>
                <c:pt idx="5">
                  <c:v>2 
parents</c:v>
                </c:pt>
                <c:pt idx="6">
                  <c:v>1 
parent</c:v>
                </c:pt>
                <c:pt idx="7">
                  <c:v>Step-
family</c:v>
                </c:pt>
                <c:pt idx="8">
                  <c:v>Other</c:v>
                </c:pt>
                <c:pt idx="10">
                  <c:v>All</c:v>
                </c:pt>
              </c:strCache>
            </c:strRef>
          </c:cat>
          <c:val>
            <c:numRef>
              <c:f>'Ever drugs'!$J$3:$J$13</c:f>
              <c:numCache>
                <c:formatCode>0%</c:formatCode>
                <c:ptCount val="11"/>
                <c:pt idx="0">
                  <c:v>6.829E-3</c:v>
                </c:pt>
                <c:pt idx="1">
                  <c:v>1.9328999999999999E-2</c:v>
                </c:pt>
                <c:pt idx="2">
                  <c:v>4.1741E-2</c:v>
                </c:pt>
                <c:pt idx="3">
                  <c:v>6.5832000000000002E-2</c:v>
                </c:pt>
                <c:pt idx="5">
                  <c:v>2.5034000000000001E-2</c:v>
                </c:pt>
                <c:pt idx="6">
                  <c:v>4.8985000000000001E-2</c:v>
                </c:pt>
                <c:pt idx="7">
                  <c:v>4.5086000000000001E-2</c:v>
                </c:pt>
                <c:pt idx="8">
                  <c:v>6.0614000000000001E-2</c:v>
                </c:pt>
                <c:pt idx="10">
                  <c:v>7.5527999999999998E-2</c:v>
                </c:pt>
              </c:numCache>
            </c:numRef>
          </c:val>
        </c:ser>
        <c:ser>
          <c:idx val="2"/>
          <c:order val="2"/>
          <c:tx>
            <c:strRef>
              <c:f>'Ever drugs'!$K$2</c:f>
              <c:strCache>
                <c:ptCount val="1"/>
                <c:pt idx="0">
                  <c:v>In last month</c:v>
                </c:pt>
              </c:strCache>
            </c:strRef>
          </c:tx>
          <c:spPr>
            <a:solidFill>
              <a:schemeClr val="accent6"/>
            </a:solidFill>
            <a:ln>
              <a:solidFill>
                <a:schemeClr val="bg1"/>
              </a:solidFill>
            </a:ln>
          </c:spPr>
          <c:invertIfNegative val="0"/>
          <c:dLbls>
            <c:dLbl>
              <c:idx val="0"/>
              <c:delete val="1"/>
            </c:dLbl>
            <c:dLbl>
              <c:idx val="1"/>
              <c:layout>
                <c:manualLayout>
                  <c:x val="0"/>
                  <c:y val="-2.100840336134454E-2"/>
                </c:manualLayout>
              </c:layout>
              <c:showLegendKey val="0"/>
              <c:showVal val="1"/>
              <c:showCatName val="0"/>
              <c:showSerName val="0"/>
              <c:showPercent val="0"/>
              <c:showBubbleSize val="0"/>
            </c:dLbl>
            <c:txPr>
              <a:bodyPr/>
              <a:lstStyle/>
              <a:p>
                <a:pPr>
                  <a:defRPr>
                    <a:latin typeface="+mn-lt"/>
                  </a:defRPr>
                </a:pPr>
                <a:endParaRPr lang="en-US"/>
              </a:p>
            </c:txPr>
            <c:showLegendKey val="0"/>
            <c:showVal val="1"/>
            <c:showCatName val="0"/>
            <c:showSerName val="0"/>
            <c:showPercent val="0"/>
            <c:showBubbleSize val="0"/>
            <c:showLeaderLines val="0"/>
          </c:dLbls>
          <c:cat>
            <c:strRef>
              <c:f>'Ever drugs'!$H$3:$H$13</c:f>
              <c:strCache>
                <c:ptCount val="11"/>
                <c:pt idx="0">
                  <c:v>S1</c:v>
                </c:pt>
                <c:pt idx="1">
                  <c:v>S2</c:v>
                </c:pt>
                <c:pt idx="2">
                  <c:v>S3</c:v>
                </c:pt>
                <c:pt idx="3">
                  <c:v>S4</c:v>
                </c:pt>
                <c:pt idx="5">
                  <c:v>2 
parents</c:v>
                </c:pt>
                <c:pt idx="6">
                  <c:v>1 
parent</c:v>
                </c:pt>
                <c:pt idx="7">
                  <c:v>Step-
family</c:v>
                </c:pt>
                <c:pt idx="8">
                  <c:v>Other</c:v>
                </c:pt>
                <c:pt idx="10">
                  <c:v>All</c:v>
                </c:pt>
              </c:strCache>
            </c:strRef>
          </c:cat>
          <c:val>
            <c:numRef>
              <c:f>'Ever drugs'!$K$3:$K$13</c:f>
              <c:numCache>
                <c:formatCode>0%</c:formatCode>
                <c:ptCount val="11"/>
                <c:pt idx="0">
                  <c:v>4.2810000000000001E-3</c:v>
                </c:pt>
                <c:pt idx="1">
                  <c:v>2.5510999999999999E-2</c:v>
                </c:pt>
                <c:pt idx="2">
                  <c:v>6.5531000000000006E-2</c:v>
                </c:pt>
                <c:pt idx="3">
                  <c:v>0.11021499999999999</c:v>
                </c:pt>
                <c:pt idx="5">
                  <c:v>3.7858000000000003E-2</c:v>
                </c:pt>
                <c:pt idx="6">
                  <c:v>7.1429000000000006E-2</c:v>
                </c:pt>
                <c:pt idx="7">
                  <c:v>5.5370999999999997E-2</c:v>
                </c:pt>
                <c:pt idx="8">
                  <c:v>0.23513999999999999</c:v>
                </c:pt>
                <c:pt idx="10">
                  <c:v>8.8310000000000003E-3</c:v>
                </c:pt>
              </c:numCache>
            </c:numRef>
          </c:val>
        </c:ser>
        <c:dLbls>
          <c:showLegendKey val="0"/>
          <c:showVal val="0"/>
          <c:showCatName val="0"/>
          <c:showSerName val="0"/>
          <c:showPercent val="0"/>
          <c:showBubbleSize val="0"/>
        </c:dLbls>
        <c:gapWidth val="0"/>
        <c:overlap val="100"/>
        <c:axId val="152963328"/>
        <c:axId val="152969216"/>
      </c:barChart>
      <c:catAx>
        <c:axId val="152963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Tahoma"/>
                <a:cs typeface="Tahoma"/>
              </a:defRPr>
            </a:pPr>
            <a:endParaRPr lang="en-US"/>
          </a:p>
        </c:txPr>
        <c:crossAx val="152969216"/>
        <c:crosses val="autoZero"/>
        <c:auto val="0"/>
        <c:lblAlgn val="ctr"/>
        <c:lblOffset val="100"/>
        <c:noMultiLvlLbl val="0"/>
      </c:catAx>
      <c:valAx>
        <c:axId val="152969216"/>
        <c:scaling>
          <c:orientation val="minMax"/>
          <c:min val="0"/>
        </c:scaling>
        <c:delete val="0"/>
        <c:axPos val="l"/>
        <c:majorGridlines>
          <c:spPr>
            <a:ln w="3175">
              <a:no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Tahoma"/>
                <a:cs typeface="Arial" panose="020B0604020202020204" pitchFamily="34" charset="0"/>
              </a:defRPr>
            </a:pPr>
            <a:endParaRPr lang="en-US"/>
          </a:p>
        </c:txPr>
        <c:crossAx val="152963328"/>
        <c:crosses val="autoZero"/>
        <c:crossBetween val="between"/>
        <c:majorUnit val="0.1"/>
        <c:minorUnit val="4.000000000000001E-3"/>
      </c:valAx>
      <c:spPr>
        <a:noFill/>
        <a:ln w="25400">
          <a:noFill/>
        </a:ln>
      </c:spPr>
    </c:plotArea>
    <c:legend>
      <c:legendPos val="r"/>
      <c:layout>
        <c:manualLayout>
          <c:xMode val="edge"/>
          <c:yMode val="edge"/>
          <c:x val="0.8710175719560479"/>
          <c:y val="0.23024629497070442"/>
          <c:w val="0.11542310601005383"/>
          <c:h val="0.54084749129554333"/>
        </c:manualLayout>
      </c:layout>
      <c:overlay val="0"/>
      <c:txPr>
        <a:bodyPr/>
        <a:lstStyle/>
        <a:p>
          <a:pPr>
            <a:defRPr sz="900">
              <a:latin typeface="+mn-lt"/>
            </a:defRPr>
          </a:pPr>
          <a:endParaRPr lang="en-US"/>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a:ea typeface="Tahoma"/>
          <a:cs typeface="Tahoma"/>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0.02507</cdr:x>
      <cdr:y>0.017</cdr:y>
    </cdr:from>
    <cdr:to>
      <cdr:x>0.93078</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9712" y="61661"/>
          <a:ext cx="4686128" cy="68026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70C0"/>
              </a:solidFill>
              <a:effectLst/>
              <a:latin typeface="+mn-lt"/>
              <a:ea typeface="Tahoma"/>
              <a:cs typeface="Tahoma"/>
            </a:rPr>
            <a:t>Chart 2.2.1b </a:t>
          </a:r>
          <a:endParaRPr lang="en-GB" sz="1000">
            <a:solidFill>
              <a:srgbClr val="0070C0"/>
            </a:solidFill>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Percentage of children in S1 to S4 self-reporting 'good' or 'very good' health, by additional support needs and receipt of children's services</a:t>
          </a:r>
          <a:endParaRPr lang="en-GB" sz="1000">
            <a:effectLst/>
            <a:latin typeface="+mn-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0.02507</cdr:x>
      <cdr:y>0.017</cdr:y>
    </cdr:from>
    <cdr:to>
      <cdr:x>0.73681</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1"/>
          <a:ext cx="3999801" cy="7074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2.2.4g</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Percentage of children in S1 to S4 taken drugs in the last month, of those who have ever taken any drugs, by type of drug</a:t>
          </a:r>
          <a:endParaRPr lang="en-GB" sz="1000">
            <a:effectLst/>
            <a:latin typeface="+mn-lt"/>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0.02507</cdr:x>
      <cdr:y>0.017</cdr:y>
    </cdr:from>
    <cdr:to>
      <cdr:x>0.73681</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1"/>
          <a:ext cx="3999801" cy="7074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2.3.1b </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tending to agree or strongly agreeing with statements about their family, by household type</a:t>
          </a:r>
        </a:p>
      </cdr:txBody>
    </cdr:sp>
  </cdr:relSizeAnchor>
</c:userShapes>
</file>

<file path=word/drawings/drawing12.xml><?xml version="1.0" encoding="utf-8"?>
<c:userShapes xmlns:c="http://schemas.openxmlformats.org/drawingml/2006/chart">
  <cdr:relSizeAnchor xmlns:cdr="http://schemas.openxmlformats.org/drawingml/2006/chartDrawing">
    <cdr:from>
      <cdr:x>0.02507</cdr:x>
      <cdr:y>0.017</cdr:y>
    </cdr:from>
    <cdr:to>
      <cdr:x>0.96808</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7157" y="57726"/>
          <a:ext cx="4782982" cy="54252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2.3.2a</a:t>
          </a: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How much enjoys school by year group and receipt of children's services</a:t>
          </a:r>
          <a:endParaRPr lang="en-GB" sz="1000">
            <a:effectLst/>
            <a:latin typeface="Arial" panose="020B06040202020202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0.02507</cdr:x>
      <cdr:y>0.017</cdr:y>
    </cdr:from>
    <cdr:to>
      <cdr:x>0.94407</cdr:x>
      <cdr:y>0.17929</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5164538" cy="61215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2.3.2c</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S1 to S4 who find it difficult to keep their mind on school work, by household type and free school meal eligibility</a:t>
          </a:r>
          <a:endParaRPr lang="en-GB" sz="1000">
            <a:effectLst/>
            <a:latin typeface="Arial" panose="020B06040202020202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0.02507</cdr:x>
      <cdr:y>0.017</cdr:y>
    </cdr:from>
    <cdr:to>
      <cdr:x>0.83559</cdr:x>
      <cdr:y>0.0881</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104766"/>
          <a:ext cx="4554938" cy="43816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2.4.1b </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Tahoma"/>
              <a:ea typeface="Tahoma"/>
              <a:cs typeface="Tahoma"/>
            </a:rPr>
            <a:t>Frequency of doing activities, </a:t>
          </a:r>
          <a:r>
            <a:rPr lang="en-GB" sz="1000" b="0" i="0" kern="1200" baseline="0">
              <a:solidFill>
                <a:srgbClr val="000000"/>
              </a:solidFill>
              <a:effectLst/>
              <a:latin typeface="Arial" panose="020B0604020202020204" pitchFamily="34" charset="0"/>
              <a:ea typeface="Tahoma"/>
              <a:cs typeface="Arial" panose="020B0604020202020204" pitchFamily="34" charset="0"/>
            </a:rPr>
            <a:t>pupils</a:t>
          </a:r>
          <a:r>
            <a:rPr lang="en-GB" sz="1000" b="0" i="0" kern="1200" baseline="0">
              <a:solidFill>
                <a:srgbClr val="000000"/>
              </a:solidFill>
              <a:effectLst/>
              <a:latin typeface="Tahoma"/>
              <a:ea typeface="Tahoma"/>
              <a:cs typeface="Tahoma"/>
            </a:rPr>
            <a:t> in S1 to S4</a:t>
          </a:r>
          <a:endParaRPr lang="en-GB" sz="1000">
            <a:effectLst/>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0.02507</cdr:x>
      <cdr:y>0.017</cdr:y>
    </cdr:from>
    <cdr:to>
      <cdr:x>0.87538</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72" y="60107"/>
          <a:ext cx="4211608" cy="56489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3.2.2a</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Time spent doing active things, by frequency of consuming fizzy drinks and whether has a garden at home</a:t>
          </a:r>
          <a:endParaRPr lang="en-GB" sz="1000">
            <a:effectLst/>
            <a:latin typeface="Arial" panose="020B0604020202020204" pitchFamily="34" charset="0"/>
            <a:cs typeface="Arial" panose="020B060402020202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0.01111</cdr:x>
      <cdr:y>0.01852</cdr:y>
    </cdr:from>
    <cdr:to>
      <cdr:x>0.93697</cdr:x>
      <cdr:y>0.18124</cdr:y>
    </cdr:to>
    <cdr:sp macro="" textlink="">
      <cdr:nvSpPr>
        <cdr:cNvPr id="3" name="Text Box 1"/>
        <cdr:cNvSpPr txBox="1">
          <a:spLocks xmlns:a="http://schemas.openxmlformats.org/drawingml/2006/main" noChangeArrowheads="1"/>
        </cdr:cNvSpPr>
      </cdr:nvSpPr>
      <cdr:spPr bwMode="auto">
        <a:xfrm xmlns:a="http://schemas.openxmlformats.org/drawingml/2006/main">
          <a:off x="62123" y="69586"/>
          <a:ext cx="5176627" cy="6114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3.2.2c</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consumed fruit, vegetables or fizzy drinks most days or every day, by frequency of sitting down to a family meal</a:t>
          </a:r>
          <a:endParaRPr lang="en-GB" sz="1000">
            <a:effectLst/>
            <a:latin typeface="Arial" panose="020B06040202020202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0.02507</cdr:x>
      <cdr:y>0.017</cdr:y>
    </cdr:from>
    <cdr:to>
      <cdr:x>0.9142</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6479"/>
          <a:ext cx="4402156" cy="6231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3.2.2e </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exposed to smoking in their own home, by area deprivation and receipt of free school meals</a:t>
          </a:r>
          <a:endParaRPr lang="en-GB" sz="1000">
            <a:effectLst/>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0.01111</cdr:x>
      <cdr:y>0.01852</cdr:y>
    </cdr:from>
    <cdr:to>
      <cdr:x>0.93697</cdr:x>
      <cdr:y>0.18124</cdr:y>
    </cdr:to>
    <cdr:sp macro="" textlink="">
      <cdr:nvSpPr>
        <cdr:cNvPr id="3" name="Text Box 1"/>
        <cdr:cNvSpPr txBox="1">
          <a:spLocks xmlns:a="http://schemas.openxmlformats.org/drawingml/2006/main" noChangeArrowheads="1"/>
        </cdr:cNvSpPr>
      </cdr:nvSpPr>
      <cdr:spPr bwMode="auto">
        <a:xfrm xmlns:a="http://schemas.openxmlformats.org/drawingml/2006/main">
          <a:off x="62123" y="69586"/>
          <a:ext cx="5176627" cy="6114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3.2.3a</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Percentage of children in P5 to P7, Falkirk, 2017, and percentage of children aged 7 - 8, Scotland, 2015, responding 'always' or 'often' to questions about their life satisfaction</a:t>
          </a:r>
          <a:endParaRPr lang="en-GB" sz="1000">
            <a:effectLst/>
            <a:latin typeface="+mn-lt"/>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0.02507</cdr:x>
      <cdr:y>0.017</cdr:y>
    </cdr:from>
    <cdr:to>
      <cdr:x>0.8296</cdr:x>
      <cdr:y>0.1994</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59752" y="54407"/>
          <a:ext cx="5126646" cy="58376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3.2.3b </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Life satisfaction mean score, by level of exposure to bullying, quality of child-teacher relationships, and quality of child-parent relationships</a:t>
          </a:r>
          <a:endParaRPr lang="en-GB" sz="1000">
            <a:effectLst/>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0.02507</cdr:x>
      <cdr:y>0.017</cdr:y>
    </cdr:from>
    <cdr:to>
      <cdr:x>0.85362</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35394" y="61618"/>
          <a:ext cx="4474705" cy="579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70C0"/>
              </a:solidFill>
              <a:effectLst/>
              <a:latin typeface="Arial" panose="020B0604020202020204" pitchFamily="34" charset="0"/>
              <a:ea typeface="Tahoma"/>
              <a:cs typeface="Arial" panose="020B0604020202020204" pitchFamily="34" charset="0"/>
            </a:rPr>
            <a:t>Chart 2.2.2a</a:t>
          </a:r>
          <a:endParaRPr lang="en-GB" sz="1000">
            <a:solidFill>
              <a:srgbClr val="0070C0"/>
            </a:solidFill>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Reported number of days in last seven physically active for at least one hour, by year group and gender</a:t>
          </a:r>
          <a:endParaRPr lang="en-GB" sz="1000">
            <a:effectLst/>
            <a:latin typeface="Arial" panose="020B06040202020202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0.02507</cdr:x>
      <cdr:y>0.017</cdr:y>
    </cdr:from>
    <cdr:to>
      <cdr:x>0.79492</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4326338" cy="60263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3.2.3d </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Mood and emotions mean score, by family status</a:t>
          </a:r>
          <a:endParaRPr lang="en-GB" sz="1000">
            <a:effectLst/>
            <a:latin typeface="Arial" panose="020B0604020202020204" pitchFamily="34" charset="0"/>
            <a:cs typeface="Arial" panose="020B0604020202020204" pitchFamily="34"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0.02507</cdr:x>
      <cdr:y>0.017</cdr:y>
    </cdr:from>
    <cdr:to>
      <cdr:x>0.92497</cdr:x>
      <cdr:y>0.19697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6490"/>
          <a:ext cx="4455496" cy="5980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3.3.1b </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Proportion of children in P5 to P7 with more positive ("higher") scores on the People in my Life scale of parent-child relationships, by frequency of sitting down for a meal with parents</a:t>
          </a:r>
          <a:endParaRPr lang="en-GB" sz="1000">
            <a:effectLst/>
            <a:latin typeface="Arial" panose="020B0604020202020204" pitchFamily="34" charset="0"/>
            <a:cs typeface="Arial" panose="020B0604020202020204" pitchFamily="34"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0.02507</cdr:x>
      <cdr:y>0.017</cdr:y>
    </cdr:from>
    <cdr:to>
      <cdr:x>0.93574</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6490"/>
          <a:ext cx="4508836" cy="6232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3.3.1c</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sat down to a meal with at least one parent every day or most days, by area deprivation, eligibility for free school meals, and family type</a:t>
          </a:r>
          <a:endParaRPr lang="en-GB" sz="1000">
            <a:effectLst/>
            <a:latin typeface="Arial" panose="020B0604020202020204" pitchFamily="34" charset="0"/>
            <a:cs typeface="Arial" panose="020B0604020202020204" pitchFamily="34"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0.02507</cdr:x>
      <cdr:y>0.017</cdr:y>
    </cdr:from>
    <cdr:to>
      <cdr:x>0.92557</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35394" y="61618"/>
          <a:ext cx="4863325" cy="6797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3.3.1e</a:t>
          </a: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worried a lot or quite a lot about a family member's health, by receipt of free school meals, number of siblings at home, and family type</a:t>
          </a:r>
          <a:endParaRPr lang="en-GB" sz="1000">
            <a:effectLst/>
            <a:latin typeface="Arial" panose="020B0604020202020204" pitchFamily="34" charset="0"/>
            <a:cs typeface="Arial" panose="020B0604020202020204" pitchFamily="34"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0.02507</cdr:x>
      <cdr:y>0.017</cdr:y>
    </cdr:from>
    <cdr:to>
      <cdr:x>0.92275</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35394" y="61618"/>
          <a:ext cx="4848085" cy="6797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3.3.2a </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said they liked school a lot or a bit, by gender, receipt of free school meals, and family type</a:t>
          </a:r>
          <a:endParaRPr lang="en-GB" sz="1000">
            <a:effectLst/>
            <a:latin typeface="Arial" panose="020B0604020202020204" pitchFamily="34" charset="0"/>
            <a:cs typeface="Arial" panose="020B0604020202020204" pitchFamily="34"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0.02507</cdr:x>
      <cdr:y>0.017</cdr:y>
    </cdr:from>
    <cdr:to>
      <cdr:x>0.85571</cdr:x>
      <cdr:y>0.1994</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62233"/>
          <a:ext cx="4112596" cy="66772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3.3.2b </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Enjoyment of school, by level of exposure to bullying, and quality of child-teacher relationships</a:t>
          </a:r>
          <a:endParaRPr lang="en-GB" sz="1000">
            <a:effectLst/>
            <a:latin typeface="Arial" panose="020B0604020202020204" pitchFamily="34" charset="0"/>
            <a:cs typeface="Arial" panose="020B06040202020202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0.02507</cdr:x>
      <cdr:y>0.017</cdr:y>
    </cdr:from>
    <cdr:to>
      <cdr:x>0.93267</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6490"/>
          <a:ext cx="4493596" cy="6232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3.3.2e</a:t>
          </a: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with a 'higher' educational environment score (more positive relationships with teachers), by gender, family type and additional support need </a:t>
          </a:r>
          <a:endParaRPr lang="en-GB" sz="1000">
            <a:effectLst/>
            <a:latin typeface="Arial" panose="020B0604020202020204" pitchFamily="34" charset="0"/>
            <a:cs typeface="Arial" panose="020B0604020202020204" pitchFamily="34" charset="0"/>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0.01111</cdr:x>
      <cdr:y>0.01852</cdr:y>
    </cdr:from>
    <cdr:to>
      <cdr:x>0.9284</cdr:x>
      <cdr:y>0.18124</cdr:y>
    </cdr:to>
    <cdr:sp macro="" textlink="">
      <cdr:nvSpPr>
        <cdr:cNvPr id="3" name="Text Box 1"/>
        <cdr:cNvSpPr txBox="1">
          <a:spLocks xmlns:a="http://schemas.openxmlformats.org/drawingml/2006/main" noChangeArrowheads="1"/>
        </cdr:cNvSpPr>
      </cdr:nvSpPr>
      <cdr:spPr bwMode="auto">
        <a:xfrm xmlns:a="http://schemas.openxmlformats.org/drawingml/2006/main">
          <a:off x="60001" y="67210"/>
          <a:ext cx="4953959" cy="59051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3.3.3c</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said they were ever bullied by other children in any of these ways</a:t>
          </a:r>
          <a:endParaRPr lang="en-GB" sz="1000">
            <a:effectLst/>
            <a:latin typeface="Arial" panose="020B0604020202020204" pitchFamily="34" charset="0"/>
            <a:cs typeface="Arial" panose="020B0604020202020204" pitchFamily="34" charset="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0.02507</cdr:x>
      <cdr:y>0.017</cdr:y>
    </cdr:from>
    <cdr:to>
      <cdr:x>0.85079</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35394" y="61618"/>
          <a:ext cx="4459465" cy="579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3.3.3d </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Experiences of being bullied score, by year group and receipt of free school meals</a:t>
          </a:r>
          <a:endParaRPr lang="en-GB" sz="1000">
            <a:effectLst/>
            <a:latin typeface="Arial" panose="020B0604020202020204" pitchFamily="34" charset="0"/>
            <a:cs typeface="Arial" panose="020B0604020202020204" pitchFamily="34"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0.01111</cdr:x>
      <cdr:y>0.01852</cdr:y>
    </cdr:from>
    <cdr:to>
      <cdr:x>0.93697</cdr:x>
      <cdr:y>0.18124</cdr:y>
    </cdr:to>
    <cdr:sp macro="" textlink="">
      <cdr:nvSpPr>
        <cdr:cNvPr id="3" name="Text Box 1"/>
        <cdr:cNvSpPr txBox="1">
          <a:spLocks xmlns:a="http://schemas.openxmlformats.org/drawingml/2006/main" noChangeArrowheads="1"/>
        </cdr:cNvSpPr>
      </cdr:nvSpPr>
      <cdr:spPr bwMode="auto">
        <a:xfrm xmlns:a="http://schemas.openxmlformats.org/drawingml/2006/main">
          <a:off x="62123" y="69586"/>
          <a:ext cx="5176627" cy="6114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3.3.3e</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P5 to P7 who reported ever bullying other children at school, by the extent to which they are bullied themselves</a:t>
          </a:r>
          <a:endParaRPr lang="en-GB" sz="1000">
            <a:effectLst/>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0.02507</cdr:x>
      <cdr:y>0.017</cdr:y>
    </cdr:from>
    <cdr:to>
      <cdr:x>0.9157</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35394" y="61618"/>
          <a:ext cx="4809985" cy="6797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2.2.2c</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Percentage of children in S1 to S4 consuming sugary drinks every day, by area deprivation and free school meal eligibility</a:t>
          </a:r>
          <a:endParaRPr lang="en-GB" sz="1000">
            <a:effectLst/>
            <a:latin typeface="+mn-lt"/>
          </a:endParaRPr>
        </a:p>
      </cdr:txBody>
    </cdr:sp>
  </cdr:relSizeAnchor>
</c:userShapes>
</file>

<file path=word/drawings/drawing30.xml><?xml version="1.0" encoding="utf-8"?>
<c:userShapes xmlns:c="http://schemas.openxmlformats.org/drawingml/2006/chart">
  <cdr:relSizeAnchor xmlns:cdr="http://schemas.openxmlformats.org/drawingml/2006/chartDrawing">
    <cdr:from>
      <cdr:x>0.02507</cdr:x>
      <cdr:y>0.017</cdr:y>
    </cdr:from>
    <cdr:to>
      <cdr:x>0.85264</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64997"/>
          <a:ext cx="4097356" cy="61085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3.3.4a</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How many times have stolen something, by frequency of hitting other children and being mean to other children</a:t>
          </a:r>
          <a:endParaRPr lang="en-GB" sz="1000">
            <a:effectLst/>
            <a:latin typeface="Arial" panose="020B0604020202020204" pitchFamily="34" charset="0"/>
            <a:cs typeface="Arial" panose="020B0604020202020204" pitchFamily="34"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0.02507</cdr:x>
      <cdr:y>0.017</cdr:y>
    </cdr:from>
    <cdr:to>
      <cdr:x>0.86033</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8261"/>
          <a:ext cx="4135456" cy="5475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Tahoma"/>
              <a:ea typeface="Tahoma"/>
              <a:cs typeface="Tahoma"/>
            </a:rPr>
            <a:t>Chart 3.3.4b</a:t>
          </a:r>
          <a:endParaRPr lang="en-GB" sz="1000">
            <a:effectLs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Feelings about how one looks, by quality of child-parent relationship and how often friends are mean</a:t>
          </a:r>
          <a:endParaRPr lang="en-GB" sz="1000">
            <a:effectLst/>
            <a:latin typeface="Arial" panose="020B0604020202020204" pitchFamily="34" charset="0"/>
            <a:cs typeface="Arial" panose="020B0604020202020204" pitchFamily="34"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0.02507</cdr:x>
      <cdr:y>0.017</cdr:y>
    </cdr:from>
    <cdr:to>
      <cdr:x>0.73681</cdr:x>
      <cdr:y>0.16476</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1" y="57968"/>
          <a:ext cx="3999801" cy="50385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lnSpc>
              <a:spcPts val="900"/>
            </a:lnSpc>
            <a:defRPr sz="1000"/>
          </a:pPr>
          <a:r>
            <a:rPr lang="en-GB" sz="1000" b="1" i="0" u="none" strike="noStrike" baseline="0">
              <a:solidFill>
                <a:srgbClr val="0070C0"/>
              </a:solidFill>
              <a:latin typeface="Arial" panose="020B0604020202020204" pitchFamily="34" charset="0"/>
              <a:ea typeface="Tahoma"/>
              <a:cs typeface="Arial" panose="020B0604020202020204" pitchFamily="34" charset="0"/>
            </a:rPr>
            <a:t>Chart 4.2.2a</a:t>
          </a:r>
          <a:endParaRPr lang="en-GB" sz="1000" b="0" i="0" u="none" strike="noStrike" baseline="0">
            <a:solidFill>
              <a:srgbClr val="0070C0"/>
            </a:solidFill>
            <a:latin typeface="Arial" panose="020B0604020202020204" pitchFamily="34" charset="0"/>
            <a:ea typeface="Tahoma"/>
            <a:cs typeface="Arial" panose="020B0604020202020204" pitchFamily="34" charset="0"/>
          </a:endParaRPr>
        </a:p>
        <a:p xmlns:a="http://schemas.openxmlformats.org/drawingml/2006/main">
          <a:pPr algn="l" rtl="0">
            <a:defRPr sz="1000"/>
          </a:pPr>
          <a:r>
            <a:rPr lang="en-GB" sz="1000" b="0" i="0" baseline="0">
              <a:effectLst/>
              <a:latin typeface="Arial" panose="020B0604020202020204" pitchFamily="34" charset="0"/>
              <a:ea typeface="Tahoma" panose="020B0604030504040204" pitchFamily="34" charset="0"/>
              <a:cs typeface="Arial" panose="020B0604020202020204" pitchFamily="34" charset="0"/>
            </a:rPr>
            <a:t>High fruit and vegetable consumption by age</a:t>
          </a:r>
          <a:endParaRPr lang="en-GB" sz="1000" b="0" i="0" u="none" strike="noStrike" baseline="0">
            <a:solidFill>
              <a:srgbClr val="000000"/>
            </a:solidFill>
            <a:latin typeface="Arial" panose="020B0604020202020204" pitchFamily="34" charset="0"/>
            <a:ea typeface="Tahoma" panose="020B0604030504040204" pitchFamily="34" charset="0"/>
            <a:cs typeface="Arial" panose="020B0604020202020204" pitchFamily="34"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0.01111</cdr:x>
      <cdr:y>0</cdr:y>
    </cdr:from>
    <cdr:to>
      <cdr:x>0.88596</cdr:x>
      <cdr:y>0.20471</cdr:y>
    </cdr:to>
    <cdr:sp macro="" textlink="">
      <cdr:nvSpPr>
        <cdr:cNvPr id="2" name="Text Box 1"/>
        <cdr:cNvSpPr txBox="1">
          <a:spLocks xmlns:a="http://schemas.openxmlformats.org/drawingml/2006/main" noChangeArrowheads="1"/>
        </cdr:cNvSpPr>
      </cdr:nvSpPr>
      <cdr:spPr bwMode="auto">
        <a:xfrm xmlns:a="http://schemas.openxmlformats.org/drawingml/2006/main">
          <a:off x="50800" y="0"/>
          <a:ext cx="3999801" cy="56155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Arial" panose="020B0604020202020204" pitchFamily="34" charset="0"/>
              <a:ea typeface="Tahoma"/>
              <a:cs typeface="Arial" panose="020B0604020202020204" pitchFamily="34" charset="0"/>
            </a:rPr>
            <a:t>Chart 4.2.2b</a:t>
          </a:r>
          <a:endParaRPr lang="en-GB" sz="1000" b="0" i="0" u="none" strike="noStrike" baseline="0">
            <a:solidFill>
              <a:srgbClr val="0070C0"/>
            </a:solidFill>
            <a:latin typeface="Arial" panose="020B0604020202020204" pitchFamily="34" charset="0"/>
            <a:ea typeface="Tahoma"/>
            <a:cs typeface="Arial" panose="020B0604020202020204" pitchFamily="34" charset="0"/>
          </a:endParaRPr>
        </a:p>
        <a:p xmlns:a="http://schemas.openxmlformats.org/drawingml/2006/main">
          <a:pPr algn="l" rtl="0">
            <a:defRPr sz="1000"/>
          </a:pPr>
          <a:r>
            <a:rPr lang="en-GB" sz="1000" b="0" i="0" baseline="0">
              <a:effectLst/>
              <a:latin typeface="Arial" panose="020B0604020202020204" pitchFamily="34" charset="0"/>
              <a:ea typeface="Tahoma" panose="020B0604030504040204" pitchFamily="34" charset="0"/>
              <a:cs typeface="Arial" panose="020B0604020202020204" pitchFamily="34" charset="0"/>
            </a:rPr>
            <a:t>Days child spent being physically active in the last week</a:t>
          </a:r>
          <a:endParaRPr lang="en-GB" sz="1000" b="0" i="0" u="none" strike="noStrike" baseline="0">
            <a:solidFill>
              <a:srgbClr val="000000"/>
            </a:solidFill>
            <a:latin typeface="Arial" panose="020B0604020202020204" pitchFamily="34" charset="0"/>
            <a:ea typeface="Tahoma" panose="020B0604030504040204" pitchFamily="34" charset="0"/>
            <a:cs typeface="Arial" panose="020B0604020202020204" pitchFamily="34" charset="0"/>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0.02507</cdr:x>
      <cdr:y>0.017</cdr:y>
    </cdr:from>
    <cdr:to>
      <cdr:x>0.73681</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3999801" cy="6026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4.2.3a </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Strengths and Difficulties Questionnaire sub-scales</a:t>
          </a:r>
          <a:endParaRPr lang="en-GB" sz="1000">
            <a:effectLst/>
            <a:latin typeface="+mn-lt"/>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0.02507</cdr:x>
      <cdr:y>0.017</cdr:y>
    </cdr:from>
    <cdr:to>
      <cdr:x>0.80034</cdr:x>
      <cdr:y>0.16476</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0268"/>
          <a:ext cx="4356818" cy="5238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lnSpc>
              <a:spcPts val="900"/>
            </a:lnSpc>
            <a:defRPr sz="1000"/>
          </a:pPr>
          <a:r>
            <a:rPr lang="en-GB" sz="1000" b="1" i="0" u="none" strike="noStrike" baseline="0">
              <a:solidFill>
                <a:srgbClr val="0070C0"/>
              </a:solidFill>
              <a:latin typeface="Tahoma"/>
              <a:ea typeface="Tahoma"/>
              <a:cs typeface="Tahoma"/>
            </a:rPr>
            <a:t>Chart 4.3.1a</a:t>
          </a:r>
          <a:endParaRPr lang="en-GB" sz="1000" b="0" i="0" u="none" strike="noStrike" baseline="0">
            <a:solidFill>
              <a:srgbClr val="0070C0"/>
            </a:solidFill>
            <a:latin typeface="Tahoma"/>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Access to own garden and own bedroom by area deprivation</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0.02507</cdr:x>
      <cdr:y>0.00653</cdr:y>
    </cdr:from>
    <cdr:to>
      <cdr:x>0.88983</cdr:x>
      <cdr:y>0.15707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23754"/>
          <a:ext cx="4859738" cy="5477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4.3.1b</a:t>
          </a:r>
          <a:endParaRPr lang="en-GB" sz="1000" b="0" i="0" u="none" strike="noStrike" baseline="0">
            <a:solidFill>
              <a:srgbClr val="0070C0"/>
            </a:solidFill>
            <a:latin typeface="+mn-lt"/>
            <a:ea typeface="Tahoma"/>
            <a:cs typeface="Tahoma"/>
          </a:endParaRPr>
        </a:p>
        <a:p xmlns:a="http://schemas.openxmlformats.org/drawingml/2006/main">
          <a:pPr rtl="0"/>
          <a:r>
            <a:rPr lang="en-GB" sz="1000" b="0" i="0" baseline="0">
              <a:effectLst/>
              <a:latin typeface="+mn-lt"/>
              <a:ea typeface="Tahoma" panose="020B0604030504040204" pitchFamily="34" charset="0"/>
              <a:cs typeface="Tahoma" panose="020B0604030504040204" pitchFamily="34" charset="0"/>
            </a:rPr>
            <a:t>Children with close to average Total Difficulties (SDQ) scores (i.e. few difficulties identified) by parent's mental and physical health scores</a:t>
          </a:r>
          <a:endParaRPr lang="en-GB" sz="800">
            <a:effectLst/>
            <a:latin typeface="+mn-lt"/>
            <a:ea typeface="Tahoma" panose="020B0604030504040204" pitchFamily="34" charset="0"/>
            <a:cs typeface="Tahoma" panose="020B0604030504040204" pitchFamily="34" charset="0"/>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0.01111</cdr:x>
      <cdr:y>0.01852</cdr:y>
    </cdr:from>
    <cdr:to>
      <cdr:x>0.94525</cdr:x>
      <cdr:y>0.13243</cdr:y>
    </cdr:to>
    <cdr:sp macro="" textlink="">
      <cdr:nvSpPr>
        <cdr:cNvPr id="2" name="Text Box 1"/>
        <cdr:cNvSpPr txBox="1">
          <a:spLocks xmlns:a="http://schemas.openxmlformats.org/drawingml/2006/main" noChangeArrowheads="1"/>
        </cdr:cNvSpPr>
      </cdr:nvSpPr>
      <cdr:spPr bwMode="auto">
        <a:xfrm xmlns:a="http://schemas.openxmlformats.org/drawingml/2006/main">
          <a:off x="50800" y="50800"/>
          <a:ext cx="4270880" cy="31248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4.3.1c</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Level of parent (respondent) life satisfaction</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0.03108</cdr:x>
      <cdr:y>9.84252E-5</cdr:y>
    </cdr:from>
    <cdr:to>
      <cdr:x>0.77544</cdr:x>
      <cdr:y>0.17197</cdr:y>
    </cdr:to>
    <cdr:sp macro="" textlink="">
      <cdr:nvSpPr>
        <cdr:cNvPr id="2" name="Text Box 1"/>
        <cdr:cNvSpPr txBox="1">
          <a:spLocks xmlns:a="http://schemas.openxmlformats.org/drawingml/2006/main" noChangeArrowheads="1"/>
        </cdr:cNvSpPr>
      </cdr:nvSpPr>
      <cdr:spPr bwMode="auto">
        <a:xfrm xmlns:a="http://schemas.openxmlformats.org/drawingml/2006/main">
          <a:off x="142098" y="270"/>
          <a:ext cx="3403221" cy="47148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panose="020B0604030504040204" pitchFamily="34" charset="0"/>
              <a:cs typeface="Tahoma" panose="020B0604030504040204" pitchFamily="34" charset="0"/>
            </a:rPr>
            <a:t>Chart 4.3.1e</a:t>
          </a:r>
          <a:endParaRPr lang="en-GB" sz="1000" b="0" i="0" u="none" strike="noStrike" baseline="0">
            <a:solidFill>
              <a:srgbClr val="0070C0"/>
            </a:solidFill>
            <a:latin typeface="+mn-lt"/>
            <a:ea typeface="Tahoma" panose="020B0604030504040204" pitchFamily="34" charset="0"/>
            <a:cs typeface="Tahoma" panose="020B0604030504040204" pitchFamily="34" charset="0"/>
          </a:endParaRPr>
        </a:p>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en-GB" sz="1000" b="0" i="0" baseline="0">
              <a:effectLst/>
              <a:latin typeface="+mn-lt"/>
              <a:ea typeface="Tahoma" panose="020B0604030504040204" pitchFamily="34" charset="0"/>
              <a:cs typeface="Tahoma" panose="020B0604030504040204" pitchFamily="34" charset="0"/>
            </a:rPr>
            <a:t>Respondents smoking tobacco by area deprivation</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0.04073</cdr:x>
      <cdr:y>0.01422</cdr:y>
    </cdr:from>
    <cdr:to>
      <cdr:x>0.93902</cdr:x>
      <cdr:y>0.18026</cdr:y>
    </cdr:to>
    <cdr:sp macro="" textlink="">
      <cdr:nvSpPr>
        <cdr:cNvPr id="2" name="Text Box 1"/>
        <cdr:cNvSpPr txBox="1">
          <a:spLocks xmlns:a="http://schemas.openxmlformats.org/drawingml/2006/main" noChangeArrowheads="1"/>
        </cdr:cNvSpPr>
      </cdr:nvSpPr>
      <cdr:spPr bwMode="auto">
        <a:xfrm xmlns:a="http://schemas.openxmlformats.org/drawingml/2006/main">
          <a:off x="186195" y="38996"/>
          <a:ext cx="4106997" cy="45549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Tahoma"/>
              <a:ea typeface="Tahoma"/>
              <a:cs typeface="Tahoma"/>
            </a:rPr>
            <a:t>Chart 4.3.2a</a:t>
          </a:r>
          <a:endParaRPr lang="en-GB" sz="1000" b="0" i="0" u="none" strike="noStrike" baseline="0">
            <a:solidFill>
              <a:srgbClr val="0070C0"/>
            </a:solidFill>
            <a:latin typeface="Tahoma"/>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Types of pre-school nursery attended by children aged 3-4 years</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0.02507</cdr:x>
      <cdr:y>0.017</cdr:y>
    </cdr:from>
    <cdr:to>
      <cdr:x>0.73681</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3999801" cy="6026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2.2.3a</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Strengths and Difficulties Questionnaire sub-scales</a:t>
          </a:r>
          <a:endParaRPr lang="en-GB" sz="1000">
            <a:effectLst/>
            <a:latin typeface="+mn-lt"/>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0.0316</cdr:x>
      <cdr:y>0</cdr:y>
    </cdr:from>
    <cdr:to>
      <cdr:x>0.84956</cdr:x>
      <cdr:y>0.14776</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56454" y="0"/>
          <a:ext cx="4049785" cy="42044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lnSpc>
              <a:spcPts val="900"/>
            </a:lnSpc>
            <a:defRPr sz="1000"/>
          </a:pPr>
          <a:r>
            <a:rPr lang="en-GB" sz="1000" b="1" i="0" u="none" strike="noStrike" baseline="0">
              <a:solidFill>
                <a:srgbClr val="0070C0"/>
              </a:solidFill>
              <a:latin typeface="Arial" panose="020B0604020202020204" pitchFamily="34" charset="0"/>
              <a:ea typeface="Tahoma"/>
              <a:cs typeface="Arial" panose="020B0604020202020204" pitchFamily="34" charset="0"/>
            </a:rPr>
            <a:t>Chart 4.3.2b</a:t>
          </a:r>
          <a:endParaRPr lang="en-GB" sz="1000" b="0" i="0" u="none" strike="noStrike" baseline="0">
            <a:solidFill>
              <a:srgbClr val="0070C0"/>
            </a:solidFill>
            <a:latin typeface="Arial" panose="020B0604020202020204" pitchFamily="34" charset="0"/>
            <a:ea typeface="Tahoma"/>
            <a:cs typeface="Arial" panose="020B0604020202020204" pitchFamily="34" charset="0"/>
          </a:endParaRPr>
        </a:p>
        <a:p xmlns:a="http://schemas.openxmlformats.org/drawingml/2006/main">
          <a:pPr algn="l" rtl="0">
            <a:defRPr sz="1000"/>
          </a:pPr>
          <a:r>
            <a:rPr lang="en-GB" sz="1000" b="0" i="0" baseline="0">
              <a:effectLst/>
              <a:latin typeface="Arial" panose="020B0604020202020204" pitchFamily="34" charset="0"/>
              <a:ea typeface="Tahoma" panose="020B0604030504040204" pitchFamily="34" charset="0"/>
              <a:cs typeface="Arial" panose="020B0604020202020204" pitchFamily="34" charset="0"/>
            </a:rPr>
            <a:t>Activities undertaken with child at least once or twice per week</a:t>
          </a:r>
          <a:endParaRPr lang="en-GB" sz="1000" b="0" i="0" u="none" strike="noStrike" baseline="0">
            <a:solidFill>
              <a:srgbClr val="000000"/>
            </a:solidFill>
            <a:latin typeface="Arial" panose="020B0604020202020204" pitchFamily="34" charset="0"/>
            <a:ea typeface="Tahoma" panose="020B0604030504040204" pitchFamily="34" charset="0"/>
            <a:cs typeface="Arial" panose="020B0604020202020204" pitchFamily="34" charset="0"/>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0.01</cdr:x>
      <cdr:y>0.01248</cdr:y>
    </cdr:from>
    <cdr:to>
      <cdr:x>0.8513</cdr:x>
      <cdr:y>0.14641</cdr:y>
    </cdr:to>
    <cdr:sp macro="" textlink="">
      <cdr:nvSpPr>
        <cdr:cNvPr id="3" name="Text Box 1"/>
        <cdr:cNvSpPr txBox="1">
          <a:spLocks xmlns:a="http://schemas.openxmlformats.org/drawingml/2006/main" noChangeArrowheads="1"/>
        </cdr:cNvSpPr>
      </cdr:nvSpPr>
      <cdr:spPr bwMode="auto">
        <a:xfrm xmlns:a="http://schemas.openxmlformats.org/drawingml/2006/main">
          <a:off x="51244" y="45766"/>
          <a:ext cx="4311206" cy="4911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0" bIns="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rtl="0"/>
          <a:r>
            <a:rPr lang="en-GB" sz="1000" b="1" i="0" baseline="0">
              <a:solidFill>
                <a:srgbClr val="0070C0"/>
              </a:solidFill>
              <a:effectLst/>
              <a:latin typeface="+mn-lt"/>
              <a:ea typeface="Tahoma" panose="020B0604030504040204" pitchFamily="34" charset="0"/>
              <a:cs typeface="Tahoma" panose="020B0604030504040204" pitchFamily="34" charset="0"/>
            </a:rPr>
            <a:t>Chart 4.4.1b</a:t>
          </a:r>
          <a:endParaRPr lang="en-GB" sz="1000">
            <a:solidFill>
              <a:srgbClr val="0070C0"/>
            </a:solidFill>
            <a:effectLst/>
            <a:latin typeface="+mn-lt"/>
            <a:ea typeface="Tahoma" panose="020B0604030504040204" pitchFamily="34" charset="0"/>
            <a:cs typeface="Tahoma" panose="020B0604030504040204" pitchFamily="34" charset="0"/>
          </a:endParaRPr>
        </a:p>
        <a:p xmlns:a="http://schemas.openxmlformats.org/drawingml/2006/main">
          <a:pPr rtl="0"/>
          <a:r>
            <a:rPr lang="en-GB" sz="1000" b="0" i="0" baseline="0">
              <a:effectLst/>
              <a:latin typeface="+mn-lt"/>
              <a:ea typeface="Tahoma" panose="020B0604030504040204" pitchFamily="34" charset="0"/>
              <a:cs typeface="Tahoma" panose="020B0604030504040204" pitchFamily="34" charset="0"/>
            </a:rPr>
            <a:t>Feelings of safety / being part of community, by area deprivation</a:t>
          </a:r>
          <a:endParaRPr lang="en-GB" sz="1000">
            <a:effectLst/>
            <a:latin typeface="+mn-lt"/>
            <a:ea typeface="Tahoma" panose="020B0604030504040204" pitchFamily="34" charset="0"/>
            <a:cs typeface="Tahoma" panose="020B0604030504040204" pitchFamily="34" charset="0"/>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0.04073</cdr:x>
      <cdr:y>0</cdr:y>
    </cdr:from>
    <cdr:to>
      <cdr:x>0.88147</cdr:x>
      <cdr:y>0.2477</cdr:y>
    </cdr:to>
    <cdr:sp macro="" textlink="">
      <cdr:nvSpPr>
        <cdr:cNvPr id="2" name="Text Box 1"/>
        <cdr:cNvSpPr txBox="1">
          <a:spLocks xmlns:a="http://schemas.openxmlformats.org/drawingml/2006/main" noChangeArrowheads="1"/>
        </cdr:cNvSpPr>
      </cdr:nvSpPr>
      <cdr:spPr bwMode="auto">
        <a:xfrm xmlns:a="http://schemas.openxmlformats.org/drawingml/2006/main">
          <a:off x="186195" y="0"/>
          <a:ext cx="3843876" cy="6795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4.5.2b</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Childcare support from family and friends by time of day</a:t>
          </a:r>
        </a:p>
      </cdr:txBody>
    </cdr:sp>
  </cdr:relSizeAnchor>
</c:userShapes>
</file>

<file path=word/drawings/drawing43.xml><?xml version="1.0" encoding="utf-8"?>
<c:userShapes xmlns:c="http://schemas.openxmlformats.org/drawingml/2006/chart">
  <cdr:relSizeAnchor xmlns:cdr="http://schemas.openxmlformats.org/drawingml/2006/chartDrawing">
    <cdr:from>
      <cdr:x>0.02507</cdr:x>
      <cdr:y>0.017</cdr:y>
    </cdr:from>
    <cdr:to>
      <cdr:x>0.73681</cdr:x>
      <cdr:y>0.16476</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1" y="57968"/>
          <a:ext cx="3999801" cy="50385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4.5.2c</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Type of support received from family or friends</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0.02222</cdr:x>
      <cdr:y>0.03704</cdr:y>
    </cdr:from>
    <cdr:to>
      <cdr:x>0.95636</cdr:x>
      <cdr:y>0.14304</cdr:y>
    </cdr:to>
    <cdr:sp macro="" textlink="">
      <cdr:nvSpPr>
        <cdr:cNvPr id="2" name="Text Box 1"/>
        <cdr:cNvSpPr txBox="1">
          <a:spLocks xmlns:a="http://schemas.openxmlformats.org/drawingml/2006/main" noChangeArrowheads="1"/>
        </cdr:cNvSpPr>
      </cdr:nvSpPr>
      <cdr:spPr bwMode="auto">
        <a:xfrm xmlns:a="http://schemas.openxmlformats.org/drawingml/2006/main">
          <a:off x="101595" y="101604"/>
          <a:ext cx="4270888" cy="29077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4.5.4a</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Activities with child in the last year (parents of 0-3 year olds)</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0.01044</cdr:x>
      <cdr:y>0</cdr:y>
    </cdr:from>
    <cdr:to>
      <cdr:x>0.88147</cdr:x>
      <cdr:y>0.18451</cdr:y>
    </cdr:to>
    <cdr:sp macro="" textlink="">
      <cdr:nvSpPr>
        <cdr:cNvPr id="2" name="Text Box 1"/>
        <cdr:cNvSpPr txBox="1">
          <a:spLocks xmlns:a="http://schemas.openxmlformats.org/drawingml/2006/main" noChangeArrowheads="1"/>
        </cdr:cNvSpPr>
      </cdr:nvSpPr>
      <cdr:spPr bwMode="auto">
        <a:xfrm xmlns:a="http://schemas.openxmlformats.org/drawingml/2006/main">
          <a:off x="53340" y="0"/>
          <a:ext cx="4450835" cy="57468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4.5.4b</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Attitudes to professional advice on parenting</a:t>
          </a:r>
        </a:p>
      </cdr:txBody>
    </cdr:sp>
  </cdr:relSizeAnchor>
</c:userShapes>
</file>

<file path=word/drawings/drawing46.xml><?xml version="1.0" encoding="utf-8"?>
<c:userShapes xmlns:c="http://schemas.openxmlformats.org/drawingml/2006/chart">
  <cdr:relSizeAnchor xmlns:cdr="http://schemas.openxmlformats.org/drawingml/2006/chartDrawing">
    <cdr:from>
      <cdr:x>0.02222</cdr:x>
      <cdr:y>0.03704</cdr:y>
    </cdr:from>
    <cdr:to>
      <cdr:x>0.95636</cdr:x>
      <cdr:y>0.15095</cdr:y>
    </cdr:to>
    <cdr:sp macro="" textlink="">
      <cdr:nvSpPr>
        <cdr:cNvPr id="2" name="Text Box 1"/>
        <cdr:cNvSpPr txBox="1">
          <a:spLocks xmlns:a="http://schemas.openxmlformats.org/drawingml/2006/main" noChangeArrowheads="1"/>
        </cdr:cNvSpPr>
      </cdr:nvSpPr>
      <cdr:spPr bwMode="auto">
        <a:xfrm xmlns:a="http://schemas.openxmlformats.org/drawingml/2006/main">
          <a:off x="101595" y="101604"/>
          <a:ext cx="4270888" cy="3124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27432" tIns="18288" rIns="0"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900"/>
            </a:lnSpc>
            <a:defRPr sz="1000"/>
          </a:pPr>
          <a:r>
            <a:rPr lang="en-GB" sz="1000" b="1" i="0" u="none" strike="noStrike" baseline="0">
              <a:solidFill>
                <a:srgbClr val="0070C0"/>
              </a:solidFill>
              <a:latin typeface="+mn-lt"/>
              <a:ea typeface="Tahoma"/>
              <a:cs typeface="Tahoma"/>
            </a:rPr>
            <a:t>Chart 4.5.5a</a:t>
          </a:r>
          <a:endParaRPr lang="en-GB" sz="1000" b="0" i="0" u="none" strike="noStrike" baseline="0">
            <a:solidFill>
              <a:srgbClr val="0070C0"/>
            </a:solidFill>
            <a:latin typeface="+mn-lt"/>
            <a:ea typeface="Tahoma"/>
            <a:cs typeface="Tahoma"/>
          </a:endParaRPr>
        </a:p>
        <a:p xmlns:a="http://schemas.openxmlformats.org/drawingml/2006/main">
          <a:pPr algn="l" rtl="0">
            <a:defRPr sz="1000"/>
          </a:pPr>
          <a:r>
            <a:rPr lang="en-GB" sz="1000" b="0" i="0" baseline="0">
              <a:effectLst/>
              <a:latin typeface="+mn-lt"/>
              <a:ea typeface="Tahoma" panose="020B0604030504040204" pitchFamily="34" charset="0"/>
              <a:cs typeface="Tahoma" panose="020B0604030504040204" pitchFamily="34" charset="0"/>
            </a:rPr>
            <a:t>Amount of choice with childcare</a:t>
          </a:r>
          <a:endParaRPr lang="en-GB" sz="1000" b="0" i="0" u="none" strike="noStrike" baseline="0">
            <a:solidFill>
              <a:srgbClr val="000000"/>
            </a:solidFill>
            <a:latin typeface="+mn-lt"/>
            <a:ea typeface="Tahoma" panose="020B0604030504040204" pitchFamily="34" charset="0"/>
            <a:cs typeface="Tahoma" panose="020B060403050404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0.02507</cdr:x>
      <cdr:y>0.017</cdr:y>
    </cdr:from>
    <cdr:to>
      <cdr:x>0.84032</cdr:x>
      <cdr:y>0.21446</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24124" y="58487"/>
          <a:ext cx="4036396" cy="67934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2.2.3d </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Strengths and Difficulties Questionnaire - Total Difficulties scale (original categories), S2 and S4 only, Scotland 2010, 2013 and 2015, Falkirk, 2010 2013 and 2017</a:t>
          </a: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endParaRPr lang="en-GB" sz="1000">
            <a:effectLst/>
            <a:latin typeface="+mn-l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0.02507</cdr:x>
      <cdr:y>0.017</cdr:y>
    </cdr:from>
    <cdr:to>
      <cdr:x>0.73681</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1"/>
          <a:ext cx="3999801" cy="7074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2.2.3f</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Mean WEMWBS score, by how much like school, by whether been victim of rumours or lies, and by feelings about appearance</a:t>
          </a:r>
          <a:endParaRPr lang="en-GB" sz="1000">
            <a:effectLst/>
            <a:latin typeface="Arial" panose="020B0604020202020204" pitchFamily="34" charset="0"/>
            <a:cs typeface="Arial" panose="020B060402020202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0.02507</cdr:x>
      <cdr:y>0.017</cdr:y>
    </cdr:from>
    <cdr:to>
      <cdr:x>0.73681</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3999801" cy="6026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2.2.4a </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Smoking status, by year group, eligibility for free school meals and household type</a:t>
          </a:r>
        </a:p>
      </cdr:txBody>
    </cdr:sp>
  </cdr:relSizeAnchor>
</c:userShapes>
</file>

<file path=word/drawings/drawing8.xml><?xml version="1.0" encoding="utf-8"?>
<c:userShapes xmlns:c="http://schemas.openxmlformats.org/drawingml/2006/chart">
  <cdr:relSizeAnchor xmlns:cdr="http://schemas.openxmlformats.org/drawingml/2006/chartDrawing">
    <cdr:from>
      <cdr:x>0.02507</cdr:x>
      <cdr:y>0.017</cdr:y>
    </cdr:from>
    <cdr:to>
      <cdr:x>0.73681</cdr:x>
      <cdr:y>0.20455</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1"/>
          <a:ext cx="3999801" cy="7074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Arial" panose="020B0604020202020204" pitchFamily="34" charset="0"/>
              <a:ea typeface="Tahoma"/>
              <a:cs typeface="Arial" panose="020B0604020202020204" pitchFamily="34" charset="0"/>
            </a:rPr>
            <a:t>Chart 2.2.4d</a:t>
          </a:r>
          <a:endParaRPr lang="en-GB" sz="1000">
            <a:effectLst/>
            <a:latin typeface="Arial" panose="020B0604020202020204" pitchFamily="34" charset="0"/>
            <a:cs typeface="Arial" panose="020B0604020202020204" pitchFamily="34" charset="0"/>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Arial" panose="020B0604020202020204" pitchFamily="34" charset="0"/>
              <a:ea typeface="Tahoma"/>
              <a:cs typeface="Arial" panose="020B0604020202020204" pitchFamily="34" charset="0"/>
            </a:rPr>
            <a:t>Percentage of children in S1 to S4 who had ever had a proper alcoholic drink, by year group, feelings about the local area, and wellbeing</a:t>
          </a:r>
          <a:endParaRPr lang="en-GB" sz="1000">
            <a:effectLst/>
            <a:latin typeface="Arial" panose="020B060402020202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0.02507</cdr:x>
      <cdr:y>0.017</cdr:y>
    </cdr:from>
    <cdr:to>
      <cdr:x>0.73681</cdr:x>
      <cdr:y>0.17677</cdr:y>
    </cdr:to>
    <cdr:sp macro="" textlink="">
      <cdr:nvSpPr>
        <cdr:cNvPr id="1229825" name="Text Box 1"/>
        <cdr:cNvSpPr txBox="1">
          <a:spLocks xmlns:a="http://schemas.openxmlformats.org/drawingml/2006/main" noChangeArrowheads="1"/>
        </cdr:cNvSpPr>
      </cdr:nvSpPr>
      <cdr:spPr bwMode="auto">
        <a:xfrm xmlns:a="http://schemas.openxmlformats.org/drawingml/2006/main">
          <a:off x="140887" y="64122"/>
          <a:ext cx="3999801" cy="60262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18288" anchor="ctr" upright="1"/>
        <a:lstStyle xmlns:a="http://schemas.openxmlformats.org/drawingml/2006/main"/>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1" i="0" kern="1200" baseline="0">
              <a:solidFill>
                <a:srgbClr val="0066CC"/>
              </a:solidFill>
              <a:effectLst/>
              <a:latin typeface="+mn-lt"/>
              <a:ea typeface="Tahoma"/>
              <a:cs typeface="Tahoma"/>
            </a:rPr>
            <a:t>Chart 2.2.4f</a:t>
          </a:r>
          <a:endParaRPr lang="en-GB" sz="1000">
            <a:effectLst/>
            <a:latin typeface="+mn-lt"/>
          </a:endParaRPr>
        </a:p>
        <a:p xmlns:a="http://schemas.openxmlformats.org/drawingml/2006/main">
          <a:pPr algn="l" rtl="0">
            <a:spcBef>
              <a:spcPts val="0"/>
            </a:spcBef>
            <a:spcAft>
              <a:spcPts val="0"/>
            </a:spcAft>
            <a:defRPr sz="1800" b="1" i="0" u="none" strike="noStrike" kern="1200" baseline="0">
              <a:solidFill>
                <a:sysClr val="windowText" lastClr="000000"/>
              </a:solidFill>
              <a:latin typeface="+mn-lt"/>
              <a:ea typeface="+mn-ea"/>
              <a:cs typeface="+mn-cs"/>
            </a:defRPr>
          </a:pPr>
          <a:r>
            <a:rPr lang="en-GB" sz="1000" b="0" i="0" kern="1200" baseline="0">
              <a:solidFill>
                <a:srgbClr val="000000"/>
              </a:solidFill>
              <a:effectLst/>
              <a:latin typeface="+mn-lt"/>
              <a:ea typeface="Tahoma"/>
              <a:cs typeface="Tahoma"/>
            </a:rPr>
            <a:t>When last taken drugs, by year group and household type</a:t>
          </a:r>
          <a:endParaRPr lang="en-GB" sz="1000">
            <a:effectLst/>
            <a:latin typeface="+mn-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atC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A19156155</value>
    </field>
    <field name="Objective-Title">
      <value order="0">Falkirk CPP Report Final Draft</value>
    </field>
    <field name="Objective-Description">
      <value order="0">Message registered by Nisbet, Brendan B (U418889) on 11 October 2017 16:15:23</value>
    </field>
    <field name="Objective-CreationStamp">
      <value order="0">2017-10-11T15:14:53Z</value>
    </field>
    <field name="Objective-IsApproved">
      <value order="0">false</value>
    </field>
    <field name="Objective-IsPublished">
      <value order="0">true</value>
    </field>
    <field name="Objective-DatePublished">
      <value order="0">2017-10-11T15:15:33Z</value>
    </field>
    <field name="Objective-ModificationStamp">
      <value order="0">2017-10-11T15:15:33Z</value>
    </field>
    <field name="Objective-Owner">
      <value order="0">Nisbet, Brendan B (U418889)</value>
    </field>
    <field name="Objective-Path">
      <value order="0">Objective Global Folder:SG File Plan:People, communities and living:Families and children:Care for children:Research and analysis: Care for children:Research Project: Strategic Commissioning of Children's RCS Evidence Programme: Second Tranche: (2016-2017): 2016-2021</value>
    </field>
    <field name="Objective-Parent">
      <value order="0">Research Project: Strategic Commissioning of Children's RCS Evidence Programme: Second Tranche: (2016-2017): 2016-2021</value>
    </field>
    <field name="Objective-State">
      <value order="0">Published</value>
    </field>
    <field name="Objective-VersionId">
      <value order="0">vA26650765</value>
    </field>
    <field name="Objective-Version">
      <value order="0">1.0</value>
    </field>
    <field name="Objective-VersionNumber">
      <value order="0">1</value>
    </field>
    <field name="Objective-VersionComment">
      <value order="0">Message registered by Nisbet, Brendan B (U418889) on 11 October 2017 16:15:23</value>
    </field>
    <field name="Objective-FileNumber">
      <value order="0">qA593246</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B99EBA85-52AB-4D85-B45D-83F3128E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40276</Words>
  <Characters>229577</Characters>
  <Application>Microsoft Office Word</Application>
  <DocSecurity>4</DocSecurity>
  <Lines>1913</Lines>
  <Paragraphs>538</Paragraphs>
  <ScaleCrop>false</ScaleCrop>
  <HeadingPairs>
    <vt:vector size="2" baseType="variant">
      <vt:variant>
        <vt:lpstr>Title</vt:lpstr>
      </vt:variant>
      <vt:variant>
        <vt:i4>1</vt:i4>
      </vt:variant>
    </vt:vector>
  </HeadingPairs>
  <TitlesOfParts>
    <vt:vector size="1" baseType="lpstr">
      <vt:lpstr>Report template long</vt:lpstr>
    </vt:vector>
  </TitlesOfParts>
  <Company>Hamilton-Brown</Company>
  <LinksUpToDate>false</LinksUpToDate>
  <CharactersWithSpaces>269315</CharactersWithSpaces>
  <SharedDoc>false</SharedDoc>
  <HLinks>
    <vt:vector size="108" baseType="variant">
      <vt:variant>
        <vt:i4>2031670</vt:i4>
      </vt:variant>
      <vt:variant>
        <vt:i4>107</vt:i4>
      </vt:variant>
      <vt:variant>
        <vt:i4>0</vt:i4>
      </vt:variant>
      <vt:variant>
        <vt:i4>5</vt:i4>
      </vt:variant>
      <vt:variant>
        <vt:lpwstr/>
      </vt:variant>
      <vt:variant>
        <vt:lpwstr>_Toc323812703</vt:lpwstr>
      </vt:variant>
      <vt:variant>
        <vt:i4>2031670</vt:i4>
      </vt:variant>
      <vt:variant>
        <vt:i4>101</vt:i4>
      </vt:variant>
      <vt:variant>
        <vt:i4>0</vt:i4>
      </vt:variant>
      <vt:variant>
        <vt:i4>5</vt:i4>
      </vt:variant>
      <vt:variant>
        <vt:lpwstr/>
      </vt:variant>
      <vt:variant>
        <vt:lpwstr>_Toc323812702</vt:lpwstr>
      </vt:variant>
      <vt:variant>
        <vt:i4>2031670</vt:i4>
      </vt:variant>
      <vt:variant>
        <vt:i4>95</vt:i4>
      </vt:variant>
      <vt:variant>
        <vt:i4>0</vt:i4>
      </vt:variant>
      <vt:variant>
        <vt:i4>5</vt:i4>
      </vt:variant>
      <vt:variant>
        <vt:lpwstr/>
      </vt:variant>
      <vt:variant>
        <vt:lpwstr>_Toc323812701</vt:lpwstr>
      </vt:variant>
      <vt:variant>
        <vt:i4>2031670</vt:i4>
      </vt:variant>
      <vt:variant>
        <vt:i4>89</vt:i4>
      </vt:variant>
      <vt:variant>
        <vt:i4>0</vt:i4>
      </vt:variant>
      <vt:variant>
        <vt:i4>5</vt:i4>
      </vt:variant>
      <vt:variant>
        <vt:lpwstr/>
      </vt:variant>
      <vt:variant>
        <vt:lpwstr>_Toc323812700</vt:lpwstr>
      </vt:variant>
      <vt:variant>
        <vt:i4>1835063</vt:i4>
      </vt:variant>
      <vt:variant>
        <vt:i4>80</vt:i4>
      </vt:variant>
      <vt:variant>
        <vt:i4>0</vt:i4>
      </vt:variant>
      <vt:variant>
        <vt:i4>5</vt:i4>
      </vt:variant>
      <vt:variant>
        <vt:lpwstr/>
      </vt:variant>
      <vt:variant>
        <vt:lpwstr>_Toc323812635</vt:lpwstr>
      </vt:variant>
      <vt:variant>
        <vt:i4>1835063</vt:i4>
      </vt:variant>
      <vt:variant>
        <vt:i4>74</vt:i4>
      </vt:variant>
      <vt:variant>
        <vt:i4>0</vt:i4>
      </vt:variant>
      <vt:variant>
        <vt:i4>5</vt:i4>
      </vt:variant>
      <vt:variant>
        <vt:lpwstr/>
      </vt:variant>
      <vt:variant>
        <vt:lpwstr>_Toc323812634</vt:lpwstr>
      </vt:variant>
      <vt:variant>
        <vt:i4>1835063</vt:i4>
      </vt:variant>
      <vt:variant>
        <vt:i4>68</vt:i4>
      </vt:variant>
      <vt:variant>
        <vt:i4>0</vt:i4>
      </vt:variant>
      <vt:variant>
        <vt:i4>5</vt:i4>
      </vt:variant>
      <vt:variant>
        <vt:lpwstr/>
      </vt:variant>
      <vt:variant>
        <vt:lpwstr>_Toc323812633</vt:lpwstr>
      </vt:variant>
      <vt:variant>
        <vt:i4>1835063</vt:i4>
      </vt:variant>
      <vt:variant>
        <vt:i4>62</vt:i4>
      </vt:variant>
      <vt:variant>
        <vt:i4>0</vt:i4>
      </vt:variant>
      <vt:variant>
        <vt:i4>5</vt:i4>
      </vt:variant>
      <vt:variant>
        <vt:lpwstr/>
      </vt:variant>
      <vt:variant>
        <vt:lpwstr>_Toc323812632</vt:lpwstr>
      </vt:variant>
      <vt:variant>
        <vt:i4>1769523</vt:i4>
      </vt:variant>
      <vt:variant>
        <vt:i4>53</vt:i4>
      </vt:variant>
      <vt:variant>
        <vt:i4>0</vt:i4>
      </vt:variant>
      <vt:variant>
        <vt:i4>5</vt:i4>
      </vt:variant>
      <vt:variant>
        <vt:lpwstr/>
      </vt:variant>
      <vt:variant>
        <vt:lpwstr>_Toc323812245</vt:lpwstr>
      </vt:variant>
      <vt:variant>
        <vt:i4>1769523</vt:i4>
      </vt:variant>
      <vt:variant>
        <vt:i4>47</vt:i4>
      </vt:variant>
      <vt:variant>
        <vt:i4>0</vt:i4>
      </vt:variant>
      <vt:variant>
        <vt:i4>5</vt:i4>
      </vt:variant>
      <vt:variant>
        <vt:lpwstr/>
      </vt:variant>
      <vt:variant>
        <vt:lpwstr>_Toc323812244</vt:lpwstr>
      </vt:variant>
      <vt:variant>
        <vt:i4>1769523</vt:i4>
      </vt:variant>
      <vt:variant>
        <vt:i4>41</vt:i4>
      </vt:variant>
      <vt:variant>
        <vt:i4>0</vt:i4>
      </vt:variant>
      <vt:variant>
        <vt:i4>5</vt:i4>
      </vt:variant>
      <vt:variant>
        <vt:lpwstr/>
      </vt:variant>
      <vt:variant>
        <vt:lpwstr>_Toc323812243</vt:lpwstr>
      </vt:variant>
      <vt:variant>
        <vt:i4>1769523</vt:i4>
      </vt:variant>
      <vt:variant>
        <vt:i4>35</vt:i4>
      </vt:variant>
      <vt:variant>
        <vt:i4>0</vt:i4>
      </vt:variant>
      <vt:variant>
        <vt:i4>5</vt:i4>
      </vt:variant>
      <vt:variant>
        <vt:lpwstr/>
      </vt:variant>
      <vt:variant>
        <vt:lpwstr>_Toc323812242</vt:lpwstr>
      </vt:variant>
      <vt:variant>
        <vt:i4>1769523</vt:i4>
      </vt:variant>
      <vt:variant>
        <vt:i4>29</vt:i4>
      </vt:variant>
      <vt:variant>
        <vt:i4>0</vt:i4>
      </vt:variant>
      <vt:variant>
        <vt:i4>5</vt:i4>
      </vt:variant>
      <vt:variant>
        <vt:lpwstr/>
      </vt:variant>
      <vt:variant>
        <vt:lpwstr>_Toc323812241</vt:lpwstr>
      </vt:variant>
      <vt:variant>
        <vt:i4>1769523</vt:i4>
      </vt:variant>
      <vt:variant>
        <vt:i4>23</vt:i4>
      </vt:variant>
      <vt:variant>
        <vt:i4>0</vt:i4>
      </vt:variant>
      <vt:variant>
        <vt:i4>5</vt:i4>
      </vt:variant>
      <vt:variant>
        <vt:lpwstr/>
      </vt:variant>
      <vt:variant>
        <vt:lpwstr>_Toc323812240</vt:lpwstr>
      </vt:variant>
      <vt:variant>
        <vt:i4>1835059</vt:i4>
      </vt:variant>
      <vt:variant>
        <vt:i4>17</vt:i4>
      </vt:variant>
      <vt:variant>
        <vt:i4>0</vt:i4>
      </vt:variant>
      <vt:variant>
        <vt:i4>5</vt:i4>
      </vt:variant>
      <vt:variant>
        <vt:lpwstr/>
      </vt:variant>
      <vt:variant>
        <vt:lpwstr>_Toc323812239</vt:lpwstr>
      </vt:variant>
      <vt:variant>
        <vt:i4>1835059</vt:i4>
      </vt:variant>
      <vt:variant>
        <vt:i4>11</vt:i4>
      </vt:variant>
      <vt:variant>
        <vt:i4>0</vt:i4>
      </vt:variant>
      <vt:variant>
        <vt:i4>5</vt:i4>
      </vt:variant>
      <vt:variant>
        <vt:lpwstr/>
      </vt:variant>
      <vt:variant>
        <vt:lpwstr>_Toc323812238</vt:lpwstr>
      </vt:variant>
      <vt:variant>
        <vt:i4>1835059</vt:i4>
      </vt:variant>
      <vt:variant>
        <vt:i4>5</vt:i4>
      </vt:variant>
      <vt:variant>
        <vt:i4>0</vt:i4>
      </vt:variant>
      <vt:variant>
        <vt:i4>5</vt:i4>
      </vt:variant>
      <vt:variant>
        <vt:lpwstr/>
      </vt:variant>
      <vt:variant>
        <vt:lpwstr>_Toc323812237</vt:lpwstr>
      </vt:variant>
      <vt:variant>
        <vt:i4>4390936</vt:i4>
      </vt:variant>
      <vt:variant>
        <vt:i4>0</vt:i4>
      </vt:variant>
      <vt:variant>
        <vt:i4>0</vt:i4>
      </vt:variant>
      <vt:variant>
        <vt:i4>5</vt:i4>
      </vt:variant>
      <vt:variant>
        <vt:lpwstr>http://www.natcen.ac.uk/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long</dc:title>
  <dc:creator>Ian Montagu</dc:creator>
  <cp:lastModifiedBy>u418889</cp:lastModifiedBy>
  <cp:revision>2</cp:revision>
  <cp:lastPrinted>2017-09-08T10:59:00Z</cp:lastPrinted>
  <dcterms:created xsi:type="dcterms:W3CDTF">2017-10-17T13:46:00Z</dcterms:created>
  <dcterms:modified xsi:type="dcterms:W3CDTF">2017-10-17T13:46:00Z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A19156155</vt:lpwstr>
  </property>
  <property fmtid="{D5CDD505-2E9C-101B-9397-08002B2CF9AE}" pid="4" name="Objective-Title">
    <vt:lpwstr>Falkirk CPP Report Final Draft</vt:lpwstr>
  </property>
  <property fmtid="{D5CDD505-2E9C-101B-9397-08002B2CF9AE}" pid="5" name="Objective-Description">
    <vt:lpwstr>Message registered by Nisbet, Brendan B (U418889) on 11 October 2017 16:15:23</vt:lpwstr>
  </property>
  <property fmtid="{D5CDD505-2E9C-101B-9397-08002B2CF9AE}" pid="6" name="Objective-CreationStamp">
    <vt:filetime>2017-10-11T15:15:33Z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2017-10-11T15:15:33Z</vt:filetime>
  </property>
  <property fmtid="{D5CDD505-2E9C-101B-9397-08002B2CF9AE}" pid="10" name="Objective-ModificationStamp">
    <vt:filetime>2017-10-11T15:16:37Z</vt:filetime>
  </property>
  <property fmtid="{D5CDD505-2E9C-101B-9397-08002B2CF9AE}" pid="11" name="Objective-Owner">
    <vt:lpwstr>Nisbet, Brendan B (U418889)</vt:lpwstr>
  </property>
  <property fmtid="{D5CDD505-2E9C-101B-9397-08002B2CF9AE}" pid="12" name="Objective-Path">
    <vt:lpwstr>Objective Global Folder:SG File Plan:People, communities and living:Families and children:Care for children:Research and analysis: Care for children:Research Project: Strategic Commissioning of Children's RCS Evidence Programme: Second Tranche: (2016-2017</vt:lpwstr>
  </property>
  <property fmtid="{D5CDD505-2E9C-101B-9397-08002B2CF9AE}" pid="13" name="Objective-Parent">
    <vt:lpwstr>Research Project: Strategic Commissioning of Children's RCS Evidence Programme: Second Tranche: (2016-2017): 2016-2021</vt:lpwstr>
  </property>
  <property fmtid="{D5CDD505-2E9C-101B-9397-08002B2CF9AE}" pid="14" name="Objective-State">
    <vt:lpwstr>Published</vt:lpwstr>
  </property>
  <property fmtid="{D5CDD505-2E9C-101B-9397-08002B2CF9AE}" pid="15" name="Objective-VersionId">
    <vt:lpwstr>vA26650765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Connect Creator">
    <vt:lpwstr>
    </vt:lpwstr>
  </property>
  <property fmtid="{D5CDD505-2E9C-101B-9397-08002B2CF9AE}" pid="23" name="Objective-Date Received">
    <vt:lpwstr>
    </vt:lpwstr>
  </property>
  <property fmtid="{D5CDD505-2E9C-101B-9397-08002B2CF9AE}" pid="24" name="Objective-Date of Original">
    <vt:lpwstr>
    </vt:lpwstr>
  </property>
  <property fmtid="{D5CDD505-2E9C-101B-9397-08002B2CF9AE}" pid="25" name="Objective-SG Web Publication - Category">
    <vt:lpwstr>
    </vt:lpwstr>
  </property>
  <property fmtid="{D5CDD505-2E9C-101B-9397-08002B2CF9AE}" pid="26" name="Objective-SG Web Publication - Category 2 Classification">
    <vt:lpwstr>
    </vt:lpwstr>
  </property>
  <property fmtid="{D5CDD505-2E9C-101B-9397-08002B2CF9AE}" pid="27" name="Objective-Comment">
    <vt:lpwstr>Message registered by Nisbet, Brendan B (U418889) on 11 October 2017 16:15:23</vt:lpwstr>
  </property>
  <property fmtid="{D5CDD505-2E9C-101B-9397-08002B2CF9AE}" pid="28" name="Objective-Date of Original [system]">
    <vt:lpwstr>
    </vt:lpwstr>
  </property>
  <property fmtid="{D5CDD505-2E9C-101B-9397-08002B2CF9AE}" pid="29" name="Objective-Date Received [system]">
    <vt:lpwstr>
    </vt:lpwstr>
  </property>
  <property fmtid="{D5CDD505-2E9C-101B-9397-08002B2CF9AE}" pid="30" name="Objective-SG Web Publication - Category [system]">
    <vt:lpwstr>
    </vt:lpwstr>
  </property>
  <property fmtid="{D5CDD505-2E9C-101B-9397-08002B2CF9AE}" pid="31" name="Objective-SG Web Publication - Category 2 Classification [system]">
    <vt:lpwstr>
    </vt:lpwstr>
  </property>
  <property fmtid="{D5CDD505-2E9C-101B-9397-08002B2CF9AE}" pid="32" name="Objective-Connect Creator [system]">
    <vt:lpwstr>
    </vt:lpwstr>
  </property>
</Properties>
</file>