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C613A" w14:textId="77777777" w:rsidR="004E38B0" w:rsidRDefault="004E38B0">
      <w:pPr>
        <w:rPr>
          <w:b/>
          <w:bCs/>
          <w:lang w:val="en-US"/>
        </w:rPr>
      </w:pPr>
    </w:p>
    <w:p w14:paraId="47CD8144" w14:textId="7DFF6526" w:rsidR="00F24733" w:rsidRPr="00FC170D" w:rsidRDefault="00F24733">
      <w:pPr>
        <w:rPr>
          <w:sz w:val="32"/>
          <w:szCs w:val="32"/>
          <w:lang w:val="en-US"/>
        </w:rPr>
      </w:pPr>
      <w:r>
        <w:rPr>
          <w:noProof/>
          <w:lang w:val="en-US"/>
        </w:rPr>
        <mc:AlternateContent>
          <mc:Choice Requires="wps">
            <w:drawing>
              <wp:anchor distT="0" distB="0" distL="114300" distR="114300" simplePos="0" relativeHeight="251658240" behindDoc="1" locked="0" layoutInCell="1" allowOverlap="1" wp14:anchorId="25FC4A6D" wp14:editId="1131D026">
                <wp:simplePos x="0" y="0"/>
                <wp:positionH relativeFrom="column">
                  <wp:posOffset>-127221</wp:posOffset>
                </wp:positionH>
                <wp:positionV relativeFrom="paragraph">
                  <wp:posOffset>96823</wp:posOffset>
                </wp:positionV>
                <wp:extent cx="6064885" cy="1741335"/>
                <wp:effectExtent l="0" t="0" r="12065" b="11430"/>
                <wp:wrapNone/>
                <wp:docPr id="1431368368" name="Rectangle: Rounded Corners 1"/>
                <wp:cNvGraphicFramePr/>
                <a:graphic xmlns:a="http://schemas.openxmlformats.org/drawingml/2006/main">
                  <a:graphicData uri="http://schemas.microsoft.com/office/word/2010/wordprocessingShape">
                    <wps:wsp>
                      <wps:cNvSpPr/>
                      <wps:spPr>
                        <a:xfrm>
                          <a:off x="0" y="0"/>
                          <a:ext cx="6064885" cy="174133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95F8D3C" id="Rectangle: Rounded Corners 1" o:spid="_x0000_s1026" style="position:absolute;margin-left:-10pt;margin-top:7.6pt;width:477.55pt;height:137.1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" fillcolor="#156082 [3204]" strokecolor="#030e13 [484]" strokeweight="1pt">
                <v:stroke joinstyle="miter"/>
              </v:roundrect>
            </w:pict>
          </mc:Fallback>
        </mc:AlternateContent>
      </w:r>
    </w:p>
    <w:p w14:paraId="23E35125" w14:textId="77777777" w:rsidR="00CE2518" w:rsidRDefault="00CE2518" w:rsidP="00F24733">
      <w:pPr>
        <w:rPr>
          <w:color w:val="FFFFFF" w:themeColor="background1"/>
          <w:sz w:val="32"/>
          <w:szCs w:val="32"/>
        </w:rPr>
      </w:pPr>
      <w:r>
        <w:rPr>
          <w:color w:val="FFFFFF" w:themeColor="background1"/>
          <w:sz w:val="32"/>
          <w:szCs w:val="32"/>
        </w:rPr>
        <w:t xml:space="preserve">Community Learning and Development Discussion Paper- </w:t>
      </w:r>
    </w:p>
    <w:p w14:paraId="512A95EB" w14:textId="35E7D57D" w:rsidR="00F24733" w:rsidRPr="00FC170D" w:rsidRDefault="00F24733" w:rsidP="00F24733">
      <w:pPr>
        <w:rPr>
          <w:color w:val="FFFFFF" w:themeColor="background1"/>
          <w:sz w:val="32"/>
          <w:szCs w:val="32"/>
        </w:rPr>
      </w:pPr>
      <w:r w:rsidRPr="00FC170D">
        <w:rPr>
          <w:color w:val="FFFFFF" w:themeColor="background1"/>
          <w:sz w:val="32"/>
          <w:szCs w:val="32"/>
        </w:rPr>
        <w:t>What does UK and international practice tell us about how greater synergy between CLD and C</w:t>
      </w:r>
      <w:r w:rsidR="00C54B76">
        <w:rPr>
          <w:color w:val="FFFFFF" w:themeColor="background1"/>
          <w:sz w:val="32"/>
          <w:szCs w:val="32"/>
        </w:rPr>
        <w:t>urriculum Improvement Cycle</w:t>
      </w:r>
      <w:r w:rsidRPr="00FC170D">
        <w:rPr>
          <w:color w:val="FFFFFF" w:themeColor="background1"/>
          <w:sz w:val="32"/>
          <w:szCs w:val="32"/>
        </w:rPr>
        <w:t xml:space="preserve"> could improve outcomes for learners of all ages? </w:t>
      </w:r>
    </w:p>
    <w:p w14:paraId="33492B8D" w14:textId="77777777" w:rsidR="00F24733" w:rsidRDefault="00F24733"/>
    <w:p w14:paraId="25DD6E0B" w14:textId="77777777" w:rsidR="00FC170D" w:rsidRDefault="00FC170D"/>
    <w:p w14:paraId="595D1274" w14:textId="77777777" w:rsidR="00FC170D" w:rsidRDefault="00FC170D"/>
    <w:p w14:paraId="41A03098" w14:textId="77777777" w:rsidR="00FC170D" w:rsidRDefault="00FC170D"/>
    <w:p w14:paraId="5CE8296D" w14:textId="77777777" w:rsidR="00FC170D" w:rsidRDefault="00FC170D"/>
    <w:p w14:paraId="3DD96956" w14:textId="77777777" w:rsidR="00FC170D" w:rsidRDefault="00FC170D"/>
    <w:p w14:paraId="2943A7C6" w14:textId="77777777" w:rsidR="00753234" w:rsidRDefault="00753234"/>
    <w:p w14:paraId="3787EC7C" w14:textId="77777777" w:rsidR="00753234" w:rsidRDefault="00753234"/>
    <w:p w14:paraId="2674DD0E" w14:textId="77777777" w:rsidR="00753234" w:rsidRDefault="00753234"/>
    <w:p w14:paraId="7E1C8253" w14:textId="77777777" w:rsidR="00753234" w:rsidRDefault="00753234"/>
    <w:p w14:paraId="490C2E87" w14:textId="77777777" w:rsidR="00753234" w:rsidRDefault="00753234"/>
    <w:p w14:paraId="0B631E40" w14:textId="77777777" w:rsidR="00753234" w:rsidRDefault="00753234"/>
    <w:p w14:paraId="3FE2F081" w14:textId="77777777" w:rsidR="00753234" w:rsidRDefault="00753234"/>
    <w:p w14:paraId="7F1C874E" w14:textId="77777777" w:rsidR="00753234" w:rsidRDefault="00753234"/>
    <w:p w14:paraId="3036E0B4" w14:textId="77777777" w:rsidR="00753234" w:rsidRDefault="00753234"/>
    <w:p w14:paraId="5D55B2A2" w14:textId="77777777" w:rsidR="00753234" w:rsidRDefault="00753234"/>
    <w:p w14:paraId="58F0AD9D" w14:textId="77777777" w:rsidR="00753234" w:rsidRDefault="00753234"/>
    <w:p w14:paraId="7627EE9A" w14:textId="77777777" w:rsidR="00753234" w:rsidRDefault="00753234"/>
    <w:p w14:paraId="250D3BEE" w14:textId="77777777" w:rsidR="00753234" w:rsidRDefault="00753234"/>
    <w:p w14:paraId="0C37D135" w14:textId="77777777" w:rsidR="00753234" w:rsidRDefault="00753234"/>
    <w:p w14:paraId="3C2C5B1C" w14:textId="77777777" w:rsidR="00753234" w:rsidRDefault="00753234"/>
    <w:p w14:paraId="5931A8F8" w14:textId="77777777" w:rsidR="00753234" w:rsidRDefault="00753234"/>
    <w:p w14:paraId="2E5F94EC" w14:textId="77777777" w:rsidR="00FC170D" w:rsidRDefault="00FC170D"/>
    <w:p w14:paraId="091A4856" w14:textId="77777777" w:rsidR="00FC170D" w:rsidRDefault="00FC170D"/>
    <w:p w14:paraId="2E7373C0" w14:textId="77777777" w:rsidR="00FC170D" w:rsidRPr="00664B6B" w:rsidRDefault="00FC170D" w:rsidP="00FC170D">
      <w:pPr>
        <w:rPr>
          <w:b/>
          <w:bCs/>
          <w:sz w:val="24"/>
          <w:szCs w:val="24"/>
          <w:lang w:val="en-US"/>
        </w:rPr>
      </w:pPr>
      <w:r w:rsidRPr="00664B6B">
        <w:rPr>
          <w:b/>
          <w:bCs/>
          <w:sz w:val="24"/>
          <w:szCs w:val="24"/>
          <w:lang w:val="en-US"/>
        </w:rPr>
        <w:lastRenderedPageBreak/>
        <w:t>ESA Discussion Paper</w:t>
      </w:r>
    </w:p>
    <w:p w14:paraId="1E2C4C37" w14:textId="7BB04EAD" w:rsidR="00FC170D" w:rsidRPr="00664B6B" w:rsidRDefault="002C1EAC" w:rsidP="00FC170D">
      <w:pPr>
        <w:rPr>
          <w:b/>
          <w:bCs/>
          <w:sz w:val="24"/>
          <w:szCs w:val="24"/>
          <w:lang w:val="en-US"/>
        </w:rPr>
      </w:pPr>
      <w:r>
        <w:rPr>
          <w:b/>
          <w:bCs/>
          <w:sz w:val="24"/>
          <w:szCs w:val="24"/>
          <w:lang w:val="en-US"/>
        </w:rPr>
        <w:t>1.0</w:t>
      </w:r>
      <w:r>
        <w:rPr>
          <w:b/>
          <w:bCs/>
          <w:sz w:val="24"/>
          <w:szCs w:val="24"/>
          <w:lang w:val="en-US"/>
        </w:rPr>
        <w:tab/>
      </w:r>
      <w:r w:rsidR="00FC170D" w:rsidRPr="00664B6B">
        <w:rPr>
          <w:b/>
          <w:bCs/>
          <w:sz w:val="24"/>
          <w:szCs w:val="24"/>
          <w:lang w:val="en-US"/>
        </w:rPr>
        <w:t>Background</w:t>
      </w:r>
    </w:p>
    <w:p w14:paraId="771C3EE0" w14:textId="5E9EB0A7" w:rsidR="002F4665" w:rsidRPr="002F4665" w:rsidRDefault="00FC170D" w:rsidP="002F4665">
      <w:r>
        <w:rPr>
          <w:lang w:val="en-US"/>
        </w:rPr>
        <w:t xml:space="preserve">This paper follows from an initial </w:t>
      </w:r>
      <w:hyperlink r:id="rId6" w:history="1">
        <w:r w:rsidRPr="00835A66">
          <w:rPr>
            <w:rStyle w:val="Hyperlink"/>
            <w:lang w:val="en-US"/>
          </w:rPr>
          <w:t>Literature review</w:t>
        </w:r>
      </w:hyperlink>
      <w:r>
        <w:rPr>
          <w:lang w:val="en-US"/>
        </w:rPr>
        <w:t xml:space="preserve"> published in July 2024 </w:t>
      </w:r>
      <w:r w:rsidRPr="00F11789">
        <w:t>on Community Learning and Development (CLD) delivered within Scotland and internationally</w:t>
      </w:r>
      <w:r>
        <w:t xml:space="preserve">, which formed </w:t>
      </w:r>
      <w:r w:rsidRPr="003C4810">
        <w:t>part of the evidence base collected as part of the Independent Review of CLD, led by Kate Still</w:t>
      </w:r>
      <w:r>
        <w:t xml:space="preserve"> and subsequent engagement with the CLD workforce on the role of CLD in the Curriculum Improvement Cycle</w:t>
      </w:r>
      <w:r w:rsidR="00271DA9">
        <w:t xml:space="preserve"> (CIC)</w:t>
      </w:r>
      <w:r>
        <w:t xml:space="preserve">. </w:t>
      </w:r>
      <w:r w:rsidR="002F4665">
        <w:t xml:space="preserve"> </w:t>
      </w:r>
      <w:r w:rsidR="002F4665" w:rsidRPr="002F4665">
        <w:t xml:space="preserve">Education Scotland has a changing role as part of Education Reform and carried out engagement sessions in 2025 which led to the publication of a </w:t>
      </w:r>
      <w:hyperlink r:id="rId7" w:history="1">
        <w:r w:rsidR="002F4665" w:rsidRPr="007471C8">
          <w:rPr>
            <w:rStyle w:val="Hyperlink"/>
          </w:rPr>
          <w:t>discussion paper</w:t>
        </w:r>
      </w:hyperlink>
      <w:r w:rsidR="002F4665" w:rsidRPr="002F4665">
        <w:t xml:space="preserve"> of the findings. One of the key questions was focused</w:t>
      </w:r>
      <w:r w:rsidR="00545BCC">
        <w:t xml:space="preserve"> </w:t>
      </w:r>
      <w:r w:rsidR="002F4665" w:rsidRPr="002F4665">
        <w:t xml:space="preserve"> </w:t>
      </w:r>
      <w:r w:rsidR="00545BCC">
        <w:t xml:space="preserve">on </w:t>
      </w:r>
      <w:r w:rsidR="002F4665" w:rsidRPr="002F4665">
        <w:t xml:space="preserve">CLD’s contributions to the CIC and this paper </w:t>
      </w:r>
      <w:r w:rsidR="001F0A57">
        <w:t>will</w:t>
      </w:r>
      <w:r w:rsidR="002F4665" w:rsidRPr="002F4665">
        <w:t xml:space="preserve"> build on international evidence .</w:t>
      </w:r>
    </w:p>
    <w:p w14:paraId="2B45FAEC" w14:textId="5684A347" w:rsidR="00FC170D" w:rsidRDefault="00FC170D" w:rsidP="00FC170D">
      <w:r>
        <w:t>The aim of the paper is to reflect on how closer synergy between the Curriculum Improvement Cycle</w:t>
      </w:r>
      <w:r w:rsidR="00CF48B0">
        <w:t xml:space="preserve"> </w:t>
      </w:r>
      <w:r>
        <w:t xml:space="preserve">and CLD practice might improve outcomes for learners of all ages. This will be achieved through exploring examples of national and international practice and the impact on their </w:t>
      </w:r>
      <w:hyperlink r:id="rId8" w:history="1">
        <w:r w:rsidRPr="00BB7E84">
          <w:rPr>
            <w:rStyle w:val="Hyperlink"/>
          </w:rPr>
          <w:t xml:space="preserve">OECD </w:t>
        </w:r>
        <w:r w:rsidR="00BB7E84" w:rsidRPr="00BB7E84">
          <w:rPr>
            <w:rStyle w:val="Hyperlink"/>
          </w:rPr>
          <w:t>Adult Skills Audit</w:t>
        </w:r>
      </w:hyperlink>
      <w:r w:rsidR="00BB7E84">
        <w:t xml:space="preserve"> </w:t>
      </w:r>
      <w:r>
        <w:t>standing</w:t>
      </w:r>
      <w:r w:rsidR="002E6A9A">
        <w:t>.</w:t>
      </w:r>
      <w:r w:rsidR="00777973">
        <w:t xml:space="preserve"> </w:t>
      </w:r>
    </w:p>
    <w:p w14:paraId="6AE0EC8B" w14:textId="313C738A" w:rsidR="00777973" w:rsidRDefault="006B3F4C" w:rsidP="00FC170D">
      <w:r>
        <w:t xml:space="preserve">There are a variety of </w:t>
      </w:r>
      <w:r w:rsidR="00E148E1">
        <w:t>potential</w:t>
      </w:r>
      <w:r>
        <w:t xml:space="preserve"> audiences for this work</w:t>
      </w:r>
      <w:r w:rsidR="00B60E02">
        <w:t>. Those</w:t>
      </w:r>
      <w:r w:rsidR="00B17A6E">
        <w:t xml:space="preserve"> </w:t>
      </w:r>
      <w:r w:rsidR="00F01829">
        <w:t xml:space="preserve">exploring how </w:t>
      </w:r>
      <w:r w:rsidR="008E5888">
        <w:t>to</w:t>
      </w:r>
      <w:r w:rsidR="00F01829">
        <w:t xml:space="preserve"> realise a range of national</w:t>
      </w:r>
      <w:r w:rsidR="00524695">
        <w:t>,</w:t>
      </w:r>
      <w:r w:rsidR="00F01829">
        <w:t xml:space="preserve"> social and learning ambitions</w:t>
      </w:r>
      <w:r w:rsidR="00524695">
        <w:t xml:space="preserve">, could benefit from </w:t>
      </w:r>
      <w:r w:rsidR="00FF6E70">
        <w:t>the</w:t>
      </w:r>
      <w:r w:rsidR="00524695">
        <w:t xml:space="preserve"> insight into the potential of CLD as</w:t>
      </w:r>
      <w:r w:rsidR="00FF6E70">
        <w:t xml:space="preserve"> a</w:t>
      </w:r>
      <w:r w:rsidR="00524695">
        <w:t xml:space="preserve"> strong contributory force. These </w:t>
      </w:r>
      <w:r w:rsidR="005B5931">
        <w:t xml:space="preserve">include, </w:t>
      </w:r>
      <w:r w:rsidR="00E148E1">
        <w:t>strategic leadership teams,</w:t>
      </w:r>
      <w:r w:rsidR="00CF3E46">
        <w:t xml:space="preserve"> </w:t>
      </w:r>
      <w:r w:rsidR="00EE0ED6">
        <w:t>national and international policy bodies</w:t>
      </w:r>
      <w:r w:rsidR="008E5888">
        <w:t xml:space="preserve"> including </w:t>
      </w:r>
      <w:r w:rsidR="008B761E">
        <w:t>all levels of government</w:t>
      </w:r>
      <w:r w:rsidR="00E148E1">
        <w:t xml:space="preserve">, </w:t>
      </w:r>
      <w:r w:rsidR="002D2721">
        <w:t xml:space="preserve">operational management teams, </w:t>
      </w:r>
      <w:r w:rsidR="005B5931">
        <w:t xml:space="preserve">sector </w:t>
      </w:r>
      <w:r w:rsidR="008B761E">
        <w:t>specialist</w:t>
      </w:r>
      <w:r w:rsidR="003306EA">
        <w:t>s</w:t>
      </w:r>
      <w:r w:rsidR="008B761E">
        <w:t xml:space="preserve"> </w:t>
      </w:r>
      <w:r w:rsidR="008D3562">
        <w:t xml:space="preserve">, researchers, Further and Higher Educationalists </w:t>
      </w:r>
      <w:r w:rsidR="008B761E">
        <w:t xml:space="preserve">and practitioners. </w:t>
      </w:r>
    </w:p>
    <w:p w14:paraId="6DAE84CD" w14:textId="41FAD0A2" w:rsidR="00FF6E70" w:rsidRPr="00A352DE" w:rsidRDefault="00FF6E70" w:rsidP="00FF6E70">
      <w:r>
        <w:t>As part of a pilot programme</w:t>
      </w:r>
      <w:r w:rsidR="00545BCC">
        <w:t xml:space="preserve"> in 2025</w:t>
      </w:r>
      <w:r>
        <w:t xml:space="preserve">, Education Scotland employed the services of an Associate to assist in the research and development of this paper. The programme aims to enhance the capacity and diversity of perspective by utilising senior professionals currently practicing in the field to contribute to national development work. Working together with Education Scotland staff, associates provide a unique, current practice insight to help inform </w:t>
      </w:r>
      <w:r w:rsidR="0054269D">
        <w:t xml:space="preserve">national </w:t>
      </w:r>
      <w:r w:rsidR="008D3562">
        <w:t>understanding and developments</w:t>
      </w:r>
      <w:r w:rsidR="00FD697A">
        <w:t>.</w:t>
      </w:r>
    </w:p>
    <w:p w14:paraId="36B7ED2D" w14:textId="77777777" w:rsidR="00FC170D" w:rsidRDefault="00FC170D" w:rsidP="00FC170D">
      <w:pPr>
        <w:rPr>
          <w:b/>
          <w:bCs/>
        </w:rPr>
      </w:pPr>
    </w:p>
    <w:p w14:paraId="4912AF17" w14:textId="2C98A19D" w:rsidR="00FC170D" w:rsidRDefault="002C1EAC" w:rsidP="00FC170D">
      <w:pPr>
        <w:rPr>
          <w:b/>
          <w:bCs/>
          <w:sz w:val="24"/>
          <w:szCs w:val="24"/>
        </w:rPr>
      </w:pPr>
      <w:r>
        <w:rPr>
          <w:b/>
          <w:bCs/>
          <w:sz w:val="24"/>
          <w:szCs w:val="24"/>
        </w:rPr>
        <w:t>1.1</w:t>
      </w:r>
      <w:r>
        <w:rPr>
          <w:b/>
          <w:bCs/>
          <w:sz w:val="24"/>
          <w:szCs w:val="24"/>
        </w:rPr>
        <w:tab/>
      </w:r>
      <w:r w:rsidR="000E3D7A">
        <w:rPr>
          <w:b/>
          <w:bCs/>
          <w:sz w:val="24"/>
          <w:szCs w:val="24"/>
        </w:rPr>
        <w:t>Selection of territories examine</w:t>
      </w:r>
      <w:r w:rsidR="0050088F">
        <w:rPr>
          <w:b/>
          <w:bCs/>
          <w:sz w:val="24"/>
          <w:szCs w:val="24"/>
        </w:rPr>
        <w:t>d</w:t>
      </w:r>
      <w:r w:rsidR="000E3D7A">
        <w:rPr>
          <w:b/>
          <w:bCs/>
          <w:sz w:val="24"/>
          <w:szCs w:val="24"/>
        </w:rPr>
        <w:t xml:space="preserve"> and </w:t>
      </w:r>
      <w:r w:rsidR="004D39D6">
        <w:rPr>
          <w:b/>
          <w:bCs/>
          <w:sz w:val="24"/>
          <w:szCs w:val="24"/>
        </w:rPr>
        <w:t>l</w:t>
      </w:r>
      <w:r w:rsidR="00FC170D" w:rsidRPr="00664B6B">
        <w:rPr>
          <w:b/>
          <w:bCs/>
          <w:sz w:val="24"/>
          <w:szCs w:val="24"/>
        </w:rPr>
        <w:t>imitations</w:t>
      </w:r>
    </w:p>
    <w:p w14:paraId="01A57875" w14:textId="28883F64" w:rsidR="00D54B56" w:rsidRDefault="008968F0" w:rsidP="008968F0">
      <w:r>
        <w:t>The focus areas of Finland, Canada, Estonia and Wales were select</w:t>
      </w:r>
      <w:r w:rsidR="005D7393">
        <w:t xml:space="preserve">ed as </w:t>
      </w:r>
      <w:r w:rsidR="009B0CCA">
        <w:t>relevant comparator territories.</w:t>
      </w:r>
    </w:p>
    <w:p w14:paraId="44CE67CE" w14:textId="2A229469" w:rsidR="00FA705F" w:rsidRDefault="00FA705F" w:rsidP="008968F0">
      <w:r>
        <w:t xml:space="preserve">Reflection and review of preceding studies </w:t>
      </w:r>
      <w:r w:rsidR="007337C5">
        <w:t>outlined a wide range of potential comparator territories.</w:t>
      </w:r>
      <w:r w:rsidR="005931AA">
        <w:t xml:space="preserve"> </w:t>
      </w:r>
      <w:r w:rsidR="00F6461D">
        <w:t>This</w:t>
      </w:r>
      <w:r w:rsidR="00C91F47">
        <w:t xml:space="preserve"> broad list was narrowed down </w:t>
      </w:r>
      <w:r w:rsidR="009B0CCA">
        <w:t>using a number of criteria</w:t>
      </w:r>
      <w:r w:rsidR="00154BF8">
        <w:t>. This included, their similarities to the Scottish context</w:t>
      </w:r>
      <w:r w:rsidR="00AB5AB5">
        <w:t xml:space="preserve">, their approach, high participation rates </w:t>
      </w:r>
      <w:r w:rsidR="0036370C">
        <w:t>in what would be termed CLD activity in a Scottish Context</w:t>
      </w:r>
      <w:r w:rsidR="000110AB">
        <w:t>, their positioning within the OECD Adult Skills Audit Report</w:t>
      </w:r>
      <w:r w:rsidR="00503511">
        <w:t xml:space="preserve"> and the availability of </w:t>
      </w:r>
      <w:r w:rsidR="00BE334E">
        <w:t xml:space="preserve">recent data sources pertaining to the criteria. </w:t>
      </w:r>
    </w:p>
    <w:p w14:paraId="4B7874D6" w14:textId="7DA53E43" w:rsidR="00BB1B92" w:rsidRPr="00664B6B" w:rsidRDefault="00B708A4" w:rsidP="00FC170D">
      <w:pPr>
        <w:rPr>
          <w:b/>
          <w:bCs/>
        </w:rPr>
      </w:pPr>
      <w:r>
        <w:rPr>
          <w:b/>
          <w:bCs/>
        </w:rPr>
        <w:t>1.1.1</w:t>
      </w:r>
      <w:r>
        <w:rPr>
          <w:b/>
          <w:bCs/>
        </w:rPr>
        <w:tab/>
      </w:r>
      <w:r w:rsidR="00BB1B92" w:rsidRPr="00664B6B">
        <w:rPr>
          <w:b/>
          <w:bCs/>
        </w:rPr>
        <w:t>Di</w:t>
      </w:r>
      <w:r w:rsidR="008D3562">
        <w:rPr>
          <w:b/>
          <w:bCs/>
        </w:rPr>
        <w:t>fferences</w:t>
      </w:r>
      <w:r w:rsidR="00BB1B92" w:rsidRPr="00664B6B">
        <w:rPr>
          <w:b/>
          <w:bCs/>
        </w:rPr>
        <w:t xml:space="preserve"> in </w:t>
      </w:r>
      <w:r w:rsidR="003221C0" w:rsidRPr="00664B6B">
        <w:rPr>
          <w:b/>
          <w:bCs/>
        </w:rPr>
        <w:t>practice</w:t>
      </w:r>
    </w:p>
    <w:p w14:paraId="6CD3D3BA" w14:textId="001DE6BC" w:rsidR="00FC170D" w:rsidRDefault="006E71BF" w:rsidP="00FC170D">
      <w:r>
        <w:t>Whilst n</w:t>
      </w:r>
      <w:r w:rsidR="00FC170D">
        <w:t xml:space="preserve">ational and international areas of focus were previously identified as relevant due to their similarities with </w:t>
      </w:r>
      <w:r w:rsidR="00D30142">
        <w:t>the Scottish</w:t>
      </w:r>
      <w:r w:rsidR="00FC170D">
        <w:t xml:space="preserve"> context or their high participation rates </w:t>
      </w:r>
      <w:r w:rsidR="008D3562">
        <w:t>in Community education</w:t>
      </w:r>
      <w:r>
        <w:t xml:space="preserve"> it</w:t>
      </w:r>
      <w:r w:rsidR="00FC170D">
        <w:t xml:space="preserve"> should be noted that there are discrepancies on how CLD practice operates, is resourced, structured and placed within each territory. </w:t>
      </w:r>
      <w:r w:rsidR="00EE78F7">
        <w:t xml:space="preserve">The terminology used for the practice can also differ from region to region. </w:t>
      </w:r>
      <w:r>
        <w:t xml:space="preserve">All of this can impact on the </w:t>
      </w:r>
      <w:r w:rsidR="00D75778">
        <w:t>availability and</w:t>
      </w:r>
      <w:r w:rsidR="00E30BA1">
        <w:t xml:space="preserve"> </w:t>
      </w:r>
      <w:r w:rsidR="00125EE8">
        <w:t>sourcing of relevant data sets.</w:t>
      </w:r>
    </w:p>
    <w:p w14:paraId="0035D7A8" w14:textId="79C94886" w:rsidR="009620F6" w:rsidRPr="00664B6B" w:rsidRDefault="00B708A4" w:rsidP="009620F6">
      <w:pPr>
        <w:rPr>
          <w:b/>
          <w:bCs/>
        </w:rPr>
      </w:pPr>
      <w:r>
        <w:rPr>
          <w:b/>
          <w:bCs/>
        </w:rPr>
        <w:lastRenderedPageBreak/>
        <w:t>1.1.2</w:t>
      </w:r>
      <w:r>
        <w:rPr>
          <w:b/>
          <w:bCs/>
        </w:rPr>
        <w:tab/>
      </w:r>
      <w:r w:rsidR="009620F6" w:rsidRPr="00664B6B">
        <w:rPr>
          <w:b/>
          <w:bCs/>
        </w:rPr>
        <w:t>Measuring Impact</w:t>
      </w:r>
    </w:p>
    <w:p w14:paraId="2C9F08B2" w14:textId="24D59A0D" w:rsidR="009620F6" w:rsidRDefault="009620F6" w:rsidP="009620F6">
      <w:r>
        <w:t xml:space="preserve">For the purposes of comparison of impact, the OECD </w:t>
      </w:r>
      <w:hyperlink r:id="rId9" w:history="1">
        <w:r w:rsidRPr="00F95F76">
          <w:rPr>
            <w:rStyle w:val="Hyperlink"/>
          </w:rPr>
          <w:t>Audit of Adult Skills 2023</w:t>
        </w:r>
      </w:hyperlink>
      <w:r>
        <w:t xml:space="preserve"> has been utilised as an indicator. </w:t>
      </w:r>
    </w:p>
    <w:p w14:paraId="29D870D1" w14:textId="211563D3" w:rsidR="009D26F9" w:rsidRPr="009D26F9" w:rsidRDefault="00EA487F" w:rsidP="009D26F9">
      <w:r>
        <w:t xml:space="preserve">It is important to note that whilst </w:t>
      </w:r>
      <w:r w:rsidR="00E31323">
        <w:t xml:space="preserve">curricular models have </w:t>
      </w:r>
      <w:r w:rsidR="0035033B">
        <w:t>been examined</w:t>
      </w:r>
      <w:r w:rsidR="00E31323">
        <w:t xml:space="preserve">, </w:t>
      </w:r>
      <w:r w:rsidR="000463FE">
        <w:t xml:space="preserve">wider </w:t>
      </w:r>
      <w:r w:rsidR="0035033B">
        <w:t xml:space="preserve">educational strategies and legislative models have also </w:t>
      </w:r>
      <w:r w:rsidR="000463FE">
        <w:t>helped inform this piece</w:t>
      </w:r>
      <w:r w:rsidR="00EF4381">
        <w:t xml:space="preserve"> to gain an understanding of international practice. </w:t>
      </w:r>
    </w:p>
    <w:p w14:paraId="5A56D532" w14:textId="77777777" w:rsidR="00125EE8" w:rsidRDefault="00125EE8" w:rsidP="00FC170D">
      <w:pPr>
        <w:rPr>
          <w:b/>
          <w:bCs/>
          <w:sz w:val="24"/>
          <w:szCs w:val="24"/>
        </w:rPr>
      </w:pPr>
    </w:p>
    <w:p w14:paraId="5F8056F3" w14:textId="36078A71" w:rsidR="00FC170D" w:rsidRPr="00664B6B" w:rsidRDefault="00B708A4" w:rsidP="00FC170D">
      <w:pPr>
        <w:rPr>
          <w:b/>
          <w:bCs/>
          <w:sz w:val="24"/>
          <w:szCs w:val="24"/>
        </w:rPr>
      </w:pPr>
      <w:r>
        <w:rPr>
          <w:b/>
          <w:bCs/>
          <w:sz w:val="24"/>
          <w:szCs w:val="24"/>
        </w:rPr>
        <w:t>1.2</w:t>
      </w:r>
      <w:r>
        <w:rPr>
          <w:b/>
          <w:bCs/>
          <w:sz w:val="24"/>
          <w:szCs w:val="24"/>
        </w:rPr>
        <w:tab/>
      </w:r>
      <w:r w:rsidR="006E10E2">
        <w:rPr>
          <w:b/>
          <w:bCs/>
          <w:sz w:val="24"/>
          <w:szCs w:val="24"/>
        </w:rPr>
        <w:t xml:space="preserve">Curriculum Improvement Cycle - </w:t>
      </w:r>
      <w:r w:rsidR="00FC170D" w:rsidRPr="00664B6B">
        <w:rPr>
          <w:b/>
          <w:bCs/>
          <w:sz w:val="24"/>
          <w:szCs w:val="24"/>
        </w:rPr>
        <w:t>Context</w:t>
      </w:r>
    </w:p>
    <w:p w14:paraId="5994A1CF" w14:textId="54EF2223" w:rsidR="00FC170D" w:rsidRDefault="00FC170D" w:rsidP="00FC170D">
      <w:r>
        <w:t>Following the</w:t>
      </w:r>
      <w:r w:rsidRPr="007E54B7">
        <w:t xml:space="preserve"> recommendations contained within the </w:t>
      </w:r>
      <w:hyperlink r:id="rId10" w:history="1">
        <w:r w:rsidRPr="00281B3A">
          <w:rPr>
            <w:rStyle w:val="Hyperlink"/>
          </w:rPr>
          <w:t>2021 OECD Review of Scottish Education</w:t>
        </w:r>
      </w:hyperlink>
      <w:r w:rsidRPr="007E54B7">
        <w:t xml:space="preserve"> which recognised the strengths of Curriculum for Excellence (</w:t>
      </w:r>
      <w:proofErr w:type="spellStart"/>
      <w:r w:rsidRPr="007E54B7">
        <w:t>CfE</w:t>
      </w:r>
      <w:proofErr w:type="spellEnd"/>
      <w:r w:rsidRPr="007E54B7">
        <w:t>), and made a range of suggestions to ensure that this strength would persist into the future</w:t>
      </w:r>
      <w:r>
        <w:t>, the Curriculum Improvement Cycle commenced in April 2024. Its purpose:</w:t>
      </w:r>
    </w:p>
    <w:p w14:paraId="361073DE" w14:textId="77777777" w:rsidR="00FC170D" w:rsidRDefault="00FC170D" w:rsidP="00FC170D">
      <w:pPr>
        <w:rPr>
          <w:lang w:val="en-US"/>
        </w:rPr>
      </w:pPr>
      <w:r>
        <w:rPr>
          <w:i/>
          <w:iCs/>
        </w:rPr>
        <w:t>“...</w:t>
      </w:r>
      <w:r w:rsidRPr="00DE42AE">
        <w:rPr>
          <w:i/>
          <w:iCs/>
        </w:rPr>
        <w:t> to ensure that the curriculum remains fit for purpose, reflects contemporary learner needs, and can be effectively delivered in ways to ensure that all learners in Scotland have high quality curricular-linked learning experiences.</w:t>
      </w:r>
      <w:r>
        <w:rPr>
          <w:i/>
          <w:iCs/>
        </w:rPr>
        <w:t>”</w:t>
      </w:r>
      <w:hyperlink r:id="rId11" w:history="1">
        <w:r w:rsidRPr="008E4E07">
          <w:rPr>
            <w:rStyle w:val="Hyperlink"/>
            <w:i/>
            <w:iCs/>
          </w:rPr>
          <w:t>(Glow CIC Blog)</w:t>
        </w:r>
      </w:hyperlink>
    </w:p>
    <w:p w14:paraId="3039D42E" w14:textId="546AF4D0" w:rsidR="00FC170D" w:rsidRDefault="00FC170D" w:rsidP="00FC170D">
      <w:pPr>
        <w:rPr>
          <w:lang w:val="en-US"/>
        </w:rPr>
      </w:pPr>
      <w:r>
        <w:rPr>
          <w:lang w:val="en-US"/>
        </w:rPr>
        <w:t>While the statement reflects aspirations for all learners, the main focus will be on the formal education provision for 3-</w:t>
      </w:r>
      <w:proofErr w:type="spellStart"/>
      <w:r>
        <w:rPr>
          <w:lang w:val="en-US"/>
        </w:rPr>
        <w:t>18yr</w:t>
      </w:r>
      <w:proofErr w:type="spellEnd"/>
      <w:r>
        <w:rPr>
          <w:lang w:val="en-US"/>
        </w:rPr>
        <w:t xml:space="preserve"> olds. This leaves  reflection of where does, could or should CLD practice and provision have improved synergy with the curriculum to improve outcomes </w:t>
      </w:r>
      <w:r w:rsidR="00865A5C" w:rsidRPr="00865A5C">
        <w:t>given that CLD covers learners of all ages and does not stop at age 18</w:t>
      </w:r>
      <w:r>
        <w:rPr>
          <w:lang w:val="en-US"/>
        </w:rPr>
        <w:t>?</w:t>
      </w:r>
    </w:p>
    <w:p w14:paraId="358DBBF5" w14:textId="1A7BA83E" w:rsidR="00FC170D" w:rsidRDefault="00FC170D" w:rsidP="00FC170D">
      <w:pPr>
        <w:rPr>
          <w:lang w:val="en-US"/>
        </w:rPr>
      </w:pPr>
    </w:p>
    <w:p w14:paraId="19707847" w14:textId="381407F9" w:rsidR="00FC170D" w:rsidRDefault="00B708A4" w:rsidP="00FC170D">
      <w:pPr>
        <w:rPr>
          <w:lang w:val="en-US"/>
        </w:rPr>
      </w:pPr>
      <w:r>
        <w:rPr>
          <w:b/>
          <w:bCs/>
          <w:sz w:val="24"/>
          <w:szCs w:val="24"/>
          <w:lang w:val="en-US"/>
        </w:rPr>
        <w:t>1.3</w:t>
      </w:r>
      <w:r>
        <w:rPr>
          <w:b/>
          <w:bCs/>
          <w:sz w:val="24"/>
          <w:szCs w:val="24"/>
          <w:lang w:val="en-US"/>
        </w:rPr>
        <w:tab/>
      </w:r>
      <w:r w:rsidR="00FC170D" w:rsidRPr="006E10E2">
        <w:rPr>
          <w:b/>
          <w:bCs/>
          <w:sz w:val="24"/>
          <w:szCs w:val="24"/>
          <w:lang w:val="en-US"/>
        </w:rPr>
        <w:t>CLD C</w:t>
      </w:r>
      <w:r w:rsidR="006E10E2">
        <w:rPr>
          <w:b/>
          <w:bCs/>
          <w:sz w:val="24"/>
          <w:szCs w:val="24"/>
          <w:lang w:val="en-US"/>
        </w:rPr>
        <w:t>ontext</w:t>
      </w:r>
      <w:r w:rsidR="00FC170D">
        <w:rPr>
          <w:lang w:val="en-US"/>
        </w:rPr>
        <w:t xml:space="preserve"> </w:t>
      </w:r>
    </w:p>
    <w:p w14:paraId="0AC30035" w14:textId="47371A66" w:rsidR="00FC170D" w:rsidRPr="00975AB0" w:rsidRDefault="00B708A4" w:rsidP="00FC170D">
      <w:pPr>
        <w:rPr>
          <w:b/>
          <w:bCs/>
          <w:lang w:val="en-US"/>
        </w:rPr>
      </w:pPr>
      <w:r>
        <w:rPr>
          <w:b/>
          <w:bCs/>
          <w:lang w:val="en-US"/>
        </w:rPr>
        <w:t>1.3.1</w:t>
      </w:r>
      <w:r>
        <w:rPr>
          <w:b/>
          <w:bCs/>
          <w:lang w:val="en-US"/>
        </w:rPr>
        <w:tab/>
      </w:r>
      <w:r w:rsidR="00F85EE8" w:rsidRPr="00975AB0">
        <w:rPr>
          <w:b/>
          <w:bCs/>
          <w:lang w:val="en-US"/>
        </w:rPr>
        <w:t>Concept of Curriculum within CLD</w:t>
      </w:r>
    </w:p>
    <w:p w14:paraId="44A64EFB" w14:textId="5A978CCF" w:rsidR="00AE0EFF" w:rsidRDefault="00AF2F04" w:rsidP="00AE0EFF">
      <w:pPr>
        <w:rPr>
          <w:i/>
          <w:iCs/>
        </w:rPr>
      </w:pPr>
      <w:r w:rsidRPr="00AF2F04">
        <w:rPr>
          <w:i/>
          <w:iCs/>
        </w:rPr>
        <w:t>“</w:t>
      </w:r>
      <w:r w:rsidR="00742FB9" w:rsidRPr="00AF2F04">
        <w:rPr>
          <w:i/>
          <w:iCs/>
        </w:rPr>
        <w:t>Community Learning and Development (CLD) in Scotland refers to a distinct educational based approach to lifelong learning that aims to empower individuals and communities to participate actively in, and shape their own, learning and development.</w:t>
      </w:r>
      <w:r w:rsidRPr="00AF2F04">
        <w:rPr>
          <w:i/>
          <w:iCs/>
        </w:rPr>
        <w:t>”</w:t>
      </w:r>
      <w:r w:rsidR="00AE0EFF" w:rsidRPr="00AE0EFF">
        <w:rPr>
          <w:rFonts w:ascii="ProximaNova Bold" w:eastAsia="Times New Roman" w:hAnsi="ProximaNova Bold" w:cs="Times New Roman"/>
          <w:color w:val="65459B"/>
          <w:spacing w:val="-8"/>
          <w:kern w:val="36"/>
          <w:sz w:val="24"/>
          <w:szCs w:val="24"/>
          <w:lang w:eastAsia="en-GB"/>
          <w14:ligatures w14:val="none"/>
        </w:rPr>
        <w:t xml:space="preserve"> </w:t>
      </w:r>
      <w:hyperlink r:id="rId12" w:history="1">
        <w:r w:rsidR="00AE0EFF" w:rsidRPr="00AE0EFF">
          <w:rPr>
            <w:rStyle w:val="Hyperlink"/>
            <w:i/>
            <w:iCs/>
          </w:rPr>
          <w:t>A Guide to Community Learning and Development in Scotland (2025)</w:t>
        </w:r>
      </w:hyperlink>
    </w:p>
    <w:p w14:paraId="4842888D" w14:textId="4AE34C65" w:rsidR="00F85EE8" w:rsidRDefault="0070182F" w:rsidP="00FC170D">
      <w:pPr>
        <w:rPr>
          <w:lang w:val="en-US"/>
        </w:rPr>
      </w:pPr>
      <w:r>
        <w:t>This definition from the CLD Standards Council Scotland</w:t>
      </w:r>
      <w:r w:rsidR="006C7CC0">
        <w:t xml:space="preserve"> reflects the inclusivity </w:t>
      </w:r>
      <w:r w:rsidR="00CA7C08">
        <w:t>and collaborative ethos of CLD practice</w:t>
      </w:r>
      <w:r w:rsidR="00EB05E6">
        <w:t xml:space="preserve"> but also its </w:t>
      </w:r>
      <w:proofErr w:type="spellStart"/>
      <w:r w:rsidR="00823801">
        <w:t>self determinist</w:t>
      </w:r>
      <w:proofErr w:type="spellEnd"/>
      <w:r w:rsidR="00823801">
        <w:t xml:space="preserve"> values</w:t>
      </w:r>
      <w:r w:rsidR="00D0413B">
        <w:t>,</w:t>
      </w:r>
      <w:r w:rsidR="004D20B2">
        <w:t xml:space="preserve"> which support learners to take a lead role in </w:t>
      </w:r>
      <w:r w:rsidR="00562575">
        <w:t xml:space="preserve">deciding their learning journey. </w:t>
      </w:r>
      <w:r w:rsidR="001804DB">
        <w:t>Th</w:t>
      </w:r>
      <w:r w:rsidR="008D3562">
        <w:t>e</w:t>
      </w:r>
      <w:r w:rsidR="00FB6F70">
        <w:rPr>
          <w:lang w:val="en-US"/>
        </w:rPr>
        <w:t xml:space="preserve"> person-</w:t>
      </w:r>
      <w:proofErr w:type="spellStart"/>
      <w:r w:rsidR="00FB6F70">
        <w:rPr>
          <w:lang w:val="en-US"/>
        </w:rPr>
        <w:t>centred</w:t>
      </w:r>
      <w:proofErr w:type="spellEnd"/>
      <w:r w:rsidR="00FB6F70">
        <w:rPr>
          <w:lang w:val="en-US"/>
        </w:rPr>
        <w:t xml:space="preserve"> </w:t>
      </w:r>
      <w:r w:rsidR="00D0413B">
        <w:rPr>
          <w:lang w:val="en-US"/>
        </w:rPr>
        <w:t>approach</w:t>
      </w:r>
      <w:r w:rsidR="008C4F63">
        <w:rPr>
          <w:lang w:val="en-US"/>
        </w:rPr>
        <w:t xml:space="preserve"> </w:t>
      </w:r>
      <w:r w:rsidR="001804DB">
        <w:rPr>
          <w:lang w:val="en-US"/>
        </w:rPr>
        <w:t>in practice can lead to</w:t>
      </w:r>
      <w:r w:rsidR="00B16A28">
        <w:rPr>
          <w:lang w:val="en-US"/>
        </w:rPr>
        <w:t xml:space="preserve">, the concept of a underlying formal curriculum </w:t>
      </w:r>
      <w:r w:rsidR="001804DB">
        <w:rPr>
          <w:lang w:val="en-US"/>
        </w:rPr>
        <w:t>being</w:t>
      </w:r>
      <w:r w:rsidR="002C1FA2">
        <w:rPr>
          <w:lang w:val="en-US"/>
        </w:rPr>
        <w:t xml:space="preserve"> contentious amongst some professionals. </w:t>
      </w:r>
      <w:r w:rsidR="00C93431">
        <w:rPr>
          <w:lang w:val="en-US"/>
        </w:rPr>
        <w:t>How can you truly embod</w:t>
      </w:r>
      <w:r w:rsidR="004D0137">
        <w:rPr>
          <w:lang w:val="en-US"/>
        </w:rPr>
        <w:t xml:space="preserve">y </w:t>
      </w:r>
      <w:proofErr w:type="spellStart"/>
      <w:r w:rsidR="004D0137">
        <w:rPr>
          <w:lang w:val="en-US"/>
        </w:rPr>
        <w:t>self determinism</w:t>
      </w:r>
      <w:proofErr w:type="spellEnd"/>
      <w:r w:rsidR="004D0137">
        <w:rPr>
          <w:lang w:val="en-US"/>
        </w:rPr>
        <w:t xml:space="preserve"> if you are working to an establi</w:t>
      </w:r>
      <w:r w:rsidR="008709DE">
        <w:rPr>
          <w:lang w:val="en-US"/>
        </w:rPr>
        <w:t>shed curriculum?</w:t>
      </w:r>
    </w:p>
    <w:p w14:paraId="56A8FA2D" w14:textId="73BDA669" w:rsidR="002C1FA2" w:rsidRDefault="00CD4601" w:rsidP="00FC170D">
      <w:pPr>
        <w:rPr>
          <w:lang w:val="en-US"/>
        </w:rPr>
      </w:pPr>
      <w:r>
        <w:rPr>
          <w:lang w:val="en-US"/>
        </w:rPr>
        <w:t>Arguably though there have been elements of curriculum</w:t>
      </w:r>
      <w:r w:rsidR="00FF1488">
        <w:rPr>
          <w:lang w:val="en-US"/>
        </w:rPr>
        <w:t>s embedded</w:t>
      </w:r>
      <w:r>
        <w:rPr>
          <w:lang w:val="en-US"/>
        </w:rPr>
        <w:t xml:space="preserve"> across</w:t>
      </w:r>
      <w:r w:rsidR="00D35921">
        <w:rPr>
          <w:lang w:val="en-US"/>
        </w:rPr>
        <w:t xml:space="preserve"> the sector for a number of years (</w:t>
      </w:r>
      <w:r w:rsidR="003E79B1">
        <w:rPr>
          <w:lang w:val="en-US"/>
        </w:rPr>
        <w:t xml:space="preserve">e.g. </w:t>
      </w:r>
      <w:hyperlink r:id="rId13" w:history="1">
        <w:r w:rsidR="00D35921" w:rsidRPr="00BD3E7E">
          <w:rPr>
            <w:rStyle w:val="Hyperlink"/>
            <w:lang w:val="en-US"/>
          </w:rPr>
          <w:t>Duke of Edinburgh</w:t>
        </w:r>
      </w:hyperlink>
      <w:r w:rsidR="00BD3E7E">
        <w:rPr>
          <w:lang w:val="en-US"/>
        </w:rPr>
        <w:t xml:space="preserve">, </w:t>
      </w:r>
      <w:hyperlink r:id="rId14" w:history="1">
        <w:r w:rsidR="00BD3E7E" w:rsidRPr="00BD3E7E">
          <w:rPr>
            <w:rStyle w:val="Hyperlink"/>
            <w:lang w:val="en-US"/>
          </w:rPr>
          <w:t xml:space="preserve">Health Inequalities in the Community </w:t>
        </w:r>
        <w:proofErr w:type="spellStart"/>
        <w:r w:rsidR="00BD3E7E" w:rsidRPr="00BD3E7E">
          <w:rPr>
            <w:rStyle w:val="Hyperlink"/>
            <w:lang w:val="en-US"/>
          </w:rPr>
          <w:t>HIIC</w:t>
        </w:r>
      </w:hyperlink>
      <w:r w:rsidR="000165D0">
        <w:rPr>
          <w:lang w:val="en-US"/>
        </w:rPr>
        <w:t>,</w:t>
      </w:r>
      <w:r w:rsidR="008D3562">
        <w:rPr>
          <w:lang w:val="en-US"/>
        </w:rPr>
        <w:t>Adult</w:t>
      </w:r>
      <w:proofErr w:type="spellEnd"/>
      <w:r w:rsidR="008D3562">
        <w:rPr>
          <w:lang w:val="en-US"/>
        </w:rPr>
        <w:t xml:space="preserve"> Literacies Curriculum Framework, </w:t>
      </w:r>
      <w:r w:rsidR="000165D0">
        <w:rPr>
          <w:lang w:val="en-US"/>
        </w:rPr>
        <w:t xml:space="preserve"> </w:t>
      </w:r>
      <w:hyperlink r:id="rId15" w:history="1">
        <w:r w:rsidR="000165D0" w:rsidRPr="000165D0">
          <w:rPr>
            <w:rStyle w:val="Hyperlink"/>
            <w:lang w:val="en-US"/>
          </w:rPr>
          <w:t>ESOL Strategy for Scotland 2007</w:t>
        </w:r>
      </w:hyperlink>
      <w:r w:rsidR="003E79B1">
        <w:rPr>
          <w:lang w:val="en-US"/>
        </w:rPr>
        <w:t>)</w:t>
      </w:r>
      <w:r w:rsidR="007034E1">
        <w:rPr>
          <w:lang w:val="en-US"/>
        </w:rPr>
        <w:t>. Would, therefore an overarching but flexible structur</w:t>
      </w:r>
      <w:r w:rsidR="004A7EBD">
        <w:rPr>
          <w:lang w:val="en-US"/>
        </w:rPr>
        <w:t xml:space="preserve">e that </w:t>
      </w:r>
      <w:r w:rsidR="001D31B5">
        <w:rPr>
          <w:lang w:val="en-US"/>
        </w:rPr>
        <w:t xml:space="preserve">synergized with </w:t>
      </w:r>
      <w:r w:rsidR="00F26D06">
        <w:rPr>
          <w:lang w:val="en-US"/>
        </w:rPr>
        <w:t xml:space="preserve">formal educational provision have </w:t>
      </w:r>
      <w:r w:rsidR="00CC7E7A">
        <w:rPr>
          <w:lang w:val="en-US"/>
        </w:rPr>
        <w:t xml:space="preserve">increased benefits for both </w:t>
      </w:r>
      <w:r w:rsidR="00641174">
        <w:rPr>
          <w:lang w:val="en-US"/>
        </w:rPr>
        <w:t xml:space="preserve">participants and </w:t>
      </w:r>
      <w:r w:rsidR="000C4EAE">
        <w:rPr>
          <w:lang w:val="en-US"/>
        </w:rPr>
        <w:t>the standing of the pro</w:t>
      </w:r>
      <w:r w:rsidR="007E6A7D">
        <w:rPr>
          <w:lang w:val="en-US"/>
        </w:rPr>
        <w:t>fession</w:t>
      </w:r>
      <w:r w:rsidR="000C4EAE">
        <w:rPr>
          <w:lang w:val="en-US"/>
        </w:rPr>
        <w:t>?</w:t>
      </w:r>
      <w:r w:rsidR="00597A1A">
        <w:rPr>
          <w:lang w:val="en-US"/>
        </w:rPr>
        <w:t xml:space="preserve"> Is it possible to</w:t>
      </w:r>
      <w:r w:rsidR="00432BB7">
        <w:rPr>
          <w:lang w:val="en-US"/>
        </w:rPr>
        <w:t xml:space="preserve"> </w:t>
      </w:r>
      <w:r w:rsidR="00CF35DC">
        <w:rPr>
          <w:lang w:val="en-US"/>
        </w:rPr>
        <w:t>synergize</w:t>
      </w:r>
      <w:r w:rsidR="00597A1A">
        <w:rPr>
          <w:lang w:val="en-US"/>
        </w:rPr>
        <w:t xml:space="preserve"> the principles of the</w:t>
      </w:r>
      <w:r w:rsidR="00D90A98">
        <w:rPr>
          <w:lang w:val="en-US"/>
        </w:rPr>
        <w:t xml:space="preserve"> curriculum </w:t>
      </w:r>
      <w:r w:rsidR="00432BB7">
        <w:rPr>
          <w:lang w:val="en-US"/>
        </w:rPr>
        <w:t>with</w:t>
      </w:r>
      <w:r w:rsidR="00D90A98">
        <w:rPr>
          <w:lang w:val="en-US"/>
        </w:rPr>
        <w:t xml:space="preserve"> a model for</w:t>
      </w:r>
      <w:r w:rsidR="00131036">
        <w:rPr>
          <w:lang w:val="en-US"/>
        </w:rPr>
        <w:t xml:space="preserve"> community learning and development </w:t>
      </w:r>
      <w:r w:rsidR="00CF35DC">
        <w:rPr>
          <w:lang w:val="en-US"/>
        </w:rPr>
        <w:t>that does not dilute</w:t>
      </w:r>
      <w:r w:rsidR="009519E8">
        <w:rPr>
          <w:lang w:val="en-US"/>
        </w:rPr>
        <w:t xml:space="preserve"> the values that lie at the heart of the profession? </w:t>
      </w:r>
    </w:p>
    <w:p w14:paraId="30A1235F" w14:textId="7D0CC95D" w:rsidR="00D634AA" w:rsidRPr="001A7E97" w:rsidRDefault="00D634AA" w:rsidP="00D634AA">
      <w:r>
        <w:lastRenderedPageBreak/>
        <w:t>In early 2025,</w:t>
      </w:r>
      <w:r w:rsidRPr="00FB7813">
        <w:t xml:space="preserve"> Education Scotland (ES) </w:t>
      </w:r>
      <w:r>
        <w:t>undertook exploratory sessions as part of a wider programme of education reform. These sessions examined h</w:t>
      </w:r>
      <w:r w:rsidRPr="00FB7813">
        <w:t>ow</w:t>
      </w:r>
      <w:r w:rsidR="008D3562">
        <w:t xml:space="preserve"> Education Scotland</w:t>
      </w:r>
      <w:r w:rsidRPr="00FB7813">
        <w:t xml:space="preserve"> should best support the Community Learning and Development (CLD) sector in the future.</w:t>
      </w:r>
      <w:r>
        <w:t xml:space="preserve"> The exploratory process included engagement sessions with senior stakeholders from across all aspects of the sector including Local Authorities, the Third Sector and </w:t>
      </w:r>
      <w:r w:rsidR="008D3562">
        <w:t>Further</w:t>
      </w:r>
      <w:r>
        <w:t xml:space="preserve"> Education. </w:t>
      </w:r>
    </w:p>
    <w:p w14:paraId="30D6CF26" w14:textId="77777777" w:rsidR="00D634AA" w:rsidRDefault="00D634AA" w:rsidP="00D634AA">
      <w:r>
        <w:t xml:space="preserve">In addition to a number of asks of a reformed Education Scotland in relation to professional development, </w:t>
      </w:r>
      <w:r w:rsidRPr="0064531C">
        <w:t xml:space="preserve">CLD stakeholders indicated that </w:t>
      </w:r>
      <w:r>
        <w:t>the contribution and support of CLD to the CIC should be recognised, with a commitment to lifelong learning being retained at a national level. Stakeholders also had a desire to explore a sector wide CLD Framework as well as the potential to strengthen the synergies between the CIC and national priorities for lifelong learning.</w:t>
      </w:r>
    </w:p>
    <w:p w14:paraId="3BD5C444" w14:textId="77777777" w:rsidR="00D634AA" w:rsidRPr="0064531C" w:rsidRDefault="00D634AA" w:rsidP="00D634AA">
      <w:r>
        <w:t>Stakeholders also had a strong desire for an ongoing, continued engagement, ensuring participant and practitioners’ involvement in the design and development of future work. Communication was key, with clear aims to deliver realistic and tangible actions that avoided tokenism of overpromising.</w:t>
      </w:r>
    </w:p>
    <w:p w14:paraId="12D727EB" w14:textId="3B0C71C5" w:rsidR="00D634AA" w:rsidRPr="00865A5C" w:rsidRDefault="00D634AA" w:rsidP="00D634AA">
      <w:r>
        <w:t>In all, despite concerns, there was a clear appetite to further explore and engage with the possibilities that could emerge from strengthened synergy with the CIC process</w:t>
      </w:r>
      <w:r w:rsidR="008D3562">
        <w:t xml:space="preserve"> and workstreams</w:t>
      </w:r>
      <w:r>
        <w:t xml:space="preserve">. </w:t>
      </w:r>
    </w:p>
    <w:p w14:paraId="27B6F351" w14:textId="77777777" w:rsidR="00D634AA" w:rsidRPr="00D634AA" w:rsidRDefault="00D634AA" w:rsidP="00FC170D"/>
    <w:p w14:paraId="2C27065C" w14:textId="6C816FE1" w:rsidR="00F85EE8" w:rsidRPr="0056548D" w:rsidRDefault="00B708A4" w:rsidP="00FC170D">
      <w:pPr>
        <w:rPr>
          <w:b/>
          <w:bCs/>
          <w:lang w:val="en-US"/>
        </w:rPr>
      </w:pPr>
      <w:r>
        <w:rPr>
          <w:b/>
          <w:bCs/>
          <w:lang w:val="en-US"/>
        </w:rPr>
        <w:t>1.3.2</w:t>
      </w:r>
      <w:r>
        <w:rPr>
          <w:b/>
          <w:bCs/>
          <w:lang w:val="en-US"/>
        </w:rPr>
        <w:tab/>
      </w:r>
      <w:r w:rsidR="0056548D" w:rsidRPr="0056548D">
        <w:rPr>
          <w:b/>
          <w:bCs/>
          <w:lang w:val="en-US"/>
        </w:rPr>
        <w:t>Impacts of CLD</w:t>
      </w:r>
    </w:p>
    <w:p w14:paraId="78173125" w14:textId="03D8AC72" w:rsidR="007B0BC0" w:rsidRPr="00FE7977" w:rsidRDefault="00FC5C67" w:rsidP="007B0BC0">
      <w:r>
        <w:t xml:space="preserve">As well as the CLD professional value base, it is important to </w:t>
      </w:r>
      <w:r w:rsidR="007C6B7D">
        <w:t xml:space="preserve">recognise and consider the intended impact of </w:t>
      </w:r>
      <w:r w:rsidR="0050610A">
        <w:t xml:space="preserve">the </w:t>
      </w:r>
      <w:r w:rsidR="007C6B7D">
        <w:t xml:space="preserve">profession, which </w:t>
      </w:r>
      <w:r w:rsidR="00C83D0C">
        <w:t>extends well beyond a neoliberal ethos that learning is of value only where it impacts on the</w:t>
      </w:r>
      <w:r w:rsidR="009219E3">
        <w:t xml:space="preserve"> skills and development of the individual for employability and economic purpose</w:t>
      </w:r>
      <w:r w:rsidR="006C1F35">
        <w:t>s</w:t>
      </w:r>
      <w:r w:rsidR="009219E3">
        <w:t xml:space="preserve">. </w:t>
      </w:r>
      <w:hyperlink r:id="rId16" w:history="1">
        <w:r w:rsidR="007B0BC0" w:rsidRPr="00127F69">
          <w:rPr>
            <w:rStyle w:val="Hyperlink"/>
          </w:rPr>
          <w:t>The Community Learning and Development in Scotland and internationally: literature review</w:t>
        </w:r>
      </w:hyperlink>
      <w:r w:rsidR="007B0BC0">
        <w:t xml:space="preserve"> </w:t>
      </w:r>
      <w:r w:rsidR="008C5002">
        <w:t>cites significant evidence of</w:t>
      </w:r>
      <w:r w:rsidR="007B0BC0">
        <w:t xml:space="preserve"> the beneficial impact of CLD activity in terms of </w:t>
      </w:r>
      <w:r w:rsidR="007B0BC0" w:rsidRPr="00D954B8">
        <w:t xml:space="preserve">the personal and social, health and wellbeing, and educational and economic outcomes </w:t>
      </w:r>
      <w:r w:rsidR="007B0BC0">
        <w:t xml:space="preserve">of participation. </w:t>
      </w:r>
      <w:r w:rsidR="00391699">
        <w:t>This holistic reflect</w:t>
      </w:r>
      <w:r w:rsidR="00DA2137">
        <w:t>ion</w:t>
      </w:r>
      <w:r w:rsidR="00391699">
        <w:t xml:space="preserve"> of community learning </w:t>
      </w:r>
      <w:r w:rsidR="00EE62BB">
        <w:t xml:space="preserve">and development </w:t>
      </w:r>
      <w:r w:rsidR="00391699">
        <w:t>activit</w:t>
      </w:r>
      <w:r w:rsidR="00EE62BB">
        <w:t>ie</w:t>
      </w:r>
      <w:r w:rsidR="00DA2137">
        <w:t>s</w:t>
      </w:r>
      <w:r w:rsidR="0046228A">
        <w:t>’</w:t>
      </w:r>
      <w:r w:rsidR="00DA2137">
        <w:t xml:space="preserve"> ability to positively impact on all aspects of an individual’s</w:t>
      </w:r>
      <w:r w:rsidR="00627734">
        <w:t xml:space="preserve"> life,</w:t>
      </w:r>
      <w:r w:rsidR="00DA2137">
        <w:t xml:space="preserve"> </w:t>
      </w:r>
      <w:r w:rsidR="00733767">
        <w:t xml:space="preserve">embodies the professional values </w:t>
      </w:r>
      <w:r w:rsidR="002B42CE">
        <w:t>as</w:t>
      </w:r>
      <w:r w:rsidR="002B42CE" w:rsidRPr="004102FF">
        <w:t xml:space="preserve"> </w:t>
      </w:r>
      <w:r w:rsidR="00FE7977" w:rsidRPr="004102FF">
        <w:t>championed</w:t>
      </w:r>
      <w:r w:rsidR="00FE7977">
        <w:rPr>
          <w:i/>
          <w:iCs/>
        </w:rPr>
        <w:t xml:space="preserve"> </w:t>
      </w:r>
      <w:r w:rsidR="00FE7977">
        <w:t xml:space="preserve">by </w:t>
      </w:r>
      <w:hyperlink r:id="rId17" w:history="1">
        <w:r w:rsidR="00FE7977" w:rsidRPr="00A57651">
          <w:rPr>
            <w:rStyle w:val="Hyperlink"/>
          </w:rPr>
          <w:t>the CLD Standards Council for Scotland</w:t>
        </w:r>
      </w:hyperlink>
      <w:r w:rsidR="0050610A">
        <w:t>.</w:t>
      </w:r>
    </w:p>
    <w:p w14:paraId="60560165" w14:textId="77777777" w:rsidR="00924BB7" w:rsidRPr="007B0BC0" w:rsidRDefault="00924BB7" w:rsidP="00FC170D"/>
    <w:p w14:paraId="43682C1C" w14:textId="223CAAAC" w:rsidR="00D51892" w:rsidRPr="00C30E13" w:rsidRDefault="000538D5">
      <w:pPr>
        <w:rPr>
          <w:b/>
          <w:bCs/>
          <w:sz w:val="24"/>
          <w:szCs w:val="24"/>
        </w:rPr>
      </w:pPr>
      <w:r>
        <w:rPr>
          <w:b/>
          <w:bCs/>
          <w:sz w:val="24"/>
          <w:szCs w:val="24"/>
        </w:rPr>
        <w:t>2.0</w:t>
      </w:r>
      <w:r>
        <w:rPr>
          <w:b/>
          <w:bCs/>
          <w:sz w:val="24"/>
          <w:szCs w:val="24"/>
        </w:rPr>
        <w:tab/>
      </w:r>
      <w:r w:rsidR="00D51892" w:rsidRPr="00C30E13">
        <w:rPr>
          <w:b/>
          <w:bCs/>
          <w:sz w:val="24"/>
          <w:szCs w:val="24"/>
        </w:rPr>
        <w:t>International Examples</w:t>
      </w:r>
    </w:p>
    <w:p w14:paraId="54BCDE63" w14:textId="67E37908" w:rsidR="00D51892" w:rsidRPr="008F3BC9" w:rsidRDefault="008F3BC9">
      <w:r>
        <w:t>Inte</w:t>
      </w:r>
      <w:r w:rsidR="002355D6">
        <w:t xml:space="preserve">rnationally there are varying examples of how </w:t>
      </w:r>
      <w:r w:rsidR="009651DB">
        <w:t xml:space="preserve">formal education </w:t>
      </w:r>
      <w:r w:rsidR="00E07E5A">
        <w:t>models</w:t>
      </w:r>
      <w:r w:rsidR="009651DB">
        <w:t xml:space="preserve"> have been aligned or synergised with </w:t>
      </w:r>
      <w:r w:rsidR="00BF1DA6">
        <w:t xml:space="preserve">wider informal and community based learning provision to </w:t>
      </w:r>
      <w:r w:rsidR="008942FD">
        <w:t xml:space="preserve">strengthen outcomes for young people, adults and families. </w:t>
      </w:r>
      <w:r w:rsidR="00873B0D">
        <w:t xml:space="preserve"> </w:t>
      </w:r>
    </w:p>
    <w:p w14:paraId="34C53CDE" w14:textId="06670665" w:rsidR="00D51892" w:rsidRPr="00CF2913" w:rsidRDefault="000538D5">
      <w:pPr>
        <w:rPr>
          <w:b/>
          <w:bCs/>
        </w:rPr>
      </w:pPr>
      <w:r>
        <w:t>2.1</w:t>
      </w:r>
      <w:r>
        <w:tab/>
      </w:r>
      <w:hyperlink r:id="rId18" w:history="1">
        <w:r w:rsidR="00D51892" w:rsidRPr="00CF2913">
          <w:rPr>
            <w:rStyle w:val="Hyperlink"/>
            <w:b/>
            <w:bCs/>
            <w:color w:val="auto"/>
          </w:rPr>
          <w:t>Finland –</w:t>
        </w:r>
        <w:r w:rsidR="00C559CE">
          <w:rPr>
            <w:rStyle w:val="Hyperlink"/>
            <w:b/>
            <w:bCs/>
            <w:color w:val="auto"/>
          </w:rPr>
          <w:t xml:space="preserve"> National</w:t>
        </w:r>
        <w:r w:rsidR="00D51892" w:rsidRPr="00CF2913">
          <w:rPr>
            <w:rStyle w:val="Hyperlink"/>
            <w:b/>
            <w:bCs/>
            <w:color w:val="auto"/>
          </w:rPr>
          <w:t xml:space="preserve"> Literacy Strategy</w:t>
        </w:r>
      </w:hyperlink>
    </w:p>
    <w:p w14:paraId="04E5873A" w14:textId="3474D4F1" w:rsidR="003F292E" w:rsidRDefault="00EB3CD0">
      <w:r>
        <w:t>Topping the</w:t>
      </w:r>
      <w:r w:rsidR="003F292E">
        <w:t xml:space="preserve"> </w:t>
      </w:r>
      <w:hyperlink r:id="rId19" w:anchor="section-d1e391" w:history="1">
        <w:r w:rsidR="003F292E" w:rsidRPr="00971B46">
          <w:rPr>
            <w:rStyle w:val="Hyperlink"/>
          </w:rPr>
          <w:t>OECD</w:t>
        </w:r>
        <w:r w:rsidR="002864CA" w:rsidRPr="00971B46">
          <w:rPr>
            <w:rStyle w:val="Hyperlink"/>
          </w:rPr>
          <w:t xml:space="preserve"> Adult Skills A</w:t>
        </w:r>
        <w:r w:rsidR="00294F7C" w:rsidRPr="00971B46">
          <w:rPr>
            <w:rStyle w:val="Hyperlink"/>
          </w:rPr>
          <w:t>udi</w:t>
        </w:r>
        <w:r w:rsidR="002864CA" w:rsidRPr="00971B46">
          <w:rPr>
            <w:rStyle w:val="Hyperlink"/>
          </w:rPr>
          <w:t>t 2023</w:t>
        </w:r>
      </w:hyperlink>
      <w:r>
        <w:t xml:space="preserve"> table</w:t>
      </w:r>
      <w:r w:rsidR="002864CA">
        <w:t>,</w:t>
      </w:r>
      <w:r>
        <w:t xml:space="preserve"> the report</w:t>
      </w:r>
      <w:r w:rsidR="002864CA">
        <w:t xml:space="preserve"> cites Finland as one of only two countries covered by the study who</w:t>
      </w:r>
      <w:r w:rsidR="00AD5F9E">
        <w:t>se national average literacy proficiency has improved in the past decade</w:t>
      </w:r>
      <w:r w:rsidR="00294F7C">
        <w:t xml:space="preserve">. </w:t>
      </w:r>
      <w:r w:rsidR="00915E4A">
        <w:t xml:space="preserve">This success is </w:t>
      </w:r>
      <w:r w:rsidR="003B6802">
        <w:t>set in the context of a national culture</w:t>
      </w:r>
      <w:r w:rsidR="003655A4">
        <w:t xml:space="preserve"> of learning</w:t>
      </w:r>
      <w:r w:rsidR="003B6802">
        <w:t xml:space="preserve"> and continuous improvement. </w:t>
      </w:r>
    </w:p>
    <w:p w14:paraId="7EE87F26" w14:textId="32E83193" w:rsidR="00D51892" w:rsidRDefault="005A3E5C">
      <w:r>
        <w:t xml:space="preserve">Contributing to this success, </w:t>
      </w:r>
      <w:hyperlink r:id="rId20" w:history="1">
        <w:r w:rsidR="00AA7F6E" w:rsidRPr="00CF2913">
          <w:rPr>
            <w:rStyle w:val="Hyperlink"/>
          </w:rPr>
          <w:t xml:space="preserve">The </w:t>
        </w:r>
        <w:r w:rsidR="00060F39" w:rsidRPr="00CF2913">
          <w:rPr>
            <w:rStyle w:val="Hyperlink"/>
          </w:rPr>
          <w:t>National Literacy Stra</w:t>
        </w:r>
        <w:r w:rsidR="00AA2F44" w:rsidRPr="00CF2913">
          <w:rPr>
            <w:rStyle w:val="Hyperlink"/>
          </w:rPr>
          <w:t>tegy for Finland</w:t>
        </w:r>
      </w:hyperlink>
      <w:r w:rsidR="00CF7BEE">
        <w:t xml:space="preserve"> (2021)</w:t>
      </w:r>
      <w:r w:rsidR="00AA2F44">
        <w:t xml:space="preserve"> aims to be fully implemented by 2030. The strategy provides a holistic approach to </w:t>
      </w:r>
      <w:r w:rsidR="00F61F4A">
        <w:t xml:space="preserve">embedding literacy </w:t>
      </w:r>
      <w:r w:rsidR="00D41F0A">
        <w:t xml:space="preserve">learning </w:t>
      </w:r>
      <w:r w:rsidR="00D41F0A">
        <w:lastRenderedPageBreak/>
        <w:t xml:space="preserve">across the nation, recognising the </w:t>
      </w:r>
      <w:r w:rsidR="005B698E">
        <w:t xml:space="preserve">benefits of </w:t>
      </w:r>
      <w:r w:rsidR="005B698E" w:rsidRPr="005B698E">
        <w:rPr>
          <w:i/>
          <w:iCs/>
        </w:rPr>
        <w:t>“a strong, diverse and inclusive reading culture which reinforces the success of Finland and the good life of its citizens.”</w:t>
      </w:r>
    </w:p>
    <w:p w14:paraId="1572900F" w14:textId="4A32762F" w:rsidR="00D514BB" w:rsidRDefault="0036596F">
      <w:r>
        <w:t xml:space="preserve">The strategy </w:t>
      </w:r>
      <w:r w:rsidR="00DF500E">
        <w:t>defines</w:t>
      </w:r>
      <w:r w:rsidR="00805659">
        <w:t xml:space="preserve"> literacy as a foundation of </w:t>
      </w:r>
      <w:r w:rsidR="00711F24">
        <w:t>a</w:t>
      </w:r>
      <w:r w:rsidR="00DA2749">
        <w:t xml:space="preserve"> safe, functioning, democratic and </w:t>
      </w:r>
      <w:r w:rsidR="000F61A4">
        <w:t xml:space="preserve">equal society. </w:t>
      </w:r>
      <w:r w:rsidR="0011373B">
        <w:t xml:space="preserve">As such the programme </w:t>
      </w:r>
      <w:r w:rsidR="00151CBB">
        <w:t>spans all age groups, with subprogrammes focussing on</w:t>
      </w:r>
      <w:r w:rsidR="00C26C2F">
        <w:t xml:space="preserve"> Early Childhood and Ca</w:t>
      </w:r>
      <w:r w:rsidR="004D5C06">
        <w:t>re, School and Municipality</w:t>
      </w:r>
      <w:r w:rsidR="00CA0484">
        <w:t xml:space="preserve"> at local</w:t>
      </w:r>
      <w:r w:rsidR="00FD566D">
        <w:t>, regional</w:t>
      </w:r>
      <w:r w:rsidR="00CA0484">
        <w:t xml:space="preserve"> and national levels</w:t>
      </w:r>
      <w:r w:rsidR="00892CEB">
        <w:t xml:space="preserve">. </w:t>
      </w:r>
      <w:r w:rsidR="00D514BB">
        <w:t>The strategy</w:t>
      </w:r>
      <w:r w:rsidR="00447E38">
        <w:t xml:space="preserve"> </w:t>
      </w:r>
      <w:r w:rsidR="00D514BB">
        <w:t xml:space="preserve">takes </w:t>
      </w:r>
      <w:r w:rsidR="00447E38">
        <w:t>cognisance</w:t>
      </w:r>
      <w:r w:rsidR="00D514BB">
        <w:t xml:space="preserve"> of the differing</w:t>
      </w:r>
      <w:r w:rsidR="006E0371">
        <w:t xml:space="preserve"> and developing</w:t>
      </w:r>
      <w:r w:rsidR="00D514BB">
        <w:t xml:space="preserve"> </w:t>
      </w:r>
      <w:r w:rsidR="00801C57">
        <w:t>literacy needs at different life stages</w:t>
      </w:r>
      <w:r w:rsidR="004A7555">
        <w:t xml:space="preserve"> seeking to embed what it defines as ‘multiliteracy’</w:t>
      </w:r>
      <w:r w:rsidR="002C0BCD">
        <w:t>.</w:t>
      </w:r>
      <w:r w:rsidR="00792749">
        <w:t xml:space="preserve"> Mu</w:t>
      </w:r>
      <w:r w:rsidR="008C2F94">
        <w:t>ltil</w:t>
      </w:r>
      <w:r w:rsidR="00792749">
        <w:t xml:space="preserve">iteracy encompasses </w:t>
      </w:r>
      <w:r w:rsidR="0092645A">
        <w:t>a broad definition of text which in addition to the written word includes, sounds, graphics, dialec</w:t>
      </w:r>
      <w:r w:rsidR="00A47E78">
        <w:t>t</w:t>
      </w:r>
      <w:r w:rsidR="0092645A">
        <w:t xml:space="preserve">s </w:t>
      </w:r>
      <w:r w:rsidR="00E7340A">
        <w:t xml:space="preserve">and the array of ways language is utilised in modern society, including ICT. </w:t>
      </w:r>
    </w:p>
    <w:p w14:paraId="09B8BED0" w14:textId="0A6A9FEC" w:rsidR="001967D2" w:rsidRDefault="00EB50E0">
      <w:r>
        <w:t xml:space="preserve">The strategy recognises </w:t>
      </w:r>
      <w:r w:rsidR="001230B3">
        <w:t>the</w:t>
      </w:r>
      <w:r>
        <w:t xml:space="preserve"> changing environment and its potential impact on literacy levels and confidence. </w:t>
      </w:r>
    </w:p>
    <w:p w14:paraId="1CED88CA" w14:textId="4993C517" w:rsidR="006109FA" w:rsidRDefault="005168BD">
      <w:r>
        <w:t xml:space="preserve">The strategy is underpinned by three guidelines </w:t>
      </w:r>
      <w:r w:rsidR="00380657">
        <w:t>with clear measures to be implemented at all levels</w:t>
      </w:r>
      <w:r w:rsidR="001D7C49">
        <w:t xml:space="preserve"> by 2030</w:t>
      </w:r>
      <w:r w:rsidR="00271D95">
        <w:t>:</w:t>
      </w:r>
      <w:r w:rsidR="00271D95" w:rsidRPr="00271D95">
        <w:t xml:space="preserve"> </w:t>
      </w:r>
      <w:r w:rsidR="00A31B92">
        <w:t>c</w:t>
      </w:r>
      <w:r w:rsidR="00271D95" w:rsidRPr="00271D95">
        <w:t>reating and strengthening structures for literacy work</w:t>
      </w:r>
      <w:r w:rsidR="00A31B92">
        <w:t>,</w:t>
      </w:r>
      <w:r w:rsidR="00271D95" w:rsidRPr="00271D95">
        <w:t xml:space="preserve"> Strengthening multiliteracy competence</w:t>
      </w:r>
      <w:r w:rsidR="00A31B92">
        <w:t>,</w:t>
      </w:r>
      <w:r w:rsidR="00271D95" w:rsidRPr="00271D95">
        <w:t xml:space="preserve"> </w:t>
      </w:r>
      <w:r w:rsidR="00380657">
        <w:t xml:space="preserve"> and </w:t>
      </w:r>
      <w:r w:rsidR="00D7320F">
        <w:t>en</w:t>
      </w:r>
      <w:r w:rsidR="00271D95" w:rsidRPr="00271D95">
        <w:t>couraging reading and diversifying literacy</w:t>
      </w:r>
      <w:r w:rsidR="00864918">
        <w:t>.</w:t>
      </w:r>
    </w:p>
    <w:p w14:paraId="40B70042" w14:textId="6681CEF5" w:rsidR="00165AE6" w:rsidRDefault="00165AE6">
      <w:r>
        <w:t xml:space="preserve">Key Features – </w:t>
      </w:r>
    </w:p>
    <w:p w14:paraId="2BD3F34D" w14:textId="1793002F" w:rsidR="00165AE6" w:rsidRDefault="00165AE6" w:rsidP="00165AE6">
      <w:pPr>
        <w:pStyle w:val="ListParagraph"/>
        <w:numPr>
          <w:ilvl w:val="0"/>
          <w:numId w:val="1"/>
        </w:numPr>
      </w:pPr>
      <w:r>
        <w:t>Its whole society</w:t>
      </w:r>
      <w:r w:rsidR="00630140">
        <w:t xml:space="preserve"> and lifelong</w:t>
      </w:r>
      <w:r w:rsidR="0050610A">
        <w:t xml:space="preserve"> </w:t>
      </w:r>
      <w:r w:rsidR="008D3562">
        <w:t xml:space="preserve"> commitment</w:t>
      </w:r>
      <w:r w:rsidR="00630140">
        <w:t>.</w:t>
      </w:r>
    </w:p>
    <w:p w14:paraId="0B7294D1" w14:textId="63F42FA0" w:rsidR="00DF568B" w:rsidRDefault="00DF568B" w:rsidP="00165AE6">
      <w:pPr>
        <w:pStyle w:val="ListParagraph"/>
        <w:numPr>
          <w:ilvl w:val="0"/>
          <w:numId w:val="1"/>
        </w:numPr>
      </w:pPr>
      <w:r>
        <w:t>Systematic approach with local, regional and national levelling</w:t>
      </w:r>
      <w:r w:rsidR="00C2529C">
        <w:t>.</w:t>
      </w:r>
    </w:p>
    <w:p w14:paraId="60FDE06A" w14:textId="660E207B" w:rsidR="00165AE6" w:rsidRDefault="006758A3" w:rsidP="00165AE6">
      <w:pPr>
        <w:pStyle w:val="ListParagraph"/>
        <w:numPr>
          <w:ilvl w:val="0"/>
          <w:numId w:val="1"/>
        </w:numPr>
      </w:pPr>
      <w:r>
        <w:t>Focusses on continuous development to meet the evolving needs of learners</w:t>
      </w:r>
    </w:p>
    <w:p w14:paraId="0E79CE14" w14:textId="42CB457D" w:rsidR="006758A3" w:rsidRDefault="000D6BB7" w:rsidP="00165AE6">
      <w:pPr>
        <w:pStyle w:val="ListParagraph"/>
        <w:numPr>
          <w:ilvl w:val="0"/>
          <w:numId w:val="1"/>
        </w:numPr>
      </w:pPr>
      <w:r>
        <w:t xml:space="preserve">Values the </w:t>
      </w:r>
      <w:r w:rsidR="00AD16C9">
        <w:t xml:space="preserve">holistic impacts of strengthened literacy </w:t>
      </w:r>
      <w:r w:rsidR="00A66999">
        <w:t>across all aspects of an individual</w:t>
      </w:r>
      <w:r w:rsidR="0050610A">
        <w:t>’</w:t>
      </w:r>
      <w:r w:rsidR="00A66999">
        <w:t xml:space="preserve">s life and </w:t>
      </w:r>
      <w:proofErr w:type="spellStart"/>
      <w:r w:rsidR="00A66999">
        <w:t>well being</w:t>
      </w:r>
      <w:proofErr w:type="spellEnd"/>
      <w:r w:rsidR="001562CC">
        <w:t xml:space="preserve"> not purely economic factors</w:t>
      </w:r>
      <w:r w:rsidR="00630140">
        <w:t>.</w:t>
      </w:r>
    </w:p>
    <w:p w14:paraId="0E995173" w14:textId="0DBB73F0" w:rsidR="00A66999" w:rsidRDefault="003E471A" w:rsidP="00165AE6">
      <w:pPr>
        <w:pStyle w:val="ListParagraph"/>
        <w:numPr>
          <w:ilvl w:val="0"/>
          <w:numId w:val="1"/>
        </w:numPr>
      </w:pPr>
      <w:r>
        <w:t>Sits within a context of a national approach to</w:t>
      </w:r>
      <w:r w:rsidR="008D3562">
        <w:t xml:space="preserve"> lifelong</w:t>
      </w:r>
      <w:r>
        <w:t xml:space="preserve"> learning</w:t>
      </w:r>
    </w:p>
    <w:p w14:paraId="480F03EA" w14:textId="77777777" w:rsidR="001967D2" w:rsidRPr="007A06AF" w:rsidRDefault="001967D2"/>
    <w:p w14:paraId="3F6503FF" w14:textId="2F03A1F9" w:rsidR="00D51892" w:rsidRDefault="000538D5">
      <w:pPr>
        <w:rPr>
          <w:b/>
          <w:bCs/>
        </w:rPr>
      </w:pPr>
      <w:r>
        <w:rPr>
          <w:b/>
          <w:bCs/>
        </w:rPr>
        <w:t>2.2</w:t>
      </w:r>
      <w:r>
        <w:rPr>
          <w:b/>
          <w:bCs/>
        </w:rPr>
        <w:tab/>
      </w:r>
      <w:r w:rsidR="00033498" w:rsidRPr="00C30E13">
        <w:rPr>
          <w:b/>
          <w:bCs/>
        </w:rPr>
        <w:t>Estonia</w:t>
      </w:r>
      <w:r w:rsidR="00BB6986" w:rsidRPr="00C30E13">
        <w:rPr>
          <w:b/>
          <w:bCs/>
        </w:rPr>
        <w:t xml:space="preserve"> – Adult </w:t>
      </w:r>
      <w:r w:rsidR="00707BEB" w:rsidRPr="00C30E13">
        <w:rPr>
          <w:b/>
          <w:bCs/>
        </w:rPr>
        <w:t>Education Act</w:t>
      </w:r>
    </w:p>
    <w:p w14:paraId="68DE0E33" w14:textId="7E5C2227" w:rsidR="00670C3F" w:rsidRPr="00670C3F" w:rsidRDefault="00670C3F">
      <w:r>
        <w:t xml:space="preserve">Positioned within the top 20% of countries within the OECD Adult Skills Audit, </w:t>
      </w:r>
      <w:r w:rsidR="00A1172F">
        <w:t xml:space="preserve">Estonia </w:t>
      </w:r>
      <w:r w:rsidR="00311521">
        <w:t>has had</w:t>
      </w:r>
      <w:r w:rsidR="00C1696C">
        <w:t xml:space="preserve"> an </w:t>
      </w:r>
      <w:hyperlink r:id="rId21" w:history="1">
        <w:r w:rsidR="00C1696C" w:rsidRPr="00D535DC">
          <w:rPr>
            <w:rStyle w:val="Hyperlink"/>
          </w:rPr>
          <w:t>Adult Education Act in place since 1993</w:t>
        </w:r>
      </w:hyperlink>
      <w:r w:rsidR="00C1696C">
        <w:t>, which was updated in</w:t>
      </w:r>
      <w:hyperlink r:id="rId22" w:history="1">
        <w:r w:rsidR="00C1696C" w:rsidRPr="00A844E0">
          <w:rPr>
            <w:rStyle w:val="Hyperlink"/>
          </w:rPr>
          <w:t xml:space="preserve"> 2025</w:t>
        </w:r>
      </w:hyperlink>
      <w:r w:rsidR="00C1696C">
        <w:t xml:space="preserve"> and</w:t>
      </w:r>
      <w:r w:rsidR="002867F4">
        <w:t xml:space="preserve"> forms part of</w:t>
      </w:r>
      <w:r w:rsidR="003155A0">
        <w:t xml:space="preserve"> its</w:t>
      </w:r>
      <w:r w:rsidR="002867F4">
        <w:t xml:space="preserve"> </w:t>
      </w:r>
      <w:hyperlink r:id="rId23" w:history="1">
        <w:r w:rsidR="003155A0" w:rsidRPr="003155A0">
          <w:rPr>
            <w:rStyle w:val="Hyperlink"/>
          </w:rPr>
          <w:t>Education Strategy 2021-2035</w:t>
        </w:r>
      </w:hyperlink>
    </w:p>
    <w:p w14:paraId="39D8704B" w14:textId="208C8DF2" w:rsidR="00033498" w:rsidRDefault="00F4762B">
      <w:r w:rsidRPr="006441D2">
        <w:t>The act writes the right of adults to</w:t>
      </w:r>
      <w:r w:rsidR="006441D2">
        <w:t xml:space="preserve"> develop their skills and knowledge continuously into law</w:t>
      </w:r>
      <w:r w:rsidR="00705BB3">
        <w:t>. It places responsibilities of employers</w:t>
      </w:r>
      <w:r w:rsidR="007448A8">
        <w:t xml:space="preserve"> to support learners through a portion of paid study leave. </w:t>
      </w:r>
      <w:r w:rsidR="00314041">
        <w:t>It also</w:t>
      </w:r>
      <w:r w:rsidR="00B93F1E">
        <w:t xml:space="preserve"> mandates</w:t>
      </w:r>
      <w:r w:rsidR="0051547E">
        <w:t xml:space="preserve"> local and state governments to organise the </w:t>
      </w:r>
      <w:r w:rsidR="0018580B">
        <w:t xml:space="preserve">coordination of adult training and learning to ensure its accessibility to all adults. </w:t>
      </w:r>
    </w:p>
    <w:p w14:paraId="5EC21E50" w14:textId="5BE2902D" w:rsidR="00874990" w:rsidRDefault="00097DC9">
      <w:r>
        <w:t>Again a strong driver for the implementation of the act i</w:t>
      </w:r>
      <w:r w:rsidR="00A575E0">
        <w:t xml:space="preserve">s the upskilling of the adult population for </w:t>
      </w:r>
      <w:r w:rsidR="00FA46DD">
        <w:t xml:space="preserve">economic and employability reasons. </w:t>
      </w:r>
      <w:r w:rsidR="002C5282">
        <w:t xml:space="preserve">In 2025 the Act was amended to include </w:t>
      </w:r>
      <w:r w:rsidR="00A723B0">
        <w:t xml:space="preserve">micro-qualifications and credentials. </w:t>
      </w:r>
      <w:r w:rsidR="002324E7">
        <w:t xml:space="preserve">These help increase the flexibility of the </w:t>
      </w:r>
      <w:r w:rsidR="00270527">
        <w:t xml:space="preserve">learning package. Funding for 26,000 </w:t>
      </w:r>
      <w:r w:rsidR="0090644C">
        <w:t>participant</w:t>
      </w:r>
      <w:r w:rsidR="006F55B2">
        <w:t>s</w:t>
      </w:r>
      <w:r w:rsidR="0090644C">
        <w:t xml:space="preserve"> across 1,500 vocational training courses has also been </w:t>
      </w:r>
      <w:r w:rsidR="00A64525">
        <w:t xml:space="preserve">implemented in 2025-26. </w:t>
      </w:r>
    </w:p>
    <w:p w14:paraId="17B1D12C" w14:textId="61984692" w:rsidR="00A575E0" w:rsidRDefault="007E104A">
      <w:r>
        <w:t>Key Features</w:t>
      </w:r>
    </w:p>
    <w:p w14:paraId="27A31706" w14:textId="7FC98A0A" w:rsidR="00E9295C" w:rsidRDefault="00125281" w:rsidP="007E104A">
      <w:pPr>
        <w:pStyle w:val="ListParagraph"/>
        <w:numPr>
          <w:ilvl w:val="0"/>
          <w:numId w:val="4"/>
        </w:numPr>
      </w:pPr>
      <w:r>
        <w:t>L</w:t>
      </w:r>
      <w:r w:rsidR="00E9295C">
        <w:t>earning opportunities are funded</w:t>
      </w:r>
      <w:r w:rsidR="00AE155C">
        <w:t xml:space="preserve">. </w:t>
      </w:r>
      <w:r w:rsidR="008C3C6B">
        <w:t>New</w:t>
      </w:r>
      <w:r w:rsidR="00E9295C">
        <w:t xml:space="preserve"> limits </w:t>
      </w:r>
      <w:r w:rsidR="008C3C6B">
        <w:t>have been</w:t>
      </w:r>
      <w:r w:rsidR="00E9295C">
        <w:t xml:space="preserve"> </w:t>
      </w:r>
      <w:r w:rsidR="003C0E6D">
        <w:t>placed on adults who ha</w:t>
      </w:r>
      <w:r w:rsidR="008C3C6B">
        <w:t>ve</w:t>
      </w:r>
      <w:r w:rsidR="003C0E6D">
        <w:t xml:space="preserve"> </w:t>
      </w:r>
      <w:r w:rsidR="00AD1DDE">
        <w:t>previously completed study at the same level</w:t>
      </w:r>
      <w:r w:rsidR="008D6EDF">
        <w:t xml:space="preserve">. These learners now </w:t>
      </w:r>
      <w:r w:rsidR="00AD1DDE">
        <w:t>hav</w:t>
      </w:r>
      <w:r w:rsidR="008D6EDF">
        <w:t>e</w:t>
      </w:r>
      <w:r w:rsidR="00AD1DDE">
        <w:t xml:space="preserve"> to </w:t>
      </w:r>
      <w:proofErr w:type="spellStart"/>
      <w:r w:rsidR="00AD1DDE">
        <w:t>self fund</w:t>
      </w:r>
      <w:proofErr w:type="spellEnd"/>
      <w:r w:rsidR="00AD1DDE">
        <w:t xml:space="preserve"> except under certain criteria.</w:t>
      </w:r>
    </w:p>
    <w:p w14:paraId="533B3E08" w14:textId="0E90D48E" w:rsidR="002D0869" w:rsidRDefault="002D0869" w:rsidP="007E104A">
      <w:pPr>
        <w:pStyle w:val="ListParagraph"/>
        <w:numPr>
          <w:ilvl w:val="0"/>
          <w:numId w:val="4"/>
        </w:numPr>
      </w:pPr>
      <w:r>
        <w:t>Whilst supporting a national learning culture i</w:t>
      </w:r>
      <w:r w:rsidR="00F842EC">
        <w:t xml:space="preserve">t appears to favour </w:t>
      </w:r>
      <w:r w:rsidR="00125281">
        <w:t>learning for vocational/ economic reasons</w:t>
      </w:r>
    </w:p>
    <w:p w14:paraId="2196DCBC" w14:textId="77777777" w:rsidR="00A575E0" w:rsidRPr="006441D2" w:rsidRDefault="00A575E0"/>
    <w:p w14:paraId="4D4A581C" w14:textId="748B8951" w:rsidR="00033498" w:rsidRPr="00C30E13" w:rsidRDefault="000538D5">
      <w:pPr>
        <w:rPr>
          <w:b/>
          <w:bCs/>
        </w:rPr>
      </w:pPr>
      <w:r>
        <w:rPr>
          <w:b/>
          <w:bCs/>
        </w:rPr>
        <w:t>2.3</w:t>
      </w:r>
      <w:r>
        <w:rPr>
          <w:b/>
          <w:bCs/>
        </w:rPr>
        <w:tab/>
      </w:r>
      <w:r w:rsidR="00033498" w:rsidRPr="00C30E13">
        <w:rPr>
          <w:b/>
          <w:bCs/>
        </w:rPr>
        <w:t>Canada</w:t>
      </w:r>
      <w:r w:rsidR="00707BEB" w:rsidRPr="00C30E13">
        <w:rPr>
          <w:b/>
          <w:bCs/>
        </w:rPr>
        <w:t xml:space="preserve"> </w:t>
      </w:r>
      <w:r w:rsidR="00C30E13" w:rsidRPr="00C30E13">
        <w:rPr>
          <w:b/>
          <w:bCs/>
        </w:rPr>
        <w:t>–</w:t>
      </w:r>
      <w:r w:rsidR="00707BEB" w:rsidRPr="00C30E13">
        <w:rPr>
          <w:b/>
          <w:bCs/>
        </w:rPr>
        <w:t xml:space="preserve"> </w:t>
      </w:r>
      <w:r w:rsidR="00C30E13" w:rsidRPr="00C30E13">
        <w:rPr>
          <w:b/>
          <w:bCs/>
        </w:rPr>
        <w:t>British Columbia Adult Education Diploma (</w:t>
      </w:r>
      <w:r w:rsidR="00E724AC">
        <w:rPr>
          <w:b/>
          <w:bCs/>
        </w:rPr>
        <w:t xml:space="preserve">Adult </w:t>
      </w:r>
      <w:r w:rsidR="00C30E13" w:rsidRPr="00C30E13">
        <w:rPr>
          <w:b/>
          <w:bCs/>
        </w:rPr>
        <w:t>Dogwood Diploma)</w:t>
      </w:r>
    </w:p>
    <w:p w14:paraId="654A4BE5" w14:textId="71FFB803" w:rsidR="00E20924" w:rsidRDefault="00901EEF">
      <w:r w:rsidRPr="00901EEF">
        <w:t xml:space="preserve">In the top third of </w:t>
      </w:r>
      <w:r>
        <w:t>countries represented in the OECD Adult Skills Audit</w:t>
      </w:r>
      <w:r w:rsidR="00666C21">
        <w:t xml:space="preserve">, </w:t>
      </w:r>
      <w:r w:rsidR="00965B1F">
        <w:t>Canada delegates responsibility for education to it</w:t>
      </w:r>
      <w:r w:rsidR="005B3E8E">
        <w:t xml:space="preserve">s provincial and territorial governments, who follow national standards </w:t>
      </w:r>
      <w:r w:rsidR="003966F5">
        <w:t>which they meet by producing their own curriculums.</w:t>
      </w:r>
    </w:p>
    <w:p w14:paraId="544BC3CA" w14:textId="51047A16" w:rsidR="00E20924" w:rsidRDefault="00DD3377">
      <w:r>
        <w:t>In British Colombia, the</w:t>
      </w:r>
      <w:r w:rsidR="00E424B0">
        <w:t xml:space="preserve"> </w:t>
      </w:r>
      <w:hyperlink r:id="rId24" w:history="1">
        <w:r w:rsidR="00E424B0" w:rsidRPr="00D82287">
          <w:rPr>
            <w:rStyle w:val="Hyperlink"/>
          </w:rPr>
          <w:t>Adult Education Dipl</w:t>
        </w:r>
        <w:r w:rsidR="00666C21" w:rsidRPr="00D82287">
          <w:rPr>
            <w:rStyle w:val="Hyperlink"/>
          </w:rPr>
          <w:t>o</w:t>
        </w:r>
        <w:r w:rsidR="00E424B0" w:rsidRPr="00D82287">
          <w:rPr>
            <w:rStyle w:val="Hyperlink"/>
          </w:rPr>
          <w:t>ma</w:t>
        </w:r>
        <w:r w:rsidR="00486122" w:rsidRPr="00D82287">
          <w:rPr>
            <w:rStyle w:val="Hyperlink"/>
          </w:rPr>
          <w:t xml:space="preserve"> (Dogwood Diploma)</w:t>
        </w:r>
      </w:hyperlink>
      <w:r w:rsidR="00486122">
        <w:t xml:space="preserve"> represents possibly the closest alignment of </w:t>
      </w:r>
      <w:r w:rsidR="005C4E85">
        <w:t xml:space="preserve">formal school curriculum with that </w:t>
      </w:r>
      <w:r w:rsidR="00114FB6">
        <w:t xml:space="preserve">of one </w:t>
      </w:r>
      <w:r w:rsidR="005C4E85">
        <w:t xml:space="preserve">for Adult Learners. </w:t>
      </w:r>
      <w:r w:rsidR="00114FB6">
        <w:t>The province</w:t>
      </w:r>
      <w:r w:rsidR="002D192E">
        <w:t xml:space="preserve">’s High School Diploma requires students to </w:t>
      </w:r>
      <w:r w:rsidR="006C5F8B">
        <w:t xml:space="preserve">gain a minimum of 80  credits in order to graduate High school. </w:t>
      </w:r>
      <w:r w:rsidR="00FD75B0">
        <w:t>Whilst just over a third of the credits</w:t>
      </w:r>
      <w:r w:rsidR="006C5F8B">
        <w:t xml:space="preserve"> </w:t>
      </w:r>
      <w:r w:rsidR="00B234F2">
        <w:t>can be from elective subject</w:t>
      </w:r>
      <w:r w:rsidR="00267856">
        <w:t>s</w:t>
      </w:r>
      <w:r w:rsidR="00B234F2">
        <w:t xml:space="preserve">, there are stipulations for </w:t>
      </w:r>
      <w:r w:rsidR="00267856">
        <w:t xml:space="preserve">the others across a broad subject base, including literacy, language, maths and </w:t>
      </w:r>
      <w:r w:rsidR="00666C21">
        <w:t xml:space="preserve">science. </w:t>
      </w:r>
    </w:p>
    <w:p w14:paraId="5899EB1D" w14:textId="3E357417" w:rsidR="007F4962" w:rsidRDefault="007F4962">
      <w:r>
        <w:t xml:space="preserve">For those who have not acquired the diploma through High School, the province supports </w:t>
      </w:r>
      <w:r w:rsidR="00D74B3D">
        <w:t>learners to attain an adult version of the diploma</w:t>
      </w:r>
      <w:r w:rsidR="00FE5218">
        <w:t xml:space="preserve">. </w:t>
      </w:r>
      <w:r w:rsidR="00983336">
        <w:t>This version requires learners to secure 5 credits</w:t>
      </w:r>
      <w:r w:rsidR="00317F74">
        <w:t>, a language c</w:t>
      </w:r>
      <w:r w:rsidR="00A50688">
        <w:t>o</w:t>
      </w:r>
      <w:r w:rsidR="00317F74">
        <w:t xml:space="preserve">urse, a maths course and 3 electives. </w:t>
      </w:r>
      <w:r w:rsidR="00895AED">
        <w:t xml:space="preserve">Two of these </w:t>
      </w:r>
      <w:r w:rsidR="000178D4">
        <w:t xml:space="preserve">credits can be secured from recognised accredited prior learning. </w:t>
      </w:r>
      <w:r w:rsidR="006030D1">
        <w:t xml:space="preserve">On completion of the programme, adults receive the Adult Education Diploma. </w:t>
      </w:r>
    </w:p>
    <w:p w14:paraId="5C1D2FD9" w14:textId="0FC864A7" w:rsidR="00137C84" w:rsidRDefault="00137C84">
      <w:r>
        <w:t>The primary motivations for adults to complete the programme</w:t>
      </w:r>
      <w:r w:rsidR="00D94128">
        <w:t xml:space="preserve"> appear to be career advancement or to allow them access to </w:t>
      </w:r>
      <w:proofErr w:type="spellStart"/>
      <w:r w:rsidR="00A3570E">
        <w:t>post secondary</w:t>
      </w:r>
      <w:proofErr w:type="spellEnd"/>
      <w:r w:rsidR="00A3570E">
        <w:t xml:space="preserve"> education (</w:t>
      </w:r>
      <w:r w:rsidR="00D76BDF">
        <w:t>c</w:t>
      </w:r>
      <w:r w:rsidR="00A3570E">
        <w:t xml:space="preserve">olleges, </w:t>
      </w:r>
      <w:r w:rsidR="00D76BDF">
        <w:t>u</w:t>
      </w:r>
      <w:r w:rsidR="00A3570E">
        <w:t>niversity etc)</w:t>
      </w:r>
    </w:p>
    <w:p w14:paraId="4EC7558A" w14:textId="35406F21" w:rsidR="00666C21" w:rsidRDefault="00A3570E">
      <w:r>
        <w:t>Key Features</w:t>
      </w:r>
    </w:p>
    <w:p w14:paraId="43A0A71B" w14:textId="283EC6C6" w:rsidR="00A3570E" w:rsidRDefault="007431AE" w:rsidP="00A3570E">
      <w:pPr>
        <w:pStyle w:val="ListParagraph"/>
        <w:numPr>
          <w:ilvl w:val="0"/>
          <w:numId w:val="3"/>
        </w:numPr>
      </w:pPr>
      <w:r>
        <w:t>The programme is accessible and community based</w:t>
      </w:r>
    </w:p>
    <w:p w14:paraId="70966EFE" w14:textId="73ACCCA2" w:rsidR="007431AE" w:rsidRDefault="00F57143" w:rsidP="00A3570E">
      <w:pPr>
        <w:pStyle w:val="ListParagraph"/>
        <w:numPr>
          <w:ilvl w:val="0"/>
          <w:numId w:val="3"/>
        </w:numPr>
      </w:pPr>
      <w:r>
        <w:t>The programme is generally funded for residents (although there may be other associated costs</w:t>
      </w:r>
      <w:r w:rsidR="002812B3">
        <w:t xml:space="preserve"> such as transport/ childcare)</w:t>
      </w:r>
    </w:p>
    <w:p w14:paraId="19C7DDB2" w14:textId="30B4C806" w:rsidR="002812B3" w:rsidRDefault="002812B3" w:rsidP="00A3570E">
      <w:pPr>
        <w:pStyle w:val="ListParagraph"/>
        <w:numPr>
          <w:ilvl w:val="0"/>
          <w:numId w:val="3"/>
        </w:numPr>
      </w:pPr>
      <w:r>
        <w:t xml:space="preserve">The programme is focussed on </w:t>
      </w:r>
      <w:r w:rsidR="00B24721">
        <w:t xml:space="preserve">evidencing a specific level of learning and therefore is not necessarily </w:t>
      </w:r>
      <w:r w:rsidR="002916F1">
        <w:t>a lifelong learning approach</w:t>
      </w:r>
      <w:r w:rsidR="00EE280C">
        <w:t>/ ethos</w:t>
      </w:r>
    </w:p>
    <w:p w14:paraId="77102FA8" w14:textId="6BB7EE72" w:rsidR="00A62F2A" w:rsidRDefault="00A62F2A" w:rsidP="00A3570E">
      <w:pPr>
        <w:pStyle w:val="ListParagraph"/>
        <w:numPr>
          <w:ilvl w:val="0"/>
          <w:numId w:val="3"/>
        </w:numPr>
      </w:pPr>
      <w:r>
        <w:t xml:space="preserve">As the focus is on attaining </w:t>
      </w:r>
      <w:r w:rsidR="000C481B">
        <w:t xml:space="preserve">a version of the High School curriculum, </w:t>
      </w:r>
      <w:r w:rsidR="006F6756">
        <w:t xml:space="preserve">it could be inferred </w:t>
      </w:r>
      <w:r w:rsidR="001B7ED3">
        <w:t xml:space="preserve"> that curriculum is </w:t>
      </w:r>
      <w:r w:rsidR="003A0099">
        <w:t>of greater value</w:t>
      </w:r>
    </w:p>
    <w:p w14:paraId="2FDF5C54" w14:textId="77777777" w:rsidR="00666C21" w:rsidRPr="00901EEF" w:rsidRDefault="00666C21"/>
    <w:p w14:paraId="51B98424" w14:textId="04697043" w:rsidR="00033498" w:rsidRDefault="000538D5">
      <w:pPr>
        <w:rPr>
          <w:b/>
          <w:bCs/>
        </w:rPr>
      </w:pPr>
      <w:r>
        <w:rPr>
          <w:b/>
          <w:bCs/>
        </w:rPr>
        <w:t>2.4</w:t>
      </w:r>
      <w:r>
        <w:rPr>
          <w:b/>
          <w:bCs/>
        </w:rPr>
        <w:tab/>
      </w:r>
      <w:r w:rsidR="00033498" w:rsidRPr="00C30E13">
        <w:rPr>
          <w:b/>
          <w:bCs/>
        </w:rPr>
        <w:t>Wales – The Citizens</w:t>
      </w:r>
      <w:r w:rsidR="008D2875">
        <w:rPr>
          <w:b/>
          <w:bCs/>
        </w:rPr>
        <w:t>’</w:t>
      </w:r>
      <w:r w:rsidR="00033498" w:rsidRPr="00C30E13">
        <w:rPr>
          <w:b/>
          <w:bCs/>
        </w:rPr>
        <w:t xml:space="preserve"> Curriculum</w:t>
      </w:r>
    </w:p>
    <w:p w14:paraId="4BE85019" w14:textId="5B8E839B" w:rsidR="008C77E0" w:rsidRDefault="004A0DB2">
      <w:r>
        <w:t xml:space="preserve">Whilst Wales is not included in the OECD Adult Skills Audit, the </w:t>
      </w:r>
      <w:hyperlink r:id="rId25" w:history="1">
        <w:r w:rsidRPr="001A1608">
          <w:rPr>
            <w:rStyle w:val="Hyperlink"/>
          </w:rPr>
          <w:t>Citizens</w:t>
        </w:r>
        <w:r w:rsidR="00F8350F">
          <w:rPr>
            <w:rStyle w:val="Hyperlink"/>
          </w:rPr>
          <w:t>’</w:t>
        </w:r>
        <w:r w:rsidRPr="001A1608">
          <w:rPr>
            <w:rStyle w:val="Hyperlink"/>
          </w:rPr>
          <w:t xml:space="preserve"> Curriculum</w:t>
        </w:r>
        <w:r w:rsidR="001A1608" w:rsidRPr="001A1608">
          <w:rPr>
            <w:rStyle w:val="Hyperlink"/>
          </w:rPr>
          <w:t xml:space="preserve"> for Wales</w:t>
        </w:r>
      </w:hyperlink>
      <w:r>
        <w:t xml:space="preserve"> has been included here due its alignment with the Scottish context and offering </w:t>
      </w:r>
      <w:r w:rsidR="00645F24">
        <w:t>an insight into the potential for further development of a whole societal curr</w:t>
      </w:r>
      <w:r w:rsidR="008C77E0">
        <w:t>iculum for learning in Scotland.</w:t>
      </w:r>
    </w:p>
    <w:p w14:paraId="3232E36F" w14:textId="3FF24285" w:rsidR="008C77E0" w:rsidRDefault="004B2B70" w:rsidP="004B2B70">
      <w:pPr>
        <w:rPr>
          <w:i/>
          <w:iCs/>
        </w:rPr>
      </w:pPr>
      <w:r>
        <w:t>The aim of the Citizens</w:t>
      </w:r>
      <w:r w:rsidR="00F8350F">
        <w:t>’</w:t>
      </w:r>
      <w:r>
        <w:t xml:space="preserve"> Curriculum </w:t>
      </w:r>
      <w:r w:rsidR="002B3F78">
        <w:t>for</w:t>
      </w:r>
      <w:r>
        <w:t xml:space="preserve"> Wales</w:t>
      </w:r>
      <w:r w:rsidR="00F52F4E">
        <w:t xml:space="preserve"> is to</w:t>
      </w:r>
      <w:r>
        <w:t xml:space="preserve"> </w:t>
      </w:r>
      <w:r w:rsidRPr="004B2B70">
        <w:rPr>
          <w:i/>
          <w:iCs/>
        </w:rPr>
        <w:t>“…</w:t>
      </w:r>
      <w:r w:rsidR="006D2E5F" w:rsidRPr="004B2B70">
        <w:rPr>
          <w:i/>
          <w:iCs/>
        </w:rPr>
        <w:t>help to ensure greater coherence between pre-16 and adult education provision and a balanced adult education offer in Wales that helps equip people with the skills needed to lead healthy, rewarding, and fulfilling lives</w:t>
      </w:r>
      <w:r w:rsidRPr="004B2B70">
        <w:rPr>
          <w:i/>
          <w:iCs/>
        </w:rPr>
        <w:t>”</w:t>
      </w:r>
    </w:p>
    <w:p w14:paraId="1D8FD490" w14:textId="4952BF29" w:rsidR="007F75B5" w:rsidRDefault="007F75B5" w:rsidP="004B2B70">
      <w:r>
        <w:t>The Citizens’ C</w:t>
      </w:r>
      <w:r w:rsidR="00F8350F">
        <w:t>urriculum combines co</w:t>
      </w:r>
      <w:r w:rsidR="00C96766">
        <w:t>-construction with learner</w:t>
      </w:r>
      <w:r w:rsidR="00C34B5F">
        <w:t>s,</w:t>
      </w:r>
      <w:r w:rsidR="00C96766">
        <w:t xml:space="preserve"> with the four principles of the Welsh Curriculum:</w:t>
      </w:r>
    </w:p>
    <w:p w14:paraId="13521D02" w14:textId="77777777" w:rsidR="00C96766" w:rsidRPr="00C96766" w:rsidRDefault="00C96766" w:rsidP="00C96766">
      <w:pPr>
        <w:numPr>
          <w:ilvl w:val="0"/>
          <w:numId w:val="2"/>
        </w:numPr>
      </w:pPr>
      <w:r w:rsidRPr="00C96766">
        <w:t>Ambitious, capable learners who are ready to learn throughout their lives.</w:t>
      </w:r>
    </w:p>
    <w:p w14:paraId="502F8F59" w14:textId="77777777" w:rsidR="00C96766" w:rsidRPr="00C96766" w:rsidRDefault="00C96766" w:rsidP="00C96766">
      <w:pPr>
        <w:numPr>
          <w:ilvl w:val="0"/>
          <w:numId w:val="2"/>
        </w:numPr>
      </w:pPr>
      <w:r w:rsidRPr="00C96766">
        <w:t>Enterprising, creative contributors who are ready to play a full part in life and work.</w:t>
      </w:r>
    </w:p>
    <w:p w14:paraId="4B9B16F5" w14:textId="77777777" w:rsidR="00C96766" w:rsidRPr="00C96766" w:rsidRDefault="00C96766" w:rsidP="00C96766">
      <w:pPr>
        <w:numPr>
          <w:ilvl w:val="0"/>
          <w:numId w:val="2"/>
        </w:numPr>
      </w:pPr>
      <w:r w:rsidRPr="00C96766">
        <w:t>Ethical, informed citizens who are ready to be citizens of Wales and the world.</w:t>
      </w:r>
    </w:p>
    <w:p w14:paraId="17CC95BD" w14:textId="77777777" w:rsidR="00C96766" w:rsidRPr="00C96766" w:rsidRDefault="00C96766" w:rsidP="00C96766">
      <w:pPr>
        <w:numPr>
          <w:ilvl w:val="0"/>
          <w:numId w:val="2"/>
        </w:numPr>
      </w:pPr>
      <w:r w:rsidRPr="00C96766">
        <w:lastRenderedPageBreak/>
        <w:t>Healthy, confident individuals who are ready to lead fulfilling lives as valued members of society.</w:t>
      </w:r>
    </w:p>
    <w:p w14:paraId="78DB7F93" w14:textId="259BCE07" w:rsidR="002B3F78" w:rsidRDefault="00081042" w:rsidP="004B2B70">
      <w:r>
        <w:t xml:space="preserve">The pilot programme in 2023/34 </w:t>
      </w:r>
      <w:r w:rsidR="00CF04BE">
        <w:t>featured 6 test projects</w:t>
      </w:r>
      <w:r w:rsidR="008A473F">
        <w:t xml:space="preserve">, engaging over 400 </w:t>
      </w:r>
      <w:r w:rsidR="00DE5336">
        <w:t xml:space="preserve">learners on the themes of: </w:t>
      </w:r>
      <w:r w:rsidR="00DE5336" w:rsidRPr="00DE5336">
        <w:t> Global citizenship; Community focused schools; Health and wellbeing; Participatory Pedagogy in ESOL; place-based learning for housing association residents; and economically inactive older adults.</w:t>
      </w:r>
      <w:r w:rsidR="00CF04BE">
        <w:t xml:space="preserve"> </w:t>
      </w:r>
    </w:p>
    <w:p w14:paraId="7A49FB90" w14:textId="0CF9D436" w:rsidR="00854C4D" w:rsidRDefault="00177936" w:rsidP="004B2B70">
      <w:r>
        <w:t>Conclusions</w:t>
      </w:r>
    </w:p>
    <w:p w14:paraId="10D421BA" w14:textId="27F8D8AA" w:rsidR="00854C4D" w:rsidRPr="00CA1C78" w:rsidRDefault="00A45A5A" w:rsidP="00854C4D">
      <w:pPr>
        <w:rPr>
          <w:i/>
          <w:iCs/>
        </w:rPr>
      </w:pPr>
      <w:r w:rsidRPr="00CA1C78">
        <w:rPr>
          <w:i/>
          <w:iCs/>
        </w:rPr>
        <w:t>“The</w:t>
      </w:r>
      <w:r w:rsidR="00854C4D" w:rsidRPr="00CA1C78">
        <w:rPr>
          <w:i/>
          <w:iCs/>
        </w:rPr>
        <w:t xml:space="preserve"> pilots demonstrate that when learning begins with adults’ real lives, aspirations, and existing capabilities, engagement deepens and confidence grows.</w:t>
      </w:r>
      <w:r w:rsidR="00E87489" w:rsidRPr="00CA1C78">
        <w:rPr>
          <w:i/>
          <w:iCs/>
        </w:rPr>
        <w:t>”</w:t>
      </w:r>
    </w:p>
    <w:p w14:paraId="73E1877D" w14:textId="01748D8A" w:rsidR="00854C4D" w:rsidRPr="00854C4D" w:rsidRDefault="00426CD9" w:rsidP="00854C4D">
      <w:r>
        <w:t>The ethos o</w:t>
      </w:r>
      <w:r w:rsidR="00E87489">
        <w:t>f</w:t>
      </w:r>
      <w:r>
        <w:t xml:space="preserve"> co-designing learning with participants </w:t>
      </w:r>
      <w:r w:rsidR="00E87489">
        <w:t xml:space="preserve">enabled </w:t>
      </w:r>
      <w:r w:rsidR="00854C4D" w:rsidRPr="00854C4D">
        <w:t xml:space="preserve">the potential </w:t>
      </w:r>
      <w:r w:rsidR="00854C4D" w:rsidRPr="00CA1C78">
        <w:rPr>
          <w:i/>
          <w:iCs/>
        </w:rPr>
        <w:t>for</w:t>
      </w:r>
      <w:r w:rsidR="00E87489" w:rsidRPr="00CA1C78">
        <w:rPr>
          <w:i/>
          <w:iCs/>
        </w:rPr>
        <w:t xml:space="preserve">  “</w:t>
      </w:r>
      <w:r w:rsidR="00854C4D" w:rsidRPr="00CA1C78">
        <w:rPr>
          <w:i/>
          <w:iCs/>
        </w:rPr>
        <w:t>a truly responsive, inclusive model of adult education</w:t>
      </w:r>
      <w:r w:rsidR="00A25827" w:rsidRPr="00CA1C78">
        <w:rPr>
          <w:i/>
          <w:iCs/>
        </w:rPr>
        <w:t xml:space="preserve">… </w:t>
      </w:r>
      <w:r w:rsidR="00F56577" w:rsidRPr="00CA1C78">
        <w:rPr>
          <w:i/>
          <w:iCs/>
        </w:rPr>
        <w:t xml:space="preserve">(and) </w:t>
      </w:r>
      <w:r w:rsidR="00854C4D" w:rsidRPr="00CA1C78">
        <w:rPr>
          <w:i/>
          <w:iCs/>
        </w:rPr>
        <w:t>ensure every adult has access to learning that is relevant, motivating, and rooted in their everyday lives</w:t>
      </w:r>
      <w:r w:rsidR="00F56577" w:rsidRPr="00CA1C78">
        <w:rPr>
          <w:i/>
          <w:iCs/>
        </w:rPr>
        <w:t>”</w:t>
      </w:r>
      <w:r w:rsidR="00C3764E">
        <w:t xml:space="preserve"> </w:t>
      </w:r>
      <w:hyperlink r:id="rId26" w:history="1">
        <w:r w:rsidR="00C3764E" w:rsidRPr="00C3764E">
          <w:rPr>
            <w:rStyle w:val="Hyperlink"/>
          </w:rPr>
          <w:t>(Learning and Work Article 2026)</w:t>
        </w:r>
      </w:hyperlink>
    </w:p>
    <w:p w14:paraId="7637F629" w14:textId="77777777" w:rsidR="001A70C9" w:rsidRDefault="001A70C9" w:rsidP="001A70C9">
      <w:r>
        <w:t xml:space="preserve">Key Features – </w:t>
      </w:r>
    </w:p>
    <w:p w14:paraId="5BEB83D8" w14:textId="6BCD9498" w:rsidR="001A70C9" w:rsidRDefault="001A70C9" w:rsidP="001A70C9">
      <w:pPr>
        <w:pStyle w:val="ListParagraph"/>
        <w:numPr>
          <w:ilvl w:val="0"/>
          <w:numId w:val="1"/>
        </w:numPr>
      </w:pPr>
      <w:r>
        <w:t>I</w:t>
      </w:r>
      <w:r w:rsidR="0050610A">
        <w:t>t i</w:t>
      </w:r>
      <w:r>
        <w:t xml:space="preserve">s a lifelong approach to </w:t>
      </w:r>
      <w:r w:rsidR="008D7CAB">
        <w:t>learning</w:t>
      </w:r>
      <w:r>
        <w:t>.</w:t>
      </w:r>
    </w:p>
    <w:p w14:paraId="752DE688" w14:textId="3BC58BDF" w:rsidR="001A70C9" w:rsidRDefault="008D7CAB" w:rsidP="001A70C9">
      <w:pPr>
        <w:pStyle w:val="ListParagraph"/>
        <w:numPr>
          <w:ilvl w:val="0"/>
          <w:numId w:val="1"/>
        </w:numPr>
      </w:pPr>
      <w:r>
        <w:t>There is clear, consistent alignment of the principles of the formal, school based curriculum being carried through to Adult provision</w:t>
      </w:r>
    </w:p>
    <w:p w14:paraId="7CF1F347" w14:textId="77B2F822" w:rsidR="001A70C9" w:rsidRDefault="008D7CAB" w:rsidP="001A70C9">
      <w:pPr>
        <w:pStyle w:val="ListParagraph"/>
        <w:numPr>
          <w:ilvl w:val="0"/>
          <w:numId w:val="1"/>
        </w:numPr>
      </w:pPr>
      <w:r>
        <w:t>Adopts a strong ethos of co-construction with learners to ensure</w:t>
      </w:r>
      <w:r w:rsidR="00123D7C">
        <w:t xml:space="preserve"> the learning provision</w:t>
      </w:r>
      <w:r w:rsidR="001A70C9">
        <w:t xml:space="preserve"> continuous</w:t>
      </w:r>
      <w:r w:rsidR="00123D7C">
        <w:t>ly</w:t>
      </w:r>
      <w:r w:rsidR="001A70C9">
        <w:t xml:space="preserve"> develo</w:t>
      </w:r>
      <w:r w:rsidR="00123D7C">
        <w:t>ps</w:t>
      </w:r>
      <w:r w:rsidR="001A70C9">
        <w:t xml:space="preserve"> to meet the evolving needs of learners</w:t>
      </w:r>
      <w:r>
        <w:t xml:space="preserve"> </w:t>
      </w:r>
      <w:r w:rsidR="00C97CEE">
        <w:t>whilst being underpinned by the curriculum principles</w:t>
      </w:r>
    </w:p>
    <w:p w14:paraId="4116B195" w14:textId="1580332F" w:rsidR="00854C4D" w:rsidRDefault="001A70C9" w:rsidP="004B2B70">
      <w:pPr>
        <w:pStyle w:val="ListParagraph"/>
        <w:numPr>
          <w:ilvl w:val="0"/>
          <w:numId w:val="1"/>
        </w:numPr>
      </w:pPr>
      <w:r>
        <w:t>Values the holistic impacts of strengthened l</w:t>
      </w:r>
      <w:r w:rsidR="00123D7C">
        <w:t>earning</w:t>
      </w:r>
      <w:r>
        <w:t xml:space="preserve"> across all aspects of an </w:t>
      </w:r>
      <w:proofErr w:type="spellStart"/>
      <w:r>
        <w:t>individuals</w:t>
      </w:r>
      <w:proofErr w:type="spellEnd"/>
      <w:r>
        <w:t xml:space="preserve"> life and </w:t>
      </w:r>
      <w:r w:rsidR="00123D7C">
        <w:t>life stages</w:t>
      </w:r>
    </w:p>
    <w:p w14:paraId="198DDB93" w14:textId="77777777" w:rsidR="00EB66A6" w:rsidRDefault="00EB66A6" w:rsidP="004B2B70"/>
    <w:p w14:paraId="520F21EA" w14:textId="7FA849EA" w:rsidR="002A1A96" w:rsidRDefault="000538D5" w:rsidP="004B2B70">
      <w:pPr>
        <w:rPr>
          <w:b/>
          <w:bCs/>
        </w:rPr>
      </w:pPr>
      <w:r>
        <w:rPr>
          <w:b/>
          <w:bCs/>
        </w:rPr>
        <w:t>3.0</w:t>
      </w:r>
      <w:r>
        <w:rPr>
          <w:b/>
          <w:bCs/>
        </w:rPr>
        <w:tab/>
      </w:r>
      <w:r w:rsidR="00F426E4" w:rsidRPr="00F426E4">
        <w:rPr>
          <w:b/>
          <w:bCs/>
        </w:rPr>
        <w:t>Reflection</w:t>
      </w:r>
      <w:r w:rsidR="002A1A96">
        <w:rPr>
          <w:b/>
          <w:bCs/>
        </w:rPr>
        <w:t>s</w:t>
      </w:r>
    </w:p>
    <w:p w14:paraId="25A00871" w14:textId="48117F2E" w:rsidR="002A6010" w:rsidRDefault="000538D5" w:rsidP="004B2B70">
      <w:pPr>
        <w:rPr>
          <w:b/>
          <w:bCs/>
        </w:rPr>
      </w:pPr>
      <w:r>
        <w:rPr>
          <w:b/>
          <w:bCs/>
        </w:rPr>
        <w:t>3.1</w:t>
      </w:r>
      <w:r>
        <w:rPr>
          <w:b/>
          <w:bCs/>
        </w:rPr>
        <w:tab/>
      </w:r>
      <w:r w:rsidR="00EA31FD">
        <w:rPr>
          <w:b/>
          <w:bCs/>
        </w:rPr>
        <w:t>Alignment with CLD Values</w:t>
      </w:r>
    </w:p>
    <w:p w14:paraId="5396F165" w14:textId="295DC8ED" w:rsidR="001338F3" w:rsidRDefault="001338F3" w:rsidP="004B2B70">
      <w:r w:rsidRPr="000B5ACE">
        <w:t>There are key difference</w:t>
      </w:r>
      <w:r w:rsidR="00B952D1">
        <w:t>s</w:t>
      </w:r>
      <w:r w:rsidRPr="000B5ACE">
        <w:t xml:space="preserve"> between the ethos of the various models</w:t>
      </w:r>
      <w:r w:rsidR="00F500E7" w:rsidRPr="000B5ACE">
        <w:t xml:space="preserve">. The Finnish and Welsh models support a holistic approach to a national learning culture that aligns with the </w:t>
      </w:r>
      <w:proofErr w:type="spellStart"/>
      <w:r w:rsidR="00F500E7" w:rsidRPr="000B5ACE">
        <w:t xml:space="preserve">multi </w:t>
      </w:r>
      <w:r w:rsidR="000B5ACE" w:rsidRPr="000B5ACE">
        <w:t>faceted</w:t>
      </w:r>
      <w:proofErr w:type="spellEnd"/>
      <w:r w:rsidR="000B5ACE" w:rsidRPr="000B5ACE">
        <w:t xml:space="preserve"> aims of CLD provision</w:t>
      </w:r>
      <w:r w:rsidR="000B5ACE">
        <w:t>.</w:t>
      </w:r>
      <w:r w:rsidR="006E5DC9">
        <w:t xml:space="preserve"> There is a seamlessness </w:t>
      </w:r>
      <w:r w:rsidR="00A73CBC">
        <w:t>and parity offered by threading a consistent learning framework across all life ages and stages.</w:t>
      </w:r>
      <w:r w:rsidR="006E5DC9">
        <w:t xml:space="preserve"> </w:t>
      </w:r>
      <w:r w:rsidR="000B5ACE">
        <w:t xml:space="preserve"> These models recognise and </w:t>
      </w:r>
      <w:r w:rsidR="00EC70FD">
        <w:t>appreciate the positive impact of learning across</w:t>
      </w:r>
      <w:r w:rsidR="00BD4989">
        <w:t xml:space="preserve"> these</w:t>
      </w:r>
      <w:r w:rsidR="00EC70FD">
        <w:t xml:space="preserve"> different</w:t>
      </w:r>
      <w:r w:rsidR="00627E7C">
        <w:t xml:space="preserve"> stages. Whilst </w:t>
      </w:r>
      <w:r w:rsidR="00F02678">
        <w:t xml:space="preserve">presenting  frameworks and underpinning principles, the models offer flexibility </w:t>
      </w:r>
      <w:r w:rsidR="00E470DC">
        <w:t>at differ</w:t>
      </w:r>
      <w:r w:rsidR="00ED2253">
        <w:t>ing</w:t>
      </w:r>
      <w:r w:rsidR="00E470DC">
        <w:t xml:space="preserve"> </w:t>
      </w:r>
      <w:r w:rsidR="00ED2253">
        <w:t xml:space="preserve">stages </w:t>
      </w:r>
      <w:r w:rsidR="00E470DC">
        <w:t>to ensure the provision is beneficial to the individual learner needs.</w:t>
      </w:r>
    </w:p>
    <w:p w14:paraId="602D1387" w14:textId="3548550A" w:rsidR="0006558A" w:rsidRDefault="0006558A" w:rsidP="004B2B70">
      <w:pPr>
        <w:rPr>
          <w:b/>
          <w:bCs/>
        </w:rPr>
      </w:pPr>
      <w:r>
        <w:t xml:space="preserve">Whilst the Estonian </w:t>
      </w:r>
      <w:r w:rsidR="00771776">
        <w:t>model</w:t>
      </w:r>
      <w:r>
        <w:t xml:space="preserve"> also support aspects of a</w:t>
      </w:r>
      <w:r w:rsidR="00ED2253">
        <w:t xml:space="preserve"> national</w:t>
      </w:r>
      <w:r>
        <w:t xml:space="preserve"> learning culture, </w:t>
      </w:r>
      <w:r w:rsidR="00771776">
        <w:t>its</w:t>
      </w:r>
      <w:r>
        <w:t xml:space="preserve"> focus </w:t>
      </w:r>
      <w:r w:rsidR="0007023D">
        <w:t xml:space="preserve">is narrower and more directed towards the enhancement of economic and employability outcomes. </w:t>
      </w:r>
      <w:r w:rsidR="00D243E1">
        <w:t xml:space="preserve">In terms of the Canadian model, the focus on </w:t>
      </w:r>
      <w:r w:rsidR="00771776">
        <w:t xml:space="preserve">the attainment of a specific level of learning (the High School Diploma) </w:t>
      </w:r>
      <w:r w:rsidR="008B1258">
        <w:t xml:space="preserve">doesn’t necessarily lend itself to supporting the concept and value of </w:t>
      </w:r>
      <w:proofErr w:type="spellStart"/>
      <w:r w:rsidR="008B1258">
        <w:t>life long</w:t>
      </w:r>
      <w:proofErr w:type="spellEnd"/>
      <w:r w:rsidR="008B1258">
        <w:t xml:space="preserve"> learning</w:t>
      </w:r>
      <w:r w:rsidR="00AE7660">
        <w:t xml:space="preserve"> or the underlying values of CLD.</w:t>
      </w:r>
    </w:p>
    <w:p w14:paraId="22719F58" w14:textId="342C4156" w:rsidR="00EA31FD" w:rsidRPr="00D436A9" w:rsidRDefault="00EA31FD" w:rsidP="0043098C">
      <w:pPr>
        <w:rPr>
          <w:b/>
          <w:bCs/>
        </w:rPr>
      </w:pPr>
      <w:r w:rsidRPr="00D436A9">
        <w:rPr>
          <w:b/>
          <w:bCs/>
        </w:rPr>
        <w:t>3.2</w:t>
      </w:r>
      <w:r w:rsidRPr="00D436A9">
        <w:rPr>
          <w:b/>
          <w:bCs/>
        </w:rPr>
        <w:tab/>
      </w:r>
      <w:r w:rsidR="00D436A9" w:rsidRPr="00D436A9">
        <w:rPr>
          <w:b/>
          <w:bCs/>
        </w:rPr>
        <w:t>Approaches to Lifelong Learning</w:t>
      </w:r>
    </w:p>
    <w:p w14:paraId="326D784A" w14:textId="6248EB24" w:rsidR="0043098C" w:rsidRPr="008433DA" w:rsidRDefault="00EF7B24" w:rsidP="0043098C">
      <w:pPr>
        <w:rPr>
          <w:b/>
          <w:bCs/>
        </w:rPr>
      </w:pPr>
      <w:r>
        <w:t>In</w:t>
      </w:r>
      <w:r w:rsidR="0073349D">
        <w:t xml:space="preserve"> </w:t>
      </w:r>
      <w:r w:rsidR="00A643F8">
        <w:t>some</w:t>
      </w:r>
      <w:r w:rsidR="00F426E4">
        <w:t xml:space="preserve"> of the sources referenced, there was a recognition of the importance of </w:t>
      </w:r>
      <w:r w:rsidR="00EA1668">
        <w:t>sustained lifelong learning as a protective factor not only for the wellbeing</w:t>
      </w:r>
      <w:r w:rsidR="00AF3E59">
        <w:t xml:space="preserve"> and development</w:t>
      </w:r>
      <w:r w:rsidR="00EA1668">
        <w:t xml:space="preserve"> </w:t>
      </w:r>
      <w:r w:rsidR="009C62BB">
        <w:t xml:space="preserve">of the </w:t>
      </w:r>
      <w:r w:rsidR="009C62BB">
        <w:lastRenderedPageBreak/>
        <w:t>individual but also in terms of intergenerational impact. The OECD Audit</w:t>
      </w:r>
      <w:r w:rsidR="007A0B98">
        <w:t xml:space="preserve"> </w:t>
      </w:r>
      <w:r w:rsidR="005B3BFC">
        <w:t xml:space="preserve">correlates </w:t>
      </w:r>
      <w:r w:rsidR="0043098C">
        <w:t>“</w:t>
      </w:r>
      <w:r w:rsidR="0043098C">
        <w:rPr>
          <w:i/>
          <w:iCs/>
        </w:rPr>
        <w:t>a</w:t>
      </w:r>
      <w:r w:rsidR="0043098C" w:rsidRPr="0043098C">
        <w:rPr>
          <w:i/>
          <w:iCs/>
        </w:rPr>
        <w:t>dults with highly educated parents hav</w:t>
      </w:r>
      <w:r w:rsidR="0043098C">
        <w:rPr>
          <w:i/>
          <w:iCs/>
        </w:rPr>
        <w:t>ing</w:t>
      </w:r>
      <w:r w:rsidR="0043098C" w:rsidRPr="0043098C">
        <w:rPr>
          <w:i/>
          <w:iCs/>
        </w:rPr>
        <w:t xml:space="preserve"> better literacy skill levels than those with less educated parents</w:t>
      </w:r>
      <w:r w:rsidR="0043098C">
        <w:rPr>
          <w:i/>
          <w:iCs/>
        </w:rPr>
        <w:t>”</w:t>
      </w:r>
      <w:r w:rsidR="00877C6C">
        <w:rPr>
          <w:i/>
          <w:iCs/>
        </w:rPr>
        <w:t xml:space="preserve">, </w:t>
      </w:r>
      <w:r w:rsidR="00877C6C">
        <w:t xml:space="preserve">whilst the </w:t>
      </w:r>
      <w:r w:rsidR="00311DBB">
        <w:t xml:space="preserve">National Literacy Strategy for Finland </w:t>
      </w:r>
      <w:r w:rsidR="00E905C0">
        <w:t>state</w:t>
      </w:r>
      <w:r w:rsidR="00311DBB">
        <w:t>s “</w:t>
      </w:r>
      <w:r w:rsidR="00311DBB" w:rsidRPr="00AF3E59">
        <w:rPr>
          <w:i/>
          <w:iCs/>
        </w:rPr>
        <w:t>Guardians’ level of education and appreciations affect their capacity to support the literacy of children and young people. The average literacy of young Finnish people has weakened especially in those groups in which the guardians have only completed basic education or in which the appreciation of culture is low</w:t>
      </w:r>
      <w:r w:rsidR="00AF3E59" w:rsidRPr="00AF3E59">
        <w:rPr>
          <w:i/>
          <w:iCs/>
        </w:rPr>
        <w:t>”</w:t>
      </w:r>
      <w:r w:rsidR="008433DA">
        <w:t xml:space="preserve"> This </w:t>
      </w:r>
      <w:r w:rsidR="000F11AF">
        <w:t xml:space="preserve">strengthens </w:t>
      </w:r>
      <w:r w:rsidR="00C75CD6">
        <w:t xml:space="preserve">the role of CLD </w:t>
      </w:r>
      <w:r w:rsidR="00DD4452">
        <w:t>to support</w:t>
      </w:r>
      <w:r w:rsidR="00282B81">
        <w:t xml:space="preserve"> individ</w:t>
      </w:r>
      <w:r w:rsidR="006C7C78">
        <w:t xml:space="preserve">uals to continue to develop and learn beyond </w:t>
      </w:r>
      <w:r w:rsidR="00DD4452">
        <w:t>school</w:t>
      </w:r>
      <w:r w:rsidR="007672B4">
        <w:t>, with learning offers that take cognisance of the learners current needs and interests.</w:t>
      </w:r>
    </w:p>
    <w:p w14:paraId="7050BB24" w14:textId="77777777" w:rsidR="00223CF7" w:rsidRDefault="00223CF7" w:rsidP="004B2B70"/>
    <w:p w14:paraId="0FDC9B5D" w14:textId="75FFF377" w:rsidR="009A764D" w:rsidRPr="009A764D" w:rsidRDefault="00223CF7" w:rsidP="004B2B70">
      <w:pPr>
        <w:rPr>
          <w:b/>
          <w:bCs/>
        </w:rPr>
      </w:pPr>
      <w:r w:rsidRPr="009A764D">
        <w:rPr>
          <w:b/>
          <w:bCs/>
        </w:rPr>
        <w:t>3.3</w:t>
      </w:r>
      <w:r w:rsidRPr="009A764D">
        <w:rPr>
          <w:b/>
          <w:bCs/>
        </w:rPr>
        <w:tab/>
        <w:t xml:space="preserve">Flexibility </w:t>
      </w:r>
      <w:r w:rsidR="009A764D" w:rsidRPr="009A764D">
        <w:rPr>
          <w:b/>
          <w:bCs/>
        </w:rPr>
        <w:t>of Approach</w:t>
      </w:r>
    </w:p>
    <w:p w14:paraId="4B1DF35D" w14:textId="4757D6EA" w:rsidR="00306AB4" w:rsidRDefault="00306AB4" w:rsidP="004B2B70">
      <w:r>
        <w:t xml:space="preserve">A concern voiced by CLD practitioners around the adoption of </w:t>
      </w:r>
      <w:r w:rsidR="00E10E5E">
        <w:t>a curriculum model is the loss of flexibility to</w:t>
      </w:r>
      <w:r w:rsidR="00AD258B">
        <w:t xml:space="preserve"> ensure</w:t>
      </w:r>
      <w:r w:rsidR="00E10E5E">
        <w:t xml:space="preserve"> the</w:t>
      </w:r>
      <w:r w:rsidR="00B42CCB">
        <w:t xml:space="preserve"> professional</w:t>
      </w:r>
      <w:r w:rsidR="00E10E5E">
        <w:t xml:space="preserve"> </w:t>
      </w:r>
      <w:r w:rsidR="006F5BBA">
        <w:t>value</w:t>
      </w:r>
      <w:r w:rsidR="00AD258B">
        <w:t xml:space="preserve"> of</w:t>
      </w:r>
      <w:r w:rsidR="006F5BBA">
        <w:t xml:space="preserve"> learner </w:t>
      </w:r>
      <w:proofErr w:type="spellStart"/>
      <w:r w:rsidR="006F5BBA">
        <w:t>self determinism</w:t>
      </w:r>
      <w:proofErr w:type="spellEnd"/>
      <w:r w:rsidR="006F5BBA">
        <w:t xml:space="preserve"> is embedded across practice</w:t>
      </w:r>
      <w:r w:rsidR="00AD258B">
        <w:t xml:space="preserve">. </w:t>
      </w:r>
      <w:r w:rsidR="00C43D32">
        <w:t>One solution to alleviate this fear</w:t>
      </w:r>
      <w:r w:rsidR="00C22E09">
        <w:t xml:space="preserve"> may</w:t>
      </w:r>
      <w:r w:rsidR="00C43D32">
        <w:t xml:space="preserve"> be the inclusion</w:t>
      </w:r>
      <w:r w:rsidR="00CE6F25">
        <w:t xml:space="preserve"> of learners in the</w:t>
      </w:r>
      <w:r w:rsidR="00C43D32">
        <w:t xml:space="preserve"> </w:t>
      </w:r>
      <w:r w:rsidR="00CE6F25">
        <w:t xml:space="preserve">co-construction/ co-design of the curriculum, as evidenced in the Welsh </w:t>
      </w:r>
      <w:r w:rsidR="00310CFA">
        <w:t>m</w:t>
      </w:r>
      <w:r w:rsidR="00CE6F25">
        <w:t xml:space="preserve">odel. </w:t>
      </w:r>
    </w:p>
    <w:p w14:paraId="6EF25D97" w14:textId="27F0F876" w:rsidR="00515ACC" w:rsidRPr="00306AB4" w:rsidRDefault="00515ACC" w:rsidP="004B2B70">
      <w:r>
        <w:t xml:space="preserve">There </w:t>
      </w:r>
      <w:r w:rsidR="00662C27">
        <w:t xml:space="preserve">are definite strengths in fostering a national culture of learning that </w:t>
      </w:r>
      <w:r w:rsidR="00BE7D9E">
        <w:t>is cognisant of learner ambitions</w:t>
      </w:r>
      <w:r w:rsidR="0078538C">
        <w:t xml:space="preserve"> and need at different stages. CLD has </w:t>
      </w:r>
      <w:r w:rsidR="00536F6C">
        <w:t xml:space="preserve">great potential to contribute to the creation of such a culture </w:t>
      </w:r>
      <w:r w:rsidR="003D376C">
        <w:t xml:space="preserve">but </w:t>
      </w:r>
      <w:r w:rsidR="00393977">
        <w:t>it</w:t>
      </w:r>
      <w:r w:rsidR="00C559CE">
        <w:t>s ro</w:t>
      </w:r>
      <w:r w:rsidR="00256BA3">
        <w:t>l</w:t>
      </w:r>
      <w:r w:rsidR="00C559CE">
        <w:t xml:space="preserve">e would need to be sensitive to how it maintains its alignment with the values and principles of the profession. </w:t>
      </w:r>
    </w:p>
    <w:p w14:paraId="5AA0B5E2" w14:textId="77777777" w:rsidR="003C2D81" w:rsidRDefault="003C2D81" w:rsidP="004B2B70">
      <w:pPr>
        <w:rPr>
          <w:b/>
          <w:bCs/>
        </w:rPr>
      </w:pPr>
    </w:p>
    <w:p w14:paraId="42BA938E" w14:textId="556E20BC" w:rsidR="006D6E45" w:rsidRPr="00671ED5" w:rsidRDefault="00A873B1" w:rsidP="004B2B70">
      <w:pPr>
        <w:rPr>
          <w:b/>
          <w:bCs/>
        </w:rPr>
      </w:pPr>
      <w:r>
        <w:rPr>
          <w:b/>
          <w:bCs/>
        </w:rPr>
        <w:t>4.0</w:t>
      </w:r>
      <w:r>
        <w:rPr>
          <w:b/>
          <w:bCs/>
        </w:rPr>
        <w:tab/>
        <w:t>Conclusion</w:t>
      </w:r>
    </w:p>
    <w:p w14:paraId="651E0578" w14:textId="7F4B77AF" w:rsidR="00592FC8" w:rsidRDefault="00EF3873" w:rsidP="004B2B70">
      <w:r>
        <w:t>There</w:t>
      </w:r>
      <w:r w:rsidR="006D6E45">
        <w:t xml:space="preserve"> are understandable concerns from the workforce around rigidity </w:t>
      </w:r>
      <w:r w:rsidR="002361DB">
        <w:t>and</w:t>
      </w:r>
      <w:r w:rsidR="0033169C">
        <w:t xml:space="preserve"> in</w:t>
      </w:r>
      <w:r w:rsidR="002361DB">
        <w:t xml:space="preserve">flexibility of a greater synergy between CLD practice and </w:t>
      </w:r>
      <w:r w:rsidR="00FA17E3">
        <w:t>a</w:t>
      </w:r>
      <w:r w:rsidR="002361DB">
        <w:t xml:space="preserve"> national curriculum</w:t>
      </w:r>
      <w:r w:rsidR="00573C99">
        <w:t>. The outstanding worry that</w:t>
      </w:r>
      <w:r w:rsidR="00B102BC">
        <w:t xml:space="preserve"> affiliation with </w:t>
      </w:r>
      <w:r w:rsidR="0032159D">
        <w:t xml:space="preserve">a </w:t>
      </w:r>
      <w:r w:rsidR="00B102BC">
        <w:t>directive approach</w:t>
      </w:r>
      <w:r w:rsidR="00480CDE">
        <w:t xml:space="preserve"> would</w:t>
      </w:r>
      <w:r w:rsidR="00280BB0">
        <w:t xml:space="preserve">  </w:t>
      </w:r>
      <w:r w:rsidR="00436ECE">
        <w:t xml:space="preserve">erode the </w:t>
      </w:r>
      <w:r w:rsidR="00592FC8">
        <w:t>professional</w:t>
      </w:r>
      <w:r w:rsidR="00EC08D7">
        <w:t xml:space="preserve"> ethos and values of CLD</w:t>
      </w:r>
      <w:r w:rsidR="00592FC8">
        <w:t xml:space="preserve"> are further reinforced by the perception of a focus on the 3-</w:t>
      </w:r>
      <w:proofErr w:type="spellStart"/>
      <w:r w:rsidR="00592FC8">
        <w:t>18</w:t>
      </w:r>
      <w:r w:rsidR="00565321">
        <w:t>yr</w:t>
      </w:r>
      <w:proofErr w:type="spellEnd"/>
      <w:r w:rsidR="001D7779">
        <w:t xml:space="preserve"> school based,</w:t>
      </w:r>
      <w:r w:rsidR="00565321">
        <w:t xml:space="preserve"> learner cohort. </w:t>
      </w:r>
      <w:r w:rsidR="00E233E5">
        <w:t xml:space="preserve">As it stands the term ‘curriculum’ for many, evokes a </w:t>
      </w:r>
      <w:r w:rsidR="001E1D22">
        <w:t xml:space="preserve">hierarchy of learning </w:t>
      </w:r>
      <w:r w:rsidR="00B42C06">
        <w:t xml:space="preserve">that is prescriptive </w:t>
      </w:r>
      <w:r w:rsidR="00AD1898">
        <w:t>and not cognisant of individual learner aspiration</w:t>
      </w:r>
      <w:r w:rsidR="008D3562">
        <w:t xml:space="preserve"> or the holistic needs of learners</w:t>
      </w:r>
      <w:r w:rsidR="00AD1898">
        <w:t>.</w:t>
      </w:r>
      <w:r w:rsidR="00B42C06">
        <w:t xml:space="preserve"> </w:t>
      </w:r>
    </w:p>
    <w:p w14:paraId="3FD6EE0B" w14:textId="6723BEE1" w:rsidR="00B42C06" w:rsidRDefault="00B42C06" w:rsidP="004B2B70">
      <w:r>
        <w:t xml:space="preserve">Reflection on the international context has shown </w:t>
      </w:r>
      <w:r w:rsidR="000A534C">
        <w:t>the possibility of a different reality. Here, there is a tru</w:t>
      </w:r>
      <w:r w:rsidR="009468D1">
        <w:t xml:space="preserve">e ethos of </w:t>
      </w:r>
      <w:r w:rsidR="00EB3AE9">
        <w:t>a learning culture which is</w:t>
      </w:r>
      <w:r w:rsidR="009468D1">
        <w:t xml:space="preserve"> value</w:t>
      </w:r>
      <w:r w:rsidR="00EB3AE9">
        <w:t>d</w:t>
      </w:r>
      <w:r w:rsidR="009468D1">
        <w:t xml:space="preserve"> throughout life, with different needs at different stages all supported and recognised</w:t>
      </w:r>
      <w:r w:rsidR="00AD1898">
        <w:t xml:space="preserve"> and the potential for learners being at the </w:t>
      </w:r>
      <w:r w:rsidR="00982D67">
        <w:t>heart</w:t>
      </w:r>
      <w:r w:rsidR="00AD1898">
        <w:t xml:space="preserve"> of co-designing their own curriculum. </w:t>
      </w:r>
    </w:p>
    <w:p w14:paraId="4C53B053" w14:textId="237FE2A8" w:rsidR="00AD1898" w:rsidRDefault="00C14B26" w:rsidP="004B2B70">
      <w:r>
        <w:t xml:space="preserve">So for practitioners, managers and leaders this </w:t>
      </w:r>
      <w:r w:rsidR="006A08B6">
        <w:t xml:space="preserve">begs the question - </w:t>
      </w:r>
    </w:p>
    <w:p w14:paraId="436A63FD" w14:textId="36AAAA4A" w:rsidR="003C2D81" w:rsidRPr="003D376C" w:rsidRDefault="003C2D81" w:rsidP="004B2B70">
      <w:r w:rsidRPr="003D376C">
        <w:t xml:space="preserve">What might </w:t>
      </w:r>
      <w:r w:rsidR="00FD4B91" w:rsidRPr="003D376C">
        <w:t>a</w:t>
      </w:r>
      <w:r w:rsidR="00AC190C" w:rsidRPr="003D376C">
        <w:t xml:space="preserve"> cohesive, all age</w:t>
      </w:r>
      <w:r w:rsidR="00FD4B91" w:rsidRPr="003D376C">
        <w:t xml:space="preserve"> national curriculum</w:t>
      </w:r>
      <w:r w:rsidR="001F78D0" w:rsidRPr="003D376C">
        <w:t>/model</w:t>
      </w:r>
      <w:r w:rsidR="00FD4B91" w:rsidRPr="003D376C">
        <w:t xml:space="preserve"> look like at local and regional level</w:t>
      </w:r>
      <w:r w:rsidR="006A162C" w:rsidRPr="003D376C">
        <w:t>s in Scotland</w:t>
      </w:r>
      <w:r w:rsidR="00FD4B91" w:rsidRPr="003D376C">
        <w:t>?</w:t>
      </w:r>
      <w:r w:rsidR="00F624B2" w:rsidRPr="003D376C">
        <w:t xml:space="preserve"> </w:t>
      </w:r>
      <w:r w:rsidR="006A162C" w:rsidRPr="003D376C">
        <w:t>W</w:t>
      </w:r>
      <w:r w:rsidR="00F624B2" w:rsidRPr="003D376C">
        <w:t>hat impact might it have on learners?</w:t>
      </w:r>
      <w:r w:rsidR="00885785" w:rsidRPr="003D376C">
        <w:t xml:space="preserve"> What roles might different education and learning providers </w:t>
      </w:r>
      <w:r w:rsidR="000B7327" w:rsidRPr="003D376C">
        <w:t>play?</w:t>
      </w:r>
      <w:r w:rsidR="006A162C" w:rsidRPr="003D376C">
        <w:t xml:space="preserve"> </w:t>
      </w:r>
    </w:p>
    <w:p w14:paraId="46FB4CCA" w14:textId="2FB10E72" w:rsidR="006A162C" w:rsidRDefault="006A162C" w:rsidP="004B2B70">
      <w:r w:rsidRPr="003D376C">
        <w:t>As CLD practitioners, how might we ensure congruence with such a model and ou</w:t>
      </w:r>
      <w:r w:rsidR="00BD1E54" w:rsidRPr="003D376C">
        <w:t>r</w:t>
      </w:r>
      <w:r w:rsidRPr="003D376C">
        <w:t xml:space="preserve"> professional values and principles?</w:t>
      </w:r>
    </w:p>
    <w:p w14:paraId="01E036D0" w14:textId="6CA3FB8D" w:rsidR="006A08B6" w:rsidRDefault="006A08B6" w:rsidP="004B2B70">
      <w:r>
        <w:t xml:space="preserve">Overall, how can the creation of </w:t>
      </w:r>
      <w:r w:rsidR="00043076">
        <w:t xml:space="preserve">Scottish Learning culture, embedded throughout society and supported by </w:t>
      </w:r>
      <w:r w:rsidR="00381291">
        <w:t>a diverse range of players</w:t>
      </w:r>
      <w:r w:rsidR="00EA3C63">
        <w:t xml:space="preserve"> facilitate</w:t>
      </w:r>
      <w:r w:rsidR="00381291">
        <w:t xml:space="preserve"> our national ambitions across, </w:t>
      </w:r>
      <w:r w:rsidR="00EA3C63">
        <w:t>He</w:t>
      </w:r>
      <w:r w:rsidR="00381291">
        <w:t xml:space="preserve">alth, </w:t>
      </w:r>
      <w:r w:rsidR="00EA3C63">
        <w:t>W</w:t>
      </w:r>
      <w:r w:rsidR="00381291">
        <w:t xml:space="preserve">ellbeing, </w:t>
      </w:r>
      <w:r w:rsidR="00EA3C63">
        <w:t>P</w:t>
      </w:r>
      <w:r w:rsidR="00381291">
        <w:t xml:space="preserve">overty, </w:t>
      </w:r>
      <w:r w:rsidR="002F5C50">
        <w:t xml:space="preserve">Education </w:t>
      </w:r>
      <w:r w:rsidR="00EA3C63">
        <w:t>and E</w:t>
      </w:r>
      <w:r w:rsidR="00381291">
        <w:t>conomic</w:t>
      </w:r>
      <w:r w:rsidR="00EA3C63">
        <w:t xml:space="preserve">s? </w:t>
      </w:r>
    </w:p>
    <w:p w14:paraId="61D84E29" w14:textId="77777777" w:rsidR="00A642B2" w:rsidRDefault="00A642B2" w:rsidP="00EE3C1D">
      <w:pPr>
        <w:rPr>
          <w:b/>
          <w:bCs/>
        </w:rPr>
      </w:pPr>
    </w:p>
    <w:p w14:paraId="68861E09" w14:textId="12DA7572" w:rsidR="00EE3C1D" w:rsidRPr="00EE3C1D" w:rsidRDefault="00EE3C1D" w:rsidP="00EE3C1D">
      <w:r w:rsidRPr="00EE3C1D">
        <w:rPr>
          <w:b/>
          <w:bCs/>
        </w:rPr>
        <w:lastRenderedPageBreak/>
        <w:t>References</w:t>
      </w:r>
    </w:p>
    <w:p w14:paraId="7C3B1C1A" w14:textId="77777777" w:rsidR="00EE3C1D" w:rsidRPr="00EE3C1D" w:rsidRDefault="00EE3C1D" w:rsidP="00EE3C1D">
      <w:r w:rsidRPr="00EE3C1D">
        <w:t xml:space="preserve">Adult Education Act (1993). </w:t>
      </w:r>
      <w:r w:rsidRPr="00EE3C1D">
        <w:rPr>
          <w:i/>
          <w:iCs/>
        </w:rPr>
        <w:t>Adult Education Act in place since 1993</w:t>
      </w:r>
      <w:r w:rsidRPr="00EE3C1D">
        <w:t xml:space="preserve">. Finnish Government. Available at: </w:t>
      </w:r>
      <w:hyperlink r:id="rId27" w:tgtFrame="_new" w:history="1">
        <w:r w:rsidRPr="00EE3C1D">
          <w:rPr>
            <w:rStyle w:val="Hyperlink"/>
          </w:rPr>
          <w:t>https://www.finland.fi</w:t>
        </w:r>
      </w:hyperlink>
      <w:r w:rsidRPr="00EE3C1D">
        <w:t xml:space="preserve"> [Accessed 25 Mar. 2026].</w:t>
      </w:r>
    </w:p>
    <w:p w14:paraId="02B213AD" w14:textId="77777777" w:rsidR="00EE3C1D" w:rsidRPr="00EE3C1D" w:rsidRDefault="00EE3C1D" w:rsidP="00EE3C1D">
      <w:r w:rsidRPr="00EE3C1D">
        <w:t xml:space="preserve">British Columbia Adult Graduation Diploma Program (n.d.). </w:t>
      </w:r>
      <w:r w:rsidRPr="00EE3C1D">
        <w:rPr>
          <w:i/>
          <w:iCs/>
        </w:rPr>
        <w:t>British Columbia Adult Graduation Diploma Program - Province of British Columbia</w:t>
      </w:r>
      <w:r w:rsidRPr="00EE3C1D">
        <w:t xml:space="preserve">. Government of British Columbia. Available at: </w:t>
      </w:r>
      <w:hyperlink r:id="rId28" w:tgtFrame="_new" w:history="1">
        <w:r w:rsidRPr="00EE3C1D">
          <w:rPr>
            <w:rStyle w:val="Hyperlink"/>
          </w:rPr>
          <w:t>https://www.bced.gov.bc.ca</w:t>
        </w:r>
      </w:hyperlink>
      <w:r w:rsidRPr="00EE3C1D">
        <w:t xml:space="preserve"> [Accessed 25 Mar. 2026].</w:t>
      </w:r>
    </w:p>
    <w:p w14:paraId="04A97BA3" w14:textId="77777777" w:rsidR="00EE3C1D" w:rsidRPr="00EE3C1D" w:rsidRDefault="00EE3C1D" w:rsidP="00EE3C1D">
      <w:r w:rsidRPr="00EE3C1D">
        <w:t xml:space="preserve">CLD Standards Council for Scotland (n.d.). </w:t>
      </w:r>
      <w:r w:rsidRPr="00EE3C1D">
        <w:rPr>
          <w:i/>
          <w:iCs/>
        </w:rPr>
        <w:t>The CLD Standards Council for Scotland</w:t>
      </w:r>
      <w:r w:rsidRPr="00EE3C1D">
        <w:t>. Available at: https://www.cldstandardscouncil.org.uk [Accessed 25 Mar. 2026].</w:t>
      </w:r>
    </w:p>
    <w:p w14:paraId="74F8E100" w14:textId="77777777" w:rsidR="00EE3C1D" w:rsidRPr="00EE3C1D" w:rsidRDefault="00EE3C1D" w:rsidP="00EE3C1D">
      <w:r w:rsidRPr="00EE3C1D">
        <w:t xml:space="preserve">Citizens’ Curriculum for Wales (n.d.). </w:t>
      </w:r>
      <w:r w:rsidRPr="00EE3C1D">
        <w:rPr>
          <w:i/>
          <w:iCs/>
        </w:rPr>
        <w:t>Citizens’ Curriculum for Wales</w:t>
      </w:r>
      <w:r w:rsidRPr="00EE3C1D">
        <w:t xml:space="preserve">. Welsh Government. Available at: </w:t>
      </w:r>
      <w:hyperlink r:id="rId29" w:tgtFrame="_new" w:history="1">
        <w:r w:rsidRPr="00EE3C1D">
          <w:rPr>
            <w:rStyle w:val="Hyperlink"/>
          </w:rPr>
          <w:t>https://gov.wales</w:t>
        </w:r>
      </w:hyperlink>
      <w:r w:rsidRPr="00EE3C1D">
        <w:t xml:space="preserve"> [Accessed 25 Mar. 2026].</w:t>
      </w:r>
    </w:p>
    <w:p w14:paraId="0ADCA418" w14:textId="77777777" w:rsidR="00EE3C1D" w:rsidRPr="00EE3C1D" w:rsidRDefault="00EE3C1D" w:rsidP="00EE3C1D">
      <w:r w:rsidRPr="00EE3C1D">
        <w:t xml:space="preserve">Duke of Edinburgh’s Award (n.d.). </w:t>
      </w:r>
      <w:r w:rsidRPr="00EE3C1D">
        <w:rPr>
          <w:i/>
          <w:iCs/>
        </w:rPr>
        <w:t>Duke of Edinburgh’s Award</w:t>
      </w:r>
      <w:r w:rsidRPr="00EE3C1D">
        <w:t xml:space="preserve">. Available at: </w:t>
      </w:r>
      <w:hyperlink r:id="rId30" w:tgtFrame="_new" w:history="1">
        <w:r w:rsidRPr="00EE3C1D">
          <w:rPr>
            <w:rStyle w:val="Hyperlink"/>
          </w:rPr>
          <w:t>https://www.dofe.org</w:t>
        </w:r>
      </w:hyperlink>
      <w:r w:rsidRPr="00EE3C1D">
        <w:t xml:space="preserve"> [Accessed 25 Mar. 2026].</w:t>
      </w:r>
    </w:p>
    <w:p w14:paraId="4D8FF506" w14:textId="77777777" w:rsidR="00EE3C1D" w:rsidRPr="00EE3C1D" w:rsidRDefault="00EE3C1D" w:rsidP="00EE3C1D">
      <w:r w:rsidRPr="00EE3C1D">
        <w:t xml:space="preserve">Education Strategy 2021–2035 (2021). </w:t>
      </w:r>
      <w:r w:rsidRPr="00EE3C1D">
        <w:rPr>
          <w:i/>
          <w:iCs/>
        </w:rPr>
        <w:t>Education Strategy 2021–2035</w:t>
      </w:r>
      <w:r w:rsidRPr="00EE3C1D">
        <w:t xml:space="preserve">. Scottish Government. Available at: </w:t>
      </w:r>
      <w:hyperlink r:id="rId31" w:tgtFrame="_new" w:history="1">
        <w:r w:rsidRPr="00EE3C1D">
          <w:rPr>
            <w:rStyle w:val="Hyperlink"/>
          </w:rPr>
          <w:t>https://www.gov.scot</w:t>
        </w:r>
      </w:hyperlink>
      <w:r w:rsidRPr="00EE3C1D">
        <w:t xml:space="preserve"> [Accessed 25 Mar. 2026].</w:t>
      </w:r>
    </w:p>
    <w:p w14:paraId="26B7CBE3" w14:textId="77777777" w:rsidR="00EE3C1D" w:rsidRPr="00EE3C1D" w:rsidRDefault="00EE3C1D" w:rsidP="00EE3C1D">
      <w:r w:rsidRPr="00EE3C1D">
        <w:t xml:space="preserve">ESOL Strategy for Scotland (2007). </w:t>
      </w:r>
      <w:r w:rsidRPr="00EE3C1D">
        <w:rPr>
          <w:i/>
          <w:iCs/>
        </w:rPr>
        <w:t>ESOL Strategy for Scotland 2007</w:t>
      </w:r>
      <w:r w:rsidRPr="00EE3C1D">
        <w:t xml:space="preserve">. Scottish Government. Available at: </w:t>
      </w:r>
      <w:hyperlink r:id="rId32" w:tgtFrame="_new" w:history="1">
        <w:r w:rsidRPr="00EE3C1D">
          <w:rPr>
            <w:rStyle w:val="Hyperlink"/>
          </w:rPr>
          <w:t>https://www.gov.scot</w:t>
        </w:r>
      </w:hyperlink>
      <w:r w:rsidRPr="00EE3C1D">
        <w:t xml:space="preserve"> [Accessed 25 Mar. 2026].</w:t>
      </w:r>
    </w:p>
    <w:p w14:paraId="74157BBC" w14:textId="77777777" w:rsidR="00EE3C1D" w:rsidRPr="00EE3C1D" w:rsidRDefault="00EE3C1D" w:rsidP="00EE3C1D">
      <w:r w:rsidRPr="00EE3C1D">
        <w:t xml:space="preserve">Glow CIC Blog (n.d.). </w:t>
      </w:r>
      <w:r w:rsidRPr="00EE3C1D">
        <w:rPr>
          <w:i/>
          <w:iCs/>
        </w:rPr>
        <w:t>Glow CIC Blog</w:t>
      </w:r>
      <w:r w:rsidRPr="00EE3C1D">
        <w:t>. Available at: https://www.glowcic.com [Accessed 25 Mar. 2026].</w:t>
      </w:r>
    </w:p>
    <w:p w14:paraId="7738C4F1" w14:textId="77777777" w:rsidR="00EE3C1D" w:rsidRPr="00EE3C1D" w:rsidRDefault="00EE3C1D" w:rsidP="00EE3C1D">
      <w:r w:rsidRPr="00EE3C1D">
        <w:t>Health Inequalities in the Community (</w:t>
      </w:r>
      <w:proofErr w:type="spellStart"/>
      <w:r w:rsidRPr="00EE3C1D">
        <w:t>HIIC</w:t>
      </w:r>
      <w:proofErr w:type="spellEnd"/>
      <w:r w:rsidRPr="00EE3C1D">
        <w:t xml:space="preserve">) (n.d.). </w:t>
      </w:r>
      <w:r w:rsidRPr="00EE3C1D">
        <w:rPr>
          <w:i/>
          <w:iCs/>
        </w:rPr>
        <w:t>Health Inequalities in the Community (</w:t>
      </w:r>
      <w:proofErr w:type="spellStart"/>
      <w:r w:rsidRPr="00EE3C1D">
        <w:rPr>
          <w:i/>
          <w:iCs/>
        </w:rPr>
        <w:t>HIIC</w:t>
      </w:r>
      <w:proofErr w:type="spellEnd"/>
      <w:r w:rsidRPr="00EE3C1D">
        <w:rPr>
          <w:i/>
          <w:iCs/>
        </w:rPr>
        <w:t>) Report</w:t>
      </w:r>
      <w:r w:rsidRPr="00EE3C1D">
        <w:t>. Available at: https://www.hiic.org [Accessed 25 Mar. 2026].</w:t>
      </w:r>
    </w:p>
    <w:p w14:paraId="57E8563F" w14:textId="77777777" w:rsidR="00EE3C1D" w:rsidRPr="00EE3C1D" w:rsidRDefault="00EE3C1D" w:rsidP="00EE3C1D">
      <w:r w:rsidRPr="00EE3C1D">
        <w:t xml:space="preserve">Learning and Work Institute (2026). </w:t>
      </w:r>
      <w:r w:rsidRPr="00EE3C1D">
        <w:rPr>
          <w:i/>
          <w:iCs/>
        </w:rPr>
        <w:t>Learning and Work Article 2026</w:t>
      </w:r>
      <w:r w:rsidRPr="00EE3C1D">
        <w:t>. Learning and Work Institute. Available at: https://www.learningandwork.org.uk [Accessed 25 Mar. 2026].</w:t>
      </w:r>
    </w:p>
    <w:p w14:paraId="0741A31B" w14:textId="77777777" w:rsidR="00EE3C1D" w:rsidRPr="00EE3C1D" w:rsidRDefault="00EE3C1D" w:rsidP="00EE3C1D">
      <w:r w:rsidRPr="00EE3C1D">
        <w:t xml:space="preserve">OECD (2021). </w:t>
      </w:r>
      <w:r w:rsidRPr="00EE3C1D">
        <w:rPr>
          <w:i/>
          <w:iCs/>
        </w:rPr>
        <w:t>OECD Adult Skills Audit</w:t>
      </w:r>
      <w:r w:rsidRPr="00EE3C1D">
        <w:t xml:space="preserve">. OECD Publishing. Available at: </w:t>
      </w:r>
      <w:hyperlink r:id="rId33" w:tgtFrame="_new" w:history="1">
        <w:r w:rsidRPr="00EE3C1D">
          <w:rPr>
            <w:rStyle w:val="Hyperlink"/>
          </w:rPr>
          <w:t>https://www.oecd.org</w:t>
        </w:r>
      </w:hyperlink>
      <w:r w:rsidRPr="00EE3C1D">
        <w:t xml:space="preserve"> [Accessed 25 Mar. 2026].</w:t>
      </w:r>
    </w:p>
    <w:p w14:paraId="7C1AEBB7" w14:textId="77777777" w:rsidR="00EE3C1D" w:rsidRPr="00EE3C1D" w:rsidRDefault="00EE3C1D" w:rsidP="00EE3C1D">
      <w:r w:rsidRPr="00EE3C1D">
        <w:t xml:space="preserve">OECD (2021). </w:t>
      </w:r>
      <w:r w:rsidRPr="00EE3C1D">
        <w:rPr>
          <w:i/>
          <w:iCs/>
        </w:rPr>
        <w:t>2021 OECD Review of Scottish Education</w:t>
      </w:r>
      <w:r w:rsidRPr="00EE3C1D">
        <w:t xml:space="preserve">. OECD Publishing. Available at: </w:t>
      </w:r>
      <w:hyperlink r:id="rId34" w:tgtFrame="_new" w:history="1">
        <w:r w:rsidRPr="00EE3C1D">
          <w:rPr>
            <w:rStyle w:val="Hyperlink"/>
          </w:rPr>
          <w:t>https://www.oecd.org</w:t>
        </w:r>
      </w:hyperlink>
      <w:r w:rsidRPr="00EE3C1D">
        <w:t xml:space="preserve"> [Accessed 25 Mar. 2026].</w:t>
      </w:r>
    </w:p>
    <w:p w14:paraId="2FD1D26D" w14:textId="77777777" w:rsidR="00EE3C1D" w:rsidRPr="00EE3C1D" w:rsidRDefault="00EE3C1D" w:rsidP="00EE3C1D">
      <w:r w:rsidRPr="00EE3C1D">
        <w:t xml:space="preserve">Scottish Government (2025). </w:t>
      </w:r>
      <w:r w:rsidRPr="00EE3C1D">
        <w:rPr>
          <w:i/>
          <w:iCs/>
        </w:rPr>
        <w:t>A Guide to Community Learning and Development in Scotland (2025)</w:t>
      </w:r>
      <w:r w:rsidRPr="00EE3C1D">
        <w:t xml:space="preserve">. Scottish Government. Available at: </w:t>
      </w:r>
      <w:hyperlink r:id="rId35" w:tgtFrame="_new" w:history="1">
        <w:r w:rsidRPr="00EE3C1D">
          <w:rPr>
            <w:rStyle w:val="Hyperlink"/>
          </w:rPr>
          <w:t>https://www.gov.scot</w:t>
        </w:r>
      </w:hyperlink>
      <w:r w:rsidRPr="00EE3C1D">
        <w:t xml:space="preserve"> [Accessed 25 Mar. 2026].</w:t>
      </w:r>
    </w:p>
    <w:p w14:paraId="1F827EAF" w14:textId="77777777" w:rsidR="00EE3C1D" w:rsidRPr="00EE3C1D" w:rsidRDefault="00EE3C1D" w:rsidP="00EE3C1D">
      <w:r w:rsidRPr="00EE3C1D">
        <w:t xml:space="preserve">Scottish Government (n.d.). </w:t>
      </w:r>
      <w:r w:rsidRPr="00EE3C1D">
        <w:rPr>
          <w:i/>
          <w:iCs/>
        </w:rPr>
        <w:t>The Community Learning and Development in Scotland and internationally: Literature review</w:t>
      </w:r>
      <w:r w:rsidRPr="00EE3C1D">
        <w:t xml:space="preserve">. Scottish Government. Available at: </w:t>
      </w:r>
      <w:hyperlink r:id="rId36" w:tgtFrame="_new" w:history="1">
        <w:r w:rsidRPr="00EE3C1D">
          <w:rPr>
            <w:rStyle w:val="Hyperlink"/>
          </w:rPr>
          <w:t>https://www.gov.scot</w:t>
        </w:r>
      </w:hyperlink>
      <w:r w:rsidRPr="00EE3C1D">
        <w:t xml:space="preserve"> [Accessed 25 Mar. 2026].</w:t>
      </w:r>
    </w:p>
    <w:p w14:paraId="6C42C64E" w14:textId="77777777" w:rsidR="00EE3C1D" w:rsidRPr="00EE3C1D" w:rsidRDefault="00EE3C1D" w:rsidP="00EE3C1D">
      <w:r w:rsidRPr="00EE3C1D">
        <w:t xml:space="preserve">The National Literacy Strategy for Finland (n.d.). </w:t>
      </w:r>
      <w:r w:rsidRPr="00EE3C1D">
        <w:rPr>
          <w:i/>
          <w:iCs/>
        </w:rPr>
        <w:t>The National Literacy Strategy for Finland</w:t>
      </w:r>
      <w:r w:rsidRPr="00EE3C1D">
        <w:t xml:space="preserve">. Ministry of Education of Finland. Available at: </w:t>
      </w:r>
      <w:hyperlink r:id="rId37" w:tgtFrame="_new" w:history="1">
        <w:r w:rsidRPr="00EE3C1D">
          <w:rPr>
            <w:rStyle w:val="Hyperlink"/>
          </w:rPr>
          <w:t>https://www.minedu.fi</w:t>
        </w:r>
      </w:hyperlink>
      <w:r w:rsidRPr="00EE3C1D">
        <w:t xml:space="preserve"> [Accessed 25 Mar. 2026].</w:t>
      </w:r>
    </w:p>
    <w:p w14:paraId="009F1027" w14:textId="77777777" w:rsidR="00192BA2" w:rsidRPr="003D376C" w:rsidRDefault="00192BA2" w:rsidP="00EE3C1D"/>
    <w:sectPr w:rsidR="00192BA2" w:rsidRPr="003D37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roximaNova Bol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CC616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D04A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42431C"/>
    <w:multiLevelType w:val="hybridMultilevel"/>
    <w:tmpl w:val="AA38B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96299"/>
    <w:multiLevelType w:val="hybridMultilevel"/>
    <w:tmpl w:val="1A465B30"/>
    <w:lvl w:ilvl="0" w:tplc="2BB2A0D2">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6778CF"/>
    <w:multiLevelType w:val="hybridMultilevel"/>
    <w:tmpl w:val="D5828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4C60C0"/>
    <w:multiLevelType w:val="multilevel"/>
    <w:tmpl w:val="E9B0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7001645">
    <w:abstractNumId w:val="4"/>
  </w:num>
  <w:num w:numId="2" w16cid:durableId="1164082660">
    <w:abstractNumId w:val="5"/>
  </w:num>
  <w:num w:numId="3" w16cid:durableId="692270180">
    <w:abstractNumId w:val="2"/>
  </w:num>
  <w:num w:numId="4" w16cid:durableId="1528176295">
    <w:abstractNumId w:val="3"/>
  </w:num>
  <w:num w:numId="5" w16cid:durableId="1905407584">
    <w:abstractNumId w:val="0"/>
  </w:num>
  <w:num w:numId="6" w16cid:durableId="937714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33"/>
    <w:rsid w:val="000110AB"/>
    <w:rsid w:val="000165D0"/>
    <w:rsid w:val="000178D4"/>
    <w:rsid w:val="00023D6B"/>
    <w:rsid w:val="00033498"/>
    <w:rsid w:val="00043076"/>
    <w:rsid w:val="0004616B"/>
    <w:rsid w:val="000463FE"/>
    <w:rsid w:val="0004660D"/>
    <w:rsid w:val="000538D5"/>
    <w:rsid w:val="00060E7A"/>
    <w:rsid w:val="00060F39"/>
    <w:rsid w:val="0006558A"/>
    <w:rsid w:val="0007023D"/>
    <w:rsid w:val="00081042"/>
    <w:rsid w:val="00091708"/>
    <w:rsid w:val="000974FA"/>
    <w:rsid w:val="00097DC9"/>
    <w:rsid w:val="000A534C"/>
    <w:rsid w:val="000B5ACE"/>
    <w:rsid w:val="000B7327"/>
    <w:rsid w:val="000C27DC"/>
    <w:rsid w:val="000C481B"/>
    <w:rsid w:val="000C4EAE"/>
    <w:rsid w:val="000D6332"/>
    <w:rsid w:val="000D6BB7"/>
    <w:rsid w:val="000E3D7A"/>
    <w:rsid w:val="000E7213"/>
    <w:rsid w:val="000E7B89"/>
    <w:rsid w:val="000F11AF"/>
    <w:rsid w:val="000F61A4"/>
    <w:rsid w:val="00101F73"/>
    <w:rsid w:val="00107355"/>
    <w:rsid w:val="0011373B"/>
    <w:rsid w:val="00114FB6"/>
    <w:rsid w:val="001230B3"/>
    <w:rsid w:val="00123D7C"/>
    <w:rsid w:val="00125281"/>
    <w:rsid w:val="00125EE8"/>
    <w:rsid w:val="00126AE2"/>
    <w:rsid w:val="00127F69"/>
    <w:rsid w:val="00131036"/>
    <w:rsid w:val="001338F3"/>
    <w:rsid w:val="00137C84"/>
    <w:rsid w:val="0014357F"/>
    <w:rsid w:val="00151CBB"/>
    <w:rsid w:val="0015394D"/>
    <w:rsid w:val="00154BF8"/>
    <w:rsid w:val="001562CC"/>
    <w:rsid w:val="00165AE6"/>
    <w:rsid w:val="00165E73"/>
    <w:rsid w:val="00175348"/>
    <w:rsid w:val="00175CB8"/>
    <w:rsid w:val="00177936"/>
    <w:rsid w:val="001804DB"/>
    <w:rsid w:val="00181BB6"/>
    <w:rsid w:val="0018580B"/>
    <w:rsid w:val="00192BA2"/>
    <w:rsid w:val="001967D2"/>
    <w:rsid w:val="001A1608"/>
    <w:rsid w:val="001A520C"/>
    <w:rsid w:val="001A70C9"/>
    <w:rsid w:val="001A7E97"/>
    <w:rsid w:val="001B02BB"/>
    <w:rsid w:val="001B7ED3"/>
    <w:rsid w:val="001C2536"/>
    <w:rsid w:val="001D31B5"/>
    <w:rsid w:val="001D33E8"/>
    <w:rsid w:val="001D4F5D"/>
    <w:rsid w:val="001D52BF"/>
    <w:rsid w:val="001D7779"/>
    <w:rsid w:val="001D7C49"/>
    <w:rsid w:val="001E1D22"/>
    <w:rsid w:val="001F0A57"/>
    <w:rsid w:val="001F78D0"/>
    <w:rsid w:val="0020231B"/>
    <w:rsid w:val="00223CF7"/>
    <w:rsid w:val="00230EFD"/>
    <w:rsid w:val="002324E7"/>
    <w:rsid w:val="0023327D"/>
    <w:rsid w:val="002355D6"/>
    <w:rsid w:val="002361DB"/>
    <w:rsid w:val="00247078"/>
    <w:rsid w:val="00250A75"/>
    <w:rsid w:val="00256BA3"/>
    <w:rsid w:val="00267856"/>
    <w:rsid w:val="00270527"/>
    <w:rsid w:val="00271D95"/>
    <w:rsid w:val="00271DA9"/>
    <w:rsid w:val="00275033"/>
    <w:rsid w:val="00277EE6"/>
    <w:rsid w:val="00280BB0"/>
    <w:rsid w:val="002812B3"/>
    <w:rsid w:val="00281B3A"/>
    <w:rsid w:val="00282B81"/>
    <w:rsid w:val="002864CA"/>
    <w:rsid w:val="002867F4"/>
    <w:rsid w:val="002916F1"/>
    <w:rsid w:val="00294F7C"/>
    <w:rsid w:val="0029673C"/>
    <w:rsid w:val="002A1A96"/>
    <w:rsid w:val="002A29B2"/>
    <w:rsid w:val="002A31CE"/>
    <w:rsid w:val="002A6010"/>
    <w:rsid w:val="002B3F78"/>
    <w:rsid w:val="002B42CE"/>
    <w:rsid w:val="002C0BCD"/>
    <w:rsid w:val="002C1EAC"/>
    <w:rsid w:val="002C1FA2"/>
    <w:rsid w:val="002C5282"/>
    <w:rsid w:val="002D0869"/>
    <w:rsid w:val="002D192E"/>
    <w:rsid w:val="002D2721"/>
    <w:rsid w:val="002E6A9A"/>
    <w:rsid w:val="002F4665"/>
    <w:rsid w:val="002F5C50"/>
    <w:rsid w:val="002F753F"/>
    <w:rsid w:val="00300588"/>
    <w:rsid w:val="003023DC"/>
    <w:rsid w:val="00306AB4"/>
    <w:rsid w:val="00310CFA"/>
    <w:rsid w:val="00311521"/>
    <w:rsid w:val="00311DBB"/>
    <w:rsid w:val="00314041"/>
    <w:rsid w:val="003155A0"/>
    <w:rsid w:val="0031667E"/>
    <w:rsid w:val="00317F74"/>
    <w:rsid w:val="0032159D"/>
    <w:rsid w:val="00321811"/>
    <w:rsid w:val="003221C0"/>
    <w:rsid w:val="0032667B"/>
    <w:rsid w:val="003306EA"/>
    <w:rsid w:val="0033169C"/>
    <w:rsid w:val="00344D12"/>
    <w:rsid w:val="0035033B"/>
    <w:rsid w:val="0035655E"/>
    <w:rsid w:val="00360346"/>
    <w:rsid w:val="0036370C"/>
    <w:rsid w:val="003655A4"/>
    <w:rsid w:val="0036596F"/>
    <w:rsid w:val="00380657"/>
    <w:rsid w:val="00381291"/>
    <w:rsid w:val="00390A05"/>
    <w:rsid w:val="00391699"/>
    <w:rsid w:val="00393977"/>
    <w:rsid w:val="003966F5"/>
    <w:rsid w:val="003970A9"/>
    <w:rsid w:val="003A0099"/>
    <w:rsid w:val="003A2CAF"/>
    <w:rsid w:val="003B08E4"/>
    <w:rsid w:val="003B62EE"/>
    <w:rsid w:val="003B6802"/>
    <w:rsid w:val="003C0E6D"/>
    <w:rsid w:val="003C2D81"/>
    <w:rsid w:val="003C4810"/>
    <w:rsid w:val="003C65C7"/>
    <w:rsid w:val="003D376C"/>
    <w:rsid w:val="003D7E93"/>
    <w:rsid w:val="003E471A"/>
    <w:rsid w:val="003E79B1"/>
    <w:rsid w:val="003F292E"/>
    <w:rsid w:val="004102FF"/>
    <w:rsid w:val="004250F1"/>
    <w:rsid w:val="00426CD9"/>
    <w:rsid w:val="0043098C"/>
    <w:rsid w:val="00432BB7"/>
    <w:rsid w:val="00436ECE"/>
    <w:rsid w:val="00445E14"/>
    <w:rsid w:val="00447E38"/>
    <w:rsid w:val="0046228A"/>
    <w:rsid w:val="00480CDE"/>
    <w:rsid w:val="00486122"/>
    <w:rsid w:val="00491AC2"/>
    <w:rsid w:val="004A06D0"/>
    <w:rsid w:val="004A0DB2"/>
    <w:rsid w:val="004A7555"/>
    <w:rsid w:val="004A7EBD"/>
    <w:rsid w:val="004B2B70"/>
    <w:rsid w:val="004C29AB"/>
    <w:rsid w:val="004C7697"/>
    <w:rsid w:val="004C7EDD"/>
    <w:rsid w:val="004D0137"/>
    <w:rsid w:val="004D20B2"/>
    <w:rsid w:val="004D39D6"/>
    <w:rsid w:val="004D5C06"/>
    <w:rsid w:val="004E38B0"/>
    <w:rsid w:val="004E5714"/>
    <w:rsid w:val="004F02C9"/>
    <w:rsid w:val="0050088F"/>
    <w:rsid w:val="00500E27"/>
    <w:rsid w:val="00503511"/>
    <w:rsid w:val="0050610A"/>
    <w:rsid w:val="00513074"/>
    <w:rsid w:val="00513A0A"/>
    <w:rsid w:val="0051547E"/>
    <w:rsid w:val="00515ACC"/>
    <w:rsid w:val="005168BD"/>
    <w:rsid w:val="00524695"/>
    <w:rsid w:val="00536F6C"/>
    <w:rsid w:val="0054269D"/>
    <w:rsid w:val="00545BCC"/>
    <w:rsid w:val="00562575"/>
    <w:rsid w:val="00565321"/>
    <w:rsid w:val="0056548D"/>
    <w:rsid w:val="00573C99"/>
    <w:rsid w:val="00576E66"/>
    <w:rsid w:val="00576F7D"/>
    <w:rsid w:val="005865AB"/>
    <w:rsid w:val="00591499"/>
    <w:rsid w:val="00592FC8"/>
    <w:rsid w:val="005931AA"/>
    <w:rsid w:val="005966F8"/>
    <w:rsid w:val="00597A1A"/>
    <w:rsid w:val="005A3E5C"/>
    <w:rsid w:val="005B3BFC"/>
    <w:rsid w:val="005B3E8E"/>
    <w:rsid w:val="005B5931"/>
    <w:rsid w:val="005B5A90"/>
    <w:rsid w:val="005B5C3A"/>
    <w:rsid w:val="005B698E"/>
    <w:rsid w:val="005B7AC1"/>
    <w:rsid w:val="005C46E2"/>
    <w:rsid w:val="005C4E85"/>
    <w:rsid w:val="005C772B"/>
    <w:rsid w:val="005D1016"/>
    <w:rsid w:val="005D7393"/>
    <w:rsid w:val="005D7966"/>
    <w:rsid w:val="005E2AC9"/>
    <w:rsid w:val="00600D7A"/>
    <w:rsid w:val="006030D1"/>
    <w:rsid w:val="00606092"/>
    <w:rsid w:val="00610762"/>
    <w:rsid w:val="006109FA"/>
    <w:rsid w:val="00627734"/>
    <w:rsid w:val="00627E7C"/>
    <w:rsid w:val="00630140"/>
    <w:rsid w:val="00630D13"/>
    <w:rsid w:val="00641174"/>
    <w:rsid w:val="00643DE1"/>
    <w:rsid w:val="006441D2"/>
    <w:rsid w:val="0064531C"/>
    <w:rsid w:val="006457DE"/>
    <w:rsid w:val="00645F24"/>
    <w:rsid w:val="006544DA"/>
    <w:rsid w:val="0065641F"/>
    <w:rsid w:val="00662C27"/>
    <w:rsid w:val="00664B6B"/>
    <w:rsid w:val="00666C21"/>
    <w:rsid w:val="00670C3F"/>
    <w:rsid w:val="00671ED5"/>
    <w:rsid w:val="00674467"/>
    <w:rsid w:val="006758A3"/>
    <w:rsid w:val="00675CEA"/>
    <w:rsid w:val="00684763"/>
    <w:rsid w:val="00694297"/>
    <w:rsid w:val="00695840"/>
    <w:rsid w:val="006A08B6"/>
    <w:rsid w:val="006A162C"/>
    <w:rsid w:val="006B3F4C"/>
    <w:rsid w:val="006C1F35"/>
    <w:rsid w:val="006C5392"/>
    <w:rsid w:val="006C5F8B"/>
    <w:rsid w:val="006C7C78"/>
    <w:rsid w:val="006C7CC0"/>
    <w:rsid w:val="006D2E5F"/>
    <w:rsid w:val="006D6E45"/>
    <w:rsid w:val="006E0371"/>
    <w:rsid w:val="006E10E2"/>
    <w:rsid w:val="006E5DC9"/>
    <w:rsid w:val="006E71BF"/>
    <w:rsid w:val="006F55B2"/>
    <w:rsid w:val="006F5BBA"/>
    <w:rsid w:val="006F6756"/>
    <w:rsid w:val="0070182F"/>
    <w:rsid w:val="007034E1"/>
    <w:rsid w:val="00705BB3"/>
    <w:rsid w:val="00706D07"/>
    <w:rsid w:val="00707BEB"/>
    <w:rsid w:val="0071039C"/>
    <w:rsid w:val="00711F24"/>
    <w:rsid w:val="00716A28"/>
    <w:rsid w:val="0073349D"/>
    <w:rsid w:val="00733767"/>
    <w:rsid w:val="007337C5"/>
    <w:rsid w:val="00742FB9"/>
    <w:rsid w:val="007431AE"/>
    <w:rsid w:val="007448A8"/>
    <w:rsid w:val="00744901"/>
    <w:rsid w:val="007471C8"/>
    <w:rsid w:val="00750683"/>
    <w:rsid w:val="00752665"/>
    <w:rsid w:val="00753234"/>
    <w:rsid w:val="007672B4"/>
    <w:rsid w:val="00771776"/>
    <w:rsid w:val="00777973"/>
    <w:rsid w:val="00781269"/>
    <w:rsid w:val="0078538C"/>
    <w:rsid w:val="00792749"/>
    <w:rsid w:val="007952EB"/>
    <w:rsid w:val="007A06AF"/>
    <w:rsid w:val="007A0B98"/>
    <w:rsid w:val="007B0BC0"/>
    <w:rsid w:val="007C12B8"/>
    <w:rsid w:val="007C6B7D"/>
    <w:rsid w:val="007D0213"/>
    <w:rsid w:val="007E104A"/>
    <w:rsid w:val="007E54B7"/>
    <w:rsid w:val="007E6A7D"/>
    <w:rsid w:val="007F0B49"/>
    <w:rsid w:val="007F1425"/>
    <w:rsid w:val="007F4962"/>
    <w:rsid w:val="007F5FE6"/>
    <w:rsid w:val="007F75B5"/>
    <w:rsid w:val="00801753"/>
    <w:rsid w:val="00801C57"/>
    <w:rsid w:val="00805659"/>
    <w:rsid w:val="00813A98"/>
    <w:rsid w:val="00814A3F"/>
    <w:rsid w:val="00823801"/>
    <w:rsid w:val="00825874"/>
    <w:rsid w:val="00835A66"/>
    <w:rsid w:val="008433DA"/>
    <w:rsid w:val="00845B5E"/>
    <w:rsid w:val="00854C4D"/>
    <w:rsid w:val="00864918"/>
    <w:rsid w:val="00865A5C"/>
    <w:rsid w:val="00870141"/>
    <w:rsid w:val="008709DE"/>
    <w:rsid w:val="00873B0D"/>
    <w:rsid w:val="00874990"/>
    <w:rsid w:val="00877C6C"/>
    <w:rsid w:val="00884988"/>
    <w:rsid w:val="00885785"/>
    <w:rsid w:val="00892CEB"/>
    <w:rsid w:val="008942FD"/>
    <w:rsid w:val="00895AED"/>
    <w:rsid w:val="008968F0"/>
    <w:rsid w:val="00897FC1"/>
    <w:rsid w:val="008A220E"/>
    <w:rsid w:val="008A473F"/>
    <w:rsid w:val="008A544F"/>
    <w:rsid w:val="008B1258"/>
    <w:rsid w:val="008B70F4"/>
    <w:rsid w:val="008B761E"/>
    <w:rsid w:val="008C0F91"/>
    <w:rsid w:val="008C2F94"/>
    <w:rsid w:val="008C3C6B"/>
    <w:rsid w:val="008C4F63"/>
    <w:rsid w:val="008C5002"/>
    <w:rsid w:val="008C73D2"/>
    <w:rsid w:val="008C77E0"/>
    <w:rsid w:val="008D2875"/>
    <w:rsid w:val="008D3562"/>
    <w:rsid w:val="008D6EDF"/>
    <w:rsid w:val="008D7CAB"/>
    <w:rsid w:val="008E1969"/>
    <w:rsid w:val="008E4E07"/>
    <w:rsid w:val="008E5888"/>
    <w:rsid w:val="008E65DA"/>
    <w:rsid w:val="008F3BC9"/>
    <w:rsid w:val="008F7369"/>
    <w:rsid w:val="00901EEF"/>
    <w:rsid w:val="00903706"/>
    <w:rsid w:val="009056CC"/>
    <w:rsid w:val="0090644C"/>
    <w:rsid w:val="00915E4A"/>
    <w:rsid w:val="009219E3"/>
    <w:rsid w:val="00924BB7"/>
    <w:rsid w:val="0092645A"/>
    <w:rsid w:val="00946219"/>
    <w:rsid w:val="009464C5"/>
    <w:rsid w:val="009468D1"/>
    <w:rsid w:val="009519E8"/>
    <w:rsid w:val="009620F6"/>
    <w:rsid w:val="009651DB"/>
    <w:rsid w:val="00965B1F"/>
    <w:rsid w:val="00971B46"/>
    <w:rsid w:val="00975AB0"/>
    <w:rsid w:val="00982D67"/>
    <w:rsid w:val="00983336"/>
    <w:rsid w:val="009A0484"/>
    <w:rsid w:val="009A1C03"/>
    <w:rsid w:val="009A6AC4"/>
    <w:rsid w:val="009A764D"/>
    <w:rsid w:val="009B0CCA"/>
    <w:rsid w:val="009B2DD4"/>
    <w:rsid w:val="009B3275"/>
    <w:rsid w:val="009C62BB"/>
    <w:rsid w:val="009D26F9"/>
    <w:rsid w:val="009F2363"/>
    <w:rsid w:val="00A00FB6"/>
    <w:rsid w:val="00A01926"/>
    <w:rsid w:val="00A05C6B"/>
    <w:rsid w:val="00A1172F"/>
    <w:rsid w:val="00A23B14"/>
    <w:rsid w:val="00A25827"/>
    <w:rsid w:val="00A30BA5"/>
    <w:rsid w:val="00A31B92"/>
    <w:rsid w:val="00A352DE"/>
    <w:rsid w:val="00A3570E"/>
    <w:rsid w:val="00A35B72"/>
    <w:rsid w:val="00A402B4"/>
    <w:rsid w:val="00A45A5A"/>
    <w:rsid w:val="00A47E78"/>
    <w:rsid w:val="00A50688"/>
    <w:rsid w:val="00A51061"/>
    <w:rsid w:val="00A575E0"/>
    <w:rsid w:val="00A57651"/>
    <w:rsid w:val="00A61979"/>
    <w:rsid w:val="00A625AC"/>
    <w:rsid w:val="00A62F2A"/>
    <w:rsid w:val="00A642B2"/>
    <w:rsid w:val="00A643F8"/>
    <w:rsid w:val="00A64525"/>
    <w:rsid w:val="00A66999"/>
    <w:rsid w:val="00A70A09"/>
    <w:rsid w:val="00A723B0"/>
    <w:rsid w:val="00A73CBC"/>
    <w:rsid w:val="00A844E0"/>
    <w:rsid w:val="00A84FA4"/>
    <w:rsid w:val="00A873B1"/>
    <w:rsid w:val="00AA2F44"/>
    <w:rsid w:val="00AA7F6E"/>
    <w:rsid w:val="00AB111F"/>
    <w:rsid w:val="00AB5AB5"/>
    <w:rsid w:val="00AC190C"/>
    <w:rsid w:val="00AD16C9"/>
    <w:rsid w:val="00AD1898"/>
    <w:rsid w:val="00AD1DDE"/>
    <w:rsid w:val="00AD258B"/>
    <w:rsid w:val="00AD5F9E"/>
    <w:rsid w:val="00AE0EFF"/>
    <w:rsid w:val="00AE155C"/>
    <w:rsid w:val="00AE24B5"/>
    <w:rsid w:val="00AE3365"/>
    <w:rsid w:val="00AE7660"/>
    <w:rsid w:val="00AE7A17"/>
    <w:rsid w:val="00AF2F04"/>
    <w:rsid w:val="00AF3612"/>
    <w:rsid w:val="00AF3E59"/>
    <w:rsid w:val="00B04979"/>
    <w:rsid w:val="00B102BC"/>
    <w:rsid w:val="00B14938"/>
    <w:rsid w:val="00B164E3"/>
    <w:rsid w:val="00B16A28"/>
    <w:rsid w:val="00B17A6E"/>
    <w:rsid w:val="00B234F2"/>
    <w:rsid w:val="00B24721"/>
    <w:rsid w:val="00B42C06"/>
    <w:rsid w:val="00B42CCB"/>
    <w:rsid w:val="00B50EC8"/>
    <w:rsid w:val="00B5371D"/>
    <w:rsid w:val="00B55C61"/>
    <w:rsid w:val="00B57FBD"/>
    <w:rsid w:val="00B60E02"/>
    <w:rsid w:val="00B65962"/>
    <w:rsid w:val="00B66628"/>
    <w:rsid w:val="00B708A4"/>
    <w:rsid w:val="00B85E19"/>
    <w:rsid w:val="00B93F1E"/>
    <w:rsid w:val="00B952D1"/>
    <w:rsid w:val="00BA1936"/>
    <w:rsid w:val="00BA3469"/>
    <w:rsid w:val="00BB1B92"/>
    <w:rsid w:val="00BB6986"/>
    <w:rsid w:val="00BB7511"/>
    <w:rsid w:val="00BB7E84"/>
    <w:rsid w:val="00BC69D8"/>
    <w:rsid w:val="00BD1E54"/>
    <w:rsid w:val="00BD35B5"/>
    <w:rsid w:val="00BD3E7E"/>
    <w:rsid w:val="00BD4989"/>
    <w:rsid w:val="00BE334E"/>
    <w:rsid w:val="00BE6470"/>
    <w:rsid w:val="00BE7D9E"/>
    <w:rsid w:val="00BF0C8A"/>
    <w:rsid w:val="00BF1DA6"/>
    <w:rsid w:val="00BF2479"/>
    <w:rsid w:val="00BF2C65"/>
    <w:rsid w:val="00BF5A88"/>
    <w:rsid w:val="00C12F38"/>
    <w:rsid w:val="00C14B26"/>
    <w:rsid w:val="00C1617B"/>
    <w:rsid w:val="00C1696C"/>
    <w:rsid w:val="00C22E09"/>
    <w:rsid w:val="00C23B9D"/>
    <w:rsid w:val="00C2529C"/>
    <w:rsid w:val="00C26C2F"/>
    <w:rsid w:val="00C30E13"/>
    <w:rsid w:val="00C34B5F"/>
    <w:rsid w:val="00C3764E"/>
    <w:rsid w:val="00C43D32"/>
    <w:rsid w:val="00C54B6C"/>
    <w:rsid w:val="00C54B76"/>
    <w:rsid w:val="00C54DFA"/>
    <w:rsid w:val="00C559CE"/>
    <w:rsid w:val="00C61AA2"/>
    <w:rsid w:val="00C736C3"/>
    <w:rsid w:val="00C75CD6"/>
    <w:rsid w:val="00C83D0C"/>
    <w:rsid w:val="00C91F47"/>
    <w:rsid w:val="00C93431"/>
    <w:rsid w:val="00C93B35"/>
    <w:rsid w:val="00C94FED"/>
    <w:rsid w:val="00C96766"/>
    <w:rsid w:val="00C97CEE"/>
    <w:rsid w:val="00CA0484"/>
    <w:rsid w:val="00CA1C78"/>
    <w:rsid w:val="00CA7BCF"/>
    <w:rsid w:val="00CA7C08"/>
    <w:rsid w:val="00CC6C6D"/>
    <w:rsid w:val="00CC7E7A"/>
    <w:rsid w:val="00CD4601"/>
    <w:rsid w:val="00CE2518"/>
    <w:rsid w:val="00CE6F25"/>
    <w:rsid w:val="00CF04BE"/>
    <w:rsid w:val="00CF2913"/>
    <w:rsid w:val="00CF35DC"/>
    <w:rsid w:val="00CF3E46"/>
    <w:rsid w:val="00CF48B0"/>
    <w:rsid w:val="00CF5BCE"/>
    <w:rsid w:val="00CF67BC"/>
    <w:rsid w:val="00CF7BEE"/>
    <w:rsid w:val="00D0413B"/>
    <w:rsid w:val="00D17429"/>
    <w:rsid w:val="00D243E1"/>
    <w:rsid w:val="00D30142"/>
    <w:rsid w:val="00D307CE"/>
    <w:rsid w:val="00D346A3"/>
    <w:rsid w:val="00D35921"/>
    <w:rsid w:val="00D41F0A"/>
    <w:rsid w:val="00D436A9"/>
    <w:rsid w:val="00D5108F"/>
    <w:rsid w:val="00D514BB"/>
    <w:rsid w:val="00D51892"/>
    <w:rsid w:val="00D535DC"/>
    <w:rsid w:val="00D54B56"/>
    <w:rsid w:val="00D564C4"/>
    <w:rsid w:val="00D57EF9"/>
    <w:rsid w:val="00D634AA"/>
    <w:rsid w:val="00D7320F"/>
    <w:rsid w:val="00D74B3D"/>
    <w:rsid w:val="00D75778"/>
    <w:rsid w:val="00D76BDF"/>
    <w:rsid w:val="00D806AD"/>
    <w:rsid w:val="00D82287"/>
    <w:rsid w:val="00D90A98"/>
    <w:rsid w:val="00D94128"/>
    <w:rsid w:val="00D954B8"/>
    <w:rsid w:val="00DA2137"/>
    <w:rsid w:val="00DA2749"/>
    <w:rsid w:val="00DC528A"/>
    <w:rsid w:val="00DD1037"/>
    <w:rsid w:val="00DD3377"/>
    <w:rsid w:val="00DD4452"/>
    <w:rsid w:val="00DD548D"/>
    <w:rsid w:val="00DE42AE"/>
    <w:rsid w:val="00DE5336"/>
    <w:rsid w:val="00DF3BD2"/>
    <w:rsid w:val="00DF4282"/>
    <w:rsid w:val="00DF487E"/>
    <w:rsid w:val="00DF500E"/>
    <w:rsid w:val="00DF568B"/>
    <w:rsid w:val="00E07E5A"/>
    <w:rsid w:val="00E10E5E"/>
    <w:rsid w:val="00E148E1"/>
    <w:rsid w:val="00E20924"/>
    <w:rsid w:val="00E233E5"/>
    <w:rsid w:val="00E30BA1"/>
    <w:rsid w:val="00E31323"/>
    <w:rsid w:val="00E402DF"/>
    <w:rsid w:val="00E420AD"/>
    <w:rsid w:val="00E424B0"/>
    <w:rsid w:val="00E470DC"/>
    <w:rsid w:val="00E724AC"/>
    <w:rsid w:val="00E7340A"/>
    <w:rsid w:val="00E87489"/>
    <w:rsid w:val="00E905C0"/>
    <w:rsid w:val="00E9295C"/>
    <w:rsid w:val="00E9707E"/>
    <w:rsid w:val="00EA1668"/>
    <w:rsid w:val="00EA31FD"/>
    <w:rsid w:val="00EA3C63"/>
    <w:rsid w:val="00EA487F"/>
    <w:rsid w:val="00EB05E6"/>
    <w:rsid w:val="00EB3AE9"/>
    <w:rsid w:val="00EB3CD0"/>
    <w:rsid w:val="00EB50E0"/>
    <w:rsid w:val="00EB66A6"/>
    <w:rsid w:val="00EC08D7"/>
    <w:rsid w:val="00EC6628"/>
    <w:rsid w:val="00EC70FD"/>
    <w:rsid w:val="00ED2253"/>
    <w:rsid w:val="00ED4DC6"/>
    <w:rsid w:val="00EE0ED6"/>
    <w:rsid w:val="00EE280C"/>
    <w:rsid w:val="00EE3C1D"/>
    <w:rsid w:val="00EE62BB"/>
    <w:rsid w:val="00EE78F7"/>
    <w:rsid w:val="00EF3873"/>
    <w:rsid w:val="00EF4381"/>
    <w:rsid w:val="00EF7B24"/>
    <w:rsid w:val="00F01829"/>
    <w:rsid w:val="00F02678"/>
    <w:rsid w:val="00F11789"/>
    <w:rsid w:val="00F24733"/>
    <w:rsid w:val="00F26D06"/>
    <w:rsid w:val="00F426E4"/>
    <w:rsid w:val="00F4762B"/>
    <w:rsid w:val="00F500E7"/>
    <w:rsid w:val="00F52F4E"/>
    <w:rsid w:val="00F56577"/>
    <w:rsid w:val="00F57143"/>
    <w:rsid w:val="00F61F4A"/>
    <w:rsid w:val="00F624B2"/>
    <w:rsid w:val="00F6461D"/>
    <w:rsid w:val="00F75A66"/>
    <w:rsid w:val="00F8350F"/>
    <w:rsid w:val="00F842EC"/>
    <w:rsid w:val="00F85EE8"/>
    <w:rsid w:val="00F874D8"/>
    <w:rsid w:val="00F95F76"/>
    <w:rsid w:val="00FA17E3"/>
    <w:rsid w:val="00FA1BD5"/>
    <w:rsid w:val="00FA37E4"/>
    <w:rsid w:val="00FA46DD"/>
    <w:rsid w:val="00FA705F"/>
    <w:rsid w:val="00FB2E6E"/>
    <w:rsid w:val="00FB6F70"/>
    <w:rsid w:val="00FB7813"/>
    <w:rsid w:val="00FC170D"/>
    <w:rsid w:val="00FC5C67"/>
    <w:rsid w:val="00FD4B91"/>
    <w:rsid w:val="00FD566D"/>
    <w:rsid w:val="00FD697A"/>
    <w:rsid w:val="00FD75B0"/>
    <w:rsid w:val="00FE2EFB"/>
    <w:rsid w:val="00FE5218"/>
    <w:rsid w:val="00FE7977"/>
    <w:rsid w:val="00FF1488"/>
    <w:rsid w:val="00FF6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C7A62"/>
  <w15:chartTrackingRefBased/>
  <w15:docId w15:val="{82E43FC0-7D84-4605-89E7-F1B1FB0F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4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7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7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7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7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7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7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7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7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47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7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7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7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7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7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7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733"/>
    <w:rPr>
      <w:rFonts w:eastAsiaTheme="majorEastAsia" w:cstheme="majorBidi"/>
      <w:color w:val="272727" w:themeColor="text1" w:themeTint="D8"/>
    </w:rPr>
  </w:style>
  <w:style w:type="paragraph" w:styleId="Title">
    <w:name w:val="Title"/>
    <w:basedOn w:val="Normal"/>
    <w:next w:val="Normal"/>
    <w:link w:val="TitleChar"/>
    <w:uiPriority w:val="10"/>
    <w:qFormat/>
    <w:rsid w:val="00F24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7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7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733"/>
    <w:pPr>
      <w:spacing w:before="160"/>
      <w:jc w:val="center"/>
    </w:pPr>
    <w:rPr>
      <w:i/>
      <w:iCs/>
      <w:color w:val="404040" w:themeColor="text1" w:themeTint="BF"/>
    </w:rPr>
  </w:style>
  <w:style w:type="character" w:customStyle="1" w:styleId="QuoteChar">
    <w:name w:val="Quote Char"/>
    <w:basedOn w:val="DefaultParagraphFont"/>
    <w:link w:val="Quote"/>
    <w:uiPriority w:val="29"/>
    <w:rsid w:val="00F24733"/>
    <w:rPr>
      <w:i/>
      <w:iCs/>
      <w:color w:val="404040" w:themeColor="text1" w:themeTint="BF"/>
    </w:rPr>
  </w:style>
  <w:style w:type="paragraph" w:styleId="ListParagraph">
    <w:name w:val="List Paragraph"/>
    <w:basedOn w:val="Normal"/>
    <w:uiPriority w:val="34"/>
    <w:qFormat/>
    <w:rsid w:val="00F24733"/>
    <w:pPr>
      <w:ind w:left="720"/>
      <w:contextualSpacing/>
    </w:pPr>
  </w:style>
  <w:style w:type="character" w:styleId="IntenseEmphasis">
    <w:name w:val="Intense Emphasis"/>
    <w:basedOn w:val="DefaultParagraphFont"/>
    <w:uiPriority w:val="21"/>
    <w:qFormat/>
    <w:rsid w:val="00F24733"/>
    <w:rPr>
      <w:i/>
      <w:iCs/>
      <w:color w:val="0F4761" w:themeColor="accent1" w:themeShade="BF"/>
    </w:rPr>
  </w:style>
  <w:style w:type="paragraph" w:styleId="IntenseQuote">
    <w:name w:val="Intense Quote"/>
    <w:basedOn w:val="Normal"/>
    <w:next w:val="Normal"/>
    <w:link w:val="IntenseQuoteChar"/>
    <w:uiPriority w:val="30"/>
    <w:qFormat/>
    <w:rsid w:val="00F24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733"/>
    <w:rPr>
      <w:i/>
      <w:iCs/>
      <w:color w:val="0F4761" w:themeColor="accent1" w:themeShade="BF"/>
    </w:rPr>
  </w:style>
  <w:style w:type="character" w:styleId="IntenseReference">
    <w:name w:val="Intense Reference"/>
    <w:basedOn w:val="DefaultParagraphFont"/>
    <w:uiPriority w:val="32"/>
    <w:qFormat/>
    <w:rsid w:val="00F24733"/>
    <w:rPr>
      <w:b/>
      <w:bCs/>
      <w:smallCaps/>
      <w:color w:val="0F4761" w:themeColor="accent1" w:themeShade="BF"/>
      <w:spacing w:val="5"/>
    </w:rPr>
  </w:style>
  <w:style w:type="character" w:styleId="Hyperlink">
    <w:name w:val="Hyperlink"/>
    <w:basedOn w:val="DefaultParagraphFont"/>
    <w:uiPriority w:val="99"/>
    <w:unhideWhenUsed/>
    <w:rsid w:val="00835A66"/>
    <w:rPr>
      <w:color w:val="467886" w:themeColor="hyperlink"/>
      <w:u w:val="single"/>
    </w:rPr>
  </w:style>
  <w:style w:type="character" w:styleId="UnresolvedMention">
    <w:name w:val="Unresolved Mention"/>
    <w:basedOn w:val="DefaultParagraphFont"/>
    <w:uiPriority w:val="99"/>
    <w:semiHidden/>
    <w:unhideWhenUsed/>
    <w:rsid w:val="00835A66"/>
    <w:rPr>
      <w:color w:val="605E5C"/>
      <w:shd w:val="clear" w:color="auto" w:fill="E1DFDD"/>
    </w:rPr>
  </w:style>
  <w:style w:type="character" w:styleId="FollowedHyperlink">
    <w:name w:val="FollowedHyperlink"/>
    <w:basedOn w:val="DefaultParagraphFont"/>
    <w:uiPriority w:val="99"/>
    <w:semiHidden/>
    <w:unhideWhenUsed/>
    <w:rsid w:val="00924BB7"/>
    <w:rPr>
      <w:color w:val="96607D" w:themeColor="followedHyperlink"/>
      <w:u w:val="single"/>
    </w:rPr>
  </w:style>
  <w:style w:type="character" w:styleId="CommentReference">
    <w:name w:val="annotation reference"/>
    <w:basedOn w:val="DefaultParagraphFont"/>
    <w:uiPriority w:val="99"/>
    <w:semiHidden/>
    <w:unhideWhenUsed/>
    <w:rsid w:val="00D30142"/>
    <w:rPr>
      <w:sz w:val="16"/>
      <w:szCs w:val="16"/>
    </w:rPr>
  </w:style>
  <w:style w:type="paragraph" w:styleId="CommentText">
    <w:name w:val="annotation text"/>
    <w:basedOn w:val="Normal"/>
    <w:link w:val="CommentTextChar"/>
    <w:uiPriority w:val="99"/>
    <w:unhideWhenUsed/>
    <w:rsid w:val="00D30142"/>
    <w:pPr>
      <w:spacing w:line="240" w:lineRule="auto"/>
    </w:pPr>
    <w:rPr>
      <w:sz w:val="20"/>
      <w:szCs w:val="20"/>
    </w:rPr>
  </w:style>
  <w:style w:type="character" w:customStyle="1" w:styleId="CommentTextChar">
    <w:name w:val="Comment Text Char"/>
    <w:basedOn w:val="DefaultParagraphFont"/>
    <w:link w:val="CommentText"/>
    <w:uiPriority w:val="99"/>
    <w:rsid w:val="00D30142"/>
    <w:rPr>
      <w:sz w:val="20"/>
      <w:szCs w:val="20"/>
    </w:rPr>
  </w:style>
  <w:style w:type="paragraph" w:styleId="CommentSubject">
    <w:name w:val="annotation subject"/>
    <w:basedOn w:val="CommentText"/>
    <w:next w:val="CommentText"/>
    <w:link w:val="CommentSubjectChar"/>
    <w:uiPriority w:val="99"/>
    <w:semiHidden/>
    <w:unhideWhenUsed/>
    <w:rsid w:val="00D30142"/>
    <w:rPr>
      <w:b/>
      <w:bCs/>
    </w:rPr>
  </w:style>
  <w:style w:type="character" w:customStyle="1" w:styleId="CommentSubjectChar">
    <w:name w:val="Comment Subject Char"/>
    <w:basedOn w:val="CommentTextChar"/>
    <w:link w:val="CommentSubject"/>
    <w:uiPriority w:val="99"/>
    <w:semiHidden/>
    <w:rsid w:val="00D30142"/>
    <w:rPr>
      <w:b/>
      <w:bCs/>
      <w:sz w:val="20"/>
      <w:szCs w:val="20"/>
    </w:rPr>
  </w:style>
  <w:style w:type="paragraph" w:styleId="Revision">
    <w:name w:val="Revision"/>
    <w:hidden/>
    <w:uiPriority w:val="99"/>
    <w:semiHidden/>
    <w:rsid w:val="00545B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ofe.org/" TargetMode="External"/><Relationship Id="rId18" Type="http://schemas.openxmlformats.org/officeDocument/2006/relationships/hyperlink" Target="chrome-extension://efaidnbmnnnibpcajpcglclefindmkaj/https:/www.oph.fi/sites/default/files/documents/National_literacy_strategy_2030.pdf" TargetMode="External"/><Relationship Id="rId26" Type="http://schemas.openxmlformats.org/officeDocument/2006/relationships/hyperlink" Target="https://learningandwork.org.uk/cy/work/discover-all-our-work-in-wales/challenging-times-time-for-a-challenging-curriculum/" TargetMode="External"/><Relationship Id="rId39" Type="http://schemas.openxmlformats.org/officeDocument/2006/relationships/theme" Target="theme/theme1.xml"/><Relationship Id="rId21" Type="http://schemas.openxmlformats.org/officeDocument/2006/relationships/hyperlink" Target="https://www.riigiteataja.ee/en/eli/517122014002/consolide" TargetMode="External"/><Relationship Id="rId34" Type="http://schemas.openxmlformats.org/officeDocument/2006/relationships/hyperlink" Target="https://www.oecd.org" TargetMode="External"/><Relationship Id="rId7" Type="http://schemas.openxmlformats.org/officeDocument/2006/relationships/hyperlink" Target="https://blogs.glowscotland.org.uk/glowblogs/public/escldportal/uploads/sites/10429/2025/08/15093834/CLD-Discussion-Paper-1-final-140825.pdf" TargetMode="External"/><Relationship Id="rId12" Type="http://schemas.openxmlformats.org/officeDocument/2006/relationships/hyperlink" Target="https://cldstandardscouncil.org.uk/wp-content/uploads/A-Guide-to-Community-Learning-and-Development-in-Scotland.pdf" TargetMode="External"/><Relationship Id="rId17" Type="http://schemas.openxmlformats.org/officeDocument/2006/relationships/hyperlink" Target="https://cldstandardscouncil.org.uk/resources/values-of-cld/" TargetMode="External"/><Relationship Id="rId25" Type="http://schemas.openxmlformats.org/officeDocument/2006/relationships/hyperlink" Target="https://learningandwork.org.uk/cy/work/discover-all-our-work-in-wales/citizens-curriculum/?utm_source=copilot.com" TargetMode="External"/><Relationship Id="rId33" Type="http://schemas.openxmlformats.org/officeDocument/2006/relationships/hyperlink" Target="https://www.oecd.or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scot/publications/community-learning-development-scotland-internationally-literature-review/pages/4/" TargetMode="External"/><Relationship Id="rId20" Type="http://schemas.openxmlformats.org/officeDocument/2006/relationships/hyperlink" Target="https://www.oph.fi/en/statistics-and-publications/publications/national-literacy-strategy-2030" TargetMode="External"/><Relationship Id="rId29" Type="http://schemas.openxmlformats.org/officeDocument/2006/relationships/hyperlink" Target="https://gov.wales" TargetMode="External"/><Relationship Id="rId1" Type="http://schemas.openxmlformats.org/officeDocument/2006/relationships/customXml" Target="../customXml/item1.xml"/><Relationship Id="rId6" Type="http://schemas.openxmlformats.org/officeDocument/2006/relationships/hyperlink" Target="https://www.gov.scot/publications/community-learning-development-scotland-internationally-literature-review/pages/1/" TargetMode="External"/><Relationship Id="rId11" Type="http://schemas.openxmlformats.org/officeDocument/2006/relationships/hyperlink" Target="https://blogs.glowscotland.org.uk/glowblogs/cices/background/" TargetMode="External"/><Relationship Id="rId24" Type="http://schemas.openxmlformats.org/officeDocument/2006/relationships/hyperlink" Target="https://www2.gov.bc.ca/gov/content/education-training/adult-education/graduate-high-school/bc-adult-graduation-diploma-program" TargetMode="External"/><Relationship Id="rId32" Type="http://schemas.openxmlformats.org/officeDocument/2006/relationships/hyperlink" Target="https://www.gov.scot" TargetMode="External"/><Relationship Id="rId37" Type="http://schemas.openxmlformats.org/officeDocument/2006/relationships/hyperlink" Target="https://www.minedu.fi" TargetMode="External"/><Relationship Id="rId5" Type="http://schemas.openxmlformats.org/officeDocument/2006/relationships/webSettings" Target="webSettings.xml"/><Relationship Id="rId15" Type="http://schemas.openxmlformats.org/officeDocument/2006/relationships/hyperlink" Target="https://cldstandardscouncil.org.uk/wp-content/uploads/2015/07/0050036.pdf" TargetMode="External"/><Relationship Id="rId23" Type="http://schemas.openxmlformats.org/officeDocument/2006/relationships/hyperlink" Target="https://www.hm.ee/sites/default/files/documents/2022-10/haridusvaldkonna_arengukava_2035_kinnittaud_vv_eng_0.pdf" TargetMode="External"/><Relationship Id="rId28" Type="http://schemas.openxmlformats.org/officeDocument/2006/relationships/hyperlink" Target="https://www.bced.gov.bc.ca" TargetMode="External"/><Relationship Id="rId36" Type="http://schemas.openxmlformats.org/officeDocument/2006/relationships/hyperlink" Target="https://www.gov.scot" TargetMode="External"/><Relationship Id="rId10" Type="http://schemas.openxmlformats.org/officeDocument/2006/relationships/hyperlink" Target="https://www.oecd.org/en/publications/scotland-s-curriculum-for-excellence_bf624417-en.html" TargetMode="External"/><Relationship Id="rId19" Type="http://schemas.openxmlformats.org/officeDocument/2006/relationships/hyperlink" Target="https://www.oecd.org/en/publications/survey-of-adults-skills-2023-country-notes_ab4f6b8c-en/finland_f8ab67af-en.html" TargetMode="External"/><Relationship Id="rId31" Type="http://schemas.openxmlformats.org/officeDocument/2006/relationships/hyperlink" Target="https://www.gov.scot" TargetMode="External"/><Relationship Id="rId4" Type="http://schemas.openxmlformats.org/officeDocument/2006/relationships/settings" Target="settings.xml"/><Relationship Id="rId9" Type="http://schemas.openxmlformats.org/officeDocument/2006/relationships/hyperlink" Target="https://www.oecd.org/en/publications/do-adults-have-the-skills-they-need-to-thrive-in-a-changing-world_b263dc5d-en.html" TargetMode="External"/><Relationship Id="rId14" Type="http://schemas.openxmlformats.org/officeDocument/2006/relationships/hyperlink" Target="https://www.hiic.org.uk/" TargetMode="External"/><Relationship Id="rId22" Type="http://schemas.openxmlformats.org/officeDocument/2006/relationships/hyperlink" Target="https://www.riigiteataja.ee/en/eli/525042025003/consolide" TargetMode="External"/><Relationship Id="rId27" Type="http://schemas.openxmlformats.org/officeDocument/2006/relationships/hyperlink" Target="https://www.finland.fi" TargetMode="External"/><Relationship Id="rId30" Type="http://schemas.openxmlformats.org/officeDocument/2006/relationships/hyperlink" Target="https://www.dofe.org" TargetMode="External"/><Relationship Id="rId35" Type="http://schemas.openxmlformats.org/officeDocument/2006/relationships/hyperlink" Target="https://www.gov.scot" TargetMode="External"/><Relationship Id="rId8" Type="http://schemas.openxmlformats.org/officeDocument/2006/relationships/hyperlink" Target="https://www.oecd.org/en/publications/do-adults-have-the-skills-they-need-to-thrive-in-a-changing-world_b263dc5d-en.htm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E6349-2E38-4563-B7BB-5B86FA3FD61A}">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3842</Words>
  <Characters>21902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Robertson</dc:creator>
  <cp:keywords/>
  <dc:description/>
  <cp:lastModifiedBy>Laura Starkey</cp:lastModifiedBy>
  <cp:revision>9</cp:revision>
  <dcterms:created xsi:type="dcterms:W3CDTF">2026-03-25T19:30:00Z</dcterms:created>
  <dcterms:modified xsi:type="dcterms:W3CDTF">2026-05-11T11:17:00Z</dcterms:modified>
</cp:coreProperties>
</file>