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962" w:rsidRPr="002554CA" w:rsidRDefault="00050962" w:rsidP="00050962">
      <w:pPr>
        <w:rPr>
          <w:b/>
        </w:rPr>
      </w:pPr>
      <w:bookmarkStart w:id="0" w:name="_GoBack"/>
      <w:bookmarkEnd w:id="0"/>
      <w:r w:rsidRPr="002554CA">
        <w:rPr>
          <w:b/>
        </w:rPr>
        <w:t>Support notes: assessment of literacy</w:t>
      </w:r>
    </w:p>
    <w:p w:rsidR="00050962" w:rsidRDefault="00050962" w:rsidP="00050962">
      <w:r>
        <w:t>The following guidance is to support schools in their understanding of statutory requirements for literacy assessment and to enable them to make decisions about the types of assessment they will use in the intervening periods.</w:t>
      </w:r>
    </w:p>
    <w:p w:rsidR="002F3E91" w:rsidRDefault="002F3E91" w:rsidP="00050962"/>
    <w:p w:rsidR="002F3E91" w:rsidRPr="002554CA" w:rsidRDefault="002F3E91" w:rsidP="00050962">
      <w:pPr>
        <w:rPr>
          <w:b/>
        </w:rPr>
      </w:pPr>
      <w:r w:rsidRPr="002554CA">
        <w:rPr>
          <w:b/>
        </w:rPr>
        <w:t>The context of assessment</w:t>
      </w:r>
    </w:p>
    <w:p w:rsidR="00050962" w:rsidRDefault="00050962" w:rsidP="00050962">
      <w:r>
        <w:t>All decisions around assessment should be made within the context of the key messages of assessment from Education Scotland, namely:</w:t>
      </w:r>
    </w:p>
    <w:p w:rsidR="00050962" w:rsidRDefault="00050962" w:rsidP="00050962">
      <w:r>
        <w:t xml:space="preserve">Assessment should be an integral part of the planning, learning and assessment cycle. Careful thought about the nature of assessments should be built into the planning process from the start and </w:t>
      </w:r>
      <w:r w:rsidR="002F3E91">
        <w:t>class assessments should form part of the collaborative moderation process.</w:t>
      </w:r>
    </w:p>
    <w:p w:rsidR="002F3E91" w:rsidRDefault="002F3E91" w:rsidP="00050962">
      <w:r>
        <w:t>Any decision about the level a pupil has reached should be made after evaluating a range of evidence from that pupil against the relevant Benchmarks, i.e. writing, reading or talking / listening.</w:t>
      </w:r>
    </w:p>
    <w:p w:rsidR="002F3E91" w:rsidRDefault="002F3E91" w:rsidP="00050962">
      <w:r>
        <w:t>Any summative type assessment, including the SNSAs, should only form 1 part of that range of evidence. No individual assessment can determine whether a pupil has achieved a level.</w:t>
      </w:r>
    </w:p>
    <w:p w:rsidR="002F3E91" w:rsidRDefault="002F3E91" w:rsidP="00050962">
      <w:r>
        <w:t xml:space="preserve">All assessments should feed into the next steps for the learner. </w:t>
      </w:r>
    </w:p>
    <w:p w:rsidR="002F3E91" w:rsidRDefault="002F3E91" w:rsidP="00050962"/>
    <w:p w:rsidR="002F3E91" w:rsidRPr="002554CA" w:rsidRDefault="002F3E91" w:rsidP="00050962">
      <w:pPr>
        <w:rPr>
          <w:b/>
        </w:rPr>
      </w:pPr>
      <w:r w:rsidRPr="002554CA">
        <w:rPr>
          <w:b/>
        </w:rPr>
        <w:t>Principles regarding assessment</w:t>
      </w:r>
    </w:p>
    <w:p w:rsidR="002F3E91" w:rsidRDefault="002F3E91" w:rsidP="00050962">
      <w:r>
        <w:t xml:space="preserve">The SNSAs are the government’s national assessments. </w:t>
      </w:r>
      <w:r w:rsidR="00162BED">
        <w:t>Information to support d</w:t>
      </w:r>
      <w:r>
        <w:t xml:space="preserve">ecisions about when and how to use them </w:t>
      </w:r>
      <w:r w:rsidR="00162BED">
        <w:t xml:space="preserve">can be found at </w:t>
      </w:r>
      <w:hyperlink r:id="rId7" w:history="1">
        <w:r w:rsidR="00162BED" w:rsidRPr="0041757F">
          <w:rPr>
            <w:rStyle w:val="Hyperlink"/>
          </w:rPr>
          <w:t>https://blogs.glowscotland.org.uk/ab/sali/</w:t>
        </w:r>
      </w:hyperlink>
      <w:r w:rsidR="00162BED">
        <w:t xml:space="preserve"> where you should click on the assessment and moderation tab.</w:t>
      </w:r>
      <w:r>
        <w:t xml:space="preserve"> </w:t>
      </w:r>
    </w:p>
    <w:p w:rsidR="00162BED" w:rsidRPr="003D725B" w:rsidRDefault="00E7445E" w:rsidP="00050962">
      <w:pPr>
        <w:rPr>
          <w:color w:val="FF0000"/>
        </w:rPr>
      </w:pPr>
      <w:r>
        <w:t xml:space="preserve">In the years of the SNSA, the national guidance is that no other assessment needs to be used. </w:t>
      </w:r>
      <w:r w:rsidR="00162BED">
        <w:t>In the intervening years, it is the schools’ own decision whether or not to use a commercially available assessment. Currently, all schools have access to the York Assessment of Reading for Comprehension (YARC) which offers both a comprehension assessment and a single word / letter-sound analysis. It provides diagnostic information to support the learner as they progress. It is not compulsory to use this although it may help to support teacher judgem</w:t>
      </w:r>
      <w:r w:rsidR="00162BED" w:rsidRPr="00127E4F">
        <w:t>ent.</w:t>
      </w:r>
      <w:r w:rsidR="003D725B" w:rsidRPr="00127E4F">
        <w:t xml:space="preserve"> There are also commercially available products available such as the NGRT from GL. However, the authority is not committed to supporting schools in the purchase of these.</w:t>
      </w:r>
    </w:p>
    <w:p w:rsidR="00162BED" w:rsidRDefault="00162BED" w:rsidP="00050962">
      <w:r>
        <w:t>Commercially available assessments may be used:</w:t>
      </w:r>
    </w:p>
    <w:p w:rsidR="00162BED" w:rsidRDefault="00162BED" w:rsidP="00162BED">
      <w:pPr>
        <w:pStyle w:val="ListParagraph"/>
        <w:numPr>
          <w:ilvl w:val="0"/>
          <w:numId w:val="2"/>
        </w:numPr>
      </w:pPr>
      <w:r>
        <w:t>By a whole class / stage to support planning of learning</w:t>
      </w:r>
    </w:p>
    <w:p w:rsidR="00162BED" w:rsidRDefault="00162BED" w:rsidP="00162BED">
      <w:pPr>
        <w:pStyle w:val="ListParagraph"/>
        <w:numPr>
          <w:ilvl w:val="0"/>
          <w:numId w:val="2"/>
        </w:numPr>
      </w:pPr>
      <w:r>
        <w:t>By individual pupils to identify need / measure impact of an intervention</w:t>
      </w:r>
    </w:p>
    <w:p w:rsidR="00B220C4" w:rsidRDefault="00162BED" w:rsidP="00050962">
      <w:r>
        <w:t xml:space="preserve">Individual schools may choose to use an alternative assessment according to context. In choosing an assessment it is important to consider the extent to which the results can be used diagnostically to support further learning. </w:t>
      </w:r>
      <w:r w:rsidR="005232C3">
        <w:t>Fundamental to any decision should be the teacher’s professional judgement about whether it feeds into the learning of that pupil.</w:t>
      </w:r>
    </w:p>
    <w:p w:rsidR="003D725B" w:rsidRDefault="003D725B" w:rsidP="00050962"/>
    <w:p w:rsidR="005232C3" w:rsidRPr="00E7445E" w:rsidRDefault="005232C3" w:rsidP="00B220C4">
      <w:pPr>
        <w:rPr>
          <w:b/>
          <w:sz w:val="28"/>
          <w:szCs w:val="28"/>
        </w:rPr>
      </w:pPr>
      <w:r w:rsidRPr="005232C3">
        <w:rPr>
          <w:b/>
          <w:sz w:val="28"/>
          <w:szCs w:val="28"/>
        </w:rPr>
        <w:lastRenderedPageBreak/>
        <w:t>Summary: assessment should be focussed the needs of the child and should be diagnostic in nature.</w:t>
      </w:r>
    </w:p>
    <w:p w:rsidR="00B220C4" w:rsidRPr="002554CA" w:rsidRDefault="00B220C4" w:rsidP="00B220C4">
      <w:pPr>
        <w:rPr>
          <w:b/>
        </w:rPr>
      </w:pPr>
      <w:r w:rsidRPr="002554CA">
        <w:rPr>
          <w:b/>
        </w:rPr>
        <w:t>Tracking / Monitoring</w:t>
      </w:r>
    </w:p>
    <w:p w:rsidR="00B220C4" w:rsidRDefault="00B220C4" w:rsidP="00B220C4"/>
    <w:p w:rsidR="00B220C4" w:rsidRDefault="00B220C4" w:rsidP="00B220C4">
      <w:r>
        <w:t xml:space="preserve">While individual schools may have their own tracking and monitoring systems in place, schools should use </w:t>
      </w:r>
      <w:proofErr w:type="spellStart"/>
      <w:r>
        <w:t>SEEMis</w:t>
      </w:r>
      <w:proofErr w:type="spellEnd"/>
      <w:r>
        <w:t xml:space="preserve"> to track pupil progress three times over the course of the session.  This tracking should be completed by key dates to enable the authority to have an overview of progress across all schools. These dates will be during:</w:t>
      </w:r>
    </w:p>
    <w:p w:rsidR="00B220C4" w:rsidRDefault="00B220C4" w:rsidP="00B220C4">
      <w:pPr>
        <w:pStyle w:val="ListParagraph"/>
        <w:numPr>
          <w:ilvl w:val="0"/>
          <w:numId w:val="1"/>
        </w:numPr>
      </w:pPr>
      <w:r>
        <w:t>October</w:t>
      </w:r>
    </w:p>
    <w:p w:rsidR="00B220C4" w:rsidRDefault="00B220C4" w:rsidP="00B220C4">
      <w:pPr>
        <w:pStyle w:val="ListParagraph"/>
        <w:numPr>
          <w:ilvl w:val="0"/>
          <w:numId w:val="1"/>
        </w:numPr>
      </w:pPr>
      <w:r>
        <w:t>February</w:t>
      </w:r>
    </w:p>
    <w:p w:rsidR="00B220C4" w:rsidRDefault="00B220C4" w:rsidP="00B220C4">
      <w:pPr>
        <w:pStyle w:val="ListParagraph"/>
        <w:numPr>
          <w:ilvl w:val="0"/>
          <w:numId w:val="1"/>
        </w:numPr>
      </w:pPr>
      <w:r>
        <w:t>June</w:t>
      </w:r>
    </w:p>
    <w:p w:rsidR="00B220C4" w:rsidRDefault="00B220C4" w:rsidP="00B220C4"/>
    <w:p w:rsidR="00B220C4" w:rsidRDefault="00B220C4" w:rsidP="00B220C4">
      <w:r>
        <w:t>Schools may enter data at any point in the lead up to these key monitoring periods.</w:t>
      </w:r>
    </w:p>
    <w:p w:rsidR="00B220C4" w:rsidRPr="00C94AAB" w:rsidRDefault="00B220C4" w:rsidP="00B220C4">
      <w:pPr>
        <w:rPr>
          <w:b/>
          <w:u w:val="single"/>
        </w:rPr>
      </w:pPr>
      <w:r w:rsidRPr="00C94AAB">
        <w:rPr>
          <w:b/>
          <w:u w:val="single"/>
        </w:rPr>
        <w:t>Early primary tracking</w:t>
      </w:r>
    </w:p>
    <w:p w:rsidR="00B220C4" w:rsidRDefault="00B220C4" w:rsidP="00B220C4">
      <w:r>
        <w:t>During P1 and the early stages of primary, schools should use the literacy trackers from ELC settings in conjunction with the Developmental Milestones Progress Tracker to consider where there are gaps in the foundation skills of their class, as stated within Argyll and Bute’s Early Acquisition of Literacy in P1 document.  Practitioners may wish to continue to track the development of these foundation skills for selected pupils using the ELC literacy tracker during the early stages of P1 and beyond.</w:t>
      </w:r>
    </w:p>
    <w:p w:rsidR="00B220C4" w:rsidRDefault="00B220C4" w:rsidP="00B220C4"/>
    <w:p w:rsidR="00B220C4" w:rsidRDefault="00B220C4" w:rsidP="00B220C4">
      <w:r>
        <w:t>The Northern Alliance emerging literacy resources contain developmental continuums and tracking tools for the following areas:</w:t>
      </w:r>
    </w:p>
    <w:tbl>
      <w:tblPr>
        <w:tblStyle w:val="TableGrid"/>
        <w:tblW w:w="0" w:type="auto"/>
        <w:tblLook w:val="04A0" w:firstRow="1" w:lastRow="0" w:firstColumn="1" w:lastColumn="0" w:noHBand="0" w:noVBand="1"/>
      </w:tblPr>
      <w:tblGrid>
        <w:gridCol w:w="3005"/>
        <w:gridCol w:w="3005"/>
        <w:gridCol w:w="3006"/>
      </w:tblGrid>
      <w:tr w:rsidR="00C94AAB" w:rsidTr="00B06DE0">
        <w:tc>
          <w:tcPr>
            <w:tcW w:w="3005" w:type="dxa"/>
          </w:tcPr>
          <w:p w:rsidR="00C94AAB" w:rsidRDefault="00C94AAB" w:rsidP="00B06DE0">
            <w:r>
              <w:t>AREA</w:t>
            </w:r>
          </w:p>
        </w:tc>
        <w:tc>
          <w:tcPr>
            <w:tcW w:w="3005" w:type="dxa"/>
          </w:tcPr>
          <w:p w:rsidR="00C94AAB" w:rsidRDefault="00C94AAB" w:rsidP="00B06DE0">
            <w:r>
              <w:t>DEVELOPMENTAL CONTINUUM</w:t>
            </w:r>
          </w:p>
        </w:tc>
        <w:tc>
          <w:tcPr>
            <w:tcW w:w="3006" w:type="dxa"/>
          </w:tcPr>
          <w:p w:rsidR="00C94AAB" w:rsidRDefault="00C94AAB" w:rsidP="00B06DE0">
            <w:r>
              <w:t>TRACKING TOOL</w:t>
            </w:r>
          </w:p>
        </w:tc>
      </w:tr>
      <w:tr w:rsidR="00C94AAB" w:rsidTr="00B06DE0">
        <w:tc>
          <w:tcPr>
            <w:tcW w:w="3005" w:type="dxa"/>
          </w:tcPr>
          <w:p w:rsidR="00C94AAB" w:rsidRDefault="00C94AAB" w:rsidP="00B06DE0">
            <w:r>
              <w:t>Concepts of Print</w:t>
            </w:r>
          </w:p>
        </w:tc>
        <w:tc>
          <w:tcPr>
            <w:tcW w:w="3005" w:type="dxa"/>
          </w:tcPr>
          <w:p w:rsidR="00C94AAB" w:rsidRPr="00B220C4" w:rsidRDefault="00C94AAB" w:rsidP="00B06DE0">
            <w:pPr>
              <w:jc w:val="center"/>
              <w:rPr>
                <w:rFonts w:ascii="Wingdings 2" w:hAnsi="Wingdings 2"/>
              </w:rPr>
            </w:pPr>
            <w:r>
              <w:rPr>
                <w:rFonts w:ascii="Wingdings 2" w:hAnsi="Wingdings 2"/>
              </w:rPr>
              <w:t></w:t>
            </w:r>
          </w:p>
        </w:tc>
        <w:tc>
          <w:tcPr>
            <w:tcW w:w="3006" w:type="dxa"/>
          </w:tcPr>
          <w:p w:rsidR="00C94AAB" w:rsidRDefault="00C94AAB" w:rsidP="00B06DE0"/>
        </w:tc>
      </w:tr>
      <w:tr w:rsidR="00C94AAB" w:rsidTr="00B06DE0">
        <w:tc>
          <w:tcPr>
            <w:tcW w:w="3005" w:type="dxa"/>
          </w:tcPr>
          <w:p w:rsidR="00C94AAB" w:rsidRPr="00B220C4" w:rsidRDefault="00C94AAB" w:rsidP="00B06DE0">
            <w:r>
              <w:t>Oral Language: expressive language</w:t>
            </w:r>
          </w:p>
        </w:tc>
        <w:tc>
          <w:tcPr>
            <w:tcW w:w="3005" w:type="dxa"/>
          </w:tcPr>
          <w:p w:rsidR="00C94AAB" w:rsidRPr="00B220C4" w:rsidRDefault="00C94AAB" w:rsidP="00B06DE0">
            <w:pPr>
              <w:jc w:val="center"/>
              <w:rPr>
                <w:rFonts w:ascii="Wingdings 2" w:hAnsi="Wingdings 2"/>
              </w:rPr>
            </w:pPr>
            <w:r>
              <w:rPr>
                <w:rFonts w:ascii="Wingdings 2" w:hAnsi="Wingdings 2"/>
              </w:rPr>
              <w:t></w:t>
            </w:r>
          </w:p>
        </w:tc>
        <w:tc>
          <w:tcPr>
            <w:tcW w:w="3006" w:type="dxa"/>
          </w:tcPr>
          <w:p w:rsidR="00C94AAB" w:rsidRDefault="00C94AAB" w:rsidP="00B06DE0"/>
        </w:tc>
      </w:tr>
      <w:tr w:rsidR="00C94AAB" w:rsidTr="00B06DE0">
        <w:tc>
          <w:tcPr>
            <w:tcW w:w="3005" w:type="dxa"/>
          </w:tcPr>
          <w:p w:rsidR="00C94AAB" w:rsidRDefault="00C94AAB" w:rsidP="00B06DE0">
            <w:r>
              <w:t>Oral language: understanding language</w:t>
            </w:r>
          </w:p>
        </w:tc>
        <w:tc>
          <w:tcPr>
            <w:tcW w:w="3005" w:type="dxa"/>
          </w:tcPr>
          <w:p w:rsidR="00C94AAB" w:rsidRPr="00B220C4" w:rsidRDefault="00C94AAB" w:rsidP="00B06DE0">
            <w:pPr>
              <w:jc w:val="center"/>
              <w:rPr>
                <w:rFonts w:ascii="Wingdings 2" w:hAnsi="Wingdings 2"/>
              </w:rPr>
            </w:pPr>
            <w:r>
              <w:rPr>
                <w:rFonts w:ascii="Wingdings 2" w:hAnsi="Wingdings 2"/>
              </w:rPr>
              <w:t></w:t>
            </w:r>
          </w:p>
        </w:tc>
        <w:tc>
          <w:tcPr>
            <w:tcW w:w="3006" w:type="dxa"/>
          </w:tcPr>
          <w:p w:rsidR="00C94AAB" w:rsidRDefault="00C94AAB" w:rsidP="00B06DE0"/>
        </w:tc>
      </w:tr>
      <w:tr w:rsidR="00C94AAB" w:rsidRPr="00B220C4" w:rsidTr="00B06DE0">
        <w:tc>
          <w:tcPr>
            <w:tcW w:w="3005" w:type="dxa"/>
          </w:tcPr>
          <w:p w:rsidR="00C94AAB" w:rsidRDefault="00C94AAB" w:rsidP="00B06DE0">
            <w:r>
              <w:t>Phonological Awareness</w:t>
            </w:r>
          </w:p>
        </w:tc>
        <w:tc>
          <w:tcPr>
            <w:tcW w:w="3005" w:type="dxa"/>
          </w:tcPr>
          <w:p w:rsidR="00C94AAB" w:rsidRPr="00B220C4" w:rsidRDefault="00C94AAB" w:rsidP="00B06DE0">
            <w:pPr>
              <w:jc w:val="center"/>
              <w:rPr>
                <w:rFonts w:ascii="Wingdings 2" w:hAnsi="Wingdings 2"/>
              </w:rPr>
            </w:pPr>
            <w:r>
              <w:rPr>
                <w:rFonts w:ascii="Wingdings 2" w:hAnsi="Wingdings 2"/>
              </w:rPr>
              <w:t></w:t>
            </w:r>
          </w:p>
        </w:tc>
        <w:tc>
          <w:tcPr>
            <w:tcW w:w="3006" w:type="dxa"/>
          </w:tcPr>
          <w:p w:rsidR="00C94AAB" w:rsidRPr="00B220C4" w:rsidRDefault="00C94AAB" w:rsidP="00B06DE0">
            <w:pPr>
              <w:jc w:val="center"/>
              <w:rPr>
                <w:rFonts w:ascii="Wingdings 2" w:hAnsi="Wingdings 2"/>
              </w:rPr>
            </w:pPr>
            <w:r>
              <w:rPr>
                <w:rFonts w:ascii="Wingdings 2" w:hAnsi="Wingdings 2"/>
              </w:rPr>
              <w:t></w:t>
            </w:r>
          </w:p>
        </w:tc>
      </w:tr>
      <w:tr w:rsidR="00C94AAB" w:rsidRPr="00C94AAB" w:rsidTr="00B06DE0">
        <w:tc>
          <w:tcPr>
            <w:tcW w:w="3005" w:type="dxa"/>
          </w:tcPr>
          <w:p w:rsidR="00C94AAB" w:rsidRDefault="00C94AAB" w:rsidP="00B06DE0">
            <w:r>
              <w:t>Pre-Handwriting</w:t>
            </w:r>
          </w:p>
        </w:tc>
        <w:tc>
          <w:tcPr>
            <w:tcW w:w="3005" w:type="dxa"/>
          </w:tcPr>
          <w:p w:rsidR="00C94AAB" w:rsidRPr="00C94AAB" w:rsidRDefault="00C94AAB" w:rsidP="00B06DE0">
            <w:pPr>
              <w:jc w:val="center"/>
              <w:rPr>
                <w:rFonts w:ascii="Wingdings 2" w:hAnsi="Wingdings 2"/>
              </w:rPr>
            </w:pPr>
            <w:r>
              <w:rPr>
                <w:rFonts w:ascii="Wingdings 2" w:hAnsi="Wingdings 2"/>
              </w:rPr>
              <w:t></w:t>
            </w:r>
          </w:p>
        </w:tc>
        <w:tc>
          <w:tcPr>
            <w:tcW w:w="3006" w:type="dxa"/>
          </w:tcPr>
          <w:p w:rsidR="00C94AAB" w:rsidRPr="00C94AAB" w:rsidRDefault="00C94AAB" w:rsidP="00B06DE0">
            <w:pPr>
              <w:jc w:val="center"/>
              <w:rPr>
                <w:rFonts w:ascii="Wingdings 2" w:hAnsi="Wingdings 2"/>
              </w:rPr>
            </w:pPr>
            <w:r>
              <w:rPr>
                <w:rFonts w:ascii="Wingdings 2" w:hAnsi="Wingdings 2"/>
              </w:rPr>
              <w:t></w:t>
            </w:r>
          </w:p>
        </w:tc>
      </w:tr>
    </w:tbl>
    <w:p w:rsidR="00B220C4" w:rsidRDefault="00B220C4" w:rsidP="00B220C4"/>
    <w:p w:rsidR="00C94AAB" w:rsidRDefault="00C94AAB" w:rsidP="00B220C4">
      <w:r>
        <w:t xml:space="preserve">These resources can be found </w:t>
      </w:r>
      <w:r w:rsidR="00E7445E">
        <w:t>at ABLE2 from August 2018:</w:t>
      </w:r>
    </w:p>
    <w:p w:rsidR="00E7445E" w:rsidRDefault="00153E24" w:rsidP="00B220C4">
      <w:hyperlink r:id="rId8" w:history="1">
        <w:r w:rsidR="00E7445E" w:rsidRPr="00161192">
          <w:rPr>
            <w:rStyle w:val="Hyperlink"/>
          </w:rPr>
          <w:t>https://blogs.glowscotland.org.uk/glowblogs/able/</w:t>
        </w:r>
      </w:hyperlink>
    </w:p>
    <w:p w:rsidR="00E7445E" w:rsidRPr="00E7445E" w:rsidRDefault="00166F65" w:rsidP="00B220C4">
      <w:r>
        <w:t xml:space="preserve">They can be found under </w:t>
      </w:r>
      <w:proofErr w:type="gramStart"/>
      <w:r>
        <w:t>The</w:t>
      </w:r>
      <w:proofErr w:type="gramEnd"/>
      <w:r>
        <w:t xml:space="preserve"> early acquisition of literacy / Foundation skills</w:t>
      </w:r>
    </w:p>
    <w:p w:rsidR="00C94AAB" w:rsidRDefault="00C94AAB" w:rsidP="00B220C4"/>
    <w:p w:rsidR="00C94AAB" w:rsidRDefault="00C94AAB" w:rsidP="00B220C4">
      <w:pPr>
        <w:sectPr w:rsidR="00C94AAB" w:rsidSect="00050962">
          <w:headerReference w:type="default" r:id="rId9"/>
          <w:pgSz w:w="11906" w:h="16838"/>
          <w:pgMar w:top="1440" w:right="1440" w:bottom="1440" w:left="1440" w:header="708" w:footer="708" w:gutter="0"/>
          <w:cols w:space="708"/>
          <w:docGrid w:linePitch="360"/>
        </w:sectPr>
      </w:pPr>
      <w:r>
        <w:t>The following table may help to support understanding of assessment and tracking:</w:t>
      </w:r>
    </w:p>
    <w:tbl>
      <w:tblPr>
        <w:tblStyle w:val="TableGrid"/>
        <w:tblW w:w="5000" w:type="pct"/>
        <w:tblLook w:val="04A0" w:firstRow="1" w:lastRow="0" w:firstColumn="1" w:lastColumn="0" w:noHBand="0" w:noVBand="1"/>
      </w:tblPr>
      <w:tblGrid>
        <w:gridCol w:w="2789"/>
        <w:gridCol w:w="1174"/>
        <w:gridCol w:w="4405"/>
        <w:gridCol w:w="2790"/>
        <w:gridCol w:w="2790"/>
      </w:tblGrid>
      <w:tr w:rsidR="00C94AAB" w:rsidTr="00C94AAB">
        <w:tc>
          <w:tcPr>
            <w:tcW w:w="1000" w:type="pct"/>
          </w:tcPr>
          <w:p w:rsidR="00C94AAB" w:rsidRPr="003D725B" w:rsidRDefault="00C94AAB" w:rsidP="00B06DE0">
            <w:pPr>
              <w:rPr>
                <w:b/>
              </w:rPr>
            </w:pPr>
            <w:r w:rsidRPr="003D725B">
              <w:rPr>
                <w:b/>
              </w:rPr>
              <w:lastRenderedPageBreak/>
              <w:t>Documents</w:t>
            </w:r>
          </w:p>
        </w:tc>
        <w:tc>
          <w:tcPr>
            <w:tcW w:w="421" w:type="pct"/>
          </w:tcPr>
          <w:p w:rsidR="00C94AAB" w:rsidRPr="003D725B" w:rsidRDefault="00C94AAB" w:rsidP="00B06DE0">
            <w:pPr>
              <w:rPr>
                <w:b/>
              </w:rPr>
            </w:pPr>
            <w:r w:rsidRPr="003D725B">
              <w:rPr>
                <w:b/>
              </w:rPr>
              <w:t>Stage</w:t>
            </w:r>
          </w:p>
        </w:tc>
        <w:tc>
          <w:tcPr>
            <w:tcW w:w="1579" w:type="pct"/>
          </w:tcPr>
          <w:p w:rsidR="00C94AAB" w:rsidRPr="003D725B" w:rsidRDefault="00C94AAB" w:rsidP="00C94AAB">
            <w:pPr>
              <w:rPr>
                <w:b/>
              </w:rPr>
            </w:pPr>
            <w:r w:rsidRPr="003D725B">
              <w:rPr>
                <w:b/>
              </w:rPr>
              <w:t xml:space="preserve">Literacy assessment </w:t>
            </w:r>
            <w:r w:rsidR="009A6B87" w:rsidRPr="003D725B">
              <w:rPr>
                <w:b/>
              </w:rPr>
              <w:t>(completed at a time of the school’s own choosing)</w:t>
            </w:r>
          </w:p>
          <w:p w:rsidR="009A6B87" w:rsidRPr="003D725B" w:rsidRDefault="009A6B87" w:rsidP="00C94AAB">
            <w:pPr>
              <w:rPr>
                <w:b/>
              </w:rPr>
            </w:pPr>
          </w:p>
        </w:tc>
        <w:tc>
          <w:tcPr>
            <w:tcW w:w="1000" w:type="pct"/>
          </w:tcPr>
          <w:p w:rsidR="00C94AAB" w:rsidRPr="003D725B" w:rsidRDefault="00C94AAB" w:rsidP="00B06DE0">
            <w:pPr>
              <w:rPr>
                <w:b/>
              </w:rPr>
            </w:pPr>
            <w:r w:rsidRPr="003D725B">
              <w:rPr>
                <w:b/>
              </w:rPr>
              <w:t>Tracking</w:t>
            </w:r>
          </w:p>
        </w:tc>
        <w:tc>
          <w:tcPr>
            <w:tcW w:w="1000" w:type="pct"/>
          </w:tcPr>
          <w:p w:rsidR="00C94AAB" w:rsidRPr="003D725B" w:rsidRDefault="00C94AAB" w:rsidP="00B06DE0">
            <w:pPr>
              <w:rPr>
                <w:b/>
              </w:rPr>
            </w:pPr>
            <w:r w:rsidRPr="003D725B">
              <w:rPr>
                <w:b/>
              </w:rPr>
              <w:t>Notes on procedure</w:t>
            </w:r>
          </w:p>
        </w:tc>
      </w:tr>
      <w:tr w:rsidR="00C94AAB" w:rsidTr="00C94AAB">
        <w:tc>
          <w:tcPr>
            <w:tcW w:w="1000" w:type="pct"/>
            <w:vMerge w:val="restart"/>
          </w:tcPr>
          <w:p w:rsidR="00C94AAB" w:rsidRPr="003D725B" w:rsidRDefault="00C94AAB" w:rsidP="00B06DE0">
            <w:pPr>
              <w:rPr>
                <w:sz w:val="20"/>
                <w:szCs w:val="20"/>
              </w:rPr>
            </w:pPr>
            <w:r w:rsidRPr="003D725B">
              <w:rPr>
                <w:sz w:val="20"/>
                <w:szCs w:val="20"/>
              </w:rPr>
              <w:t>Learning and Development Framework, 0-5 years</w:t>
            </w:r>
          </w:p>
          <w:p w:rsidR="00C94AAB" w:rsidRPr="003D725B" w:rsidRDefault="00C94AAB" w:rsidP="00B06DE0">
            <w:pPr>
              <w:rPr>
                <w:sz w:val="20"/>
                <w:szCs w:val="20"/>
              </w:rPr>
            </w:pPr>
            <w:r w:rsidRPr="003D725B">
              <w:rPr>
                <w:sz w:val="20"/>
                <w:szCs w:val="20"/>
              </w:rPr>
              <w:t>The early acquisition of Literacy in P1</w:t>
            </w:r>
          </w:p>
          <w:p w:rsidR="00C94AAB" w:rsidRPr="003D725B" w:rsidRDefault="00C94AAB" w:rsidP="00B06DE0">
            <w:pPr>
              <w:rPr>
                <w:sz w:val="20"/>
                <w:szCs w:val="20"/>
              </w:rPr>
            </w:pPr>
            <w:r w:rsidRPr="003D725B">
              <w:rPr>
                <w:sz w:val="20"/>
                <w:szCs w:val="20"/>
              </w:rPr>
              <w:t>Northern Alliance emerging literacy resources</w:t>
            </w:r>
          </w:p>
        </w:tc>
        <w:tc>
          <w:tcPr>
            <w:tcW w:w="421" w:type="pct"/>
          </w:tcPr>
          <w:p w:rsidR="00C94AAB" w:rsidRPr="003D725B" w:rsidRDefault="00C94AAB" w:rsidP="00B06DE0">
            <w:pPr>
              <w:rPr>
                <w:sz w:val="20"/>
                <w:szCs w:val="20"/>
              </w:rPr>
            </w:pPr>
            <w:r w:rsidRPr="003D725B">
              <w:rPr>
                <w:sz w:val="20"/>
                <w:szCs w:val="20"/>
              </w:rPr>
              <w:t>ELC</w:t>
            </w:r>
          </w:p>
        </w:tc>
        <w:tc>
          <w:tcPr>
            <w:tcW w:w="1579" w:type="pct"/>
          </w:tcPr>
          <w:p w:rsidR="00C94AAB" w:rsidRPr="003D725B" w:rsidRDefault="009A6B87" w:rsidP="00B06DE0">
            <w:pPr>
              <w:rPr>
                <w:sz w:val="20"/>
                <w:szCs w:val="20"/>
              </w:rPr>
            </w:pPr>
            <w:r w:rsidRPr="003D725B">
              <w:rPr>
                <w:sz w:val="20"/>
                <w:szCs w:val="20"/>
              </w:rPr>
              <w:t>Ongoing, based on observation and discussion.</w:t>
            </w:r>
          </w:p>
        </w:tc>
        <w:tc>
          <w:tcPr>
            <w:tcW w:w="1000" w:type="pct"/>
          </w:tcPr>
          <w:p w:rsidR="00C94AAB" w:rsidRPr="003D725B" w:rsidRDefault="00C94AAB" w:rsidP="00C94AAB">
            <w:pPr>
              <w:pStyle w:val="ListParagraph"/>
              <w:numPr>
                <w:ilvl w:val="0"/>
                <w:numId w:val="3"/>
              </w:numPr>
              <w:ind w:left="308"/>
              <w:rPr>
                <w:sz w:val="20"/>
                <w:szCs w:val="20"/>
              </w:rPr>
            </w:pPr>
            <w:r w:rsidRPr="003D725B">
              <w:rPr>
                <w:sz w:val="20"/>
                <w:szCs w:val="20"/>
              </w:rPr>
              <w:t>Developmental Milestones Progress Tracker</w:t>
            </w:r>
          </w:p>
          <w:p w:rsidR="00C94AAB" w:rsidRPr="003D725B" w:rsidRDefault="00C94AAB" w:rsidP="00C94AAB">
            <w:pPr>
              <w:pStyle w:val="ListParagraph"/>
              <w:numPr>
                <w:ilvl w:val="0"/>
                <w:numId w:val="3"/>
              </w:numPr>
              <w:ind w:left="308"/>
              <w:rPr>
                <w:sz w:val="20"/>
                <w:szCs w:val="20"/>
              </w:rPr>
            </w:pPr>
            <w:r w:rsidRPr="003D725B">
              <w:rPr>
                <w:sz w:val="20"/>
                <w:szCs w:val="20"/>
              </w:rPr>
              <w:t>Literacy Tracker</w:t>
            </w:r>
          </w:p>
        </w:tc>
        <w:tc>
          <w:tcPr>
            <w:tcW w:w="1000" w:type="pct"/>
          </w:tcPr>
          <w:p w:rsidR="00C94AAB" w:rsidRPr="003D725B" w:rsidRDefault="00C94AAB" w:rsidP="00B06DE0">
            <w:pPr>
              <w:rPr>
                <w:sz w:val="20"/>
                <w:szCs w:val="20"/>
              </w:rPr>
            </w:pPr>
            <w:r w:rsidRPr="003D725B">
              <w:rPr>
                <w:sz w:val="20"/>
                <w:szCs w:val="20"/>
              </w:rPr>
              <w:t>ELC passes information to receiving primary.</w:t>
            </w:r>
          </w:p>
          <w:p w:rsidR="00C94AAB" w:rsidRPr="003D725B" w:rsidRDefault="00C94AAB" w:rsidP="00B06DE0">
            <w:pPr>
              <w:rPr>
                <w:sz w:val="20"/>
                <w:szCs w:val="20"/>
              </w:rPr>
            </w:pPr>
            <w:r w:rsidRPr="003D725B">
              <w:rPr>
                <w:sz w:val="20"/>
                <w:szCs w:val="20"/>
              </w:rPr>
              <w:t>Staged intervention in response to need.</w:t>
            </w:r>
          </w:p>
        </w:tc>
      </w:tr>
      <w:tr w:rsidR="00C94AAB" w:rsidTr="00C94AAB">
        <w:tc>
          <w:tcPr>
            <w:tcW w:w="1000" w:type="pct"/>
            <w:vMerge/>
          </w:tcPr>
          <w:p w:rsidR="00C94AAB" w:rsidRPr="003D725B" w:rsidRDefault="00C94AAB" w:rsidP="00B06DE0">
            <w:pPr>
              <w:rPr>
                <w:sz w:val="20"/>
                <w:szCs w:val="20"/>
              </w:rPr>
            </w:pPr>
          </w:p>
        </w:tc>
        <w:tc>
          <w:tcPr>
            <w:tcW w:w="421" w:type="pct"/>
          </w:tcPr>
          <w:p w:rsidR="00C94AAB" w:rsidRPr="003D725B" w:rsidRDefault="00C94AAB" w:rsidP="00B06DE0">
            <w:pPr>
              <w:rPr>
                <w:sz w:val="20"/>
                <w:szCs w:val="20"/>
              </w:rPr>
            </w:pPr>
            <w:r w:rsidRPr="003D725B">
              <w:rPr>
                <w:sz w:val="20"/>
                <w:szCs w:val="20"/>
              </w:rPr>
              <w:t>P</w:t>
            </w:r>
            <w:r w:rsidR="009A6B87" w:rsidRPr="003D725B">
              <w:rPr>
                <w:sz w:val="20"/>
                <w:szCs w:val="20"/>
              </w:rPr>
              <w:t xml:space="preserve">rimary </w:t>
            </w:r>
            <w:r w:rsidRPr="003D725B">
              <w:rPr>
                <w:sz w:val="20"/>
                <w:szCs w:val="20"/>
              </w:rPr>
              <w:t>1</w:t>
            </w:r>
          </w:p>
        </w:tc>
        <w:tc>
          <w:tcPr>
            <w:tcW w:w="1579" w:type="pct"/>
          </w:tcPr>
          <w:p w:rsidR="00C94AAB" w:rsidRPr="003D725B" w:rsidRDefault="009A6B87" w:rsidP="00B06DE0">
            <w:pPr>
              <w:rPr>
                <w:sz w:val="20"/>
                <w:szCs w:val="20"/>
              </w:rPr>
            </w:pPr>
            <w:r w:rsidRPr="003D725B">
              <w:rPr>
                <w:sz w:val="20"/>
                <w:szCs w:val="20"/>
              </w:rPr>
              <w:t>Emerging Literacy Pho</w:t>
            </w:r>
            <w:r w:rsidR="00E7445E" w:rsidRPr="003D725B">
              <w:rPr>
                <w:sz w:val="20"/>
                <w:szCs w:val="20"/>
              </w:rPr>
              <w:t xml:space="preserve">nological Awareness </w:t>
            </w:r>
            <w:r w:rsidR="003D725B" w:rsidRPr="003D725B">
              <w:rPr>
                <w:sz w:val="20"/>
                <w:szCs w:val="20"/>
              </w:rPr>
              <w:t xml:space="preserve">screening tool may be used on entry </w:t>
            </w:r>
            <w:r w:rsidR="00E97646">
              <w:rPr>
                <w:sz w:val="20"/>
                <w:szCs w:val="20"/>
              </w:rPr>
              <w:t xml:space="preserve">for all </w:t>
            </w:r>
            <w:r w:rsidR="003D725B" w:rsidRPr="003D725B">
              <w:rPr>
                <w:sz w:val="20"/>
                <w:szCs w:val="20"/>
              </w:rPr>
              <w:t>and repeated for selected pupils through the year.</w:t>
            </w:r>
            <w:r w:rsidR="00E97646">
              <w:rPr>
                <w:sz w:val="20"/>
                <w:szCs w:val="20"/>
              </w:rPr>
              <w:t xml:space="preserve"> </w:t>
            </w:r>
          </w:p>
          <w:p w:rsidR="009A6B87" w:rsidRPr="003D725B" w:rsidRDefault="009A6B87" w:rsidP="00B06DE0">
            <w:pPr>
              <w:rPr>
                <w:sz w:val="20"/>
                <w:szCs w:val="20"/>
              </w:rPr>
            </w:pPr>
            <w:r w:rsidRPr="003D725B">
              <w:rPr>
                <w:sz w:val="20"/>
                <w:szCs w:val="20"/>
              </w:rPr>
              <w:t xml:space="preserve">SNSA </w:t>
            </w:r>
          </w:p>
        </w:tc>
        <w:tc>
          <w:tcPr>
            <w:tcW w:w="1000" w:type="pct"/>
          </w:tcPr>
          <w:p w:rsidR="00C94AAB" w:rsidRPr="003D725B" w:rsidRDefault="009A6B87" w:rsidP="009A6B87">
            <w:pPr>
              <w:pStyle w:val="ListParagraph"/>
              <w:numPr>
                <w:ilvl w:val="0"/>
                <w:numId w:val="4"/>
              </w:numPr>
              <w:ind w:left="308"/>
              <w:rPr>
                <w:sz w:val="20"/>
                <w:szCs w:val="20"/>
              </w:rPr>
            </w:pPr>
            <w:r w:rsidRPr="003D725B">
              <w:rPr>
                <w:sz w:val="20"/>
                <w:szCs w:val="20"/>
              </w:rPr>
              <w:t>ELC Literacy tracker as appropriate for individual pupils according to need.</w:t>
            </w:r>
          </w:p>
          <w:p w:rsidR="009A6B87" w:rsidRPr="003D725B" w:rsidRDefault="009A6B87" w:rsidP="009A6B87">
            <w:pPr>
              <w:pStyle w:val="ListParagraph"/>
              <w:numPr>
                <w:ilvl w:val="0"/>
                <w:numId w:val="4"/>
              </w:numPr>
              <w:ind w:left="308"/>
              <w:rPr>
                <w:sz w:val="20"/>
                <w:szCs w:val="20"/>
              </w:rPr>
            </w:pPr>
            <w:r w:rsidRPr="003D725B">
              <w:rPr>
                <w:sz w:val="20"/>
                <w:szCs w:val="20"/>
              </w:rPr>
              <w:t>Emerging literacy schools monitor and track against NA developmental continuums.</w:t>
            </w:r>
          </w:p>
          <w:p w:rsidR="009A6B87" w:rsidRPr="003D725B" w:rsidRDefault="009A6B87" w:rsidP="009A6B87">
            <w:pPr>
              <w:pStyle w:val="ListParagraph"/>
              <w:numPr>
                <w:ilvl w:val="0"/>
                <w:numId w:val="4"/>
              </w:numPr>
              <w:ind w:left="308"/>
              <w:rPr>
                <w:sz w:val="20"/>
                <w:szCs w:val="20"/>
              </w:rPr>
            </w:pPr>
            <w:r w:rsidRPr="003D725B">
              <w:rPr>
                <w:sz w:val="20"/>
                <w:szCs w:val="20"/>
              </w:rPr>
              <w:t>Non emerging literacy schools may choose to monitor and track against NA developmental continuums.</w:t>
            </w:r>
          </w:p>
          <w:p w:rsidR="003D725B" w:rsidRPr="00E97646" w:rsidRDefault="003D725B" w:rsidP="009A6B87">
            <w:pPr>
              <w:pStyle w:val="ListParagraph"/>
              <w:numPr>
                <w:ilvl w:val="0"/>
                <w:numId w:val="4"/>
              </w:numPr>
              <w:ind w:left="308"/>
              <w:rPr>
                <w:sz w:val="20"/>
                <w:szCs w:val="20"/>
              </w:rPr>
            </w:pPr>
            <w:r w:rsidRPr="00E97646">
              <w:rPr>
                <w:sz w:val="20"/>
                <w:szCs w:val="20"/>
              </w:rPr>
              <w:t>Tracking &amp; monitoring of sound acquisition should take place throughout the year</w:t>
            </w:r>
          </w:p>
          <w:p w:rsidR="009A6B87" w:rsidRPr="003D725B" w:rsidRDefault="009A6B87" w:rsidP="009A6B87">
            <w:pPr>
              <w:pStyle w:val="ListParagraph"/>
              <w:numPr>
                <w:ilvl w:val="0"/>
                <w:numId w:val="4"/>
              </w:numPr>
              <w:ind w:left="308"/>
              <w:rPr>
                <w:sz w:val="20"/>
                <w:szCs w:val="20"/>
              </w:rPr>
            </w:pPr>
            <w:proofErr w:type="spellStart"/>
            <w:r w:rsidRPr="003D725B">
              <w:rPr>
                <w:sz w:val="20"/>
                <w:szCs w:val="20"/>
              </w:rPr>
              <w:t>SEEMis</w:t>
            </w:r>
            <w:proofErr w:type="spellEnd"/>
            <w:r w:rsidRPr="003D725B">
              <w:rPr>
                <w:sz w:val="20"/>
                <w:szCs w:val="20"/>
              </w:rPr>
              <w:t xml:space="preserve"> report on progress x3</w:t>
            </w:r>
          </w:p>
        </w:tc>
        <w:tc>
          <w:tcPr>
            <w:tcW w:w="1000" w:type="pct"/>
          </w:tcPr>
          <w:p w:rsidR="00C94AAB" w:rsidRPr="003D725B" w:rsidRDefault="00C94AAB" w:rsidP="00B06DE0">
            <w:pPr>
              <w:rPr>
                <w:sz w:val="20"/>
                <w:szCs w:val="20"/>
              </w:rPr>
            </w:pPr>
            <w:r w:rsidRPr="003D725B">
              <w:rPr>
                <w:sz w:val="20"/>
                <w:szCs w:val="20"/>
              </w:rPr>
              <w:t>P1 teacher uses information from ELC to note gaps in foundation skills and identify individuals who may need further tracking in this area.</w:t>
            </w:r>
          </w:p>
          <w:p w:rsidR="009A6B87" w:rsidRPr="003D725B" w:rsidRDefault="009A6B87" w:rsidP="00B06DE0">
            <w:pPr>
              <w:rPr>
                <w:sz w:val="20"/>
                <w:szCs w:val="20"/>
              </w:rPr>
            </w:pPr>
            <w:r w:rsidRPr="003D725B">
              <w:rPr>
                <w:sz w:val="20"/>
                <w:szCs w:val="20"/>
              </w:rPr>
              <w:t>Staged intervention in response to need</w:t>
            </w:r>
          </w:p>
          <w:p w:rsidR="00C94AAB" w:rsidRPr="003D725B" w:rsidRDefault="00C94AAB" w:rsidP="00B06DE0">
            <w:pPr>
              <w:rPr>
                <w:sz w:val="20"/>
                <w:szCs w:val="20"/>
              </w:rPr>
            </w:pPr>
          </w:p>
        </w:tc>
      </w:tr>
      <w:tr w:rsidR="009A6B87" w:rsidTr="00C94AAB">
        <w:tc>
          <w:tcPr>
            <w:tcW w:w="1000" w:type="pct"/>
            <w:vMerge w:val="restart"/>
          </w:tcPr>
          <w:p w:rsidR="009A6B87" w:rsidRPr="003D725B" w:rsidRDefault="009A6B87" w:rsidP="00B06DE0">
            <w:pPr>
              <w:rPr>
                <w:sz w:val="20"/>
                <w:szCs w:val="20"/>
              </w:rPr>
            </w:pPr>
          </w:p>
        </w:tc>
        <w:tc>
          <w:tcPr>
            <w:tcW w:w="421" w:type="pct"/>
          </w:tcPr>
          <w:p w:rsidR="009A6B87" w:rsidRPr="003D725B" w:rsidRDefault="009A6B87" w:rsidP="00B06DE0">
            <w:pPr>
              <w:rPr>
                <w:sz w:val="20"/>
                <w:szCs w:val="20"/>
              </w:rPr>
            </w:pPr>
            <w:r w:rsidRPr="003D725B">
              <w:rPr>
                <w:sz w:val="20"/>
                <w:szCs w:val="20"/>
              </w:rPr>
              <w:t>Primary 2</w:t>
            </w:r>
          </w:p>
        </w:tc>
        <w:tc>
          <w:tcPr>
            <w:tcW w:w="1579" w:type="pct"/>
            <w:vMerge w:val="restart"/>
          </w:tcPr>
          <w:p w:rsidR="009A6B87" w:rsidRPr="003D725B" w:rsidRDefault="009A6B87" w:rsidP="003D725B">
            <w:pPr>
              <w:rPr>
                <w:sz w:val="20"/>
                <w:szCs w:val="20"/>
              </w:rPr>
            </w:pPr>
            <w:r w:rsidRPr="003D725B">
              <w:rPr>
                <w:sz w:val="20"/>
                <w:szCs w:val="20"/>
              </w:rPr>
              <w:t xml:space="preserve">Schools may choose to use a commercially available assessment </w:t>
            </w:r>
          </w:p>
        </w:tc>
        <w:tc>
          <w:tcPr>
            <w:tcW w:w="1000" w:type="pct"/>
            <w:vMerge w:val="restart"/>
          </w:tcPr>
          <w:p w:rsidR="009A6B87" w:rsidRPr="003D725B" w:rsidRDefault="009A6B87" w:rsidP="009A6B87">
            <w:pPr>
              <w:pStyle w:val="ListParagraph"/>
              <w:numPr>
                <w:ilvl w:val="0"/>
                <w:numId w:val="5"/>
              </w:numPr>
              <w:ind w:left="308"/>
              <w:rPr>
                <w:sz w:val="20"/>
                <w:szCs w:val="20"/>
              </w:rPr>
            </w:pPr>
            <w:proofErr w:type="spellStart"/>
            <w:r w:rsidRPr="003D725B">
              <w:rPr>
                <w:sz w:val="20"/>
                <w:szCs w:val="20"/>
              </w:rPr>
              <w:t>SEEMis</w:t>
            </w:r>
            <w:proofErr w:type="spellEnd"/>
            <w:r w:rsidRPr="003D725B">
              <w:rPr>
                <w:sz w:val="20"/>
                <w:szCs w:val="20"/>
              </w:rPr>
              <w:t xml:space="preserve"> report on progress x 3</w:t>
            </w:r>
          </w:p>
          <w:p w:rsidR="009A6B87" w:rsidRPr="003D725B" w:rsidRDefault="009A6B87" w:rsidP="009A6B87">
            <w:pPr>
              <w:pStyle w:val="ListParagraph"/>
              <w:numPr>
                <w:ilvl w:val="0"/>
                <w:numId w:val="5"/>
              </w:numPr>
              <w:ind w:left="308"/>
              <w:rPr>
                <w:sz w:val="20"/>
                <w:szCs w:val="20"/>
              </w:rPr>
            </w:pPr>
            <w:r w:rsidRPr="003D725B">
              <w:rPr>
                <w:sz w:val="20"/>
                <w:szCs w:val="20"/>
              </w:rPr>
              <w:t>Schools may choose to use their own internal tracking procedures</w:t>
            </w:r>
          </w:p>
        </w:tc>
        <w:tc>
          <w:tcPr>
            <w:tcW w:w="1000" w:type="pct"/>
            <w:vMerge w:val="restart"/>
          </w:tcPr>
          <w:p w:rsidR="009A6B87" w:rsidRPr="003D725B" w:rsidRDefault="009A6B87" w:rsidP="00B06DE0">
            <w:pPr>
              <w:rPr>
                <w:sz w:val="20"/>
                <w:szCs w:val="20"/>
              </w:rPr>
            </w:pPr>
            <w:r w:rsidRPr="003D725B">
              <w:rPr>
                <w:sz w:val="20"/>
                <w:szCs w:val="20"/>
              </w:rPr>
              <w:t>Results from assessments are used diagnostically to inform ongoing planning and learning.</w:t>
            </w:r>
          </w:p>
          <w:p w:rsidR="009A6B87" w:rsidRPr="003D725B" w:rsidRDefault="009A6B87" w:rsidP="00B06DE0">
            <w:pPr>
              <w:rPr>
                <w:sz w:val="20"/>
                <w:szCs w:val="20"/>
              </w:rPr>
            </w:pPr>
            <w:r w:rsidRPr="003D725B">
              <w:rPr>
                <w:sz w:val="20"/>
                <w:szCs w:val="20"/>
              </w:rPr>
              <w:t>Next steps for individual pupils are shared with next teacher.</w:t>
            </w:r>
          </w:p>
          <w:p w:rsidR="009A6B87" w:rsidRPr="003D725B" w:rsidRDefault="009A6B87" w:rsidP="00B06DE0">
            <w:pPr>
              <w:rPr>
                <w:sz w:val="20"/>
                <w:szCs w:val="20"/>
              </w:rPr>
            </w:pPr>
            <w:r w:rsidRPr="003D725B">
              <w:rPr>
                <w:sz w:val="20"/>
                <w:szCs w:val="20"/>
              </w:rPr>
              <w:t>Staged intervention in response to need.</w:t>
            </w:r>
          </w:p>
        </w:tc>
      </w:tr>
      <w:tr w:rsidR="009A6B87" w:rsidTr="00C94AAB">
        <w:tc>
          <w:tcPr>
            <w:tcW w:w="1000" w:type="pct"/>
            <w:vMerge/>
          </w:tcPr>
          <w:p w:rsidR="009A6B87" w:rsidRDefault="009A6B87" w:rsidP="00B06DE0"/>
        </w:tc>
        <w:tc>
          <w:tcPr>
            <w:tcW w:w="421" w:type="pct"/>
          </w:tcPr>
          <w:p w:rsidR="009A6B87" w:rsidRDefault="009A6B87" w:rsidP="00B06DE0">
            <w:r>
              <w:t>Primary 3</w:t>
            </w:r>
          </w:p>
        </w:tc>
        <w:tc>
          <w:tcPr>
            <w:tcW w:w="1579" w:type="pct"/>
            <w:vMerge/>
          </w:tcPr>
          <w:p w:rsidR="009A6B87" w:rsidRDefault="009A6B87" w:rsidP="00B06DE0"/>
        </w:tc>
        <w:tc>
          <w:tcPr>
            <w:tcW w:w="1000" w:type="pct"/>
            <w:vMerge/>
          </w:tcPr>
          <w:p w:rsidR="009A6B87" w:rsidRDefault="009A6B87" w:rsidP="00B06DE0"/>
        </w:tc>
        <w:tc>
          <w:tcPr>
            <w:tcW w:w="1000" w:type="pct"/>
            <w:vMerge/>
          </w:tcPr>
          <w:p w:rsidR="009A6B87" w:rsidRDefault="009A6B87" w:rsidP="00B06DE0"/>
        </w:tc>
      </w:tr>
      <w:tr w:rsidR="009A6B87" w:rsidTr="00C94AAB">
        <w:tc>
          <w:tcPr>
            <w:tcW w:w="1000" w:type="pct"/>
            <w:vMerge/>
          </w:tcPr>
          <w:p w:rsidR="009A6B87" w:rsidRDefault="009A6B87" w:rsidP="00B06DE0"/>
        </w:tc>
        <w:tc>
          <w:tcPr>
            <w:tcW w:w="421" w:type="pct"/>
          </w:tcPr>
          <w:p w:rsidR="009A6B87" w:rsidRPr="003D725B" w:rsidRDefault="009A6B87" w:rsidP="00B06DE0">
            <w:pPr>
              <w:rPr>
                <w:sz w:val="20"/>
                <w:szCs w:val="20"/>
              </w:rPr>
            </w:pPr>
            <w:r w:rsidRPr="003D725B">
              <w:rPr>
                <w:sz w:val="20"/>
                <w:szCs w:val="20"/>
              </w:rPr>
              <w:t>Primary 4</w:t>
            </w:r>
          </w:p>
        </w:tc>
        <w:tc>
          <w:tcPr>
            <w:tcW w:w="1579" w:type="pct"/>
          </w:tcPr>
          <w:p w:rsidR="009A6B87" w:rsidRPr="003D725B" w:rsidRDefault="009A6B87" w:rsidP="00B06DE0">
            <w:pPr>
              <w:rPr>
                <w:sz w:val="20"/>
                <w:szCs w:val="20"/>
              </w:rPr>
            </w:pPr>
            <w:r w:rsidRPr="003D725B">
              <w:rPr>
                <w:sz w:val="20"/>
                <w:szCs w:val="20"/>
              </w:rPr>
              <w:t>SNSA</w:t>
            </w:r>
          </w:p>
        </w:tc>
        <w:tc>
          <w:tcPr>
            <w:tcW w:w="1000" w:type="pct"/>
            <w:vMerge/>
          </w:tcPr>
          <w:p w:rsidR="009A6B87" w:rsidRDefault="009A6B87" w:rsidP="00B06DE0"/>
        </w:tc>
        <w:tc>
          <w:tcPr>
            <w:tcW w:w="1000" w:type="pct"/>
            <w:vMerge/>
          </w:tcPr>
          <w:p w:rsidR="009A6B87" w:rsidRDefault="009A6B87" w:rsidP="00B06DE0"/>
        </w:tc>
      </w:tr>
      <w:tr w:rsidR="009A6B87" w:rsidTr="00C94AAB">
        <w:tc>
          <w:tcPr>
            <w:tcW w:w="1000" w:type="pct"/>
            <w:vMerge/>
          </w:tcPr>
          <w:p w:rsidR="009A6B87" w:rsidRDefault="009A6B87" w:rsidP="00B06DE0"/>
        </w:tc>
        <w:tc>
          <w:tcPr>
            <w:tcW w:w="421" w:type="pct"/>
          </w:tcPr>
          <w:p w:rsidR="009A6B87" w:rsidRPr="003D725B" w:rsidRDefault="009A6B87" w:rsidP="00B06DE0">
            <w:pPr>
              <w:rPr>
                <w:sz w:val="20"/>
                <w:szCs w:val="20"/>
              </w:rPr>
            </w:pPr>
            <w:r w:rsidRPr="003D725B">
              <w:rPr>
                <w:sz w:val="20"/>
                <w:szCs w:val="20"/>
              </w:rPr>
              <w:t>Primary 5</w:t>
            </w:r>
          </w:p>
        </w:tc>
        <w:tc>
          <w:tcPr>
            <w:tcW w:w="1579" w:type="pct"/>
            <w:vMerge w:val="restart"/>
          </w:tcPr>
          <w:p w:rsidR="009A6B87" w:rsidRPr="003D725B" w:rsidRDefault="009A6B87" w:rsidP="003D725B">
            <w:pPr>
              <w:rPr>
                <w:sz w:val="20"/>
                <w:szCs w:val="20"/>
              </w:rPr>
            </w:pPr>
            <w:r w:rsidRPr="003D725B">
              <w:rPr>
                <w:sz w:val="20"/>
                <w:szCs w:val="20"/>
              </w:rPr>
              <w:t xml:space="preserve">Schools may choose to use a commercially available assessment </w:t>
            </w:r>
          </w:p>
        </w:tc>
        <w:tc>
          <w:tcPr>
            <w:tcW w:w="1000" w:type="pct"/>
            <w:vMerge/>
          </w:tcPr>
          <w:p w:rsidR="009A6B87" w:rsidRDefault="009A6B87" w:rsidP="00B06DE0"/>
        </w:tc>
        <w:tc>
          <w:tcPr>
            <w:tcW w:w="1000" w:type="pct"/>
            <w:vMerge/>
          </w:tcPr>
          <w:p w:rsidR="009A6B87" w:rsidRDefault="009A6B87" w:rsidP="00B06DE0"/>
        </w:tc>
      </w:tr>
      <w:tr w:rsidR="009A6B87" w:rsidTr="00C94AAB">
        <w:tc>
          <w:tcPr>
            <w:tcW w:w="1000" w:type="pct"/>
            <w:vMerge/>
          </w:tcPr>
          <w:p w:rsidR="009A6B87" w:rsidRDefault="009A6B87" w:rsidP="00B06DE0"/>
        </w:tc>
        <w:tc>
          <w:tcPr>
            <w:tcW w:w="421" w:type="pct"/>
          </w:tcPr>
          <w:p w:rsidR="009A6B87" w:rsidRPr="003D725B" w:rsidRDefault="009A6B87" w:rsidP="00B06DE0">
            <w:pPr>
              <w:rPr>
                <w:sz w:val="20"/>
                <w:szCs w:val="20"/>
              </w:rPr>
            </w:pPr>
            <w:r w:rsidRPr="003D725B">
              <w:rPr>
                <w:sz w:val="20"/>
                <w:szCs w:val="20"/>
              </w:rPr>
              <w:t>Primary 6</w:t>
            </w:r>
          </w:p>
        </w:tc>
        <w:tc>
          <w:tcPr>
            <w:tcW w:w="1579" w:type="pct"/>
            <w:vMerge/>
          </w:tcPr>
          <w:p w:rsidR="009A6B87" w:rsidRPr="003D725B" w:rsidRDefault="009A6B87" w:rsidP="00B06DE0">
            <w:pPr>
              <w:rPr>
                <w:sz w:val="20"/>
                <w:szCs w:val="20"/>
              </w:rPr>
            </w:pPr>
          </w:p>
        </w:tc>
        <w:tc>
          <w:tcPr>
            <w:tcW w:w="1000" w:type="pct"/>
            <w:vMerge/>
          </w:tcPr>
          <w:p w:rsidR="009A6B87" w:rsidRDefault="009A6B87" w:rsidP="00B06DE0"/>
        </w:tc>
        <w:tc>
          <w:tcPr>
            <w:tcW w:w="1000" w:type="pct"/>
            <w:vMerge/>
          </w:tcPr>
          <w:p w:rsidR="009A6B87" w:rsidRDefault="009A6B87" w:rsidP="00B06DE0"/>
        </w:tc>
      </w:tr>
      <w:tr w:rsidR="009A6B87" w:rsidTr="00C94AAB">
        <w:tc>
          <w:tcPr>
            <w:tcW w:w="1000" w:type="pct"/>
            <w:vMerge/>
          </w:tcPr>
          <w:p w:rsidR="009A6B87" w:rsidRDefault="009A6B87" w:rsidP="00B06DE0"/>
        </w:tc>
        <w:tc>
          <w:tcPr>
            <w:tcW w:w="421" w:type="pct"/>
          </w:tcPr>
          <w:p w:rsidR="009A6B87" w:rsidRPr="003D725B" w:rsidRDefault="009A6B87" w:rsidP="00B06DE0">
            <w:pPr>
              <w:rPr>
                <w:sz w:val="20"/>
                <w:szCs w:val="20"/>
              </w:rPr>
            </w:pPr>
            <w:r w:rsidRPr="003D725B">
              <w:rPr>
                <w:sz w:val="20"/>
                <w:szCs w:val="20"/>
              </w:rPr>
              <w:t>Primary 7</w:t>
            </w:r>
          </w:p>
        </w:tc>
        <w:tc>
          <w:tcPr>
            <w:tcW w:w="1579" w:type="pct"/>
          </w:tcPr>
          <w:p w:rsidR="009A6B87" w:rsidRPr="003D725B" w:rsidRDefault="009A6B87" w:rsidP="00B06DE0">
            <w:pPr>
              <w:rPr>
                <w:sz w:val="20"/>
                <w:szCs w:val="20"/>
              </w:rPr>
            </w:pPr>
            <w:r w:rsidRPr="003D725B">
              <w:rPr>
                <w:sz w:val="20"/>
                <w:szCs w:val="20"/>
              </w:rPr>
              <w:t>SNSA</w:t>
            </w:r>
          </w:p>
        </w:tc>
        <w:tc>
          <w:tcPr>
            <w:tcW w:w="1000" w:type="pct"/>
            <w:vMerge/>
          </w:tcPr>
          <w:p w:rsidR="009A6B87" w:rsidRDefault="009A6B87" w:rsidP="00B06DE0"/>
        </w:tc>
        <w:tc>
          <w:tcPr>
            <w:tcW w:w="1000" w:type="pct"/>
            <w:vMerge/>
          </w:tcPr>
          <w:p w:rsidR="009A6B87" w:rsidRDefault="009A6B87" w:rsidP="00B06DE0"/>
        </w:tc>
      </w:tr>
    </w:tbl>
    <w:p w:rsidR="00162BED" w:rsidRDefault="00162BED" w:rsidP="00050962">
      <w:pPr>
        <w:sectPr w:rsidR="00162BED" w:rsidSect="00C94AAB">
          <w:pgSz w:w="16838" w:h="11906" w:orient="landscape"/>
          <w:pgMar w:top="1440" w:right="1440" w:bottom="1440" w:left="1440" w:header="709" w:footer="709" w:gutter="0"/>
          <w:cols w:space="708"/>
          <w:docGrid w:linePitch="360"/>
        </w:sectPr>
      </w:pPr>
    </w:p>
    <w:p w:rsidR="00162BED" w:rsidRDefault="00162BED" w:rsidP="00050962">
      <w:pPr>
        <w:sectPr w:rsidR="00162BED" w:rsidSect="00162BED">
          <w:pgSz w:w="16838" w:h="11906" w:orient="landscape"/>
          <w:pgMar w:top="1440" w:right="1440" w:bottom="1440" w:left="1440" w:header="709" w:footer="709" w:gutter="0"/>
          <w:cols w:space="708"/>
          <w:docGrid w:linePitch="360"/>
        </w:sectPr>
      </w:pPr>
    </w:p>
    <w:p w:rsidR="00162BED" w:rsidRDefault="00162BED" w:rsidP="00050962"/>
    <w:p w:rsidR="00162BED" w:rsidRDefault="00162BED" w:rsidP="00050962"/>
    <w:p w:rsidR="00162BED" w:rsidRDefault="00162BED" w:rsidP="00050962"/>
    <w:p w:rsidR="00162BED" w:rsidRDefault="00162BED" w:rsidP="00050962"/>
    <w:p w:rsidR="00162BED" w:rsidRDefault="00162BED" w:rsidP="00050962"/>
    <w:p w:rsidR="00162BED" w:rsidRDefault="00162BED" w:rsidP="00050962"/>
    <w:p w:rsidR="00162BED" w:rsidRDefault="00162BED" w:rsidP="00050962"/>
    <w:p w:rsidR="00162BED" w:rsidRDefault="00162BED" w:rsidP="00050962"/>
    <w:p w:rsidR="00162BED" w:rsidRDefault="00162BED" w:rsidP="00050962"/>
    <w:p w:rsidR="00162BED" w:rsidRDefault="00162BED" w:rsidP="00050962"/>
    <w:p w:rsidR="00162BED" w:rsidRDefault="00162BED" w:rsidP="00050962"/>
    <w:p w:rsidR="00050962" w:rsidRDefault="00050962" w:rsidP="00050962"/>
    <w:p w:rsidR="00050962" w:rsidRDefault="00050962" w:rsidP="00050962"/>
    <w:p w:rsidR="00050962" w:rsidRDefault="00050962" w:rsidP="00050962"/>
    <w:p w:rsidR="00050962" w:rsidRDefault="00050962" w:rsidP="00050962"/>
    <w:p w:rsidR="00050962" w:rsidRDefault="00050962" w:rsidP="00050962"/>
    <w:p w:rsidR="00050962" w:rsidRDefault="00050962" w:rsidP="00050962"/>
    <w:p w:rsidR="00050962" w:rsidRDefault="00050962" w:rsidP="00050962"/>
    <w:p w:rsidR="00050962" w:rsidRDefault="00050962" w:rsidP="00050962"/>
    <w:p w:rsidR="00050962" w:rsidRDefault="00050962" w:rsidP="00050962"/>
    <w:p w:rsidR="00050962" w:rsidRDefault="00050962" w:rsidP="00050962">
      <w:pPr>
        <w:sectPr w:rsidR="00050962" w:rsidSect="00050962">
          <w:pgSz w:w="11906" w:h="16838"/>
          <w:pgMar w:top="1440" w:right="1440" w:bottom="1440" w:left="1440" w:header="709" w:footer="709" w:gutter="0"/>
          <w:cols w:space="708"/>
          <w:docGrid w:linePitch="360"/>
        </w:sectPr>
      </w:pPr>
    </w:p>
    <w:p w:rsidR="00050962" w:rsidRDefault="00050962" w:rsidP="00050962"/>
    <w:p w:rsidR="00050962" w:rsidRPr="00050962" w:rsidRDefault="00050962" w:rsidP="00050962"/>
    <w:sectPr w:rsidR="00050962" w:rsidRPr="00050962" w:rsidSect="0005096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E24" w:rsidRDefault="00153E24" w:rsidP="007C05BE">
      <w:pPr>
        <w:spacing w:after="0" w:line="240" w:lineRule="auto"/>
      </w:pPr>
      <w:r>
        <w:separator/>
      </w:r>
    </w:p>
  </w:endnote>
  <w:endnote w:type="continuationSeparator" w:id="0">
    <w:p w:rsidR="00153E24" w:rsidRDefault="00153E24" w:rsidP="007C0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E24" w:rsidRDefault="00153E24" w:rsidP="007C05BE">
      <w:pPr>
        <w:spacing w:after="0" w:line="240" w:lineRule="auto"/>
      </w:pPr>
      <w:r>
        <w:separator/>
      </w:r>
    </w:p>
  </w:footnote>
  <w:footnote w:type="continuationSeparator" w:id="0">
    <w:p w:rsidR="00153E24" w:rsidRDefault="00153E24" w:rsidP="007C0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5BE" w:rsidRDefault="007C05BE">
    <w:pPr>
      <w:pStyle w:val="Header"/>
    </w:pPr>
    <w:r>
      <w:rPr>
        <w:rFonts w:ascii="Arial" w:hAnsi="Arial" w:cs="Arial"/>
        <w:i/>
        <w:noProof/>
        <w:color w:val="000080"/>
        <w:lang w:eastAsia="en-GB"/>
      </w:rPr>
      <w:drawing>
        <wp:anchor distT="0" distB="0" distL="114300" distR="114300" simplePos="0" relativeHeight="251661312" behindDoc="0" locked="0" layoutInCell="1" allowOverlap="1" wp14:anchorId="6F80042D" wp14:editId="1D2D266A">
          <wp:simplePos x="0" y="0"/>
          <wp:positionH relativeFrom="margin">
            <wp:posOffset>5838825</wp:posOffset>
          </wp:positionH>
          <wp:positionV relativeFrom="paragraph">
            <wp:posOffset>-318770</wp:posOffset>
          </wp:positionV>
          <wp:extent cx="540385" cy="514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40385" cy="5143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04793A5" wp14:editId="34F7FDA1">
          <wp:simplePos x="0" y="0"/>
          <wp:positionH relativeFrom="column">
            <wp:posOffset>-638175</wp:posOffset>
          </wp:positionH>
          <wp:positionV relativeFrom="paragraph">
            <wp:posOffset>-332740</wp:posOffset>
          </wp:positionV>
          <wp:extent cx="752475" cy="65381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2475" cy="653814"/>
                  </a:xfrm>
                  <a:prstGeom prst="rect">
                    <a:avLst/>
                  </a:prstGeom>
                  <a:noFill/>
                  <a:ln>
                    <a:noFill/>
                  </a:ln>
                </pic:spPr>
              </pic:pic>
            </a:graphicData>
          </a:graphic>
        </wp:anchor>
      </w:drawing>
    </w:r>
  </w:p>
  <w:p w:rsidR="007C05BE" w:rsidRDefault="007C0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F7924"/>
    <w:multiLevelType w:val="hybridMultilevel"/>
    <w:tmpl w:val="44F24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744D3"/>
    <w:multiLevelType w:val="hybridMultilevel"/>
    <w:tmpl w:val="A5F2A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427AE"/>
    <w:multiLevelType w:val="hybridMultilevel"/>
    <w:tmpl w:val="0D582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C75AB"/>
    <w:multiLevelType w:val="hybridMultilevel"/>
    <w:tmpl w:val="E166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066F3"/>
    <w:multiLevelType w:val="hybridMultilevel"/>
    <w:tmpl w:val="8C00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62"/>
    <w:rsid w:val="00050962"/>
    <w:rsid w:val="00127E4F"/>
    <w:rsid w:val="00153E24"/>
    <w:rsid w:val="00162BED"/>
    <w:rsid w:val="00166F65"/>
    <w:rsid w:val="002554CA"/>
    <w:rsid w:val="002F3E91"/>
    <w:rsid w:val="00350AE2"/>
    <w:rsid w:val="003D725B"/>
    <w:rsid w:val="005232C3"/>
    <w:rsid w:val="005A1634"/>
    <w:rsid w:val="005C1ED0"/>
    <w:rsid w:val="007C05BE"/>
    <w:rsid w:val="009A6B87"/>
    <w:rsid w:val="00A66589"/>
    <w:rsid w:val="00AC76BC"/>
    <w:rsid w:val="00AD6C94"/>
    <w:rsid w:val="00B220C4"/>
    <w:rsid w:val="00C94AAB"/>
    <w:rsid w:val="00D407E8"/>
    <w:rsid w:val="00E7445E"/>
    <w:rsid w:val="00E9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37997-A4F8-4FC8-8251-DCE0FF4EC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962"/>
    <w:pPr>
      <w:ind w:left="720"/>
      <w:contextualSpacing/>
    </w:pPr>
  </w:style>
  <w:style w:type="character" w:styleId="Hyperlink">
    <w:name w:val="Hyperlink"/>
    <w:basedOn w:val="DefaultParagraphFont"/>
    <w:uiPriority w:val="99"/>
    <w:unhideWhenUsed/>
    <w:rsid w:val="00162BED"/>
    <w:rPr>
      <w:color w:val="0563C1" w:themeColor="hyperlink"/>
      <w:u w:val="single"/>
    </w:rPr>
  </w:style>
  <w:style w:type="paragraph" w:styleId="Header">
    <w:name w:val="header"/>
    <w:basedOn w:val="Normal"/>
    <w:link w:val="HeaderChar"/>
    <w:uiPriority w:val="99"/>
    <w:unhideWhenUsed/>
    <w:rsid w:val="007C0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5BE"/>
  </w:style>
  <w:style w:type="paragraph" w:styleId="Footer">
    <w:name w:val="footer"/>
    <w:basedOn w:val="Normal"/>
    <w:link w:val="FooterChar"/>
    <w:uiPriority w:val="99"/>
    <w:unhideWhenUsed/>
    <w:rsid w:val="007C0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5BE"/>
  </w:style>
  <w:style w:type="character" w:styleId="FollowedHyperlink">
    <w:name w:val="FollowedHyperlink"/>
    <w:basedOn w:val="DefaultParagraphFont"/>
    <w:uiPriority w:val="99"/>
    <w:semiHidden/>
    <w:unhideWhenUsed/>
    <w:rsid w:val="00E97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glowblogs/able/" TargetMode="External"/><Relationship Id="rId3" Type="http://schemas.openxmlformats.org/officeDocument/2006/relationships/settings" Target="settings.xml"/><Relationship Id="rId7" Type="http://schemas.openxmlformats.org/officeDocument/2006/relationships/hyperlink" Target="https://blogs.glowscotland.org.uk/ab/s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Bryden, Clare</dc:creator>
  <cp:keywords/>
  <dc:description/>
  <cp:lastModifiedBy>Bryden, Clare</cp:lastModifiedBy>
  <cp:revision>2</cp:revision>
  <dcterms:created xsi:type="dcterms:W3CDTF">2018-10-30T12:11:00Z</dcterms:created>
  <dcterms:modified xsi:type="dcterms:W3CDTF">2018-10-30T12:11:00Z</dcterms:modified>
</cp:coreProperties>
</file>