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48924675" w:rsidR="006312A7" w:rsidRDefault="006312A7" w:rsidP="009958F5">
      <w:pPr>
        <w:jc w:val="center"/>
        <w:rPr>
          <w:b/>
          <w:bCs/>
          <w:sz w:val="28"/>
          <w:szCs w:val="28"/>
        </w:rPr>
      </w:pPr>
      <w:r>
        <w:rPr>
          <w:b/>
          <w:bCs/>
          <w:sz w:val="28"/>
          <w:szCs w:val="28"/>
        </w:rPr>
        <w:t>Establishment Name</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40349B3" w14:textId="77777777" w:rsidR="006312A7" w:rsidRPr="006312A7" w:rsidRDefault="006312A7" w:rsidP="00EE0A65">
      <w:pPr>
        <w:rPr>
          <w:b/>
          <w:bCs/>
          <w:sz w:val="28"/>
          <w:szCs w:val="28"/>
        </w:rPr>
      </w:pPr>
    </w:p>
    <w:p w14:paraId="004C2635" w14:textId="3F806BBC" w:rsidR="000C6DF3" w:rsidRPr="005A7E1F" w:rsidRDefault="00963FFD" w:rsidP="002B6B42">
      <w:pPr>
        <w:tabs>
          <w:tab w:val="left" w:pos="1600"/>
        </w:tabs>
        <w:rPr>
          <w:rFonts w:cs="Arial"/>
        </w:rPr>
      </w:pPr>
      <w:r w:rsidRPr="007573D6">
        <w:t>Th</w:t>
      </w:r>
      <w:r w:rsidR="006F5F7E" w:rsidRPr="007573D6">
        <w:t xml:space="preserve">is </w:t>
      </w:r>
      <w:r w:rsidR="0077595A" w:rsidRPr="007573D6">
        <w:t>summar</w:t>
      </w:r>
      <w:r w:rsidRPr="007573D6">
        <w:t xml:space="preserve">y </w:t>
      </w:r>
      <w:r w:rsidR="0077595A" w:rsidRPr="007573D6">
        <w:t>report is provided for parents/care</w:t>
      </w:r>
      <w:r w:rsidR="006F5F7E" w:rsidRPr="007573D6">
        <w:t>rs</w:t>
      </w:r>
      <w:r w:rsidRPr="007573D6">
        <w:t xml:space="preserve"> and partners to outline </w:t>
      </w:r>
      <w:r w:rsidR="00DC2E99" w:rsidRPr="007573D6">
        <w:t>our achievements and improvements</w:t>
      </w:r>
      <w:r w:rsidR="009537BE">
        <w:t xml:space="preserve"> during</w:t>
      </w:r>
      <w:r w:rsidR="00DC2E99" w:rsidRPr="007573D6">
        <w:t xml:space="preserve"> session</w:t>
      </w:r>
      <w:r w:rsidR="009537BE">
        <w:t xml:space="preserve"> 202</w:t>
      </w:r>
      <w:r w:rsidR="0097112B">
        <w:t>4</w:t>
      </w:r>
      <w:r w:rsidR="009537BE">
        <w:t xml:space="preserve"> - 202</w:t>
      </w:r>
      <w:r w:rsidR="0097112B">
        <w:t>5</w:t>
      </w:r>
      <w:r w:rsidR="00DC2E99" w:rsidRPr="007573D6">
        <w:t xml:space="preserve"> an</w:t>
      </w:r>
      <w:r w:rsidR="00533B17" w:rsidRPr="007573D6">
        <w:t>d</w:t>
      </w:r>
      <w:r w:rsidR="00DC2E99" w:rsidRPr="007573D6">
        <w:t xml:space="preserve"> </w:t>
      </w:r>
      <w:r w:rsidR="007573D6">
        <w:t xml:space="preserve">to </w:t>
      </w:r>
      <w:r w:rsidR="00DC2E99" w:rsidRPr="007573D6">
        <w:t>share</w:t>
      </w:r>
      <w:r w:rsidR="007573D6">
        <w:t xml:space="preserve"> our</w:t>
      </w:r>
      <w:r w:rsidR="00DC2E99" w:rsidRPr="007573D6">
        <w:t xml:space="preserve"> improvement </w:t>
      </w:r>
      <w:r w:rsidR="00533B17" w:rsidRPr="007573D6">
        <w:t>priorities for</w:t>
      </w:r>
      <w:r w:rsidR="009537BE">
        <w:t xml:space="preserve"> </w:t>
      </w:r>
      <w:r w:rsidR="00DC2E99" w:rsidRPr="007573D6">
        <w:t>202</w:t>
      </w:r>
      <w:r w:rsidR="0097112B">
        <w:t>5</w:t>
      </w:r>
      <w:r w:rsidR="00DC2E99" w:rsidRPr="007573D6">
        <w:t xml:space="preserve"> - 202</w:t>
      </w:r>
      <w:r w:rsidR="0097112B">
        <w:t>6</w:t>
      </w:r>
      <w:r w:rsidR="00533B17" w:rsidRPr="007573D6">
        <w:t>.</w:t>
      </w:r>
      <w:r w:rsidR="007573D6">
        <w:t xml:space="preserve"> </w:t>
      </w:r>
      <w:r w:rsidR="005A7E1F">
        <w:t>Throughout last session</w:t>
      </w:r>
      <w:r w:rsidR="000C6DF3" w:rsidRPr="007573D6">
        <w:rPr>
          <w:rFonts w:cs="Arial"/>
        </w:rPr>
        <w:t xml:space="preserve"> we t</w:t>
      </w:r>
      <w:r w:rsidR="005A7E1F">
        <w:rPr>
          <w:rFonts w:cs="Arial"/>
        </w:rPr>
        <w:t>ook</w:t>
      </w:r>
      <w:r w:rsidR="000C6DF3" w:rsidRPr="007573D6">
        <w:rPr>
          <w:rFonts w:cs="Arial"/>
        </w:rPr>
        <w:t xml:space="preserve"> forward our </w:t>
      </w:r>
      <w:r w:rsidR="006F5F7E" w:rsidRPr="007573D6">
        <w:rPr>
          <w:rFonts w:cs="Arial"/>
        </w:rPr>
        <w:t xml:space="preserve">improvement </w:t>
      </w:r>
      <w:r w:rsidR="000C6DF3" w:rsidRPr="007573D6">
        <w:rPr>
          <w:rFonts w:cs="Arial"/>
        </w:rPr>
        <w:t>prior</w:t>
      </w:r>
      <w:r w:rsidR="00FA4B1A" w:rsidRPr="007573D6">
        <w:rPr>
          <w:rFonts w:cs="Arial"/>
        </w:rPr>
        <w:t xml:space="preserve">ities as detailed in our school </w:t>
      </w:r>
      <w:r w:rsidR="000C6DF3" w:rsidRPr="007573D6">
        <w:rPr>
          <w:rFonts w:cs="Arial"/>
        </w:rPr>
        <w:t>improvement plan.</w:t>
      </w:r>
      <w:r w:rsidR="007573D6">
        <w:rPr>
          <w:rFonts w:cs="Arial"/>
        </w:rPr>
        <w:t xml:space="preserve"> Using</w:t>
      </w:r>
      <w:r w:rsidR="009537BE">
        <w:rPr>
          <w:rFonts w:cs="Arial"/>
        </w:rPr>
        <w:t xml:space="preserve"> our </w:t>
      </w:r>
      <w:r w:rsidR="00DC2E99" w:rsidRPr="007573D6">
        <w:rPr>
          <w:rFonts w:cs="Arial"/>
        </w:rPr>
        <w:t>approaches to self-evaluation</w:t>
      </w:r>
      <w:r w:rsidR="005A7E1F">
        <w:rPr>
          <w:rFonts w:cs="Arial"/>
        </w:rPr>
        <w:t xml:space="preserve">, </w:t>
      </w:r>
      <w:r w:rsidR="000C6DF3" w:rsidRPr="007573D6">
        <w:rPr>
          <w:rFonts w:cs="Arial"/>
        </w:rPr>
        <w:t xml:space="preserve">we have </w:t>
      </w:r>
      <w:r w:rsidR="005A7E1F">
        <w:rPr>
          <w:rFonts w:cs="Arial"/>
        </w:rPr>
        <w:t xml:space="preserve">detailed in this report the impact of our work and </w:t>
      </w:r>
      <w:r w:rsidR="000C6DF3" w:rsidRPr="007573D6">
        <w:rPr>
          <w:rFonts w:cs="Arial"/>
        </w:rPr>
        <w:t>identified</w:t>
      </w:r>
      <w:r w:rsidR="009537BE">
        <w:rPr>
          <w:rFonts w:cs="Arial"/>
        </w:rPr>
        <w:t xml:space="preserve"> </w:t>
      </w:r>
      <w:r w:rsidR="000C6DF3" w:rsidRPr="007573D6">
        <w:rPr>
          <w:rFonts w:cs="Arial"/>
        </w:rPr>
        <w:t>how we</w:t>
      </w:r>
      <w:r w:rsidR="005A7E1F">
        <w:rPr>
          <w:rFonts w:cs="Arial"/>
        </w:rPr>
        <w:t xml:space="preserve"> plan to </w:t>
      </w:r>
      <w:r w:rsidR="007573D6">
        <w:rPr>
          <w:rFonts w:cs="Arial"/>
        </w:rPr>
        <w:t>continue to</w:t>
      </w:r>
      <w:r w:rsidR="000C6DF3" w:rsidRPr="007573D6">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3FCB824E" w14:textId="77777777" w:rsidR="0097112B" w:rsidRDefault="0097112B" w:rsidP="00FA496D">
            <w:pPr>
              <w:tabs>
                <w:tab w:val="left" w:pos="1600"/>
              </w:tabs>
              <w:rPr>
                <w:rFonts w:cs="Arial"/>
                <w:b/>
              </w:rPr>
            </w:pPr>
          </w:p>
          <w:p w14:paraId="7EBA38A6" w14:textId="28EF78F0" w:rsidR="002618B6" w:rsidRDefault="002618B6" w:rsidP="002618B6">
            <w:pPr>
              <w:tabs>
                <w:tab w:val="left" w:pos="1600"/>
              </w:tabs>
              <w:rPr>
                <w:rFonts w:cs="Arial"/>
                <w:bCs/>
              </w:rPr>
            </w:pPr>
            <w:r w:rsidRPr="002618B6">
              <w:rPr>
                <w:rFonts w:cs="Arial"/>
                <w:bCs/>
              </w:rPr>
              <w:t>St Mi</w:t>
            </w:r>
            <w:r>
              <w:rPr>
                <w:rFonts w:cs="Arial"/>
                <w:bCs/>
              </w:rPr>
              <w:t>rin’s</w:t>
            </w:r>
            <w:r w:rsidRPr="002618B6">
              <w:rPr>
                <w:rFonts w:cs="Arial"/>
                <w:bCs/>
              </w:rPr>
              <w:t xml:space="preserve"> Primary School is a denominational school located within Kings Park. We are a strong faith community where Catholic values underpin our vision, values, and aims. These values are evident in the daily life of the school and guide our approaches to learning, teaching, and relationships. Our commitment to Gospel values ensures a nurturing, inclusive, and respectful environment for all.</w:t>
            </w:r>
          </w:p>
          <w:p w14:paraId="491C3A01" w14:textId="77777777" w:rsidR="002618B6" w:rsidRPr="002618B6" w:rsidRDefault="002618B6" w:rsidP="002618B6">
            <w:pPr>
              <w:tabs>
                <w:tab w:val="left" w:pos="1600"/>
              </w:tabs>
              <w:rPr>
                <w:rFonts w:cs="Arial"/>
                <w:bCs/>
              </w:rPr>
            </w:pPr>
          </w:p>
          <w:p w14:paraId="5AEA2263" w14:textId="4A1268FF" w:rsidR="002618B6" w:rsidRDefault="002618B6" w:rsidP="002618B6">
            <w:pPr>
              <w:tabs>
                <w:tab w:val="left" w:pos="1600"/>
              </w:tabs>
              <w:rPr>
                <w:rFonts w:cs="Arial"/>
                <w:bCs/>
              </w:rPr>
            </w:pPr>
            <w:r w:rsidRPr="002618B6">
              <w:rPr>
                <w:rFonts w:cs="Arial"/>
                <w:bCs/>
              </w:rPr>
              <w:t>Almost all children remain highly engaged, motivated, and enthusiastic learners who interact positively with staff and peers. Our curriculum continues to be designed and delivered in ways that promote equality, equity, and diversity. Families from a range of faith traditions choose St Mi</w:t>
            </w:r>
            <w:r>
              <w:rPr>
                <w:rFonts w:cs="Arial"/>
                <w:bCs/>
              </w:rPr>
              <w:t>rin’s</w:t>
            </w:r>
            <w:r w:rsidRPr="002618B6">
              <w:rPr>
                <w:rFonts w:cs="Arial"/>
                <w:bCs/>
              </w:rPr>
              <w:t xml:space="preserve"> because of our caring ethos, inclusive practice, and commitment to high standards.</w:t>
            </w:r>
          </w:p>
          <w:p w14:paraId="1FB25A2C" w14:textId="77777777" w:rsidR="002D3BFB" w:rsidRDefault="002D3BFB" w:rsidP="002618B6">
            <w:pPr>
              <w:tabs>
                <w:tab w:val="left" w:pos="1600"/>
              </w:tabs>
              <w:rPr>
                <w:rFonts w:cs="Arial"/>
                <w:bCs/>
              </w:rPr>
            </w:pPr>
          </w:p>
          <w:p w14:paraId="2BBB9E9E" w14:textId="2C8A0CDA" w:rsidR="002D3BFB" w:rsidRDefault="002D3BFB" w:rsidP="002D3BFB">
            <w:pPr>
              <w:tabs>
                <w:tab w:val="left" w:pos="1600"/>
              </w:tabs>
              <w:rPr>
                <w:rFonts w:cs="Arial"/>
                <w:bCs/>
              </w:rPr>
            </w:pPr>
            <w:r>
              <w:rPr>
                <w:rFonts w:cs="Arial"/>
                <w:bCs/>
              </w:rPr>
              <w:t>Our school currently has a roll of approximately 280 pupils. The Scottish index of Multiple Deprivation (SIMD) data indicates that around 2</w:t>
            </w:r>
            <w:r w:rsidR="003928B6">
              <w:rPr>
                <w:rFonts w:cs="Arial"/>
                <w:bCs/>
              </w:rPr>
              <w:t>3</w:t>
            </w:r>
            <w:r>
              <w:rPr>
                <w:rFonts w:cs="Arial"/>
                <w:bCs/>
              </w:rPr>
              <w:t>% of our pupils live within the most deprived areas.</w:t>
            </w:r>
          </w:p>
          <w:p w14:paraId="5C2C5C44" w14:textId="77777777" w:rsidR="002D3BFB" w:rsidRDefault="002D3BFB" w:rsidP="002D3BFB">
            <w:pPr>
              <w:tabs>
                <w:tab w:val="left" w:pos="1600"/>
              </w:tabs>
              <w:rPr>
                <w:rFonts w:cs="Arial"/>
                <w:bCs/>
              </w:rPr>
            </w:pPr>
          </w:p>
          <w:p w14:paraId="21BF3888" w14:textId="5ADB0707" w:rsidR="002D3BFB" w:rsidRPr="002618B6" w:rsidRDefault="002D3BFB" w:rsidP="002D3BFB">
            <w:pPr>
              <w:tabs>
                <w:tab w:val="left" w:pos="1600"/>
              </w:tabs>
              <w:rPr>
                <w:rFonts w:cs="Arial"/>
                <w:bCs/>
              </w:rPr>
            </w:pPr>
            <w:r>
              <w:rPr>
                <w:rFonts w:cs="Arial"/>
                <w:bCs/>
              </w:rPr>
              <w:t xml:space="preserve">We received a Pupil Equity Fund (PEF) allocation of £73,000, which is used primarily to support staffing </w:t>
            </w:r>
            <w:proofErr w:type="gramStart"/>
            <w:r>
              <w:rPr>
                <w:rFonts w:cs="Arial"/>
                <w:bCs/>
              </w:rPr>
              <w:t>in order to</w:t>
            </w:r>
            <w:proofErr w:type="gramEnd"/>
            <w:r>
              <w:rPr>
                <w:rFonts w:cs="Arial"/>
                <w:bCs/>
              </w:rPr>
              <w:t xml:space="preserve"> reduce the impact of poverty on children’s attainment and wellbeing.  </w:t>
            </w:r>
          </w:p>
          <w:p w14:paraId="63360AA0" w14:textId="77777777" w:rsidR="002618B6" w:rsidRPr="002618B6" w:rsidRDefault="002618B6" w:rsidP="002618B6">
            <w:pPr>
              <w:tabs>
                <w:tab w:val="left" w:pos="1600"/>
              </w:tabs>
              <w:rPr>
                <w:rFonts w:cs="Arial"/>
                <w:bCs/>
              </w:rPr>
            </w:pPr>
          </w:p>
          <w:p w14:paraId="2B429416" w14:textId="3BECA01B" w:rsidR="002618B6" w:rsidRPr="002618B6" w:rsidRDefault="002618B6" w:rsidP="002618B6">
            <w:pPr>
              <w:tabs>
                <w:tab w:val="left" w:pos="1600"/>
              </w:tabs>
              <w:rPr>
                <w:rFonts w:cs="Arial"/>
                <w:bCs/>
              </w:rPr>
            </w:pPr>
            <w:r w:rsidRPr="002618B6">
              <w:rPr>
                <w:rFonts w:cs="Arial"/>
                <w:bCs/>
              </w:rPr>
              <w:t>The 2024–25 session has seen sustained progress in learning, teaching, and attainment, alongside further development of our faith life and community partnerships. The following section outlines the key highlights and achievements from this session.</w:t>
            </w:r>
          </w:p>
          <w:p w14:paraId="242A479C" w14:textId="77777777" w:rsidR="0097112B" w:rsidRDefault="0097112B" w:rsidP="00FA496D">
            <w:pPr>
              <w:tabs>
                <w:tab w:val="left" w:pos="1600"/>
              </w:tabs>
              <w:rPr>
                <w:rFonts w:cs="Arial"/>
                <w:b/>
              </w:rPr>
            </w:pP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4C387E" w:rsidRPr="00DC1797" w14:paraId="10665D5E" w14:textId="77777777" w:rsidTr="0097112B">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right w:val="single" w:sz="2" w:space="0" w:color="auto"/>
            </w:tcBorders>
          </w:tcPr>
          <w:p w14:paraId="1A9426FB" w14:textId="245281AD" w:rsidR="000149D4" w:rsidRPr="00CA1AD8" w:rsidRDefault="000149D4" w:rsidP="000C6DF3">
            <w:pPr>
              <w:tabs>
                <w:tab w:val="left" w:pos="1600"/>
              </w:tabs>
              <w:spacing w:before="60"/>
              <w:rPr>
                <w:rFonts w:cs="Arial"/>
                <w:b/>
                <w:bCs/>
                <w:u w:val="single"/>
              </w:rPr>
            </w:pPr>
            <w:r w:rsidRPr="00CA1AD8">
              <w:rPr>
                <w:rFonts w:cs="Arial"/>
                <w:b/>
                <w:bCs/>
                <w:u w:val="single"/>
              </w:rPr>
              <w:t xml:space="preserve">Learning, Teaching and Assessment </w:t>
            </w:r>
          </w:p>
          <w:p w14:paraId="5C9C0C52" w14:textId="77777777" w:rsidR="00CA1AD8" w:rsidRPr="00CA1AD8" w:rsidRDefault="00CA1AD8" w:rsidP="00CA1AD8">
            <w:pPr>
              <w:tabs>
                <w:tab w:val="left" w:pos="1600"/>
              </w:tabs>
              <w:spacing w:before="60"/>
              <w:rPr>
                <w:rFonts w:cs="Arial"/>
              </w:rPr>
            </w:pPr>
            <w:r w:rsidRPr="00CA1AD8">
              <w:rPr>
                <w:rFonts w:cs="Arial"/>
              </w:rPr>
              <w:t>During this session, staff have engaged in professional learning focused on </w:t>
            </w:r>
            <w:r w:rsidRPr="00CA1AD8">
              <w:rPr>
                <w:rFonts w:cs="Arial"/>
                <w:i/>
                <w:iCs/>
              </w:rPr>
              <w:t>Glasgow’s pedagogy for differentiation</w:t>
            </w:r>
            <w:r w:rsidRPr="00CA1AD8">
              <w:rPr>
                <w:rFonts w:cs="Arial"/>
              </w:rPr>
              <w:t>. This has strengthened confidence and consistency in planning, learning, and teaching, ensuring that staff are better equipped to meet the diverse needs of all learners. Moving forward, this work will continue to be a key priority to further enhance our approaches to differentiation and inclusive practice.</w:t>
            </w:r>
          </w:p>
          <w:p w14:paraId="69918D43" w14:textId="77777777" w:rsidR="00CA1AD8" w:rsidRPr="00CA1AD8" w:rsidRDefault="00CA1AD8" w:rsidP="00CA1AD8">
            <w:pPr>
              <w:tabs>
                <w:tab w:val="left" w:pos="1600"/>
              </w:tabs>
              <w:spacing w:before="60"/>
              <w:rPr>
                <w:rFonts w:cs="Arial"/>
              </w:rPr>
            </w:pPr>
          </w:p>
          <w:p w14:paraId="0FE53DA0" w14:textId="02AC2A3C" w:rsidR="00CA1AD8" w:rsidRPr="00CA1AD8" w:rsidRDefault="00CA1AD8" w:rsidP="00CA1AD8">
            <w:pPr>
              <w:tabs>
                <w:tab w:val="left" w:pos="1600"/>
              </w:tabs>
              <w:spacing w:before="60"/>
              <w:rPr>
                <w:rFonts w:cs="Arial"/>
              </w:rPr>
            </w:pPr>
            <w:r w:rsidRPr="00CA1AD8">
              <w:rPr>
                <w:rFonts w:cs="Arial"/>
              </w:rPr>
              <w:t xml:space="preserve">A </w:t>
            </w:r>
            <w:r>
              <w:rPr>
                <w:rFonts w:cs="Arial"/>
              </w:rPr>
              <w:t xml:space="preserve">new </w:t>
            </w:r>
            <w:r w:rsidRPr="00CA1AD8">
              <w:rPr>
                <w:rFonts w:cs="Arial"/>
              </w:rPr>
              <w:t>phonics programme has been successfully piloted in partnership with the local QIO. This collaborative approach has supported the effective embedding of phonics practice across the school. As a result, there has been a measurable positive impact on attainment, with improved accuracy and fluency in reading and writing evident across the early and first levels.</w:t>
            </w:r>
          </w:p>
          <w:p w14:paraId="6879E762" w14:textId="77777777" w:rsidR="00CA1AD8" w:rsidRPr="00CA1AD8" w:rsidRDefault="00CA1AD8" w:rsidP="00CA1AD8">
            <w:pPr>
              <w:tabs>
                <w:tab w:val="left" w:pos="1600"/>
              </w:tabs>
              <w:spacing w:before="60"/>
              <w:rPr>
                <w:rFonts w:cs="Arial"/>
              </w:rPr>
            </w:pPr>
          </w:p>
          <w:p w14:paraId="27AE86A6" w14:textId="77777777" w:rsidR="00CA1AD8" w:rsidRPr="00CA1AD8" w:rsidRDefault="00CA1AD8" w:rsidP="00CA1AD8">
            <w:pPr>
              <w:tabs>
                <w:tab w:val="left" w:pos="1600"/>
              </w:tabs>
              <w:spacing w:before="60"/>
              <w:rPr>
                <w:rFonts w:cs="Arial"/>
              </w:rPr>
            </w:pPr>
            <w:r w:rsidRPr="00CA1AD8">
              <w:rPr>
                <w:rFonts w:cs="Arial"/>
              </w:rPr>
              <w:t>A new whole-school planning format has also been introduced this session. This has provided a clear and consistent framework to support staff in designing progressive, coherent, and differentiated learning experiences across the curriculum. The new approach has strengthened the link between learning, teaching, and assessment, ensuring that planning effectively meets the needs of all learners and supports improved outcomes.</w:t>
            </w:r>
          </w:p>
          <w:p w14:paraId="516D2164" w14:textId="77777777" w:rsidR="00CA1AD8" w:rsidRDefault="00CA1AD8" w:rsidP="000C6DF3">
            <w:pPr>
              <w:tabs>
                <w:tab w:val="left" w:pos="1600"/>
              </w:tabs>
              <w:spacing w:before="60"/>
              <w:rPr>
                <w:rFonts w:cs="Arial"/>
              </w:rPr>
            </w:pPr>
          </w:p>
          <w:p w14:paraId="1F0EC7E5" w14:textId="159A04AB" w:rsidR="000149D4" w:rsidRPr="00CA1AD8" w:rsidRDefault="000149D4" w:rsidP="000C6DF3">
            <w:pPr>
              <w:tabs>
                <w:tab w:val="left" w:pos="1600"/>
              </w:tabs>
              <w:spacing w:before="60"/>
              <w:rPr>
                <w:rFonts w:cs="Arial"/>
                <w:b/>
                <w:bCs/>
                <w:u w:val="single"/>
              </w:rPr>
            </w:pPr>
            <w:r w:rsidRPr="00CA1AD8">
              <w:rPr>
                <w:rFonts w:cs="Arial"/>
                <w:b/>
                <w:bCs/>
                <w:u w:val="single"/>
              </w:rPr>
              <w:t xml:space="preserve">Wellbeing and Inclusion </w:t>
            </w:r>
          </w:p>
          <w:p w14:paraId="6696BA8E" w14:textId="77777777" w:rsidR="00CA1AD8" w:rsidRPr="00CA1AD8" w:rsidRDefault="00CA1AD8" w:rsidP="00CA1AD8">
            <w:pPr>
              <w:tabs>
                <w:tab w:val="left" w:pos="1600"/>
              </w:tabs>
              <w:spacing w:before="60"/>
              <w:rPr>
                <w:rFonts w:cs="Arial"/>
              </w:rPr>
            </w:pPr>
            <w:r w:rsidRPr="00CA1AD8">
              <w:rPr>
                <w:rFonts w:cs="Arial"/>
              </w:rPr>
              <w:t>This session, staff have effectively implemented </w:t>
            </w:r>
            <w:r w:rsidRPr="00CA1AD8">
              <w:rPr>
                <w:rFonts w:cs="Arial"/>
                <w:i/>
                <w:iCs/>
              </w:rPr>
              <w:t>The Circle Framework</w:t>
            </w:r>
            <w:r w:rsidRPr="00CA1AD8">
              <w:rPr>
                <w:rFonts w:cs="Arial"/>
              </w:rPr>
              <w:t> as a key resource to promote inclusion and participation across the school. The framework has provided staff with practical strategies to address individual needs and ensure all children can participate fully and thrive within the school environment.</w:t>
            </w:r>
          </w:p>
          <w:p w14:paraId="05057E8A" w14:textId="13AF8469" w:rsidR="00CA1AD8" w:rsidRPr="00CA1AD8" w:rsidRDefault="00CA1AD8" w:rsidP="00CA1AD8">
            <w:pPr>
              <w:tabs>
                <w:tab w:val="left" w:pos="1600"/>
              </w:tabs>
              <w:spacing w:before="60"/>
              <w:rPr>
                <w:rFonts w:cs="Arial"/>
              </w:rPr>
            </w:pPr>
            <w:r w:rsidRPr="00CA1AD8">
              <w:rPr>
                <w:rFonts w:cs="Arial"/>
              </w:rPr>
              <w:t>Following professional learning delivered by Educational Psychologist, teachers are now using the </w:t>
            </w:r>
            <w:r w:rsidRPr="00CA1AD8">
              <w:rPr>
                <w:rFonts w:cs="Arial"/>
                <w:i/>
                <w:iCs/>
              </w:rPr>
              <w:t>Circle Inclusive Classroom Scale</w:t>
            </w:r>
            <w:r w:rsidRPr="00CA1AD8">
              <w:rPr>
                <w:rFonts w:cs="Arial"/>
              </w:rPr>
              <w:t> to evaluate the inclusivity of their classroom environments and the </w:t>
            </w:r>
            <w:r w:rsidRPr="00CA1AD8">
              <w:rPr>
                <w:rFonts w:cs="Arial"/>
                <w:i/>
                <w:iCs/>
              </w:rPr>
              <w:t>Circle Preparation Scale</w:t>
            </w:r>
            <w:r w:rsidRPr="00CA1AD8">
              <w:rPr>
                <w:rFonts w:cs="Arial"/>
              </w:rPr>
              <w:t> to identify actions that enhance pupil participation and progress. This reflective practice has strengthened staff understanding of inclusive pedagogy and supported ongoing improvements in classroom practice.</w:t>
            </w:r>
          </w:p>
          <w:p w14:paraId="3ED42A75" w14:textId="3D4CEAAB" w:rsidR="00CA1AD8" w:rsidRPr="00CA1AD8" w:rsidRDefault="00CA1AD8" w:rsidP="00CA1AD8">
            <w:pPr>
              <w:tabs>
                <w:tab w:val="left" w:pos="1600"/>
              </w:tabs>
              <w:spacing w:before="60"/>
              <w:rPr>
                <w:rFonts w:cs="Arial"/>
              </w:rPr>
            </w:pPr>
            <w:r>
              <w:rPr>
                <w:rFonts w:cs="Arial"/>
              </w:rPr>
              <w:t>Out of School Care</w:t>
            </w:r>
            <w:r w:rsidRPr="00CA1AD8">
              <w:rPr>
                <w:rFonts w:cs="Arial"/>
              </w:rPr>
              <w:t xml:space="preserve"> staff continue to work collaboratively with AS</w:t>
            </w:r>
            <w:r>
              <w:rPr>
                <w:rFonts w:cs="Arial"/>
              </w:rPr>
              <w:t>L</w:t>
            </w:r>
            <w:r w:rsidRPr="00CA1AD8">
              <w:rPr>
                <w:rFonts w:cs="Arial"/>
              </w:rPr>
              <w:t xml:space="preserve"> Coordinator and class teachers to meet the wellbeing needs of individuals and groups of pupils. This strong partnership approach has had a </w:t>
            </w:r>
            <w:r w:rsidRPr="00CA1AD8">
              <w:rPr>
                <w:rFonts w:cs="Arial"/>
              </w:rPr>
              <w:lastRenderedPageBreak/>
              <w:t>significant positive impact on pupil wellbeing across the whole school. We will continue to build on this collaborative practice next session to further enhance inclusion and support for all learners.</w:t>
            </w:r>
          </w:p>
          <w:p w14:paraId="4EB91076" w14:textId="77777777" w:rsidR="000149D4" w:rsidRDefault="000149D4" w:rsidP="000C6DF3">
            <w:pPr>
              <w:tabs>
                <w:tab w:val="left" w:pos="1600"/>
              </w:tabs>
              <w:spacing w:before="60"/>
              <w:rPr>
                <w:rFonts w:cs="Arial"/>
              </w:rPr>
            </w:pPr>
          </w:p>
          <w:p w14:paraId="5E619FDB" w14:textId="13236791" w:rsidR="000149D4" w:rsidRPr="00FB39B6" w:rsidRDefault="000149D4" w:rsidP="000C6DF3">
            <w:pPr>
              <w:tabs>
                <w:tab w:val="left" w:pos="1600"/>
              </w:tabs>
              <w:spacing w:before="60"/>
              <w:rPr>
                <w:rFonts w:cs="Arial"/>
                <w:b/>
                <w:bCs/>
                <w:u w:val="single"/>
              </w:rPr>
            </w:pPr>
            <w:r w:rsidRPr="00FB39B6">
              <w:rPr>
                <w:rFonts w:cs="Arial"/>
                <w:b/>
                <w:bCs/>
                <w:u w:val="single"/>
              </w:rPr>
              <w:t xml:space="preserve">Rights Respecting Schools </w:t>
            </w:r>
          </w:p>
          <w:p w14:paraId="7B1097C6" w14:textId="3BACAA95" w:rsidR="00533B17" w:rsidRDefault="002C2B2C" w:rsidP="00CA1AD8">
            <w:pPr>
              <w:tabs>
                <w:tab w:val="left" w:pos="1600"/>
              </w:tabs>
              <w:spacing w:before="60"/>
              <w:rPr>
                <w:rFonts w:cs="Arial"/>
              </w:rPr>
            </w:pPr>
            <w:r>
              <w:rPr>
                <w:rFonts w:cs="Arial"/>
              </w:rPr>
              <w:t xml:space="preserve">This session, we successfully achieved out Silver Rights Respecting School Award. This achievement recognises the strong commitment across our school community to embedding children’s rights in our ethos, curriculum and relationships.  </w:t>
            </w:r>
          </w:p>
          <w:p w14:paraId="6CE7B70D" w14:textId="77777777" w:rsidR="00FA4B1A" w:rsidRPr="00DC1797" w:rsidRDefault="00FA4B1A" w:rsidP="00097858">
            <w:pPr>
              <w:tabs>
                <w:tab w:val="left" w:pos="1600"/>
              </w:tabs>
              <w:spacing w:before="60"/>
              <w:rPr>
                <w:rFonts w:cs="Arial"/>
              </w:rPr>
            </w:pPr>
          </w:p>
        </w:tc>
      </w:tr>
      <w:tr w:rsidR="0097112B"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97112B" w:rsidRPr="00DC1797" w:rsidRDefault="0097112B" w:rsidP="00FA496D">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97112B" w:rsidRPr="0097112B" w:rsidRDefault="0097112B" w:rsidP="000C6DF3">
            <w:pPr>
              <w:tabs>
                <w:tab w:val="left" w:pos="1600"/>
              </w:tabs>
              <w:spacing w:before="60"/>
              <w:rPr>
                <w:rFonts w:cs="Arial"/>
                <w:b/>
                <w:bCs/>
              </w:rPr>
            </w:pPr>
            <w:r w:rsidRPr="0097112B">
              <w:rPr>
                <w:rFonts w:cs="Arial"/>
                <w:b/>
                <w:bCs/>
              </w:rPr>
              <w:t>Attendance and Exclusion data</w:t>
            </w:r>
          </w:p>
        </w:tc>
      </w:tr>
      <w:tr w:rsidR="0097112B" w:rsidRPr="00DC1797" w14:paraId="27CD69AA" w14:textId="77777777" w:rsidTr="0097112B">
        <w:tc>
          <w:tcPr>
            <w:tcW w:w="360" w:type="dxa"/>
            <w:tcBorders>
              <w:left w:val="nil"/>
              <w:right w:val="single" w:sz="2" w:space="0" w:color="auto"/>
            </w:tcBorders>
            <w:shd w:val="clear" w:color="auto" w:fill="C5E0B3" w:themeFill="accent6" w:themeFillTint="66"/>
          </w:tcPr>
          <w:p w14:paraId="26F6672B" w14:textId="77777777" w:rsidR="0097112B" w:rsidRPr="00DC1797" w:rsidRDefault="0097112B"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7FEECB5" w14:textId="14E1FE4A" w:rsidR="0097112B" w:rsidRDefault="00C70E76" w:rsidP="000C6DF3">
            <w:pPr>
              <w:tabs>
                <w:tab w:val="left" w:pos="1600"/>
              </w:tabs>
              <w:spacing w:before="60"/>
              <w:rPr>
                <w:rFonts w:cs="Arial"/>
              </w:rPr>
            </w:pPr>
            <w:r>
              <w:rPr>
                <w:rFonts w:cs="Arial"/>
              </w:rPr>
              <w:t>We have had no exclusions this session.</w:t>
            </w:r>
          </w:p>
          <w:p w14:paraId="3D82EAA2" w14:textId="471BD066" w:rsidR="00C70E76" w:rsidRDefault="00C70E76" w:rsidP="000C6DF3">
            <w:pPr>
              <w:tabs>
                <w:tab w:val="left" w:pos="1600"/>
              </w:tabs>
              <w:spacing w:before="60"/>
              <w:rPr>
                <w:rFonts w:cs="Arial"/>
              </w:rPr>
            </w:pPr>
            <w:r>
              <w:rPr>
                <w:rFonts w:cs="Arial"/>
              </w:rPr>
              <w:t xml:space="preserve">School attendance rate is </w:t>
            </w:r>
            <w:r w:rsidR="00FB39B6">
              <w:rPr>
                <w:rFonts w:cs="Arial"/>
              </w:rPr>
              <w:t>94.10%</w:t>
            </w:r>
            <w:r w:rsidR="003928B6">
              <w:rPr>
                <w:rFonts w:cs="Arial"/>
              </w:rPr>
              <w:t>.</w:t>
            </w:r>
          </w:p>
          <w:p w14:paraId="55E0B004" w14:textId="77777777" w:rsidR="00AE1493" w:rsidRDefault="00AE1493" w:rsidP="000C6DF3">
            <w:pPr>
              <w:tabs>
                <w:tab w:val="left" w:pos="1600"/>
              </w:tabs>
              <w:spacing w:before="60"/>
              <w:rPr>
                <w:rFonts w:cs="Arial"/>
              </w:rPr>
            </w:pPr>
          </w:p>
        </w:tc>
      </w:tr>
    </w:tbl>
    <w:p w14:paraId="04F951AB" w14:textId="77777777"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210652A5" w14:textId="24B3A58B" w:rsidR="00533B17" w:rsidRPr="00CA1AD8" w:rsidRDefault="000149D4" w:rsidP="000C6DF3">
            <w:pPr>
              <w:tabs>
                <w:tab w:val="left" w:pos="1600"/>
              </w:tabs>
              <w:spacing w:before="60"/>
              <w:rPr>
                <w:rFonts w:cs="Arial"/>
                <w:b/>
                <w:bCs/>
                <w:u w:val="single"/>
              </w:rPr>
            </w:pPr>
            <w:r w:rsidRPr="00CA1AD8">
              <w:rPr>
                <w:rFonts w:cs="Arial"/>
                <w:b/>
                <w:bCs/>
                <w:u w:val="single"/>
              </w:rPr>
              <w:t xml:space="preserve">Raising Attainment and Achievement </w:t>
            </w:r>
          </w:p>
          <w:p w14:paraId="5E91DF60" w14:textId="77777777" w:rsidR="00CA1AD8" w:rsidRPr="00CA1AD8" w:rsidRDefault="00CA1AD8" w:rsidP="00CA1AD8">
            <w:pPr>
              <w:tabs>
                <w:tab w:val="left" w:pos="1600"/>
              </w:tabs>
              <w:spacing w:before="60"/>
              <w:rPr>
                <w:rFonts w:cs="Arial"/>
              </w:rPr>
            </w:pPr>
            <w:r w:rsidRPr="00CA1AD8">
              <w:rPr>
                <w:rFonts w:cs="Arial"/>
              </w:rPr>
              <w:t>Raising attainment in literacy and numeracy will remain a key priority next session.</w:t>
            </w:r>
          </w:p>
          <w:p w14:paraId="1D335D03" w14:textId="77777777" w:rsidR="00CA1AD8" w:rsidRPr="00CA1AD8" w:rsidRDefault="00CA1AD8" w:rsidP="00CA1AD8">
            <w:pPr>
              <w:tabs>
                <w:tab w:val="left" w:pos="1600"/>
              </w:tabs>
              <w:spacing w:before="60"/>
              <w:rPr>
                <w:rFonts w:cs="Arial"/>
              </w:rPr>
            </w:pPr>
          </w:p>
          <w:p w14:paraId="56840E96" w14:textId="77777777" w:rsidR="00CA1AD8" w:rsidRPr="00CA1AD8" w:rsidRDefault="00CA1AD8" w:rsidP="00CA1AD8">
            <w:pPr>
              <w:tabs>
                <w:tab w:val="left" w:pos="1600"/>
              </w:tabs>
              <w:spacing w:before="60"/>
              <w:rPr>
                <w:rFonts w:cs="Arial"/>
              </w:rPr>
            </w:pPr>
            <w:r w:rsidRPr="00CA1AD8">
              <w:rPr>
                <w:rFonts w:cs="Arial"/>
              </w:rPr>
              <w:t>We will be working in partnership with the local authority to pilot a new writing programme, </w:t>
            </w:r>
            <w:r w:rsidRPr="00CA1AD8">
              <w:rPr>
                <w:rFonts w:cs="Arial"/>
                <w:i/>
                <w:iCs/>
              </w:rPr>
              <w:t>Write on Track</w:t>
            </w:r>
            <w:r w:rsidRPr="00CA1AD8">
              <w:rPr>
                <w:rFonts w:cs="Arial"/>
              </w:rPr>
              <w:t>. This programme aims to raise attainment in writing across the whole school by promoting a more consistent and accurate approach to the teaching and assessment of writing. Our Challenge Leader of Learning will take the lead in coordinating this pilot, ensuring that planning, progress monitoring, and tracking are robust and effective in measuring impact on pupil outcomes.</w:t>
            </w:r>
          </w:p>
          <w:p w14:paraId="1357F176" w14:textId="77777777" w:rsidR="00CA1AD8" w:rsidRPr="00CA1AD8" w:rsidRDefault="00CA1AD8" w:rsidP="00CA1AD8">
            <w:pPr>
              <w:tabs>
                <w:tab w:val="left" w:pos="1600"/>
              </w:tabs>
              <w:spacing w:before="60"/>
              <w:rPr>
                <w:rFonts w:cs="Arial"/>
              </w:rPr>
            </w:pPr>
            <w:r w:rsidRPr="00CA1AD8">
              <w:rPr>
                <w:rFonts w:cs="Arial"/>
              </w:rPr>
              <w:t>In addition, we will continue to enhance the teaching of </w:t>
            </w:r>
            <w:r w:rsidRPr="00CA1AD8">
              <w:rPr>
                <w:rFonts w:cs="Arial"/>
                <w:i/>
                <w:iCs/>
              </w:rPr>
              <w:t>Talking and Listening</w:t>
            </w:r>
            <w:r w:rsidRPr="00CA1AD8">
              <w:rPr>
                <w:rFonts w:cs="Arial"/>
              </w:rPr>
              <w:t> across all stages. Our focus will be on developing progressive learning experiences that equip children with the skills, confidence, and understanding required to achieve success in all aspects of communication.</w:t>
            </w:r>
          </w:p>
          <w:p w14:paraId="2FD6E561" w14:textId="77777777" w:rsidR="00CA1AD8" w:rsidRPr="00CA1AD8" w:rsidRDefault="00CA1AD8" w:rsidP="00CA1AD8">
            <w:pPr>
              <w:tabs>
                <w:tab w:val="left" w:pos="1600"/>
              </w:tabs>
              <w:spacing w:before="60"/>
              <w:rPr>
                <w:rFonts w:cs="Arial"/>
              </w:rPr>
            </w:pPr>
          </w:p>
          <w:p w14:paraId="0238813B" w14:textId="14ED8CC6" w:rsidR="000149D4" w:rsidRDefault="00CA1AD8" w:rsidP="00876417">
            <w:pPr>
              <w:tabs>
                <w:tab w:val="left" w:pos="1600"/>
              </w:tabs>
              <w:spacing w:before="60"/>
              <w:rPr>
                <w:rFonts w:cs="Arial"/>
              </w:rPr>
            </w:pPr>
            <w:r w:rsidRPr="00CA1AD8">
              <w:rPr>
                <w:rFonts w:cs="Arial"/>
              </w:rPr>
              <w:t xml:space="preserve">In numeracy, we will continue to strengthen learning and teaching through targeted interventions and consistent use of data to identify and address gaps in attainment. </w:t>
            </w:r>
          </w:p>
          <w:p w14:paraId="7177A789" w14:textId="77777777" w:rsidR="00752B52" w:rsidRDefault="00752B52" w:rsidP="000C6DF3">
            <w:pPr>
              <w:tabs>
                <w:tab w:val="left" w:pos="1600"/>
              </w:tabs>
              <w:spacing w:before="60"/>
              <w:rPr>
                <w:rFonts w:cs="Arial"/>
                <w:b/>
                <w:bCs/>
                <w:u w:val="single"/>
              </w:rPr>
            </w:pPr>
          </w:p>
          <w:p w14:paraId="6B505DEE" w14:textId="311443BE" w:rsidR="000149D4" w:rsidRPr="00CA1AD8" w:rsidRDefault="000149D4" w:rsidP="000C6DF3">
            <w:pPr>
              <w:tabs>
                <w:tab w:val="left" w:pos="1600"/>
              </w:tabs>
              <w:spacing w:before="60"/>
              <w:rPr>
                <w:rFonts w:cs="Arial"/>
                <w:b/>
                <w:bCs/>
                <w:u w:val="single"/>
              </w:rPr>
            </w:pPr>
            <w:r w:rsidRPr="00CA1AD8">
              <w:rPr>
                <w:rFonts w:cs="Arial"/>
                <w:b/>
                <w:bCs/>
                <w:u w:val="single"/>
              </w:rPr>
              <w:t xml:space="preserve">Wellbeing and Inclusion </w:t>
            </w:r>
          </w:p>
          <w:p w14:paraId="4D2499A3" w14:textId="4A0132EA" w:rsidR="00CA1AD8" w:rsidRPr="00CA1AD8" w:rsidRDefault="005C6E3A" w:rsidP="00CA1AD8">
            <w:pPr>
              <w:tabs>
                <w:tab w:val="left" w:pos="1600"/>
              </w:tabs>
              <w:spacing w:before="60"/>
              <w:rPr>
                <w:rFonts w:cs="Arial"/>
              </w:rPr>
            </w:pPr>
            <w:r>
              <w:rPr>
                <w:rFonts w:cs="Arial"/>
              </w:rPr>
              <w:t>W</w:t>
            </w:r>
            <w:r w:rsidR="00CA1AD8" w:rsidRPr="00CA1AD8">
              <w:rPr>
                <w:rFonts w:cs="Arial"/>
              </w:rPr>
              <w:t xml:space="preserve">e will continue to strengthen our commitment to children’s rights and wellbeing across the school community. Our key priority will be to achieve the Gold Rights Respecting Schools Award (RRSA), ensuring that the principles </w:t>
            </w:r>
            <w:r w:rsidR="00CA1AD8" w:rsidRPr="005C6E3A">
              <w:rPr>
                <w:rFonts w:cs="Arial"/>
              </w:rPr>
              <w:t>of the UNCRC Rights of the Child</w:t>
            </w:r>
            <w:r w:rsidR="00CA1AD8" w:rsidRPr="00CA1AD8">
              <w:rPr>
                <w:rFonts w:cs="Arial"/>
              </w:rPr>
              <w:t> are fully embedded in all aspects of school life and the wider community.</w:t>
            </w:r>
          </w:p>
          <w:p w14:paraId="1026CE1F" w14:textId="77777777" w:rsidR="00CA1AD8" w:rsidRPr="00CA1AD8" w:rsidRDefault="00CA1AD8" w:rsidP="00CA1AD8">
            <w:pPr>
              <w:tabs>
                <w:tab w:val="left" w:pos="1600"/>
              </w:tabs>
              <w:spacing w:before="60"/>
              <w:rPr>
                <w:rFonts w:cs="Arial"/>
              </w:rPr>
            </w:pPr>
          </w:p>
          <w:p w14:paraId="3BBE2ED0" w14:textId="77777777" w:rsidR="00CA1AD8" w:rsidRPr="00CA1AD8" w:rsidRDefault="00CA1AD8" w:rsidP="00CA1AD8">
            <w:pPr>
              <w:tabs>
                <w:tab w:val="left" w:pos="1600"/>
              </w:tabs>
              <w:spacing w:before="60"/>
              <w:rPr>
                <w:rFonts w:cs="Arial"/>
              </w:rPr>
            </w:pPr>
            <w:r w:rsidRPr="00CA1AD8">
              <w:rPr>
                <w:rFonts w:cs="Arial"/>
              </w:rPr>
              <w:t>We will build on our existing pupil leadership structures by ensuring that all children have opportunities to take on meaningful leadership roles and to contribute actively to the planning and assessment of learning within the school. This will further promote pupil voice, agency, and participation in decision-making processes.</w:t>
            </w:r>
          </w:p>
          <w:p w14:paraId="24F23229" w14:textId="3D106DB5" w:rsidR="00CA1AD8" w:rsidRDefault="00CA1AD8" w:rsidP="00CA1AD8">
            <w:pPr>
              <w:tabs>
                <w:tab w:val="left" w:pos="1600"/>
              </w:tabs>
              <w:spacing w:before="60"/>
              <w:rPr>
                <w:rFonts w:cs="Arial"/>
              </w:rPr>
            </w:pPr>
            <w:r>
              <w:rPr>
                <w:rFonts w:cs="Arial"/>
              </w:rPr>
              <w:t>I</w:t>
            </w:r>
            <w:r w:rsidRPr="00CA1AD8">
              <w:rPr>
                <w:rFonts w:cs="Arial"/>
              </w:rPr>
              <w:t>n addition, we will work towards achieving the </w:t>
            </w:r>
            <w:r w:rsidRPr="00CA1AD8">
              <w:rPr>
                <w:rFonts w:cs="Arial"/>
                <w:i/>
                <w:iCs/>
              </w:rPr>
              <w:t>Respect Me Award</w:t>
            </w:r>
            <w:r w:rsidRPr="00CA1AD8">
              <w:rPr>
                <w:rFonts w:cs="Arial"/>
              </w:rPr>
              <w:t>, reinforcing our commitment to promoting positive relationships and embedding a robust anti-bullying culture. This will strengthen children’s understanding of their rights and ensure that respect, inclusion, and wellbeing are at the heart of our curriculum and ethos.</w:t>
            </w:r>
          </w:p>
          <w:p w14:paraId="0C4A2093" w14:textId="77777777" w:rsidR="00CA1AD8" w:rsidRDefault="00CA1AD8" w:rsidP="00CA1AD8">
            <w:pPr>
              <w:tabs>
                <w:tab w:val="left" w:pos="1600"/>
              </w:tabs>
              <w:spacing w:before="60"/>
              <w:rPr>
                <w:rFonts w:cs="Arial"/>
              </w:rPr>
            </w:pPr>
          </w:p>
          <w:p w14:paraId="7FB7B10D" w14:textId="4BB8D181" w:rsidR="00CA1AD8" w:rsidRPr="00CA1AD8" w:rsidRDefault="00CA1AD8" w:rsidP="00CA1AD8">
            <w:pPr>
              <w:tabs>
                <w:tab w:val="left" w:pos="1600"/>
              </w:tabs>
              <w:spacing w:before="60"/>
              <w:rPr>
                <w:rFonts w:cs="Arial"/>
              </w:rPr>
            </w:pPr>
            <w:r w:rsidRPr="00CA1AD8">
              <w:rPr>
                <w:rFonts w:cs="Arial"/>
              </w:rPr>
              <w:t>In the coming session, we will continue to embed the use of </w:t>
            </w:r>
            <w:r w:rsidRPr="00CA1AD8">
              <w:rPr>
                <w:rFonts w:cs="Arial"/>
                <w:i/>
                <w:iCs/>
              </w:rPr>
              <w:t>The Circle Framework</w:t>
            </w:r>
            <w:r w:rsidRPr="00CA1AD8">
              <w:rPr>
                <w:rFonts w:cs="Arial"/>
              </w:rPr>
              <w:t> as a key resource to support inclusion and participation. This framework provides staff with practical and effective strategies to address the diverse needs of children, ensuring that every learner can participate fully and thrive within the school environment.</w:t>
            </w:r>
          </w:p>
          <w:p w14:paraId="39E13CD0" w14:textId="166338F8" w:rsidR="00CA1AD8" w:rsidRPr="00070FC3" w:rsidRDefault="00CA1AD8" w:rsidP="00752B52">
            <w:pPr>
              <w:tabs>
                <w:tab w:val="left" w:pos="1600"/>
              </w:tabs>
              <w:spacing w:before="60"/>
              <w:rPr>
                <w:rFonts w:cs="Arial"/>
              </w:rPr>
            </w:pPr>
            <w:r w:rsidRPr="00CA1AD8">
              <w:rPr>
                <w:rFonts w:cs="Arial"/>
              </w:rPr>
              <w:t xml:space="preserve">We will also continue to review and enhance our approaches to Additional Support Needs (ASN) planning. </w:t>
            </w:r>
          </w:p>
          <w:p w14:paraId="130595BC" w14:textId="77777777" w:rsidR="00CA1AD8" w:rsidRPr="00070FC3" w:rsidRDefault="00CA1AD8" w:rsidP="00CA1AD8">
            <w:pPr>
              <w:tabs>
                <w:tab w:val="left" w:pos="1600"/>
              </w:tabs>
              <w:spacing w:before="60"/>
              <w:rPr>
                <w:rFonts w:cs="Arial"/>
              </w:rPr>
            </w:pPr>
          </w:p>
          <w:p w14:paraId="517FC3A7" w14:textId="77777777" w:rsidR="005C6E3A" w:rsidRDefault="00CA1AD8" w:rsidP="005C6E3A">
            <w:pPr>
              <w:tabs>
                <w:tab w:val="left" w:pos="1600"/>
              </w:tabs>
              <w:spacing w:before="60"/>
              <w:rPr>
                <w:rFonts w:cs="Arial"/>
                <w:b/>
                <w:bCs/>
                <w:u w:val="single"/>
              </w:rPr>
            </w:pPr>
            <w:r w:rsidRPr="00752B52">
              <w:rPr>
                <w:rFonts w:cs="Arial"/>
                <w:b/>
                <w:bCs/>
                <w:u w:val="single"/>
              </w:rPr>
              <w:t xml:space="preserve">Modern Languages </w:t>
            </w:r>
          </w:p>
          <w:p w14:paraId="4463280E" w14:textId="62D919A1" w:rsidR="00752B52" w:rsidRPr="005C6E3A" w:rsidRDefault="005C6E3A" w:rsidP="005C6E3A">
            <w:pPr>
              <w:tabs>
                <w:tab w:val="left" w:pos="1600"/>
              </w:tabs>
              <w:spacing w:before="60"/>
              <w:rPr>
                <w:rFonts w:cs="Arial"/>
                <w:b/>
                <w:bCs/>
                <w:u w:val="single"/>
              </w:rPr>
            </w:pPr>
            <w:r>
              <w:rPr>
                <w:rFonts w:cs="Arial"/>
              </w:rPr>
              <w:t>T</w:t>
            </w:r>
            <w:r w:rsidR="00752B52" w:rsidRPr="00752B52">
              <w:rPr>
                <w:rFonts w:cs="Arial"/>
              </w:rPr>
              <w:t>he teaching of Spanish will become a key focus across the school as we continue to build and strengthen our Modern Languages curriculum. Our aim is to ensure a progressive and engaging approach to language learning that supports the development of pupils’ communication skills and cultural awareness.</w:t>
            </w:r>
          </w:p>
          <w:p w14:paraId="2B048471" w14:textId="77777777" w:rsidR="00752B52" w:rsidRPr="00752B52" w:rsidRDefault="00752B52" w:rsidP="00752B52">
            <w:pPr>
              <w:rPr>
                <w:rFonts w:cs="Arial"/>
              </w:rPr>
            </w:pPr>
            <w:r w:rsidRPr="00752B52">
              <w:rPr>
                <w:rFonts w:cs="Arial"/>
              </w:rPr>
              <w:lastRenderedPageBreak/>
              <w:t>To support this, we will provide staff with targeted professional learning and training opportunities to equip them with the skills and confidence needed to deliver high-quality Spanish teaching. In addition, we will work in close partnership with our associated secondary school to ensure continuity and progression in learning, enabling staff to deliver a coherent and appropriate Modern Languages curriculum from primary through to secondary.</w:t>
            </w:r>
          </w:p>
          <w:p w14:paraId="02329BF9" w14:textId="77777777" w:rsidR="00FA4B1A" w:rsidRDefault="00FA4B1A" w:rsidP="00533B17">
            <w:pPr>
              <w:rPr>
                <w:rFonts w:cs="Arial"/>
              </w:rPr>
            </w:pPr>
          </w:p>
          <w:p w14:paraId="0A9D5325" w14:textId="77777777" w:rsidR="00E05DF7" w:rsidRPr="00DC1797" w:rsidRDefault="00E05DF7" w:rsidP="00533B17">
            <w:pPr>
              <w:rPr>
                <w:rFonts w:cs="Arial"/>
              </w:rPr>
            </w:pPr>
          </w:p>
        </w:tc>
      </w:tr>
    </w:tbl>
    <w:p w14:paraId="1217ABBC" w14:textId="77777777" w:rsidR="00513DB2" w:rsidRDefault="00513DB2">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DC1797"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299" w:type="dxa"/>
            <w:tcBorders>
              <w:left w:val="single" w:sz="2" w:space="0" w:color="auto"/>
              <w:right w:val="single" w:sz="2" w:space="0" w:color="auto"/>
            </w:tcBorders>
          </w:tcPr>
          <w:p w14:paraId="26D0875E" w14:textId="0234FE15" w:rsidR="009537BE" w:rsidRPr="000C6DF3" w:rsidRDefault="000149D4" w:rsidP="00A504D1">
            <w:pPr>
              <w:autoSpaceDE w:val="0"/>
              <w:autoSpaceDN w:val="0"/>
              <w:adjustRightInd w:val="0"/>
              <w:rPr>
                <w:color w:val="000000"/>
                <w:szCs w:val="16"/>
              </w:rPr>
            </w:pPr>
            <w:r>
              <w:rPr>
                <w:color w:val="000000"/>
                <w:szCs w:val="16"/>
              </w:rPr>
              <w:t xml:space="preserve">Good </w:t>
            </w:r>
          </w:p>
        </w:tc>
      </w:tr>
      <w:tr w:rsidR="009537BE" w:rsidRPr="00DC1797"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299" w:type="dxa"/>
            <w:tcBorders>
              <w:left w:val="single" w:sz="2" w:space="0" w:color="auto"/>
              <w:right w:val="single" w:sz="2" w:space="0" w:color="auto"/>
            </w:tcBorders>
          </w:tcPr>
          <w:p w14:paraId="17652C6E" w14:textId="0ABF32B4" w:rsidR="009537BE" w:rsidRPr="000C6DF3" w:rsidRDefault="000149D4" w:rsidP="00A504D1">
            <w:pPr>
              <w:autoSpaceDE w:val="0"/>
              <w:autoSpaceDN w:val="0"/>
              <w:adjustRightInd w:val="0"/>
              <w:rPr>
                <w:color w:val="000000"/>
                <w:szCs w:val="16"/>
              </w:rPr>
            </w:pPr>
            <w:r>
              <w:rPr>
                <w:color w:val="000000"/>
                <w:szCs w:val="16"/>
              </w:rPr>
              <w:t xml:space="preserve">Good </w:t>
            </w:r>
          </w:p>
        </w:tc>
      </w:tr>
      <w:tr w:rsidR="009537BE" w:rsidRPr="00DC1797"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299" w:type="dxa"/>
            <w:tcBorders>
              <w:left w:val="single" w:sz="2" w:space="0" w:color="auto"/>
              <w:right w:val="single" w:sz="2" w:space="0" w:color="auto"/>
            </w:tcBorders>
          </w:tcPr>
          <w:p w14:paraId="7FE08FAE" w14:textId="7CB24596" w:rsidR="009537BE" w:rsidRPr="000C6DF3" w:rsidRDefault="000149D4" w:rsidP="00A504D1">
            <w:pPr>
              <w:autoSpaceDE w:val="0"/>
              <w:autoSpaceDN w:val="0"/>
              <w:adjustRightInd w:val="0"/>
              <w:rPr>
                <w:color w:val="000000"/>
                <w:szCs w:val="16"/>
              </w:rPr>
            </w:pPr>
            <w:r>
              <w:rPr>
                <w:color w:val="000000"/>
                <w:szCs w:val="16"/>
              </w:rPr>
              <w:t xml:space="preserve">Good </w:t>
            </w:r>
          </w:p>
        </w:tc>
      </w:tr>
      <w:tr w:rsidR="009537BE" w:rsidRPr="00DC1797"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299" w:type="dxa"/>
            <w:tcBorders>
              <w:left w:val="single" w:sz="2" w:space="0" w:color="auto"/>
              <w:right w:val="single" w:sz="2" w:space="0" w:color="auto"/>
            </w:tcBorders>
          </w:tcPr>
          <w:p w14:paraId="10359A6F" w14:textId="6BA140BF" w:rsidR="009537BE" w:rsidRPr="000C6DF3" w:rsidRDefault="000149D4" w:rsidP="00A504D1">
            <w:pPr>
              <w:autoSpaceDE w:val="0"/>
              <w:autoSpaceDN w:val="0"/>
              <w:adjustRightInd w:val="0"/>
              <w:rPr>
                <w:color w:val="000000"/>
                <w:szCs w:val="16"/>
              </w:rPr>
            </w:pPr>
            <w:r>
              <w:rPr>
                <w:color w:val="000000"/>
                <w:szCs w:val="16"/>
              </w:rPr>
              <w:t xml:space="preserve">Good </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19AF5C47" w14:textId="77777777" w:rsidR="00EE0A65" w:rsidRDefault="00EE0A65" w:rsidP="00F16CB4">
            <w:pPr>
              <w:autoSpaceDE w:val="0"/>
              <w:autoSpaceDN w:val="0"/>
              <w:adjustRightInd w:val="0"/>
              <w:rPr>
                <w:color w:val="000000"/>
                <w:szCs w:val="16"/>
              </w:rPr>
            </w:pPr>
          </w:p>
          <w:p w14:paraId="6B024105" w14:textId="54E96AB4" w:rsidR="000B281A" w:rsidRDefault="00D92600" w:rsidP="00F16CB4">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p>
          <w:p w14:paraId="3CBCD49C" w14:textId="77777777" w:rsidR="005A7E1F" w:rsidRDefault="005A7E1F" w:rsidP="00F16CB4">
            <w:pPr>
              <w:autoSpaceDE w:val="0"/>
              <w:autoSpaceDN w:val="0"/>
              <w:adjustRightInd w:val="0"/>
              <w:rPr>
                <w:color w:val="000000"/>
                <w:szCs w:val="16"/>
              </w:rPr>
            </w:pPr>
          </w:p>
          <w:p w14:paraId="78D4E2C6" w14:textId="6992BBE1" w:rsidR="00FA4B1A" w:rsidRDefault="00D92600" w:rsidP="00F16CB4">
            <w:pPr>
              <w:autoSpaceDE w:val="0"/>
              <w:autoSpaceDN w:val="0"/>
              <w:adjustRightInd w:val="0"/>
              <w:rPr>
                <w:color w:val="000000"/>
                <w:szCs w:val="16"/>
              </w:rPr>
            </w:pPr>
            <w:r>
              <w:rPr>
                <w:color w:val="000000"/>
                <w:szCs w:val="16"/>
              </w:rPr>
              <w:t xml:space="preserve">Our </w:t>
            </w:r>
            <w:r w:rsidR="000B281A">
              <w:rPr>
                <w:color w:val="000000"/>
                <w:szCs w:val="16"/>
              </w:rPr>
              <w:t>contact e-mail address is:</w:t>
            </w:r>
            <w:r w:rsidR="000149D4">
              <w:rPr>
                <w:color w:val="000000"/>
                <w:szCs w:val="16"/>
              </w:rPr>
              <w:t xml:space="preserve">  headteacher@st-mirins-pri.glasgow.sch.uk</w:t>
            </w:r>
          </w:p>
          <w:p w14:paraId="5085432B" w14:textId="1A0CC1F0" w:rsidR="00533B17" w:rsidRDefault="000B281A" w:rsidP="00F16CB4">
            <w:pPr>
              <w:autoSpaceDE w:val="0"/>
              <w:autoSpaceDN w:val="0"/>
              <w:adjustRightInd w:val="0"/>
              <w:rPr>
                <w:color w:val="000000"/>
                <w:szCs w:val="16"/>
              </w:rPr>
            </w:pPr>
            <w:r>
              <w:rPr>
                <w:color w:val="000000"/>
                <w:szCs w:val="16"/>
              </w:rPr>
              <w:t xml:space="preserve"> </w:t>
            </w:r>
          </w:p>
          <w:p w14:paraId="236EA742" w14:textId="193E6FA0" w:rsidR="00821AA4" w:rsidRDefault="00821AA4" w:rsidP="00F16CB4">
            <w:pPr>
              <w:autoSpaceDE w:val="0"/>
              <w:autoSpaceDN w:val="0"/>
              <w:adjustRightInd w:val="0"/>
              <w:rPr>
                <w:color w:val="000000"/>
                <w:szCs w:val="16"/>
              </w:rPr>
            </w:pPr>
            <w:r>
              <w:rPr>
                <w:color w:val="000000"/>
                <w:szCs w:val="16"/>
              </w:rPr>
              <w:t>Our telephone number is:</w:t>
            </w:r>
            <w:r w:rsidR="000149D4">
              <w:rPr>
                <w:color w:val="000000"/>
                <w:szCs w:val="16"/>
              </w:rPr>
              <w:t xml:space="preserve">  0141 </w:t>
            </w:r>
            <w:r w:rsidR="00C70E76">
              <w:rPr>
                <w:color w:val="000000"/>
                <w:szCs w:val="16"/>
              </w:rPr>
              <w:t>6377455</w:t>
            </w:r>
          </w:p>
          <w:p w14:paraId="7678DF56" w14:textId="77777777" w:rsidR="00FA4B1A" w:rsidRDefault="00FA4B1A" w:rsidP="00F16CB4">
            <w:pPr>
              <w:autoSpaceDE w:val="0"/>
              <w:autoSpaceDN w:val="0"/>
              <w:adjustRightInd w:val="0"/>
              <w:rPr>
                <w:color w:val="000000"/>
                <w:szCs w:val="16"/>
              </w:rPr>
            </w:pPr>
          </w:p>
          <w:p w14:paraId="67135243" w14:textId="789D620F" w:rsidR="00821AA4" w:rsidRDefault="00821AA4" w:rsidP="00F16CB4">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r w:rsidR="00C70E76">
              <w:rPr>
                <w:color w:val="000000"/>
                <w:szCs w:val="16"/>
              </w:rPr>
              <w:t xml:space="preserve"> 260 </w:t>
            </w:r>
            <w:proofErr w:type="spellStart"/>
            <w:r w:rsidR="00C70E76">
              <w:rPr>
                <w:color w:val="000000"/>
                <w:szCs w:val="16"/>
              </w:rPr>
              <w:t>Carmunnock</w:t>
            </w:r>
            <w:proofErr w:type="spellEnd"/>
            <w:r w:rsidR="00C70E76">
              <w:rPr>
                <w:color w:val="000000"/>
                <w:szCs w:val="16"/>
              </w:rPr>
              <w:t xml:space="preserve"> Road, G44 5AP </w:t>
            </w:r>
          </w:p>
          <w:p w14:paraId="4305B7CB" w14:textId="77777777" w:rsidR="00C70E76" w:rsidRDefault="00C70E76" w:rsidP="00F16CB4">
            <w:pPr>
              <w:autoSpaceDE w:val="0"/>
              <w:autoSpaceDN w:val="0"/>
              <w:adjustRightInd w:val="0"/>
              <w:rPr>
                <w:color w:val="000000"/>
                <w:szCs w:val="16"/>
              </w:rPr>
            </w:pPr>
          </w:p>
          <w:p w14:paraId="161CED91" w14:textId="77777777" w:rsidR="00FA4B1A" w:rsidRDefault="00FA4B1A" w:rsidP="00F16CB4">
            <w:pPr>
              <w:autoSpaceDE w:val="0"/>
              <w:autoSpaceDN w:val="0"/>
              <w:adjustRightInd w:val="0"/>
              <w:rPr>
                <w:color w:val="000000"/>
                <w:szCs w:val="16"/>
              </w:rPr>
            </w:pPr>
          </w:p>
          <w:p w14:paraId="3ADFCE3B" w14:textId="5BF6ED23" w:rsidR="0097112B" w:rsidRDefault="00AE1493" w:rsidP="000C6DF3">
            <w:pPr>
              <w:autoSpaceDE w:val="0"/>
              <w:autoSpaceDN w:val="0"/>
              <w:adjustRightInd w:val="0"/>
              <w:rPr>
                <w:color w:val="000000"/>
                <w:szCs w:val="16"/>
              </w:rPr>
            </w:pPr>
            <w:r>
              <w:rPr>
                <w:color w:val="000000"/>
                <w:szCs w:val="16"/>
              </w:rPr>
              <w:t>Further information is also</w:t>
            </w:r>
            <w:r w:rsidR="00C70E76">
              <w:rPr>
                <w:color w:val="000000"/>
                <w:szCs w:val="16"/>
              </w:rPr>
              <w:t xml:space="preserve"> on </w:t>
            </w:r>
            <w:r w:rsidR="00C70E76" w:rsidRPr="000C6DF3">
              <w:rPr>
                <w:color w:val="000000"/>
                <w:szCs w:val="16"/>
              </w:rPr>
              <w:t>newsletters</w:t>
            </w:r>
            <w:r w:rsidR="00C70E76">
              <w:rPr>
                <w:color w:val="000000"/>
                <w:szCs w:val="16"/>
              </w:rPr>
              <w:t>, the school website, t</w:t>
            </w:r>
            <w:r w:rsidR="00C70E76" w:rsidRPr="000C6DF3">
              <w:rPr>
                <w:color w:val="000000"/>
                <w:szCs w:val="16"/>
              </w:rPr>
              <w:t xml:space="preserve">he </w:t>
            </w:r>
            <w:r w:rsidR="00C70E76">
              <w:rPr>
                <w:color w:val="000000"/>
                <w:szCs w:val="16"/>
              </w:rPr>
              <w:t>school h</w:t>
            </w:r>
            <w:r w:rsidR="00C70E76" w:rsidRPr="000C6DF3">
              <w:rPr>
                <w:color w:val="000000"/>
                <w:szCs w:val="16"/>
              </w:rPr>
              <w:t>andbook</w:t>
            </w:r>
            <w:r w:rsidR="00C70E76">
              <w:rPr>
                <w:color w:val="000000"/>
                <w:szCs w:val="16"/>
              </w:rPr>
              <w:t xml:space="preserve"> and X </w:t>
            </w:r>
          </w:p>
          <w:p w14:paraId="5CA249BB" w14:textId="0F55E37A" w:rsidR="00C70E76" w:rsidRDefault="00C70E76" w:rsidP="000C6DF3">
            <w:pPr>
              <w:autoSpaceDE w:val="0"/>
              <w:autoSpaceDN w:val="0"/>
              <w:adjustRightInd w:val="0"/>
              <w:rPr>
                <w:color w:val="000000"/>
                <w:szCs w:val="16"/>
              </w:rPr>
            </w:pPr>
            <w:r>
              <w:rPr>
                <w:color w:val="000000"/>
                <w:szCs w:val="16"/>
              </w:rPr>
              <w:t xml:space="preserve">Website Address - </w:t>
            </w:r>
            <w:hyperlink r:id="rId9" w:history="1">
              <w:r w:rsidR="00FB39B6" w:rsidRPr="00BD0B5C">
                <w:rPr>
                  <w:rStyle w:val="Hyperlink"/>
                  <w:szCs w:val="16"/>
                </w:rPr>
                <w:t>https://blogs.glowscotland.org.uk/gc/stmirinspsglasgow/2025/11/07/welcome-to-st-mirins-primary-school-2/</w:t>
              </w:r>
            </w:hyperlink>
          </w:p>
          <w:p w14:paraId="7B7814B9" w14:textId="77777777" w:rsidR="00FB39B6" w:rsidRDefault="00FB39B6" w:rsidP="000C6DF3">
            <w:pPr>
              <w:autoSpaceDE w:val="0"/>
              <w:autoSpaceDN w:val="0"/>
              <w:adjustRightInd w:val="0"/>
              <w:rPr>
                <w:color w:val="000000"/>
                <w:szCs w:val="16"/>
              </w:rPr>
            </w:pPr>
          </w:p>
          <w:p w14:paraId="4B11262A" w14:textId="697D310C" w:rsidR="0097112B" w:rsidRPr="000C6DF3" w:rsidRDefault="0097112B" w:rsidP="000C6DF3">
            <w:pPr>
              <w:autoSpaceDE w:val="0"/>
              <w:autoSpaceDN w:val="0"/>
              <w:adjustRightInd w:val="0"/>
              <w:rPr>
                <w:color w:val="000000"/>
                <w:szCs w:val="16"/>
              </w:rPr>
            </w:pPr>
          </w:p>
        </w:tc>
      </w:tr>
    </w:tbl>
    <w:p w14:paraId="5597C2A7" w14:textId="77777777" w:rsidR="00513DB2" w:rsidRPr="00DC1797" w:rsidRDefault="00513DB2" w:rsidP="007573D6">
      <w:pPr>
        <w:tabs>
          <w:tab w:val="left" w:pos="540"/>
          <w:tab w:val="left" w:pos="5400"/>
        </w:tabs>
        <w:rPr>
          <w:rFonts w:cs="Arial"/>
        </w:rPr>
      </w:pPr>
    </w:p>
    <w:sectPr w:rsidR="00513DB2" w:rsidRPr="00DC1797" w:rsidSect="002B6B42">
      <w:headerReference w:type="default" r:id="rId10"/>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2839" w14:textId="77777777" w:rsidR="00BC2A75" w:rsidRDefault="00BC2A75">
      <w:r>
        <w:separator/>
      </w:r>
    </w:p>
  </w:endnote>
  <w:endnote w:type="continuationSeparator" w:id="0">
    <w:p w14:paraId="0AFEEE38" w14:textId="77777777" w:rsidR="00BC2A75" w:rsidRDefault="00BC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E4BE" w14:textId="77777777" w:rsidR="00BC2A75" w:rsidRDefault="00BC2A75">
      <w:r>
        <w:separator/>
      </w:r>
    </w:p>
  </w:footnote>
  <w:footnote w:type="continuationSeparator" w:id="0">
    <w:p w14:paraId="7786A3EB" w14:textId="77777777" w:rsidR="00BC2A75" w:rsidRDefault="00BC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8"/>
  </w:num>
  <w:num w:numId="2" w16cid:durableId="1904099407">
    <w:abstractNumId w:val="3"/>
  </w:num>
  <w:num w:numId="3" w16cid:durableId="1305162122">
    <w:abstractNumId w:val="11"/>
  </w:num>
  <w:num w:numId="4" w16cid:durableId="180290653">
    <w:abstractNumId w:val="6"/>
  </w:num>
  <w:num w:numId="5" w16cid:durableId="1573269589">
    <w:abstractNumId w:val="15"/>
  </w:num>
  <w:num w:numId="6" w16cid:durableId="1543009378">
    <w:abstractNumId w:val="7"/>
  </w:num>
  <w:num w:numId="7" w16cid:durableId="2113822149">
    <w:abstractNumId w:val="14"/>
  </w:num>
  <w:num w:numId="8" w16cid:durableId="1784304844">
    <w:abstractNumId w:val="0"/>
  </w:num>
  <w:num w:numId="9" w16cid:durableId="205337284">
    <w:abstractNumId w:val="10"/>
  </w:num>
  <w:num w:numId="10" w16cid:durableId="1558006231">
    <w:abstractNumId w:val="4"/>
  </w:num>
  <w:num w:numId="11" w16cid:durableId="479808844">
    <w:abstractNumId w:val="13"/>
  </w:num>
  <w:num w:numId="12" w16cid:durableId="1297831256">
    <w:abstractNumId w:val="9"/>
  </w:num>
  <w:num w:numId="13" w16cid:durableId="1161431918">
    <w:abstractNumId w:val="2"/>
  </w:num>
  <w:num w:numId="14" w16cid:durableId="24331923">
    <w:abstractNumId w:val="12"/>
  </w:num>
  <w:num w:numId="15" w16cid:durableId="777025160">
    <w:abstractNumId w:val="5"/>
  </w:num>
  <w:num w:numId="16" w16cid:durableId="192159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149D4"/>
    <w:rsid w:val="000223ED"/>
    <w:rsid w:val="00040B23"/>
    <w:rsid w:val="000420D3"/>
    <w:rsid w:val="0005632B"/>
    <w:rsid w:val="0006006A"/>
    <w:rsid w:val="00062A7D"/>
    <w:rsid w:val="00070FC3"/>
    <w:rsid w:val="00073190"/>
    <w:rsid w:val="00080C2A"/>
    <w:rsid w:val="00083EC4"/>
    <w:rsid w:val="0009784E"/>
    <w:rsid w:val="00097858"/>
    <w:rsid w:val="000A1549"/>
    <w:rsid w:val="000B281A"/>
    <w:rsid w:val="000C6DF3"/>
    <w:rsid w:val="00105F08"/>
    <w:rsid w:val="00112BE6"/>
    <w:rsid w:val="00153301"/>
    <w:rsid w:val="001A3157"/>
    <w:rsid w:val="001D0768"/>
    <w:rsid w:val="00217B36"/>
    <w:rsid w:val="00227391"/>
    <w:rsid w:val="002618B6"/>
    <w:rsid w:val="002640F3"/>
    <w:rsid w:val="002B013B"/>
    <w:rsid w:val="002B6B42"/>
    <w:rsid w:val="002C110E"/>
    <w:rsid w:val="002C2B2C"/>
    <w:rsid w:val="002C375E"/>
    <w:rsid w:val="002D1CD7"/>
    <w:rsid w:val="002D3BFB"/>
    <w:rsid w:val="002E7BF1"/>
    <w:rsid w:val="002F7513"/>
    <w:rsid w:val="00300435"/>
    <w:rsid w:val="00304332"/>
    <w:rsid w:val="00312B33"/>
    <w:rsid w:val="003257CB"/>
    <w:rsid w:val="00326EB2"/>
    <w:rsid w:val="00351D61"/>
    <w:rsid w:val="0037290E"/>
    <w:rsid w:val="00377DF2"/>
    <w:rsid w:val="003806D6"/>
    <w:rsid w:val="003810FE"/>
    <w:rsid w:val="003928B6"/>
    <w:rsid w:val="003B0BE9"/>
    <w:rsid w:val="003E5D71"/>
    <w:rsid w:val="003F097A"/>
    <w:rsid w:val="004032F0"/>
    <w:rsid w:val="0043211C"/>
    <w:rsid w:val="004532F8"/>
    <w:rsid w:val="004678FF"/>
    <w:rsid w:val="004902CE"/>
    <w:rsid w:val="004A0242"/>
    <w:rsid w:val="004A61F6"/>
    <w:rsid w:val="004B62F3"/>
    <w:rsid w:val="004C387E"/>
    <w:rsid w:val="004F6C7A"/>
    <w:rsid w:val="0051174C"/>
    <w:rsid w:val="00513DB2"/>
    <w:rsid w:val="00515F1F"/>
    <w:rsid w:val="00531D46"/>
    <w:rsid w:val="00533B17"/>
    <w:rsid w:val="005730C9"/>
    <w:rsid w:val="00575FBB"/>
    <w:rsid w:val="005878F4"/>
    <w:rsid w:val="005A5B41"/>
    <w:rsid w:val="005A6CBC"/>
    <w:rsid w:val="005A7E1F"/>
    <w:rsid w:val="005B0BDD"/>
    <w:rsid w:val="005C6E3A"/>
    <w:rsid w:val="005D36D5"/>
    <w:rsid w:val="005E04F0"/>
    <w:rsid w:val="005E6C1E"/>
    <w:rsid w:val="005F43A4"/>
    <w:rsid w:val="005F684C"/>
    <w:rsid w:val="005F7D9A"/>
    <w:rsid w:val="006312A7"/>
    <w:rsid w:val="006418CC"/>
    <w:rsid w:val="006674C4"/>
    <w:rsid w:val="006830F5"/>
    <w:rsid w:val="006A637C"/>
    <w:rsid w:val="006D7EB3"/>
    <w:rsid w:val="006F28E6"/>
    <w:rsid w:val="006F5F7E"/>
    <w:rsid w:val="00707E7D"/>
    <w:rsid w:val="00714AC2"/>
    <w:rsid w:val="007359F0"/>
    <w:rsid w:val="00752B52"/>
    <w:rsid w:val="007573D6"/>
    <w:rsid w:val="0077595A"/>
    <w:rsid w:val="00777B73"/>
    <w:rsid w:val="00780F87"/>
    <w:rsid w:val="007A2F8B"/>
    <w:rsid w:val="007A3158"/>
    <w:rsid w:val="007B413E"/>
    <w:rsid w:val="007C4902"/>
    <w:rsid w:val="00811CCB"/>
    <w:rsid w:val="0081386F"/>
    <w:rsid w:val="00821AA4"/>
    <w:rsid w:val="00827F86"/>
    <w:rsid w:val="00832518"/>
    <w:rsid w:val="00876417"/>
    <w:rsid w:val="00897D1B"/>
    <w:rsid w:val="008C1689"/>
    <w:rsid w:val="008C2F09"/>
    <w:rsid w:val="008C3AE7"/>
    <w:rsid w:val="008C7468"/>
    <w:rsid w:val="00911B92"/>
    <w:rsid w:val="00914851"/>
    <w:rsid w:val="00914D4C"/>
    <w:rsid w:val="00917B52"/>
    <w:rsid w:val="0092470D"/>
    <w:rsid w:val="00940098"/>
    <w:rsid w:val="00951A19"/>
    <w:rsid w:val="009537BE"/>
    <w:rsid w:val="00963FFD"/>
    <w:rsid w:val="00967084"/>
    <w:rsid w:val="0097112B"/>
    <w:rsid w:val="0097181F"/>
    <w:rsid w:val="009909A4"/>
    <w:rsid w:val="00992110"/>
    <w:rsid w:val="009958F5"/>
    <w:rsid w:val="009C256B"/>
    <w:rsid w:val="009C6C41"/>
    <w:rsid w:val="009F0B92"/>
    <w:rsid w:val="00A16A22"/>
    <w:rsid w:val="00A53EF7"/>
    <w:rsid w:val="00A61B26"/>
    <w:rsid w:val="00A745CD"/>
    <w:rsid w:val="00A84C97"/>
    <w:rsid w:val="00A963C4"/>
    <w:rsid w:val="00A966F7"/>
    <w:rsid w:val="00AB5D35"/>
    <w:rsid w:val="00AD408C"/>
    <w:rsid w:val="00AD6C87"/>
    <w:rsid w:val="00AE1493"/>
    <w:rsid w:val="00AE1890"/>
    <w:rsid w:val="00B8505F"/>
    <w:rsid w:val="00BA530F"/>
    <w:rsid w:val="00BC2A75"/>
    <w:rsid w:val="00BC7A2B"/>
    <w:rsid w:val="00C04E02"/>
    <w:rsid w:val="00C651C5"/>
    <w:rsid w:val="00C70E76"/>
    <w:rsid w:val="00C85E14"/>
    <w:rsid w:val="00CA0329"/>
    <w:rsid w:val="00CA1AD8"/>
    <w:rsid w:val="00CA2979"/>
    <w:rsid w:val="00CB48DC"/>
    <w:rsid w:val="00CC697C"/>
    <w:rsid w:val="00CC7241"/>
    <w:rsid w:val="00CD643C"/>
    <w:rsid w:val="00D46FE9"/>
    <w:rsid w:val="00D54E4A"/>
    <w:rsid w:val="00D64238"/>
    <w:rsid w:val="00D647AF"/>
    <w:rsid w:val="00D66782"/>
    <w:rsid w:val="00D837D7"/>
    <w:rsid w:val="00D92600"/>
    <w:rsid w:val="00D94C57"/>
    <w:rsid w:val="00DC1797"/>
    <w:rsid w:val="00DC21A3"/>
    <w:rsid w:val="00DC2E99"/>
    <w:rsid w:val="00DF6E6B"/>
    <w:rsid w:val="00E05DF7"/>
    <w:rsid w:val="00E1723A"/>
    <w:rsid w:val="00E2125B"/>
    <w:rsid w:val="00E2247C"/>
    <w:rsid w:val="00E25D11"/>
    <w:rsid w:val="00E31275"/>
    <w:rsid w:val="00E92E94"/>
    <w:rsid w:val="00EC2D76"/>
    <w:rsid w:val="00EE0A65"/>
    <w:rsid w:val="00EE5EEE"/>
    <w:rsid w:val="00EE600B"/>
    <w:rsid w:val="00EF4CD5"/>
    <w:rsid w:val="00EF5A37"/>
    <w:rsid w:val="00F04524"/>
    <w:rsid w:val="00F16CB4"/>
    <w:rsid w:val="00F322D9"/>
    <w:rsid w:val="00F3680E"/>
    <w:rsid w:val="00F46804"/>
    <w:rsid w:val="00F62B3F"/>
    <w:rsid w:val="00F77357"/>
    <w:rsid w:val="00FA17C4"/>
    <w:rsid w:val="00FA496D"/>
    <w:rsid w:val="00FA4B1A"/>
    <w:rsid w:val="00FB39B6"/>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character" w:styleId="Hyperlink">
    <w:name w:val="Hyperlink"/>
    <w:basedOn w:val="DefaultParagraphFont"/>
    <w:rsid w:val="00FB39B6"/>
    <w:rPr>
      <w:color w:val="0563C1" w:themeColor="hyperlink"/>
      <w:u w:val="single"/>
    </w:rPr>
  </w:style>
  <w:style w:type="character" w:styleId="UnresolvedMention">
    <w:name w:val="Unresolved Mention"/>
    <w:basedOn w:val="DefaultParagraphFont"/>
    <w:uiPriority w:val="99"/>
    <w:semiHidden/>
    <w:unhideWhenUsed/>
    <w:rsid w:val="00FB3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logs.glowscotland.org.uk/gc/stmirinspsglasgow/2025/11/07/welcome-to-st-mirins-primary-school-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9156</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Caroline Smith</cp:lastModifiedBy>
  <cp:revision>19</cp:revision>
  <cp:lastPrinted>2025-11-10T14:00:00Z</cp:lastPrinted>
  <dcterms:created xsi:type="dcterms:W3CDTF">2025-04-08T13:00:00Z</dcterms:created>
  <dcterms:modified xsi:type="dcterms:W3CDTF">2025-11-10T14:29:00Z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