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9E12D" w14:textId="46A7B985" w:rsidR="006312A7" w:rsidRDefault="00567786" w:rsidP="009958F5">
      <w:pPr>
        <w:jc w:val="center"/>
        <w:rPr>
          <w:b/>
          <w:bCs/>
          <w:sz w:val="28"/>
          <w:szCs w:val="28"/>
        </w:rPr>
      </w:pPr>
      <w:r>
        <w:rPr>
          <w:b/>
          <w:bCs/>
          <w:sz w:val="28"/>
          <w:szCs w:val="28"/>
        </w:rPr>
        <w:t>Mount Florida Primary School and Nursery Class</w:t>
      </w:r>
    </w:p>
    <w:p w14:paraId="5ACAE5D5" w14:textId="77777777" w:rsidR="00BA530F" w:rsidRDefault="002B6B42" w:rsidP="00BA530F">
      <w:pPr>
        <w:jc w:val="center"/>
        <w:rPr>
          <w:b/>
          <w:bCs/>
          <w:sz w:val="28"/>
          <w:szCs w:val="28"/>
        </w:rPr>
      </w:pPr>
      <w:r>
        <w:rPr>
          <w:b/>
          <w:bCs/>
          <w:sz w:val="28"/>
          <w:szCs w:val="28"/>
        </w:rPr>
        <w:t>S</w:t>
      </w:r>
      <w:r w:rsidR="006F5F7E" w:rsidRPr="006F5F7E">
        <w:rPr>
          <w:b/>
          <w:bCs/>
          <w:sz w:val="28"/>
          <w:szCs w:val="28"/>
        </w:rPr>
        <w:t>tandards &amp; Quality Report</w:t>
      </w:r>
      <w:r w:rsidR="00BA530F">
        <w:rPr>
          <w:b/>
          <w:bCs/>
          <w:sz w:val="28"/>
          <w:szCs w:val="28"/>
        </w:rPr>
        <w:t xml:space="preserve"> </w:t>
      </w:r>
    </w:p>
    <w:p w14:paraId="396DAAE5" w14:textId="0B42FC96" w:rsidR="00BA530F" w:rsidRPr="00BA530F" w:rsidRDefault="00BA530F" w:rsidP="00BA530F">
      <w:pPr>
        <w:jc w:val="center"/>
        <w:rPr>
          <w:b/>
          <w:bCs/>
          <w:sz w:val="28"/>
          <w:szCs w:val="28"/>
        </w:rPr>
      </w:pPr>
      <w:r w:rsidRPr="00BA530F">
        <w:rPr>
          <w:b/>
          <w:bCs/>
          <w:sz w:val="28"/>
          <w:szCs w:val="28"/>
        </w:rPr>
        <w:t>Session 202</w:t>
      </w:r>
      <w:r w:rsidR="0097112B">
        <w:rPr>
          <w:b/>
          <w:bCs/>
          <w:sz w:val="28"/>
          <w:szCs w:val="28"/>
        </w:rPr>
        <w:t>4</w:t>
      </w:r>
      <w:r w:rsidRPr="00BA530F">
        <w:rPr>
          <w:b/>
          <w:bCs/>
          <w:sz w:val="28"/>
          <w:szCs w:val="28"/>
        </w:rPr>
        <w:t xml:space="preserve"> – 202</w:t>
      </w:r>
      <w:r w:rsidR="0097112B">
        <w:rPr>
          <w:b/>
          <w:bCs/>
          <w:sz w:val="28"/>
          <w:szCs w:val="28"/>
        </w:rPr>
        <w:t>5</w:t>
      </w:r>
    </w:p>
    <w:p w14:paraId="340349B3" w14:textId="77777777" w:rsidR="006312A7" w:rsidRPr="006312A7" w:rsidRDefault="006312A7" w:rsidP="00EE0A65">
      <w:pPr>
        <w:rPr>
          <w:b/>
          <w:bCs/>
          <w:sz w:val="28"/>
          <w:szCs w:val="28"/>
        </w:rPr>
      </w:pPr>
    </w:p>
    <w:p w14:paraId="004C2635" w14:textId="3F806BBC" w:rsidR="000C6DF3" w:rsidRPr="005A7E1F" w:rsidRDefault="00963FFD" w:rsidP="002B6B42">
      <w:pPr>
        <w:tabs>
          <w:tab w:val="left" w:pos="1600"/>
        </w:tabs>
        <w:rPr>
          <w:rFonts w:cs="Arial"/>
        </w:rPr>
      </w:pPr>
      <w:r w:rsidRPr="007573D6">
        <w:t>Th</w:t>
      </w:r>
      <w:r w:rsidR="006F5F7E" w:rsidRPr="007573D6">
        <w:t xml:space="preserve">is </w:t>
      </w:r>
      <w:r w:rsidR="0077595A" w:rsidRPr="007573D6">
        <w:t>summar</w:t>
      </w:r>
      <w:r w:rsidRPr="007573D6">
        <w:t xml:space="preserve">y </w:t>
      </w:r>
      <w:r w:rsidR="0077595A" w:rsidRPr="007573D6">
        <w:t>report is provided for parents/care</w:t>
      </w:r>
      <w:r w:rsidR="006F5F7E" w:rsidRPr="007573D6">
        <w:t>rs</w:t>
      </w:r>
      <w:r w:rsidRPr="007573D6">
        <w:t xml:space="preserve"> and partners to outline </w:t>
      </w:r>
      <w:r w:rsidR="00DC2E99" w:rsidRPr="007573D6">
        <w:t>our achievements and improvements</w:t>
      </w:r>
      <w:r w:rsidR="009537BE">
        <w:t xml:space="preserve"> during</w:t>
      </w:r>
      <w:r w:rsidR="00DC2E99" w:rsidRPr="007573D6">
        <w:t xml:space="preserve"> session</w:t>
      </w:r>
      <w:r w:rsidR="009537BE">
        <w:t xml:space="preserve"> 202</w:t>
      </w:r>
      <w:r w:rsidR="0097112B">
        <w:t>4</w:t>
      </w:r>
      <w:r w:rsidR="009537BE">
        <w:t xml:space="preserve"> - 202</w:t>
      </w:r>
      <w:r w:rsidR="0097112B">
        <w:t>5</w:t>
      </w:r>
      <w:r w:rsidR="00DC2E99" w:rsidRPr="007573D6">
        <w:t xml:space="preserve"> an</w:t>
      </w:r>
      <w:r w:rsidR="00533B17" w:rsidRPr="007573D6">
        <w:t>d</w:t>
      </w:r>
      <w:r w:rsidR="00DC2E99" w:rsidRPr="007573D6">
        <w:t xml:space="preserve"> </w:t>
      </w:r>
      <w:r w:rsidR="007573D6">
        <w:t xml:space="preserve">to </w:t>
      </w:r>
      <w:r w:rsidR="00DC2E99" w:rsidRPr="007573D6">
        <w:t>share</w:t>
      </w:r>
      <w:r w:rsidR="007573D6">
        <w:t xml:space="preserve"> our</w:t>
      </w:r>
      <w:r w:rsidR="00DC2E99" w:rsidRPr="007573D6">
        <w:t xml:space="preserve"> improvement </w:t>
      </w:r>
      <w:r w:rsidR="00533B17" w:rsidRPr="007573D6">
        <w:t>priorities for</w:t>
      </w:r>
      <w:r w:rsidR="009537BE">
        <w:t xml:space="preserve"> </w:t>
      </w:r>
      <w:r w:rsidR="00DC2E99" w:rsidRPr="007573D6">
        <w:t>202</w:t>
      </w:r>
      <w:r w:rsidR="0097112B">
        <w:t>5</w:t>
      </w:r>
      <w:r w:rsidR="00DC2E99" w:rsidRPr="007573D6">
        <w:t xml:space="preserve"> - 202</w:t>
      </w:r>
      <w:r w:rsidR="0097112B">
        <w:t>6</w:t>
      </w:r>
      <w:r w:rsidR="00533B17" w:rsidRPr="007573D6">
        <w:t>.</w:t>
      </w:r>
      <w:r w:rsidR="007573D6">
        <w:t xml:space="preserve"> </w:t>
      </w:r>
      <w:r w:rsidR="005A7E1F">
        <w:t>Throughout last session</w:t>
      </w:r>
      <w:r w:rsidR="000C6DF3" w:rsidRPr="007573D6">
        <w:rPr>
          <w:rFonts w:cs="Arial"/>
        </w:rPr>
        <w:t xml:space="preserve"> we t</w:t>
      </w:r>
      <w:r w:rsidR="005A7E1F">
        <w:rPr>
          <w:rFonts w:cs="Arial"/>
        </w:rPr>
        <w:t>ook</w:t>
      </w:r>
      <w:r w:rsidR="000C6DF3" w:rsidRPr="007573D6">
        <w:rPr>
          <w:rFonts w:cs="Arial"/>
        </w:rPr>
        <w:t xml:space="preserve"> forward our </w:t>
      </w:r>
      <w:r w:rsidR="006F5F7E" w:rsidRPr="007573D6">
        <w:rPr>
          <w:rFonts w:cs="Arial"/>
        </w:rPr>
        <w:t xml:space="preserve">improvement </w:t>
      </w:r>
      <w:r w:rsidR="000C6DF3" w:rsidRPr="007573D6">
        <w:rPr>
          <w:rFonts w:cs="Arial"/>
        </w:rPr>
        <w:t>prior</w:t>
      </w:r>
      <w:r w:rsidR="00FA4B1A" w:rsidRPr="007573D6">
        <w:rPr>
          <w:rFonts w:cs="Arial"/>
        </w:rPr>
        <w:t xml:space="preserve">ities as detailed in our school </w:t>
      </w:r>
      <w:r w:rsidR="000C6DF3" w:rsidRPr="007573D6">
        <w:rPr>
          <w:rFonts w:cs="Arial"/>
        </w:rPr>
        <w:t>improvement plan.</w:t>
      </w:r>
      <w:r w:rsidR="007573D6">
        <w:rPr>
          <w:rFonts w:cs="Arial"/>
        </w:rPr>
        <w:t xml:space="preserve"> Using</w:t>
      </w:r>
      <w:r w:rsidR="009537BE">
        <w:rPr>
          <w:rFonts w:cs="Arial"/>
        </w:rPr>
        <w:t xml:space="preserve"> our </w:t>
      </w:r>
      <w:r w:rsidR="00DC2E99" w:rsidRPr="007573D6">
        <w:rPr>
          <w:rFonts w:cs="Arial"/>
        </w:rPr>
        <w:t>approaches to self-evaluation</w:t>
      </w:r>
      <w:r w:rsidR="005A7E1F">
        <w:rPr>
          <w:rFonts w:cs="Arial"/>
        </w:rPr>
        <w:t xml:space="preserve">, </w:t>
      </w:r>
      <w:r w:rsidR="000C6DF3" w:rsidRPr="007573D6">
        <w:rPr>
          <w:rFonts w:cs="Arial"/>
        </w:rPr>
        <w:t xml:space="preserve">we have </w:t>
      </w:r>
      <w:r w:rsidR="005A7E1F">
        <w:rPr>
          <w:rFonts w:cs="Arial"/>
        </w:rPr>
        <w:t xml:space="preserve">detailed in this report the impact of our work and </w:t>
      </w:r>
      <w:r w:rsidR="000C6DF3" w:rsidRPr="007573D6">
        <w:rPr>
          <w:rFonts w:cs="Arial"/>
        </w:rPr>
        <w:t>identified</w:t>
      </w:r>
      <w:r w:rsidR="009537BE">
        <w:rPr>
          <w:rFonts w:cs="Arial"/>
        </w:rPr>
        <w:t xml:space="preserve"> </w:t>
      </w:r>
      <w:r w:rsidR="000C6DF3" w:rsidRPr="007573D6">
        <w:rPr>
          <w:rFonts w:cs="Arial"/>
        </w:rPr>
        <w:t>how we</w:t>
      </w:r>
      <w:r w:rsidR="005A7E1F">
        <w:rPr>
          <w:rFonts w:cs="Arial"/>
        </w:rPr>
        <w:t xml:space="preserve"> plan to </w:t>
      </w:r>
      <w:r w:rsidR="007573D6">
        <w:rPr>
          <w:rFonts w:cs="Arial"/>
        </w:rPr>
        <w:t>continue to</w:t>
      </w:r>
      <w:r w:rsidR="000C6DF3" w:rsidRPr="007573D6">
        <w:rPr>
          <w:rFonts w:cs="Arial"/>
        </w:rPr>
        <w:t xml:space="preserve"> improve outcomes for our children and young people.</w:t>
      </w:r>
    </w:p>
    <w:p w14:paraId="33D7C8FF" w14:textId="4DF8723F" w:rsidR="00F77357" w:rsidRDefault="00F77357" w:rsidP="00E05DF7">
      <w:pPr>
        <w:tabs>
          <w:tab w:val="left" w:pos="1600"/>
        </w:tabs>
        <w:rPr>
          <w:sz w:val="16"/>
        </w:rPr>
      </w:pP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
        <w:gridCol w:w="9736"/>
      </w:tblGrid>
      <w:tr w:rsidR="0097112B" w:rsidRPr="005730C9" w14:paraId="02BEA175" w14:textId="77777777" w:rsidTr="00DC2E99">
        <w:tc>
          <w:tcPr>
            <w:tcW w:w="360" w:type="dxa"/>
            <w:tcBorders>
              <w:top w:val="nil"/>
              <w:left w:val="nil"/>
              <w:right w:val="single" w:sz="2" w:space="0" w:color="auto"/>
            </w:tcBorders>
            <w:shd w:val="clear" w:color="auto" w:fill="C5E0B3" w:themeFill="accent6" w:themeFillTint="66"/>
          </w:tcPr>
          <w:p w14:paraId="3106DC6E" w14:textId="77777777" w:rsidR="0097112B" w:rsidRPr="005730C9" w:rsidRDefault="0097112B" w:rsidP="00FA496D">
            <w:pPr>
              <w:tabs>
                <w:tab w:val="left" w:pos="1600"/>
              </w:tabs>
              <w:ind w:left="284" w:hanging="284"/>
              <w:rPr>
                <w:rFonts w:cs="Arial"/>
              </w:rPr>
            </w:pPr>
          </w:p>
        </w:tc>
        <w:tc>
          <w:tcPr>
            <w:tcW w:w="9736" w:type="dxa"/>
            <w:tcBorders>
              <w:left w:val="single" w:sz="2" w:space="0" w:color="auto"/>
              <w:bottom w:val="single" w:sz="2" w:space="0" w:color="auto"/>
              <w:right w:val="single" w:sz="2" w:space="0" w:color="auto"/>
            </w:tcBorders>
            <w:shd w:val="clear" w:color="auto" w:fill="C5E0B3" w:themeFill="accent6" w:themeFillTint="66"/>
          </w:tcPr>
          <w:p w14:paraId="6F434518" w14:textId="7B3CF079" w:rsidR="0097112B" w:rsidRDefault="0097112B" w:rsidP="00FA496D">
            <w:pPr>
              <w:tabs>
                <w:tab w:val="left" w:pos="1600"/>
              </w:tabs>
              <w:rPr>
                <w:rFonts w:cs="Arial"/>
                <w:b/>
              </w:rPr>
            </w:pPr>
            <w:r>
              <w:rPr>
                <w:rFonts w:cs="Arial"/>
                <w:b/>
              </w:rPr>
              <w:t>The context of the school</w:t>
            </w:r>
          </w:p>
        </w:tc>
      </w:tr>
      <w:tr w:rsidR="0097112B" w:rsidRPr="005730C9" w14:paraId="0509E6F2" w14:textId="77777777" w:rsidTr="0097112B">
        <w:tc>
          <w:tcPr>
            <w:tcW w:w="360" w:type="dxa"/>
            <w:tcBorders>
              <w:top w:val="nil"/>
              <w:left w:val="nil"/>
              <w:right w:val="single" w:sz="2" w:space="0" w:color="auto"/>
            </w:tcBorders>
            <w:shd w:val="clear" w:color="auto" w:fill="C5E0B3" w:themeFill="accent6" w:themeFillTint="66"/>
          </w:tcPr>
          <w:p w14:paraId="6815B76A" w14:textId="77777777" w:rsidR="0097112B" w:rsidRPr="005730C9" w:rsidRDefault="0097112B" w:rsidP="00FA496D">
            <w:pPr>
              <w:tabs>
                <w:tab w:val="left" w:pos="1600"/>
              </w:tabs>
              <w:ind w:left="284" w:hanging="284"/>
              <w:rPr>
                <w:rFonts w:cs="Arial"/>
              </w:rPr>
            </w:pPr>
          </w:p>
        </w:tc>
        <w:tc>
          <w:tcPr>
            <w:tcW w:w="9736" w:type="dxa"/>
            <w:tcBorders>
              <w:left w:val="single" w:sz="2" w:space="0" w:color="auto"/>
              <w:bottom w:val="single" w:sz="2" w:space="0" w:color="auto"/>
              <w:right w:val="single" w:sz="2" w:space="0" w:color="auto"/>
            </w:tcBorders>
            <w:shd w:val="clear" w:color="auto" w:fill="FFFFFF" w:themeFill="background1"/>
          </w:tcPr>
          <w:p w14:paraId="3FCB824E" w14:textId="77777777" w:rsidR="0097112B" w:rsidRDefault="0097112B" w:rsidP="00FA496D">
            <w:pPr>
              <w:tabs>
                <w:tab w:val="left" w:pos="1600"/>
              </w:tabs>
              <w:rPr>
                <w:rFonts w:cs="Arial"/>
                <w:b/>
              </w:rPr>
            </w:pPr>
          </w:p>
          <w:p w14:paraId="2F1EE526" w14:textId="7DCA46D4" w:rsidR="008437B4" w:rsidRDefault="008437B4" w:rsidP="008437B4">
            <w:pPr>
              <w:tabs>
                <w:tab w:val="left" w:pos="1600"/>
              </w:tabs>
              <w:rPr>
                <w:rFonts w:asciiTheme="minorBidi" w:hAnsiTheme="minorBidi" w:cstheme="minorBidi"/>
                <w:bCs/>
              </w:rPr>
            </w:pPr>
            <w:r w:rsidRPr="008437B4">
              <w:rPr>
                <w:rFonts w:asciiTheme="minorBidi" w:hAnsiTheme="minorBidi" w:cstheme="minorBidi"/>
                <w:shd w:val="clear" w:color="auto" w:fill="FFFFFF"/>
              </w:rPr>
              <w:t xml:space="preserve">Mount Florida is a non-denominational, multi-cultural school.  At present we have </w:t>
            </w:r>
            <w:r>
              <w:rPr>
                <w:rFonts w:asciiTheme="minorBidi" w:hAnsiTheme="minorBidi" w:cstheme="minorBidi"/>
                <w:shd w:val="clear" w:color="auto" w:fill="FFFFFF"/>
              </w:rPr>
              <w:t>8</w:t>
            </w:r>
            <w:r w:rsidRPr="008437B4">
              <w:rPr>
                <w:rFonts w:asciiTheme="minorBidi" w:hAnsiTheme="minorBidi" w:cstheme="minorBidi"/>
                <w:shd w:val="clear" w:color="auto" w:fill="FFFFFF"/>
              </w:rPr>
              <w:t xml:space="preserve"> classes in our primary school.  We have a nursery class which accommodates 20 children in the morning</w:t>
            </w:r>
            <w:r>
              <w:rPr>
                <w:rFonts w:asciiTheme="minorBidi" w:hAnsiTheme="minorBidi" w:cstheme="minorBidi"/>
                <w:shd w:val="clear" w:color="auto" w:fill="FFFFFF"/>
              </w:rPr>
              <w:t xml:space="preserve">.  </w:t>
            </w:r>
            <w:r w:rsidRPr="008437B4">
              <w:rPr>
                <w:rFonts w:asciiTheme="minorBidi" w:hAnsiTheme="minorBidi" w:cstheme="minorBidi"/>
                <w:bCs/>
              </w:rPr>
              <w:t>Our current school roll is 227 children in the school and 15 children in the nursery.</w:t>
            </w:r>
          </w:p>
          <w:p w14:paraId="740A1205" w14:textId="77777777" w:rsidR="008437B4" w:rsidRDefault="008437B4" w:rsidP="008437B4">
            <w:pPr>
              <w:tabs>
                <w:tab w:val="left" w:pos="1600"/>
              </w:tabs>
              <w:rPr>
                <w:rFonts w:asciiTheme="minorBidi" w:hAnsiTheme="minorBidi" w:cstheme="minorBidi"/>
                <w:bCs/>
              </w:rPr>
            </w:pPr>
          </w:p>
          <w:p w14:paraId="71EC9D13" w14:textId="2D64D6C7" w:rsidR="008437B4" w:rsidRPr="008437B4" w:rsidRDefault="008437B4" w:rsidP="008437B4">
            <w:pPr>
              <w:tabs>
                <w:tab w:val="left" w:pos="1600"/>
              </w:tabs>
              <w:rPr>
                <w:rFonts w:asciiTheme="minorBidi" w:hAnsiTheme="minorBidi" w:cstheme="minorBidi"/>
                <w:bCs/>
              </w:rPr>
            </w:pPr>
            <w:r>
              <w:rPr>
                <w:rFonts w:asciiTheme="minorBidi" w:hAnsiTheme="minorBidi" w:cstheme="minorBidi"/>
                <w:bCs/>
              </w:rPr>
              <w:t>We have 19.8% of children who are in SIMD 1 and 2 and 19.6% of children registered for free school meals.  14.7% of our children have English as an Additional Language and 27.6% of children registered as Black and minority Ethnic.</w:t>
            </w:r>
          </w:p>
          <w:p w14:paraId="0190EDFB" w14:textId="77777777" w:rsidR="0097112B" w:rsidRDefault="0097112B" w:rsidP="00FA496D">
            <w:pPr>
              <w:tabs>
                <w:tab w:val="left" w:pos="1600"/>
              </w:tabs>
              <w:rPr>
                <w:rFonts w:cs="Arial"/>
                <w:b/>
              </w:rPr>
            </w:pPr>
          </w:p>
          <w:p w14:paraId="242A479C" w14:textId="7E38F5D5" w:rsidR="008437B4" w:rsidRDefault="008437B4" w:rsidP="008437B4">
            <w:pPr>
              <w:tabs>
                <w:tab w:val="left" w:pos="2054"/>
              </w:tabs>
              <w:rPr>
                <w:rFonts w:cs="Arial"/>
                <w:b/>
              </w:rPr>
            </w:pPr>
          </w:p>
        </w:tc>
      </w:tr>
      <w:tr w:rsidR="000C6DF3" w:rsidRPr="005730C9" w14:paraId="747BEDB2" w14:textId="77777777" w:rsidTr="00DC2E99">
        <w:tc>
          <w:tcPr>
            <w:tcW w:w="360" w:type="dxa"/>
            <w:vMerge w:val="restart"/>
            <w:tcBorders>
              <w:top w:val="nil"/>
              <w:left w:val="nil"/>
              <w:right w:val="single" w:sz="2" w:space="0" w:color="auto"/>
            </w:tcBorders>
            <w:shd w:val="clear" w:color="auto" w:fill="C5E0B3" w:themeFill="accent6" w:themeFillTint="66"/>
          </w:tcPr>
          <w:p w14:paraId="7846AC8F" w14:textId="77777777" w:rsidR="00F77357" w:rsidRPr="005730C9" w:rsidRDefault="00F77357" w:rsidP="00FA496D">
            <w:pPr>
              <w:tabs>
                <w:tab w:val="left" w:pos="1600"/>
              </w:tabs>
              <w:ind w:left="284" w:hanging="284"/>
              <w:rPr>
                <w:rFonts w:cs="Arial"/>
              </w:rPr>
            </w:pPr>
          </w:p>
          <w:p w14:paraId="08302345" w14:textId="1990C401" w:rsidR="00F77357" w:rsidRPr="004C387E" w:rsidRDefault="00F77357" w:rsidP="004C387E">
            <w:pPr>
              <w:tabs>
                <w:tab w:val="left" w:pos="1600"/>
              </w:tabs>
              <w:ind w:left="284" w:right="144" w:hanging="284"/>
              <w:rPr>
                <w:rFonts w:cs="Arial"/>
                <w:sz w:val="24"/>
                <w:szCs w:val="24"/>
              </w:rPr>
            </w:pPr>
            <w:r w:rsidRPr="004C387E">
              <w:rPr>
                <w:rFonts w:ascii="Arial Bold" w:hAnsi="Arial Bold"/>
                <w:b/>
                <w:sz w:val="24"/>
                <w:szCs w:val="24"/>
              </w:rPr>
              <w:t xml:space="preserve"> </w:t>
            </w:r>
          </w:p>
        </w:tc>
        <w:tc>
          <w:tcPr>
            <w:tcW w:w="9736" w:type="dxa"/>
            <w:tcBorders>
              <w:left w:val="single" w:sz="2" w:space="0" w:color="auto"/>
              <w:bottom w:val="single" w:sz="2" w:space="0" w:color="auto"/>
              <w:right w:val="single" w:sz="2" w:space="0" w:color="auto"/>
            </w:tcBorders>
            <w:shd w:val="clear" w:color="auto" w:fill="C5E0B3" w:themeFill="accent6" w:themeFillTint="66"/>
          </w:tcPr>
          <w:p w14:paraId="39C5CDFB" w14:textId="58EF4AA2" w:rsidR="00F77357" w:rsidRPr="00811CCB" w:rsidRDefault="00533B17" w:rsidP="00FA496D">
            <w:pPr>
              <w:tabs>
                <w:tab w:val="left" w:pos="1600"/>
              </w:tabs>
              <w:rPr>
                <w:rFonts w:cs="Arial"/>
                <w:b/>
              </w:rPr>
            </w:pPr>
            <w:r>
              <w:rPr>
                <w:rFonts w:cs="Arial"/>
                <w:b/>
              </w:rPr>
              <w:t>Our a</w:t>
            </w:r>
            <w:r w:rsidRPr="00DC1797">
              <w:rPr>
                <w:rFonts w:cs="Arial"/>
                <w:b/>
              </w:rPr>
              <w:t xml:space="preserve">chievements </w:t>
            </w:r>
            <w:r w:rsidR="0005632B">
              <w:rPr>
                <w:rFonts w:cs="Arial"/>
                <w:b/>
              </w:rPr>
              <w:t>and improvements</w:t>
            </w:r>
            <w:r w:rsidR="002B6B42">
              <w:rPr>
                <w:rFonts w:cs="Arial"/>
                <w:b/>
              </w:rPr>
              <w:t xml:space="preserve"> 202</w:t>
            </w:r>
            <w:r w:rsidR="0097112B">
              <w:rPr>
                <w:rFonts w:cs="Arial"/>
                <w:b/>
              </w:rPr>
              <w:t>4</w:t>
            </w:r>
            <w:r w:rsidR="00D92600">
              <w:rPr>
                <w:rFonts w:cs="Arial"/>
                <w:b/>
              </w:rPr>
              <w:t xml:space="preserve"> </w:t>
            </w:r>
            <w:r w:rsidR="005A7E1F">
              <w:rPr>
                <w:rFonts w:cs="Arial"/>
                <w:b/>
              </w:rPr>
              <w:t>–</w:t>
            </w:r>
            <w:r w:rsidR="002B6B42">
              <w:rPr>
                <w:rFonts w:cs="Arial"/>
                <w:b/>
              </w:rPr>
              <w:t xml:space="preserve"> 202</w:t>
            </w:r>
            <w:r w:rsidR="0097112B">
              <w:rPr>
                <w:rFonts w:cs="Arial"/>
                <w:b/>
              </w:rPr>
              <w:t>5</w:t>
            </w:r>
          </w:p>
        </w:tc>
      </w:tr>
      <w:tr w:rsidR="004C387E" w:rsidRPr="00DC1797" w14:paraId="10665D5E" w14:textId="77777777" w:rsidTr="0097112B">
        <w:tc>
          <w:tcPr>
            <w:tcW w:w="360" w:type="dxa"/>
            <w:vMerge/>
            <w:tcBorders>
              <w:left w:val="nil"/>
              <w:right w:val="single" w:sz="2" w:space="0" w:color="auto"/>
            </w:tcBorders>
            <w:shd w:val="clear" w:color="auto" w:fill="C0C0C0"/>
          </w:tcPr>
          <w:p w14:paraId="515ACBDC" w14:textId="77777777" w:rsidR="00F77357" w:rsidRPr="00DC1797" w:rsidRDefault="00F77357" w:rsidP="00FA496D">
            <w:pPr>
              <w:tabs>
                <w:tab w:val="left" w:pos="1600"/>
              </w:tabs>
              <w:ind w:left="270" w:hanging="270"/>
              <w:rPr>
                <w:rFonts w:cs="Arial"/>
              </w:rPr>
            </w:pPr>
          </w:p>
        </w:tc>
        <w:tc>
          <w:tcPr>
            <w:tcW w:w="9736" w:type="dxa"/>
            <w:tcBorders>
              <w:left w:val="single" w:sz="2" w:space="0" w:color="auto"/>
              <w:right w:val="single" w:sz="2" w:space="0" w:color="auto"/>
            </w:tcBorders>
          </w:tcPr>
          <w:p w14:paraId="0B539A09" w14:textId="571684E3" w:rsidR="00320C74" w:rsidRPr="00320C74" w:rsidRDefault="00320C74" w:rsidP="005E64F0">
            <w:pPr>
              <w:rPr>
                <w:rFonts w:asciiTheme="minorBidi" w:hAnsiTheme="minorBidi" w:cstheme="minorBidi"/>
                <w:b/>
                <w:u w:val="single"/>
              </w:rPr>
            </w:pPr>
            <w:r w:rsidRPr="00320C74">
              <w:rPr>
                <w:rFonts w:asciiTheme="minorBidi" w:hAnsiTheme="minorBidi" w:cstheme="minorBidi"/>
                <w:b/>
                <w:u w:val="single"/>
              </w:rPr>
              <w:t>Leadership of Change:</w:t>
            </w:r>
          </w:p>
          <w:p w14:paraId="30A58009" w14:textId="67DC591D" w:rsidR="00320C74" w:rsidRPr="00320C74" w:rsidRDefault="00320C74" w:rsidP="005E64F0">
            <w:pPr>
              <w:rPr>
                <w:rFonts w:asciiTheme="minorBidi" w:hAnsiTheme="minorBidi" w:cstheme="minorBidi"/>
                <w:bCs/>
              </w:rPr>
            </w:pPr>
            <w:r w:rsidRPr="00320C74">
              <w:rPr>
                <w:rFonts w:asciiTheme="minorBidi" w:hAnsiTheme="minorBidi" w:cstheme="minorBidi"/>
                <w:bCs/>
              </w:rPr>
              <w:t>During session 2024/25 we achieved Reading Schools Accreditation from the Scottish Book Trust with very positive feedback including:</w:t>
            </w:r>
          </w:p>
          <w:p w14:paraId="582DB4AE" w14:textId="77777777" w:rsidR="00320C74" w:rsidRPr="00320C74" w:rsidRDefault="00320C74" w:rsidP="005E64F0">
            <w:pPr>
              <w:rPr>
                <w:rFonts w:asciiTheme="minorBidi" w:hAnsiTheme="minorBidi" w:cstheme="minorBidi"/>
                <w:i/>
                <w:iCs/>
              </w:rPr>
            </w:pPr>
            <w:r w:rsidRPr="00320C74">
              <w:rPr>
                <w:rFonts w:asciiTheme="minorBidi" w:hAnsiTheme="minorBidi" w:cstheme="minorBidi"/>
                <w:bCs/>
                <w:i/>
                <w:iCs/>
              </w:rPr>
              <w:t>‘</w:t>
            </w:r>
            <w:r w:rsidRPr="00320C74">
              <w:rPr>
                <w:rFonts w:asciiTheme="minorBidi" w:hAnsiTheme="minorBidi" w:cstheme="minorBidi"/>
                <w:i/>
                <w:iCs/>
              </w:rPr>
              <w:t>Your positive reading culture, staff understanding and pupil enthusiasm comes through so strongly, and your ethos to become a 'book loving school' is absolutely evident! Your keen understanding of the importance of diversity in reading was a real highlight, along with the ways that individual reading progression is celebrated for all learners across the whole school.’</w:t>
            </w:r>
          </w:p>
          <w:p w14:paraId="182E8EE1" w14:textId="77777777" w:rsidR="00320C74" w:rsidRPr="00320C74" w:rsidRDefault="00320C74" w:rsidP="005E64F0">
            <w:pPr>
              <w:rPr>
                <w:rFonts w:asciiTheme="minorBidi" w:hAnsiTheme="minorBidi" w:cstheme="minorBidi"/>
                <w:bCs/>
              </w:rPr>
            </w:pPr>
          </w:p>
          <w:p w14:paraId="2FD5CA4D" w14:textId="77777777" w:rsidR="00320C74" w:rsidRPr="00320C74" w:rsidRDefault="00320C74" w:rsidP="005E64F0">
            <w:pPr>
              <w:rPr>
                <w:rFonts w:asciiTheme="minorBidi" w:hAnsiTheme="minorBidi" w:cstheme="minorBidi"/>
                <w:bCs/>
              </w:rPr>
            </w:pPr>
            <w:r w:rsidRPr="00320C74">
              <w:rPr>
                <w:rFonts w:asciiTheme="minorBidi" w:hAnsiTheme="minorBidi" w:cstheme="minorBidi"/>
                <w:bCs/>
              </w:rPr>
              <w:t>Our nursery class received a very positive Care Inspectorate report after a visit in April 2025.  They gained 4 very good gradings for:</w:t>
            </w:r>
          </w:p>
          <w:p w14:paraId="245DFF81" w14:textId="00F6A3C2" w:rsidR="00320C74" w:rsidRPr="00320C74" w:rsidRDefault="00320C74" w:rsidP="005E64F0">
            <w:pPr>
              <w:rPr>
                <w:rFonts w:asciiTheme="minorBidi" w:hAnsiTheme="minorBidi" w:cstheme="minorBidi"/>
                <w:bCs/>
              </w:rPr>
            </w:pPr>
            <w:r w:rsidRPr="00320C74">
              <w:rPr>
                <w:rFonts w:asciiTheme="minorBidi" w:hAnsiTheme="minorBidi" w:cstheme="minorBidi"/>
                <w:bCs/>
              </w:rPr>
              <w:t xml:space="preserve">‘How Good is our care, play and </w:t>
            </w:r>
            <w:r w:rsidR="00CD359B" w:rsidRPr="00320C74">
              <w:rPr>
                <w:rFonts w:asciiTheme="minorBidi" w:hAnsiTheme="minorBidi" w:cstheme="minorBidi"/>
                <w:bCs/>
              </w:rPr>
              <w:t>learning?</w:t>
            </w:r>
            <w:r w:rsidR="00E158DD">
              <w:rPr>
                <w:rFonts w:asciiTheme="minorBidi" w:hAnsiTheme="minorBidi" w:cstheme="minorBidi"/>
                <w:bCs/>
              </w:rPr>
              <w:t xml:space="preserve"> </w:t>
            </w:r>
            <w:r w:rsidRPr="00320C74">
              <w:rPr>
                <w:rFonts w:asciiTheme="minorBidi" w:hAnsiTheme="minorBidi" w:cstheme="minorBidi"/>
                <w:bCs/>
              </w:rPr>
              <w:t xml:space="preserve">How good is our </w:t>
            </w:r>
            <w:proofErr w:type="gramStart"/>
            <w:r w:rsidRPr="00320C74">
              <w:rPr>
                <w:rFonts w:asciiTheme="minorBidi" w:hAnsiTheme="minorBidi" w:cstheme="minorBidi"/>
                <w:bCs/>
              </w:rPr>
              <w:t>Setting?</w:t>
            </w:r>
            <w:r w:rsidR="00E158DD">
              <w:rPr>
                <w:rFonts w:asciiTheme="minorBidi" w:hAnsiTheme="minorBidi" w:cstheme="minorBidi"/>
                <w:bCs/>
              </w:rPr>
              <w:t>,</w:t>
            </w:r>
            <w:proofErr w:type="gramEnd"/>
            <w:r w:rsidR="00E158DD">
              <w:rPr>
                <w:rFonts w:asciiTheme="minorBidi" w:hAnsiTheme="minorBidi" w:cstheme="minorBidi"/>
                <w:bCs/>
              </w:rPr>
              <w:t xml:space="preserve"> </w:t>
            </w:r>
            <w:r w:rsidRPr="00320C74">
              <w:rPr>
                <w:rFonts w:asciiTheme="minorBidi" w:hAnsiTheme="minorBidi" w:cstheme="minorBidi"/>
                <w:bCs/>
              </w:rPr>
              <w:t xml:space="preserve">How good is our </w:t>
            </w:r>
            <w:proofErr w:type="gramStart"/>
            <w:r w:rsidRPr="00320C74">
              <w:rPr>
                <w:rFonts w:asciiTheme="minorBidi" w:hAnsiTheme="minorBidi" w:cstheme="minorBidi"/>
                <w:bCs/>
              </w:rPr>
              <w:t>leadership?</w:t>
            </w:r>
            <w:r w:rsidR="00E158DD">
              <w:rPr>
                <w:rFonts w:asciiTheme="minorBidi" w:hAnsiTheme="minorBidi" w:cstheme="minorBidi"/>
                <w:bCs/>
              </w:rPr>
              <w:t>,</w:t>
            </w:r>
            <w:proofErr w:type="gramEnd"/>
            <w:r w:rsidR="00E158DD">
              <w:rPr>
                <w:rFonts w:asciiTheme="minorBidi" w:hAnsiTheme="minorBidi" w:cstheme="minorBidi"/>
                <w:bCs/>
              </w:rPr>
              <w:t xml:space="preserve"> </w:t>
            </w:r>
            <w:r w:rsidRPr="00320C74">
              <w:rPr>
                <w:rFonts w:asciiTheme="minorBidi" w:hAnsiTheme="minorBidi" w:cstheme="minorBidi"/>
                <w:bCs/>
              </w:rPr>
              <w:t>How good is our staff team?’</w:t>
            </w:r>
          </w:p>
          <w:p w14:paraId="451FB59B" w14:textId="77777777" w:rsidR="00320C74" w:rsidRPr="00320C74" w:rsidRDefault="00320C74" w:rsidP="005E64F0">
            <w:pPr>
              <w:rPr>
                <w:rFonts w:asciiTheme="minorBidi" w:hAnsiTheme="minorBidi" w:cstheme="minorBidi"/>
                <w:bCs/>
              </w:rPr>
            </w:pPr>
            <w:r w:rsidRPr="00320C74">
              <w:rPr>
                <w:rFonts w:asciiTheme="minorBidi" w:hAnsiTheme="minorBidi" w:cstheme="minorBidi"/>
                <w:bCs/>
              </w:rPr>
              <w:t>The report statements included:</w:t>
            </w:r>
          </w:p>
          <w:p w14:paraId="6C86C88F" w14:textId="77777777" w:rsidR="00320C74" w:rsidRPr="00320C74" w:rsidRDefault="00320C74" w:rsidP="005E64F0">
            <w:pPr>
              <w:rPr>
                <w:rFonts w:asciiTheme="minorBidi" w:hAnsiTheme="minorBidi" w:cstheme="minorBidi"/>
                <w:i/>
                <w:iCs/>
              </w:rPr>
            </w:pPr>
            <w:r w:rsidRPr="00320C74">
              <w:rPr>
                <w:rFonts w:asciiTheme="minorBidi" w:hAnsiTheme="minorBidi" w:cstheme="minorBidi"/>
                <w:i/>
                <w:iCs/>
              </w:rPr>
              <w:t>‘Children experienced warm, caring and nurturing approaches from staff.</w:t>
            </w:r>
          </w:p>
          <w:p w14:paraId="09C8FA35" w14:textId="77777777" w:rsidR="00320C74" w:rsidRPr="00320C74" w:rsidRDefault="00320C74" w:rsidP="005E64F0">
            <w:pPr>
              <w:rPr>
                <w:rFonts w:asciiTheme="minorBidi" w:hAnsiTheme="minorBidi" w:cstheme="minorBidi"/>
                <w:i/>
                <w:iCs/>
              </w:rPr>
            </w:pPr>
            <w:r w:rsidRPr="00320C74">
              <w:rPr>
                <w:rFonts w:asciiTheme="minorBidi" w:hAnsiTheme="minorBidi" w:cstheme="minorBidi"/>
                <w:i/>
                <w:iCs/>
              </w:rPr>
              <w:t>Children were happy, confident and fully engaged in a variety of experiences.</w:t>
            </w:r>
          </w:p>
          <w:p w14:paraId="7E33783A" w14:textId="77777777" w:rsidR="00320C74" w:rsidRDefault="00320C74" w:rsidP="005E64F0">
            <w:pPr>
              <w:rPr>
                <w:rFonts w:asciiTheme="minorBidi" w:hAnsiTheme="minorBidi" w:cstheme="minorBidi"/>
                <w:i/>
                <w:iCs/>
              </w:rPr>
            </w:pPr>
            <w:r w:rsidRPr="00320C74">
              <w:rPr>
                <w:rFonts w:asciiTheme="minorBidi" w:hAnsiTheme="minorBidi" w:cstheme="minorBidi"/>
                <w:i/>
                <w:iCs/>
              </w:rPr>
              <w:t>The small team worked very well together.’</w:t>
            </w:r>
          </w:p>
          <w:p w14:paraId="14FF3774" w14:textId="77777777" w:rsidR="00320C74" w:rsidRDefault="00320C74" w:rsidP="00320C74">
            <w:pPr>
              <w:rPr>
                <w:rFonts w:asciiTheme="minorBidi" w:hAnsiTheme="minorBidi" w:cstheme="minorBidi"/>
                <w:i/>
                <w:iCs/>
              </w:rPr>
            </w:pPr>
          </w:p>
          <w:p w14:paraId="4200A096" w14:textId="42C21403" w:rsidR="00320C74" w:rsidRPr="00E158DD" w:rsidRDefault="00320C74" w:rsidP="00E158DD">
            <w:pPr>
              <w:rPr>
                <w:rFonts w:asciiTheme="minorBidi" w:hAnsiTheme="minorBidi" w:cstheme="minorBidi"/>
                <w:b/>
                <w:bCs/>
                <w:u w:val="single"/>
              </w:rPr>
            </w:pPr>
            <w:r w:rsidRPr="00320C74">
              <w:rPr>
                <w:rFonts w:asciiTheme="minorBidi" w:hAnsiTheme="minorBidi" w:cstheme="minorBidi"/>
                <w:b/>
                <w:bCs/>
                <w:u w:val="single"/>
              </w:rPr>
              <w:t>Learning, Teaching and Assessment</w:t>
            </w:r>
          </w:p>
          <w:p w14:paraId="32F61453" w14:textId="10F4F9BC" w:rsidR="00E158DD" w:rsidRDefault="00E158DD" w:rsidP="005E64F0">
            <w:pPr>
              <w:contextualSpacing/>
              <w:rPr>
                <w:rFonts w:asciiTheme="minorBidi" w:hAnsiTheme="minorBidi" w:cstheme="minorBidi"/>
                <w:bCs/>
              </w:rPr>
            </w:pPr>
            <w:r w:rsidRPr="00320C74">
              <w:rPr>
                <w:rFonts w:asciiTheme="minorBidi" w:hAnsiTheme="minorBidi" w:cstheme="minorBidi"/>
                <w:bCs/>
              </w:rPr>
              <w:t xml:space="preserve">Nursery to Primary 1 transition offered our new children at least 6 sessions to visit the school as well as the HT/DHT visiting </w:t>
            </w:r>
            <w:proofErr w:type="gramStart"/>
            <w:r w:rsidRPr="00320C74">
              <w:rPr>
                <w:rFonts w:asciiTheme="minorBidi" w:hAnsiTheme="minorBidi" w:cstheme="minorBidi"/>
                <w:bCs/>
              </w:rPr>
              <w:t>all of</w:t>
            </w:r>
            <w:proofErr w:type="gramEnd"/>
            <w:r w:rsidRPr="00320C74">
              <w:rPr>
                <w:rFonts w:asciiTheme="minorBidi" w:hAnsiTheme="minorBidi" w:cstheme="minorBidi"/>
                <w:bCs/>
              </w:rPr>
              <w:t xml:space="preserve"> our partner nurseries.  This has impacted positively on how well children settle</w:t>
            </w:r>
            <w:r w:rsidR="00CD359B">
              <w:rPr>
                <w:rFonts w:asciiTheme="minorBidi" w:hAnsiTheme="minorBidi" w:cstheme="minorBidi"/>
                <w:bCs/>
              </w:rPr>
              <w:t>d</w:t>
            </w:r>
            <w:r w:rsidRPr="00320C74">
              <w:rPr>
                <w:rFonts w:asciiTheme="minorBidi" w:hAnsiTheme="minorBidi" w:cstheme="minorBidi"/>
                <w:bCs/>
              </w:rPr>
              <w:t xml:space="preserve"> into Primary 1 in August.  All Primary 7 children are enthusiastic and supportive buddies to the Primary 1 </w:t>
            </w:r>
            <w:proofErr w:type="gramStart"/>
            <w:r w:rsidRPr="00320C74">
              <w:rPr>
                <w:rFonts w:asciiTheme="minorBidi" w:hAnsiTheme="minorBidi" w:cstheme="minorBidi"/>
                <w:bCs/>
              </w:rPr>
              <w:t>children</w:t>
            </w:r>
            <w:proofErr w:type="gramEnd"/>
            <w:r w:rsidRPr="00320C74">
              <w:rPr>
                <w:rFonts w:asciiTheme="minorBidi" w:hAnsiTheme="minorBidi" w:cstheme="minorBidi"/>
                <w:bCs/>
              </w:rPr>
              <w:t>, increasing their social intelligence meta skills.</w:t>
            </w:r>
          </w:p>
          <w:p w14:paraId="70EDCA4B" w14:textId="77777777" w:rsidR="00E158DD" w:rsidRPr="00E158DD" w:rsidRDefault="00E158DD" w:rsidP="005E64F0">
            <w:pPr>
              <w:contextualSpacing/>
              <w:rPr>
                <w:rFonts w:asciiTheme="minorBidi" w:hAnsiTheme="minorBidi" w:cstheme="minorBidi"/>
                <w:bCs/>
              </w:rPr>
            </w:pPr>
          </w:p>
          <w:p w14:paraId="62E13AB9" w14:textId="77777777" w:rsidR="00E158DD" w:rsidRPr="00E158DD" w:rsidRDefault="00E158DD" w:rsidP="005E64F0">
            <w:pPr>
              <w:rPr>
                <w:rFonts w:asciiTheme="minorBidi" w:hAnsiTheme="minorBidi" w:cstheme="minorBidi"/>
                <w:bCs/>
              </w:rPr>
            </w:pPr>
            <w:r w:rsidRPr="00E158DD">
              <w:rPr>
                <w:rFonts w:asciiTheme="minorBidi" w:hAnsiTheme="minorBidi" w:cstheme="minorBidi"/>
                <w:bCs/>
              </w:rPr>
              <w:t>The nursery class have begun to successfully track learners progress against the four capacities; effective contributors, successful learners, responsible citizens and confident individuals. This is developing the children’s skills.</w:t>
            </w:r>
          </w:p>
          <w:p w14:paraId="5B47ACFC" w14:textId="77777777" w:rsidR="00E158DD" w:rsidRPr="00E158DD" w:rsidRDefault="00E158DD" w:rsidP="005E64F0">
            <w:pPr>
              <w:contextualSpacing/>
              <w:rPr>
                <w:rFonts w:asciiTheme="minorBidi" w:hAnsiTheme="minorBidi" w:cstheme="minorBidi"/>
                <w:bCs/>
              </w:rPr>
            </w:pPr>
          </w:p>
          <w:p w14:paraId="7546F18E" w14:textId="515CDE22" w:rsidR="00E158DD" w:rsidRPr="00E158DD" w:rsidRDefault="00E158DD" w:rsidP="005E64F0">
            <w:pPr>
              <w:rPr>
                <w:rFonts w:asciiTheme="minorBidi" w:hAnsiTheme="minorBidi" w:cstheme="minorBidi"/>
              </w:rPr>
            </w:pPr>
            <w:r w:rsidRPr="00E158DD">
              <w:rPr>
                <w:rFonts w:asciiTheme="minorBidi" w:hAnsiTheme="minorBidi" w:cstheme="minorBidi"/>
              </w:rPr>
              <w:t xml:space="preserve">Staff are continuing to develop their ability to be ‘critical friends’. Teachers undertook collaborative observations of language and </w:t>
            </w:r>
            <w:r w:rsidR="00CD359B" w:rsidRPr="00CD359B">
              <w:rPr>
                <w:rFonts w:asciiTheme="minorBidi" w:hAnsiTheme="minorBidi" w:cstheme="minorBidi"/>
              </w:rPr>
              <w:t>communic</w:t>
            </w:r>
            <w:r w:rsidR="00CD359B">
              <w:rPr>
                <w:rFonts w:asciiTheme="minorBidi" w:hAnsiTheme="minorBidi" w:cstheme="minorBidi"/>
              </w:rPr>
              <w:t>ation</w:t>
            </w:r>
            <w:r w:rsidRPr="00E158DD">
              <w:rPr>
                <w:rFonts w:asciiTheme="minorBidi" w:hAnsiTheme="minorBidi" w:cstheme="minorBidi"/>
              </w:rPr>
              <w:t xml:space="preserve"> friendly strategies and undertook a ‘sprint’ approach to investigate and develop approaches to feedback.  There was positive feedback from learners particularly about oral feedback.</w:t>
            </w:r>
          </w:p>
          <w:p w14:paraId="0BECE4FE" w14:textId="77777777" w:rsidR="00E158DD" w:rsidRPr="00E158DD" w:rsidRDefault="00E158DD" w:rsidP="005E64F0">
            <w:pPr>
              <w:rPr>
                <w:rFonts w:asciiTheme="minorBidi" w:hAnsiTheme="minorBidi" w:cstheme="minorBidi"/>
                <w:i/>
                <w:iCs/>
              </w:rPr>
            </w:pPr>
          </w:p>
          <w:p w14:paraId="1A19ACF5" w14:textId="77777777" w:rsidR="00E158DD" w:rsidRPr="00E158DD" w:rsidRDefault="00E158DD" w:rsidP="005E64F0">
            <w:pPr>
              <w:pStyle w:val="NoSpacing"/>
              <w:rPr>
                <w:rFonts w:asciiTheme="minorBidi" w:hAnsiTheme="minorBidi"/>
                <w:bCs/>
                <w:sz w:val="20"/>
                <w:szCs w:val="20"/>
              </w:rPr>
            </w:pPr>
            <w:r w:rsidRPr="00E158DD">
              <w:rPr>
                <w:rFonts w:asciiTheme="minorBidi" w:eastAsia="Calibri" w:hAnsiTheme="minorBidi"/>
                <w:bCs/>
                <w:sz w:val="20"/>
                <w:szCs w:val="20"/>
              </w:rPr>
              <w:t xml:space="preserve">The school and nursery are working towards becoming a Language and Communication Friendly Establishment.  </w:t>
            </w:r>
            <w:r w:rsidRPr="00E158DD">
              <w:rPr>
                <w:rFonts w:asciiTheme="minorBidi" w:hAnsiTheme="minorBidi"/>
                <w:bCs/>
                <w:sz w:val="20"/>
                <w:szCs w:val="20"/>
              </w:rPr>
              <w:t xml:space="preserve">Teachers prioritise talk, with a self-evaluation rating of 4.8 at giving learners opportunities to talk across the curriculum and teachers are confident using LCFE ‘Talk Strategies’, with an average rating of 4.5.  Senior Leadership Team observations demonstrate </w:t>
            </w:r>
            <w:proofErr w:type="gramStart"/>
            <w:r w:rsidRPr="00E158DD">
              <w:rPr>
                <w:rFonts w:asciiTheme="minorBidi" w:hAnsiTheme="minorBidi"/>
                <w:bCs/>
                <w:sz w:val="20"/>
                <w:szCs w:val="20"/>
              </w:rPr>
              <w:t>particular strengths</w:t>
            </w:r>
            <w:proofErr w:type="gramEnd"/>
            <w:r w:rsidRPr="00E158DD">
              <w:rPr>
                <w:rFonts w:asciiTheme="minorBidi" w:hAnsiTheme="minorBidi"/>
                <w:bCs/>
                <w:sz w:val="20"/>
                <w:szCs w:val="20"/>
              </w:rPr>
              <w:t xml:space="preserve"> in modelling and adapting language, listening, valuing what children say and supporting all children in talk.</w:t>
            </w:r>
          </w:p>
          <w:p w14:paraId="152A9E83" w14:textId="77777777" w:rsidR="00320C74" w:rsidRPr="00E158DD" w:rsidRDefault="00320C74" w:rsidP="005E64F0">
            <w:pPr>
              <w:rPr>
                <w:rFonts w:asciiTheme="minorBidi" w:hAnsiTheme="minorBidi" w:cstheme="minorBidi"/>
                <w:i/>
                <w:iCs/>
              </w:rPr>
            </w:pPr>
          </w:p>
          <w:p w14:paraId="404F5D84" w14:textId="77777777" w:rsidR="00E158DD" w:rsidRPr="00E158DD" w:rsidRDefault="00E158DD" w:rsidP="005E64F0">
            <w:pPr>
              <w:rPr>
                <w:rFonts w:asciiTheme="minorBidi" w:hAnsiTheme="minorBidi" w:cstheme="minorBidi"/>
                <w:bCs/>
              </w:rPr>
            </w:pPr>
            <w:r w:rsidRPr="00E158DD">
              <w:rPr>
                <w:rFonts w:asciiTheme="minorBidi" w:hAnsiTheme="minorBidi" w:cstheme="minorBidi"/>
                <w:bCs/>
              </w:rPr>
              <w:t xml:space="preserve">The numeracy Challenge Leader of Learning and Nursery Class Team Leader piloted a Play Along Maths programme with nursery and P1 families.  </w:t>
            </w:r>
          </w:p>
          <w:p w14:paraId="3FC35D01" w14:textId="77777777" w:rsidR="00E158DD" w:rsidRPr="00E158DD" w:rsidRDefault="00E158DD" w:rsidP="005E64F0">
            <w:pPr>
              <w:rPr>
                <w:rFonts w:asciiTheme="minorBidi" w:hAnsiTheme="minorBidi" w:cstheme="minorBidi"/>
                <w:bCs/>
              </w:rPr>
            </w:pPr>
            <w:r w:rsidRPr="00E158DD">
              <w:rPr>
                <w:rFonts w:asciiTheme="minorBidi" w:hAnsiTheme="minorBidi" w:cstheme="minorBidi"/>
                <w:bCs/>
              </w:rPr>
              <w:t>All families said that this was a beneficial project.</w:t>
            </w:r>
          </w:p>
          <w:p w14:paraId="44D3D737" w14:textId="77777777" w:rsidR="00E158DD" w:rsidRPr="00E158DD" w:rsidRDefault="00E158DD" w:rsidP="005E64F0">
            <w:pPr>
              <w:rPr>
                <w:rFonts w:asciiTheme="minorBidi" w:hAnsiTheme="minorBidi" w:cstheme="minorBidi"/>
                <w:bCs/>
              </w:rPr>
            </w:pPr>
            <w:r w:rsidRPr="00E158DD">
              <w:rPr>
                <w:rFonts w:asciiTheme="minorBidi" w:hAnsiTheme="minorBidi" w:cstheme="minorBidi"/>
                <w:bCs/>
              </w:rPr>
              <w:t>All families spent more time playing together.</w:t>
            </w:r>
          </w:p>
          <w:p w14:paraId="0DF42962" w14:textId="77777777" w:rsidR="00E158DD" w:rsidRPr="00E158DD" w:rsidRDefault="00E158DD" w:rsidP="005E64F0">
            <w:pPr>
              <w:rPr>
                <w:rFonts w:asciiTheme="minorBidi" w:hAnsiTheme="minorBidi" w:cstheme="minorBidi"/>
                <w:bCs/>
              </w:rPr>
            </w:pPr>
            <w:r w:rsidRPr="00E158DD">
              <w:rPr>
                <w:rFonts w:asciiTheme="minorBidi" w:hAnsiTheme="minorBidi" w:cstheme="minorBidi"/>
                <w:bCs/>
              </w:rPr>
              <w:t>Almost all recognised the importance of the project and were keen to continue playing together as a family.</w:t>
            </w:r>
          </w:p>
          <w:p w14:paraId="472696CC" w14:textId="5111D210" w:rsidR="00320C74" w:rsidRPr="00320C74" w:rsidRDefault="00320C74" w:rsidP="00320C74">
            <w:pPr>
              <w:rPr>
                <w:rFonts w:asciiTheme="minorBidi" w:hAnsiTheme="minorBidi" w:cstheme="minorBidi"/>
                <w:b/>
                <w:bCs/>
                <w:u w:val="single"/>
              </w:rPr>
            </w:pPr>
            <w:r w:rsidRPr="00320C74">
              <w:rPr>
                <w:rFonts w:asciiTheme="minorBidi" w:hAnsiTheme="minorBidi" w:cstheme="minorBidi"/>
                <w:b/>
                <w:bCs/>
                <w:u w:val="single"/>
              </w:rPr>
              <w:lastRenderedPageBreak/>
              <w:t xml:space="preserve">Wellbeing, Equality and Inclusion </w:t>
            </w:r>
          </w:p>
          <w:p w14:paraId="3FD7A812" w14:textId="77777777" w:rsidR="00320C74" w:rsidRPr="00320C74" w:rsidRDefault="00320C74" w:rsidP="00320C74">
            <w:pPr>
              <w:rPr>
                <w:rFonts w:asciiTheme="minorBidi" w:hAnsiTheme="minorBidi" w:cstheme="minorBidi"/>
                <w:bCs/>
              </w:rPr>
            </w:pPr>
            <w:r w:rsidRPr="00320C74">
              <w:rPr>
                <w:rFonts w:asciiTheme="minorBidi" w:hAnsiTheme="minorBidi" w:cstheme="minorBidi"/>
                <w:bCs/>
              </w:rPr>
              <w:t>We offer a friendly, inclusive and supportive learning environment for children.  Relationships between adults, children and their peers are kind, caring, respectful and compassionate.  All Support for Learning Worker students in 2024/25 carried on volunteering after their placements and all temporary/supply teachers have expressed their pleasure at working in the school.  Anecdotal comments from families demonstrate how supported they feel.</w:t>
            </w:r>
          </w:p>
          <w:p w14:paraId="6CF77648" w14:textId="77777777" w:rsidR="00320C74" w:rsidRPr="00E158DD" w:rsidRDefault="00320C74" w:rsidP="00320C74">
            <w:pPr>
              <w:rPr>
                <w:rFonts w:asciiTheme="minorBidi" w:hAnsiTheme="minorBidi" w:cstheme="minorBidi"/>
                <w:bCs/>
              </w:rPr>
            </w:pPr>
          </w:p>
          <w:p w14:paraId="2120CD46" w14:textId="77777777" w:rsidR="00320C74" w:rsidRDefault="00320C74" w:rsidP="00320C74">
            <w:pPr>
              <w:rPr>
                <w:rFonts w:asciiTheme="minorBidi" w:hAnsiTheme="minorBidi" w:cstheme="minorBidi"/>
                <w:bCs/>
              </w:rPr>
            </w:pPr>
            <w:r w:rsidRPr="00320C74">
              <w:rPr>
                <w:rFonts w:asciiTheme="minorBidi" w:hAnsiTheme="minorBidi" w:cstheme="minorBidi"/>
                <w:bCs/>
              </w:rPr>
              <w:t>Our children and staff understand and continue to be passionate about the anti-racism journey we are on.  Children and staff were invited to present their journey so far and next steps to other schools at Glasgow City Chambers earlier in the session.</w:t>
            </w:r>
          </w:p>
          <w:p w14:paraId="7A1FEAB2" w14:textId="77777777" w:rsidR="00E158DD" w:rsidRDefault="00E158DD" w:rsidP="00320C74">
            <w:pPr>
              <w:rPr>
                <w:rFonts w:asciiTheme="minorBidi" w:hAnsiTheme="minorBidi" w:cstheme="minorBidi"/>
                <w:bCs/>
              </w:rPr>
            </w:pPr>
          </w:p>
          <w:p w14:paraId="639D1BA7" w14:textId="1C42F568" w:rsidR="00E158DD" w:rsidRPr="005E64F0" w:rsidRDefault="00E158DD" w:rsidP="00320C74">
            <w:pPr>
              <w:rPr>
                <w:rFonts w:asciiTheme="minorBidi" w:hAnsiTheme="minorBidi" w:cstheme="minorBidi"/>
                <w:bCs/>
              </w:rPr>
            </w:pPr>
            <w:r w:rsidRPr="005E64F0">
              <w:rPr>
                <w:rFonts w:asciiTheme="minorBidi" w:hAnsiTheme="minorBidi" w:cstheme="minorBidi"/>
                <w:bCs/>
              </w:rPr>
              <w:t>This session we have a newly formed Family Partnership.  The group have been successful in a bid for £5000 for developing the playground and ran a very successful Summer Fair, based on Glasgow 850 with the aims of encouraging community and sustainability.  Diverse groups across the school were very well represented at the event</w:t>
            </w:r>
            <w:r w:rsidR="005E64F0" w:rsidRPr="005E64F0">
              <w:rPr>
                <w:rFonts w:asciiTheme="minorBidi" w:hAnsiTheme="minorBidi" w:cstheme="minorBidi"/>
                <w:bCs/>
              </w:rPr>
              <w:t>.</w:t>
            </w:r>
          </w:p>
          <w:p w14:paraId="4F888293" w14:textId="77777777" w:rsidR="00E158DD" w:rsidRDefault="00E158DD" w:rsidP="00320C74">
            <w:pPr>
              <w:rPr>
                <w:rFonts w:asciiTheme="minorBidi" w:hAnsiTheme="minorBidi" w:cstheme="minorBidi"/>
                <w:b/>
                <w:bCs/>
                <w:u w:val="single"/>
              </w:rPr>
            </w:pPr>
          </w:p>
          <w:p w14:paraId="080F1FD3" w14:textId="25768993" w:rsidR="00320C74" w:rsidRPr="00E158DD" w:rsidRDefault="00E158DD" w:rsidP="00320C74">
            <w:pPr>
              <w:rPr>
                <w:rFonts w:asciiTheme="minorBidi" w:hAnsiTheme="minorBidi" w:cstheme="minorBidi"/>
                <w:b/>
                <w:bCs/>
                <w:u w:val="single"/>
              </w:rPr>
            </w:pPr>
            <w:r w:rsidRPr="00E158DD">
              <w:rPr>
                <w:rFonts w:asciiTheme="minorBidi" w:hAnsiTheme="minorBidi" w:cstheme="minorBidi"/>
                <w:b/>
                <w:bCs/>
                <w:u w:val="single"/>
              </w:rPr>
              <w:t>Raising Attainment and Achievement</w:t>
            </w:r>
          </w:p>
          <w:p w14:paraId="5B23BADF" w14:textId="77777777" w:rsidR="00E158DD" w:rsidRPr="00320C74" w:rsidRDefault="00E158DD" w:rsidP="00E158DD">
            <w:pPr>
              <w:rPr>
                <w:rFonts w:asciiTheme="minorBidi" w:hAnsiTheme="minorBidi" w:cstheme="minorBidi"/>
                <w:bCs/>
              </w:rPr>
            </w:pPr>
            <w:r w:rsidRPr="00320C74">
              <w:rPr>
                <w:rFonts w:asciiTheme="minorBidi" w:hAnsiTheme="minorBidi" w:cstheme="minorBidi"/>
                <w:bCs/>
              </w:rPr>
              <w:t>In session 2024/25 most children achieved national expectations of attainment at P1, P4 and P7 in listening and talking (87%), reading (76%), and numeracy and mathematics (84%) and the majority achieved national expectations in writing (69%).</w:t>
            </w:r>
          </w:p>
          <w:p w14:paraId="41D159F3" w14:textId="77777777" w:rsidR="00E158DD" w:rsidRDefault="00E158DD" w:rsidP="00320C74">
            <w:pPr>
              <w:rPr>
                <w:rFonts w:asciiTheme="minorBidi" w:hAnsiTheme="minorBidi" w:cstheme="minorBidi"/>
              </w:rPr>
            </w:pPr>
          </w:p>
          <w:p w14:paraId="0E4B13AF" w14:textId="757453AB" w:rsidR="00E158DD" w:rsidRDefault="00E158DD" w:rsidP="00320C74">
            <w:pPr>
              <w:rPr>
                <w:rFonts w:asciiTheme="minorBidi" w:hAnsiTheme="minorBidi" w:cstheme="minorBidi"/>
              </w:rPr>
            </w:pPr>
            <w:r>
              <w:rPr>
                <w:rFonts w:asciiTheme="minorBidi" w:hAnsiTheme="minorBidi" w:cstheme="minorBidi"/>
              </w:rPr>
              <w:t>From 2023/24 – 2024/25 in children at P1, P4 and P7 we had an increase of 3% of children attaining expected levels in reading, 2% increase in writing, 7% increase in listening and talking and 14% increase in numeracy and mathematics.</w:t>
            </w:r>
          </w:p>
          <w:p w14:paraId="682E86B9" w14:textId="77777777" w:rsidR="00E158DD" w:rsidRDefault="00E158DD" w:rsidP="00320C74">
            <w:pPr>
              <w:rPr>
                <w:rFonts w:asciiTheme="minorBidi" w:hAnsiTheme="minorBidi" w:cstheme="minorBidi"/>
              </w:rPr>
            </w:pPr>
          </w:p>
          <w:p w14:paraId="5E823EBD" w14:textId="77777777" w:rsidR="00E158DD" w:rsidRPr="005E64F0" w:rsidRDefault="00E158DD" w:rsidP="005E64F0">
            <w:pPr>
              <w:rPr>
                <w:rFonts w:asciiTheme="minorBidi" w:hAnsiTheme="minorBidi" w:cstheme="minorBidi"/>
                <w:bCs/>
              </w:rPr>
            </w:pPr>
            <w:r w:rsidRPr="005E64F0">
              <w:rPr>
                <w:rFonts w:asciiTheme="minorBidi" w:hAnsiTheme="minorBidi" w:cstheme="minorBidi"/>
                <w:bCs/>
              </w:rPr>
              <w:t>Targeted intervention and team teaching within numeracy and mathematics raised attainment and achievement of targeted learners: almost all (97%) have made gains in their learning.  All teachers reports that team teaching has had a positive impact on their learners and their own skills and knowledge.</w:t>
            </w:r>
          </w:p>
          <w:p w14:paraId="202FA2B8" w14:textId="77777777" w:rsidR="00E158DD" w:rsidRPr="005E64F0" w:rsidRDefault="00E158DD" w:rsidP="005E64F0">
            <w:pPr>
              <w:rPr>
                <w:rFonts w:asciiTheme="minorBidi" w:hAnsiTheme="minorBidi" w:cstheme="minorBidi"/>
              </w:rPr>
            </w:pPr>
          </w:p>
          <w:p w14:paraId="1A18F73C" w14:textId="77777777" w:rsidR="00E158DD" w:rsidRPr="005E64F0" w:rsidRDefault="00E158DD" w:rsidP="005E64F0">
            <w:pPr>
              <w:rPr>
                <w:rFonts w:asciiTheme="minorBidi" w:hAnsiTheme="minorBidi" w:cstheme="minorBidi"/>
                <w:bCs/>
              </w:rPr>
            </w:pPr>
            <w:r w:rsidRPr="005E64F0">
              <w:rPr>
                <w:rFonts w:asciiTheme="minorBidi" w:hAnsiTheme="minorBidi" w:cstheme="minorBidi"/>
                <w:bCs/>
              </w:rPr>
              <w:t>Targeted intervention this session has included a teacher led EAL group, a Support for Learning Worker EAL life skills language group, a nurture group led by a CDO and SFLW, social skills groups for P4-7 led by SFLWs and Seasons for Growth groups led by SLFW and Clerical staff.  Our CDO has supported literacy with P2 and P3 children. All children taken forward for dyslexia identification by the PT have received a diagnosis and she has been ably supported in gathering evidence by the CDO.</w:t>
            </w:r>
          </w:p>
          <w:p w14:paraId="39BA15B2" w14:textId="77777777" w:rsidR="00E158DD" w:rsidRDefault="00E158DD" w:rsidP="00320C74">
            <w:pPr>
              <w:rPr>
                <w:rFonts w:asciiTheme="minorBidi" w:hAnsiTheme="minorBidi" w:cstheme="minorBidi"/>
              </w:rPr>
            </w:pPr>
          </w:p>
          <w:p w14:paraId="63DF2A29" w14:textId="3FB1B57A" w:rsidR="00E05DF7" w:rsidRPr="00320C74" w:rsidRDefault="00320C74" w:rsidP="005E64F0">
            <w:pPr>
              <w:rPr>
                <w:rFonts w:asciiTheme="minorBidi" w:hAnsiTheme="minorBidi" w:cstheme="minorBidi"/>
              </w:rPr>
            </w:pPr>
            <w:r w:rsidRPr="00320C74">
              <w:rPr>
                <w:rFonts w:asciiTheme="minorBidi" w:hAnsiTheme="minorBidi" w:cstheme="minorBidi"/>
              </w:rPr>
              <w:t>Last session we had 65% of children participate in at least one after school or lunchtime club.  This is the highest % in our Active School’s co-ordinator’s group of schools, and we have been the highest consistently for the last few years.  We also had an increase in girls taking part in these clubs, and as we know girls can be less likely to take up/keep up sport and physical activity for a variety of reasons</w:t>
            </w:r>
          </w:p>
          <w:p w14:paraId="6CE7B70D" w14:textId="77777777" w:rsidR="00FA4B1A" w:rsidRPr="00320C74" w:rsidRDefault="00FA4B1A" w:rsidP="00320C74">
            <w:pPr>
              <w:tabs>
                <w:tab w:val="left" w:pos="1600"/>
              </w:tabs>
              <w:spacing w:before="60"/>
              <w:rPr>
                <w:rFonts w:asciiTheme="minorBidi" w:hAnsiTheme="minorBidi" w:cstheme="minorBidi"/>
              </w:rPr>
            </w:pPr>
          </w:p>
        </w:tc>
      </w:tr>
      <w:tr w:rsidR="0097112B" w:rsidRPr="00DC1797" w14:paraId="6BFB1062" w14:textId="77777777" w:rsidTr="0097112B">
        <w:tc>
          <w:tcPr>
            <w:tcW w:w="360" w:type="dxa"/>
            <w:tcBorders>
              <w:left w:val="nil"/>
              <w:right w:val="single" w:sz="2" w:space="0" w:color="auto"/>
            </w:tcBorders>
            <w:shd w:val="clear" w:color="auto" w:fill="C5E0B3" w:themeFill="accent6" w:themeFillTint="66"/>
          </w:tcPr>
          <w:p w14:paraId="48061C5F" w14:textId="77777777" w:rsidR="0097112B" w:rsidRPr="00DC1797" w:rsidRDefault="0097112B" w:rsidP="00FA496D">
            <w:pPr>
              <w:tabs>
                <w:tab w:val="left" w:pos="1600"/>
              </w:tabs>
              <w:ind w:left="270" w:hanging="270"/>
              <w:rPr>
                <w:rFonts w:cs="Arial"/>
              </w:rPr>
            </w:pPr>
          </w:p>
        </w:tc>
        <w:tc>
          <w:tcPr>
            <w:tcW w:w="9736" w:type="dxa"/>
            <w:tcBorders>
              <w:left w:val="single" w:sz="2" w:space="0" w:color="auto"/>
              <w:right w:val="single" w:sz="2" w:space="0" w:color="auto"/>
            </w:tcBorders>
            <w:shd w:val="clear" w:color="auto" w:fill="C5E0B3" w:themeFill="accent6" w:themeFillTint="66"/>
          </w:tcPr>
          <w:p w14:paraId="2D7B3DB5" w14:textId="155BECBC" w:rsidR="0097112B" w:rsidRPr="0097112B" w:rsidRDefault="0097112B" w:rsidP="000C6DF3">
            <w:pPr>
              <w:tabs>
                <w:tab w:val="left" w:pos="1600"/>
              </w:tabs>
              <w:spacing w:before="60"/>
              <w:rPr>
                <w:rFonts w:cs="Arial"/>
                <w:b/>
                <w:bCs/>
              </w:rPr>
            </w:pPr>
            <w:r w:rsidRPr="0097112B">
              <w:rPr>
                <w:rFonts w:cs="Arial"/>
                <w:b/>
                <w:bCs/>
              </w:rPr>
              <w:t>Attendance and Exclusion data</w:t>
            </w:r>
          </w:p>
        </w:tc>
      </w:tr>
      <w:tr w:rsidR="0097112B" w:rsidRPr="00DC1797" w14:paraId="27CD69AA" w14:textId="77777777" w:rsidTr="0097112B">
        <w:tc>
          <w:tcPr>
            <w:tcW w:w="360" w:type="dxa"/>
            <w:tcBorders>
              <w:left w:val="nil"/>
              <w:right w:val="single" w:sz="2" w:space="0" w:color="auto"/>
            </w:tcBorders>
            <w:shd w:val="clear" w:color="auto" w:fill="C5E0B3" w:themeFill="accent6" w:themeFillTint="66"/>
          </w:tcPr>
          <w:p w14:paraId="26F6672B" w14:textId="77777777" w:rsidR="0097112B" w:rsidRPr="00DC1797" w:rsidRDefault="0097112B" w:rsidP="00FA496D">
            <w:pPr>
              <w:tabs>
                <w:tab w:val="left" w:pos="1600"/>
              </w:tabs>
              <w:ind w:left="270" w:hanging="270"/>
              <w:rPr>
                <w:rFonts w:cs="Arial"/>
              </w:rPr>
            </w:pPr>
          </w:p>
        </w:tc>
        <w:tc>
          <w:tcPr>
            <w:tcW w:w="9736" w:type="dxa"/>
            <w:tcBorders>
              <w:left w:val="single" w:sz="2" w:space="0" w:color="auto"/>
              <w:bottom w:val="single" w:sz="2" w:space="0" w:color="auto"/>
              <w:right w:val="single" w:sz="2" w:space="0" w:color="auto"/>
            </w:tcBorders>
          </w:tcPr>
          <w:p w14:paraId="37FEECB5" w14:textId="0F1EF393" w:rsidR="0097112B" w:rsidRPr="00320C74" w:rsidRDefault="008437B4" w:rsidP="000C6DF3">
            <w:pPr>
              <w:tabs>
                <w:tab w:val="left" w:pos="1600"/>
              </w:tabs>
              <w:spacing w:before="60"/>
              <w:rPr>
                <w:rFonts w:asciiTheme="minorBidi" w:hAnsiTheme="minorBidi" w:cstheme="minorBidi"/>
              </w:rPr>
            </w:pPr>
            <w:r>
              <w:rPr>
                <w:rFonts w:cs="Arial"/>
              </w:rPr>
              <w:t>Our attendance rate for session 2024/25 was 93.2%.  The Glasgow average is 91%.</w:t>
            </w:r>
            <w:r w:rsidR="00320C74">
              <w:rPr>
                <w:rFonts w:cs="Arial"/>
              </w:rPr>
              <w:t xml:space="preserve"> </w:t>
            </w:r>
            <w:r w:rsidR="00320C74" w:rsidRPr="00320C74">
              <w:rPr>
                <w:rFonts w:asciiTheme="minorBidi" w:hAnsiTheme="minorBidi" w:cstheme="minorBidi"/>
              </w:rPr>
              <w:t xml:space="preserve">We had </w:t>
            </w:r>
            <w:r w:rsidR="00320C74" w:rsidRPr="00320C74">
              <w:rPr>
                <w:rFonts w:asciiTheme="minorBidi" w:eastAsia="Calibri" w:hAnsiTheme="minorBidi" w:cstheme="minorBidi"/>
                <w:bCs/>
              </w:rPr>
              <w:t xml:space="preserve">particularly high attendance (95.2%) at Primary 7 and our care experienced </w:t>
            </w:r>
            <w:proofErr w:type="gramStart"/>
            <w:r w:rsidR="00320C74" w:rsidRPr="00320C74">
              <w:rPr>
                <w:rFonts w:asciiTheme="minorBidi" w:eastAsia="Calibri" w:hAnsiTheme="minorBidi" w:cstheme="minorBidi"/>
                <w:bCs/>
              </w:rPr>
              <w:t>learners</w:t>
            </w:r>
            <w:proofErr w:type="gramEnd"/>
            <w:r w:rsidR="00320C74" w:rsidRPr="00320C74">
              <w:rPr>
                <w:rFonts w:asciiTheme="minorBidi" w:eastAsia="Calibri" w:hAnsiTheme="minorBidi" w:cstheme="minorBidi"/>
                <w:bCs/>
              </w:rPr>
              <w:t xml:space="preserve"> attendance is high for Glasgow City Council at 92%.</w:t>
            </w:r>
          </w:p>
          <w:p w14:paraId="00EF1843" w14:textId="77777777" w:rsidR="00320C74" w:rsidRDefault="00320C74" w:rsidP="000C6DF3">
            <w:pPr>
              <w:tabs>
                <w:tab w:val="left" w:pos="1600"/>
              </w:tabs>
              <w:spacing w:before="60"/>
              <w:rPr>
                <w:rFonts w:cs="Arial"/>
              </w:rPr>
            </w:pPr>
          </w:p>
          <w:p w14:paraId="09ECA6C8" w14:textId="3E66E0D5" w:rsidR="008437B4" w:rsidRDefault="008437B4" w:rsidP="000C6DF3">
            <w:pPr>
              <w:tabs>
                <w:tab w:val="left" w:pos="1600"/>
              </w:tabs>
              <w:spacing w:before="60"/>
              <w:rPr>
                <w:rFonts w:cs="Arial"/>
              </w:rPr>
            </w:pPr>
            <w:r>
              <w:rPr>
                <w:rFonts w:cs="Arial"/>
              </w:rPr>
              <w:t>We had zero exclusions during session 2024/25 and zero exclusions since session 2019/20.</w:t>
            </w:r>
          </w:p>
          <w:p w14:paraId="55E0B004" w14:textId="77777777" w:rsidR="00AE1493" w:rsidRDefault="00AE1493" w:rsidP="000C6DF3">
            <w:pPr>
              <w:tabs>
                <w:tab w:val="left" w:pos="1600"/>
              </w:tabs>
              <w:spacing w:before="60"/>
              <w:rPr>
                <w:rFonts w:cs="Arial"/>
              </w:rPr>
            </w:pPr>
          </w:p>
        </w:tc>
      </w:tr>
    </w:tbl>
    <w:p w14:paraId="04F951AB" w14:textId="77777777" w:rsidR="004C387E" w:rsidRDefault="004C387E" w:rsidP="00811CCB">
      <w:pPr>
        <w:tabs>
          <w:tab w:val="left" w:pos="1600"/>
        </w:tabs>
        <w:ind w:left="284" w:hanging="284"/>
        <w:rPr>
          <w:rFonts w:cs="Arial"/>
        </w:rPr>
      </w:pPr>
    </w:p>
    <w:p w14:paraId="79E3509F" w14:textId="77777777" w:rsidR="00320C74" w:rsidRPr="00DC1797" w:rsidRDefault="00320C74" w:rsidP="00811CCB">
      <w:pPr>
        <w:tabs>
          <w:tab w:val="left" w:pos="1600"/>
        </w:tabs>
        <w:ind w:left="284" w:hanging="284"/>
        <w:rPr>
          <w:rFonts w:cs="Arial"/>
        </w:rPr>
      </w:pP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
        <w:gridCol w:w="9736"/>
      </w:tblGrid>
      <w:tr w:rsidR="000C6DF3" w:rsidRPr="00DC1797" w14:paraId="1C703D62" w14:textId="77777777" w:rsidTr="007573D6">
        <w:tc>
          <w:tcPr>
            <w:tcW w:w="360" w:type="dxa"/>
            <w:vMerge w:val="restart"/>
            <w:tcBorders>
              <w:top w:val="nil"/>
              <w:left w:val="nil"/>
              <w:right w:val="single" w:sz="2" w:space="0" w:color="auto"/>
            </w:tcBorders>
            <w:shd w:val="clear" w:color="auto" w:fill="C5E0B3" w:themeFill="accent6" w:themeFillTint="66"/>
          </w:tcPr>
          <w:p w14:paraId="2B92C7F5" w14:textId="77777777" w:rsidR="00811CCB" w:rsidRPr="00DC1797" w:rsidRDefault="00811CCB" w:rsidP="00811CCB">
            <w:pPr>
              <w:tabs>
                <w:tab w:val="left" w:pos="1600"/>
              </w:tabs>
              <w:ind w:left="284" w:hanging="284"/>
              <w:rPr>
                <w:rFonts w:cs="Arial"/>
              </w:rPr>
            </w:pPr>
          </w:p>
          <w:p w14:paraId="390DD793" w14:textId="77777777" w:rsidR="002C110E" w:rsidRPr="00DC1797" w:rsidRDefault="002C110E" w:rsidP="00811CCB">
            <w:pPr>
              <w:tabs>
                <w:tab w:val="left" w:pos="1600"/>
              </w:tabs>
              <w:ind w:left="284" w:right="144" w:hanging="284"/>
              <w:rPr>
                <w:rFonts w:ascii="Arial Bold" w:hAnsi="Arial Bold"/>
                <w:b/>
                <w:szCs w:val="18"/>
              </w:rPr>
            </w:pPr>
            <w:r w:rsidRPr="00DC1797">
              <w:rPr>
                <w:rFonts w:ascii="Arial Bold" w:hAnsi="Arial Bold"/>
                <w:b/>
                <w:szCs w:val="18"/>
              </w:rPr>
              <w:t xml:space="preserve">    </w:t>
            </w:r>
          </w:p>
          <w:p w14:paraId="6313E683" w14:textId="29261456" w:rsidR="00811CCB" w:rsidRPr="00DC1797" w:rsidRDefault="004C387E" w:rsidP="00811CCB">
            <w:pPr>
              <w:tabs>
                <w:tab w:val="left" w:pos="1600"/>
              </w:tabs>
              <w:ind w:left="284" w:right="144" w:hanging="284"/>
              <w:rPr>
                <w:rFonts w:ascii="Arial Bold" w:hAnsi="Arial Bold"/>
                <w:b/>
                <w:sz w:val="40"/>
                <w:szCs w:val="18"/>
              </w:rPr>
            </w:pPr>
            <w:r>
              <w:rPr>
                <w:rFonts w:ascii="Arial Bold" w:hAnsi="Arial Bold"/>
                <w:b/>
                <w:sz w:val="40"/>
                <w:szCs w:val="18"/>
              </w:rPr>
              <w:t xml:space="preserve">     </w:t>
            </w:r>
          </w:p>
          <w:p w14:paraId="0D7F0DB4" w14:textId="77777777" w:rsidR="00811CCB" w:rsidRPr="00DC1797" w:rsidRDefault="00811CCB" w:rsidP="004A61F6">
            <w:pPr>
              <w:ind w:left="284" w:right="-99" w:hanging="284"/>
              <w:rPr>
                <w:b/>
                <w:sz w:val="24"/>
                <w:szCs w:val="18"/>
              </w:rPr>
            </w:pPr>
            <w:r w:rsidRPr="00DC1797">
              <w:rPr>
                <w:b/>
                <w:sz w:val="24"/>
                <w:szCs w:val="18"/>
              </w:rPr>
              <w:t xml:space="preserve">   </w:t>
            </w:r>
            <w:r w:rsidR="003806D6" w:rsidRPr="00DC1797">
              <w:rPr>
                <w:b/>
                <w:sz w:val="24"/>
                <w:szCs w:val="18"/>
              </w:rPr>
              <w:t xml:space="preserve">  </w:t>
            </w:r>
          </w:p>
          <w:p w14:paraId="5E3D6B42" w14:textId="77777777" w:rsidR="00811CCB" w:rsidRPr="00DC1797" w:rsidRDefault="00811CCB" w:rsidP="00811CCB">
            <w:pPr>
              <w:tabs>
                <w:tab w:val="left" w:pos="1600"/>
              </w:tabs>
              <w:ind w:left="284" w:hanging="284"/>
              <w:rPr>
                <w:rFonts w:cs="Arial"/>
                <w:b/>
              </w:rPr>
            </w:pPr>
          </w:p>
          <w:p w14:paraId="7548BE02" w14:textId="77777777" w:rsidR="00811CCB" w:rsidRPr="00DC1797" w:rsidRDefault="00811CCB" w:rsidP="00312B33">
            <w:pPr>
              <w:tabs>
                <w:tab w:val="left" w:pos="1600"/>
              </w:tabs>
              <w:ind w:left="90" w:hanging="180"/>
              <w:rPr>
                <w:rFonts w:cs="Arial"/>
              </w:rPr>
            </w:pPr>
          </w:p>
          <w:p w14:paraId="02AE364F" w14:textId="77777777" w:rsidR="00811CCB" w:rsidRPr="00DC1797" w:rsidRDefault="00811CCB" w:rsidP="00312B33">
            <w:pPr>
              <w:tabs>
                <w:tab w:val="left" w:pos="1600"/>
              </w:tabs>
              <w:ind w:left="270" w:hanging="270"/>
              <w:rPr>
                <w:rFonts w:cs="Arial"/>
              </w:rPr>
            </w:pPr>
          </w:p>
        </w:tc>
        <w:tc>
          <w:tcPr>
            <w:tcW w:w="9736" w:type="dxa"/>
            <w:tcBorders>
              <w:left w:val="single" w:sz="2" w:space="0" w:color="auto"/>
              <w:bottom w:val="single" w:sz="2" w:space="0" w:color="auto"/>
              <w:right w:val="single" w:sz="2" w:space="0" w:color="auto"/>
            </w:tcBorders>
            <w:shd w:val="clear" w:color="auto" w:fill="C5E0B3" w:themeFill="accent6" w:themeFillTint="66"/>
          </w:tcPr>
          <w:p w14:paraId="7066379C" w14:textId="568EA259" w:rsidR="00811CCB" w:rsidRPr="00DC1797" w:rsidRDefault="00D92600" w:rsidP="00811CCB">
            <w:pPr>
              <w:tabs>
                <w:tab w:val="left" w:pos="1600"/>
              </w:tabs>
              <w:ind w:left="284" w:hanging="284"/>
              <w:rPr>
                <w:rFonts w:cs="Arial"/>
                <w:b/>
              </w:rPr>
            </w:pPr>
            <w:r>
              <w:rPr>
                <w:rFonts w:cs="Arial"/>
                <w:b/>
              </w:rPr>
              <w:t xml:space="preserve">Our improvement </w:t>
            </w:r>
            <w:r w:rsidR="009958F5">
              <w:rPr>
                <w:rFonts w:cs="Arial"/>
                <w:b/>
              </w:rPr>
              <w:t xml:space="preserve">plan </w:t>
            </w:r>
            <w:r>
              <w:rPr>
                <w:rFonts w:cs="Arial"/>
                <w:b/>
              </w:rPr>
              <w:t>priorities 202</w:t>
            </w:r>
            <w:r w:rsidR="0097112B">
              <w:rPr>
                <w:rFonts w:cs="Arial"/>
                <w:b/>
              </w:rPr>
              <w:t>5</w:t>
            </w:r>
            <w:r>
              <w:rPr>
                <w:rFonts w:cs="Arial"/>
                <w:b/>
              </w:rPr>
              <w:t xml:space="preserve"> </w:t>
            </w:r>
            <w:r w:rsidR="005A7E1F">
              <w:rPr>
                <w:rFonts w:cs="Arial"/>
                <w:b/>
              </w:rPr>
              <w:t>–</w:t>
            </w:r>
            <w:r>
              <w:rPr>
                <w:rFonts w:cs="Arial"/>
                <w:b/>
              </w:rPr>
              <w:t xml:space="preserve"> 202</w:t>
            </w:r>
            <w:r w:rsidR="0097112B">
              <w:rPr>
                <w:rFonts w:cs="Arial"/>
                <w:b/>
              </w:rPr>
              <w:t>6</w:t>
            </w:r>
          </w:p>
        </w:tc>
      </w:tr>
      <w:tr w:rsidR="000C6DF3" w:rsidRPr="00DC1797" w14:paraId="508B65B1" w14:textId="77777777" w:rsidTr="000C6DF3">
        <w:tc>
          <w:tcPr>
            <w:tcW w:w="360" w:type="dxa"/>
            <w:vMerge/>
            <w:tcBorders>
              <w:left w:val="nil"/>
              <w:right w:val="single" w:sz="2" w:space="0" w:color="auto"/>
            </w:tcBorders>
            <w:shd w:val="clear" w:color="auto" w:fill="C0C0C0"/>
          </w:tcPr>
          <w:p w14:paraId="18EF9DC3" w14:textId="77777777" w:rsidR="00811CCB" w:rsidRPr="00DC1797" w:rsidRDefault="00811CCB" w:rsidP="00312B33">
            <w:pPr>
              <w:tabs>
                <w:tab w:val="left" w:pos="1600"/>
              </w:tabs>
              <w:ind w:left="270" w:hanging="270"/>
              <w:rPr>
                <w:rFonts w:cs="Arial"/>
              </w:rPr>
            </w:pPr>
          </w:p>
        </w:tc>
        <w:tc>
          <w:tcPr>
            <w:tcW w:w="9736" w:type="dxa"/>
            <w:tcBorders>
              <w:left w:val="single" w:sz="2" w:space="0" w:color="auto"/>
              <w:bottom w:val="single" w:sz="2" w:space="0" w:color="auto"/>
              <w:right w:val="single" w:sz="2" w:space="0" w:color="auto"/>
            </w:tcBorders>
          </w:tcPr>
          <w:p w14:paraId="3B840E6B" w14:textId="77777777" w:rsidR="0077595A" w:rsidRDefault="0077595A" w:rsidP="0077595A">
            <w:pPr>
              <w:rPr>
                <w:rFonts w:cs="Arial"/>
              </w:rPr>
            </w:pPr>
          </w:p>
          <w:p w14:paraId="3BA0271D" w14:textId="72F08B05" w:rsidR="006F28E6" w:rsidRDefault="00320C74" w:rsidP="00533B17">
            <w:pPr>
              <w:rPr>
                <w:rFonts w:cs="Arial"/>
              </w:rPr>
            </w:pPr>
            <w:r>
              <w:rPr>
                <w:rFonts w:cs="Arial"/>
              </w:rPr>
              <w:t xml:space="preserve">Challenge 1 – To raise attainment in literacy and numeracy; </w:t>
            </w:r>
            <w:proofErr w:type="gramStart"/>
            <w:r>
              <w:rPr>
                <w:rFonts w:cs="Arial"/>
              </w:rPr>
              <w:t>specifically</w:t>
            </w:r>
            <w:proofErr w:type="gramEnd"/>
            <w:r>
              <w:rPr>
                <w:rFonts w:cs="Arial"/>
              </w:rPr>
              <w:t xml:space="preserve"> this session to raise attainment in    writing.</w:t>
            </w:r>
          </w:p>
          <w:p w14:paraId="2D0B2E84" w14:textId="77777777" w:rsidR="00320C74" w:rsidRDefault="00320C74" w:rsidP="00533B17">
            <w:pPr>
              <w:rPr>
                <w:rFonts w:cs="Arial"/>
              </w:rPr>
            </w:pPr>
          </w:p>
          <w:p w14:paraId="4BE1A690" w14:textId="5B4E3D01" w:rsidR="00320C74" w:rsidRDefault="00320C74" w:rsidP="00533B17">
            <w:pPr>
              <w:rPr>
                <w:rFonts w:cs="Arial"/>
              </w:rPr>
            </w:pPr>
            <w:r>
              <w:rPr>
                <w:rFonts w:cs="Arial"/>
              </w:rPr>
              <w:t xml:space="preserve">Challenge 2 – Develop a </w:t>
            </w:r>
            <w:proofErr w:type="gramStart"/>
            <w:r>
              <w:rPr>
                <w:rFonts w:cs="Arial"/>
              </w:rPr>
              <w:t>skills based</w:t>
            </w:r>
            <w:proofErr w:type="gramEnd"/>
            <w:r>
              <w:rPr>
                <w:rFonts w:cs="Arial"/>
              </w:rPr>
              <w:t xml:space="preserve"> curriculum, specifically this session to i</w:t>
            </w:r>
            <w:r w:rsidRPr="00320C74">
              <w:rPr>
                <w:rFonts w:cs="Arial"/>
              </w:rPr>
              <w:t>ncorporate Glasgow’s Pedagogy of Active and Collaborative Learning within the curriculum.</w:t>
            </w:r>
          </w:p>
          <w:p w14:paraId="3B58DE92" w14:textId="77777777" w:rsidR="00320C74" w:rsidRDefault="00320C74" w:rsidP="00533B17">
            <w:pPr>
              <w:rPr>
                <w:rFonts w:cs="Arial"/>
              </w:rPr>
            </w:pPr>
          </w:p>
          <w:p w14:paraId="0A094660" w14:textId="568BFAD8" w:rsidR="000C6DF3" w:rsidRDefault="00320C74" w:rsidP="00320C74">
            <w:pPr>
              <w:rPr>
                <w:rFonts w:cs="Arial"/>
              </w:rPr>
            </w:pPr>
            <w:r>
              <w:rPr>
                <w:rFonts w:cs="Arial"/>
              </w:rPr>
              <w:t xml:space="preserve">Challenge 3 – To develop inclusive practices; </w:t>
            </w:r>
            <w:proofErr w:type="gramStart"/>
            <w:r>
              <w:rPr>
                <w:rFonts w:cs="Arial"/>
              </w:rPr>
              <w:t>specifically</w:t>
            </w:r>
            <w:proofErr w:type="gramEnd"/>
            <w:r>
              <w:rPr>
                <w:rFonts w:cs="Arial"/>
              </w:rPr>
              <w:t xml:space="preserve"> this session t</w:t>
            </w:r>
            <w:r w:rsidRPr="00320C74">
              <w:rPr>
                <w:rFonts w:cs="Arial"/>
              </w:rPr>
              <w:t>o fully embed LCFE strategies across the school and nurser</w:t>
            </w:r>
            <w:r>
              <w:rPr>
                <w:rFonts w:cs="Arial"/>
              </w:rPr>
              <w:t>y and t</w:t>
            </w:r>
            <w:r w:rsidRPr="00320C74">
              <w:rPr>
                <w:rFonts w:cs="Arial"/>
              </w:rPr>
              <w:t>o develop nurture groups and inform attitudes and practices in line with the protected characteristics.</w:t>
            </w:r>
          </w:p>
          <w:p w14:paraId="0A9D5325" w14:textId="77777777" w:rsidR="00E05DF7" w:rsidRPr="00DC1797" w:rsidRDefault="00E05DF7" w:rsidP="00533B17">
            <w:pPr>
              <w:rPr>
                <w:rFonts w:cs="Arial"/>
              </w:rPr>
            </w:pPr>
          </w:p>
        </w:tc>
      </w:tr>
    </w:tbl>
    <w:p w14:paraId="1217ABBC" w14:textId="77777777" w:rsidR="00513DB2" w:rsidRDefault="00513DB2">
      <w:pPr>
        <w:tabs>
          <w:tab w:val="left" w:pos="1600"/>
        </w:tabs>
        <w:rPr>
          <w:rFonts w:cs="Arial"/>
        </w:rPr>
      </w:pPr>
    </w:p>
    <w:p w14:paraId="2A233DFC" w14:textId="77777777" w:rsidR="00320C74" w:rsidRDefault="00320C74">
      <w:pPr>
        <w:tabs>
          <w:tab w:val="left" w:pos="1600"/>
        </w:tabs>
        <w:rPr>
          <w:rFonts w:cs="Arial"/>
        </w:rPr>
      </w:pPr>
    </w:p>
    <w:p w14:paraId="260C39DB" w14:textId="77777777" w:rsidR="00320C74" w:rsidRDefault="00320C74">
      <w:pPr>
        <w:tabs>
          <w:tab w:val="left" w:pos="1600"/>
        </w:tabs>
        <w:rPr>
          <w:rFonts w:cs="Arial"/>
        </w:rPr>
      </w:pP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
        <w:gridCol w:w="7463"/>
        <w:gridCol w:w="2299"/>
      </w:tblGrid>
      <w:tr w:rsidR="009537BE" w:rsidRPr="00DC1797" w14:paraId="449C2FF3" w14:textId="77777777" w:rsidTr="009537BE">
        <w:tc>
          <w:tcPr>
            <w:tcW w:w="334" w:type="dxa"/>
            <w:vMerge w:val="restart"/>
            <w:tcBorders>
              <w:left w:val="nil"/>
              <w:right w:val="single" w:sz="2" w:space="0" w:color="auto"/>
            </w:tcBorders>
            <w:shd w:val="clear" w:color="auto" w:fill="C5E0B3" w:themeFill="accent6" w:themeFillTint="66"/>
          </w:tcPr>
          <w:p w14:paraId="60CA099E" w14:textId="77777777" w:rsidR="009537BE" w:rsidRPr="00DC1797" w:rsidRDefault="009537BE" w:rsidP="00A504D1">
            <w:pPr>
              <w:tabs>
                <w:tab w:val="left" w:pos="1600"/>
              </w:tabs>
              <w:rPr>
                <w:rFonts w:cs="Arial"/>
              </w:rPr>
            </w:pPr>
          </w:p>
        </w:tc>
        <w:tc>
          <w:tcPr>
            <w:tcW w:w="7463" w:type="dxa"/>
            <w:tcBorders>
              <w:left w:val="single" w:sz="2" w:space="0" w:color="auto"/>
              <w:bottom w:val="single" w:sz="2" w:space="0" w:color="auto"/>
              <w:right w:val="single" w:sz="2" w:space="0" w:color="auto"/>
            </w:tcBorders>
            <w:shd w:val="clear" w:color="auto" w:fill="C5E0B3" w:themeFill="accent6" w:themeFillTint="66"/>
          </w:tcPr>
          <w:p w14:paraId="5B6B4A0F" w14:textId="723D43A9" w:rsidR="009537BE" w:rsidRPr="005A7E1F" w:rsidRDefault="009537BE" w:rsidP="00A504D1">
            <w:pPr>
              <w:autoSpaceDE w:val="0"/>
              <w:autoSpaceDN w:val="0"/>
              <w:adjustRightInd w:val="0"/>
              <w:rPr>
                <w:b/>
                <w:bCs/>
                <w:color w:val="000000"/>
                <w:szCs w:val="16"/>
              </w:rPr>
            </w:pPr>
            <w:r w:rsidRPr="005A7E1F">
              <w:rPr>
                <w:b/>
                <w:bCs/>
                <w:color w:val="000000"/>
                <w:szCs w:val="16"/>
              </w:rPr>
              <w:t xml:space="preserve">How Good Is Our School 4 Quality Indicator </w:t>
            </w:r>
            <w:r w:rsidR="005A7E1F">
              <w:rPr>
                <w:b/>
                <w:bCs/>
                <w:color w:val="000000"/>
                <w:szCs w:val="16"/>
              </w:rPr>
              <w:t>(QI)</w:t>
            </w:r>
          </w:p>
        </w:tc>
        <w:tc>
          <w:tcPr>
            <w:tcW w:w="2299" w:type="dxa"/>
            <w:tcBorders>
              <w:left w:val="single" w:sz="2" w:space="0" w:color="auto"/>
              <w:bottom w:val="single" w:sz="2" w:space="0" w:color="auto"/>
              <w:right w:val="single" w:sz="2" w:space="0" w:color="auto"/>
            </w:tcBorders>
            <w:shd w:val="clear" w:color="auto" w:fill="C5E0B3" w:themeFill="accent6" w:themeFillTint="66"/>
          </w:tcPr>
          <w:p w14:paraId="41DFDFDE" w14:textId="084DDE4F" w:rsidR="009537BE" w:rsidRPr="005A7E1F" w:rsidRDefault="009537BE" w:rsidP="00A504D1">
            <w:pPr>
              <w:autoSpaceDE w:val="0"/>
              <w:autoSpaceDN w:val="0"/>
              <w:adjustRightInd w:val="0"/>
              <w:rPr>
                <w:b/>
                <w:bCs/>
                <w:color w:val="000000"/>
                <w:szCs w:val="16"/>
              </w:rPr>
            </w:pPr>
            <w:r w:rsidRPr="005A7E1F">
              <w:rPr>
                <w:b/>
                <w:bCs/>
                <w:color w:val="000000"/>
                <w:szCs w:val="16"/>
              </w:rPr>
              <w:t>Evaluation</w:t>
            </w:r>
          </w:p>
        </w:tc>
      </w:tr>
      <w:tr w:rsidR="009537BE" w:rsidRPr="00DC1797" w14:paraId="28E5D72C" w14:textId="77777777" w:rsidTr="009537BE">
        <w:trPr>
          <w:trHeight w:val="239"/>
        </w:trPr>
        <w:tc>
          <w:tcPr>
            <w:tcW w:w="334" w:type="dxa"/>
            <w:vMerge/>
            <w:tcBorders>
              <w:left w:val="nil"/>
              <w:right w:val="single" w:sz="2" w:space="0" w:color="auto"/>
            </w:tcBorders>
            <w:shd w:val="clear" w:color="auto" w:fill="C5E0B3" w:themeFill="accent6" w:themeFillTint="66"/>
          </w:tcPr>
          <w:p w14:paraId="484554BC" w14:textId="77777777" w:rsidR="009537BE" w:rsidRPr="00DC1797" w:rsidRDefault="009537BE" w:rsidP="00A504D1">
            <w:pPr>
              <w:tabs>
                <w:tab w:val="left" w:pos="1600"/>
              </w:tabs>
              <w:rPr>
                <w:rFonts w:cs="Arial"/>
              </w:rPr>
            </w:pPr>
          </w:p>
        </w:tc>
        <w:tc>
          <w:tcPr>
            <w:tcW w:w="7463" w:type="dxa"/>
            <w:tcBorders>
              <w:left w:val="single" w:sz="2" w:space="0" w:color="auto"/>
              <w:right w:val="single" w:sz="2" w:space="0" w:color="auto"/>
            </w:tcBorders>
          </w:tcPr>
          <w:p w14:paraId="0B8DB0D8" w14:textId="2824624E" w:rsidR="009537BE" w:rsidRPr="000C6DF3" w:rsidRDefault="009537BE" w:rsidP="00A504D1">
            <w:pPr>
              <w:autoSpaceDE w:val="0"/>
              <w:autoSpaceDN w:val="0"/>
              <w:adjustRightInd w:val="0"/>
              <w:rPr>
                <w:color w:val="000000"/>
                <w:szCs w:val="16"/>
              </w:rPr>
            </w:pPr>
            <w:r>
              <w:rPr>
                <w:color w:val="000000"/>
                <w:szCs w:val="16"/>
              </w:rPr>
              <w:t>Leadership of Change (QI 1.3)</w:t>
            </w:r>
          </w:p>
        </w:tc>
        <w:tc>
          <w:tcPr>
            <w:tcW w:w="2299" w:type="dxa"/>
            <w:tcBorders>
              <w:left w:val="single" w:sz="2" w:space="0" w:color="auto"/>
              <w:right w:val="single" w:sz="2" w:space="0" w:color="auto"/>
            </w:tcBorders>
          </w:tcPr>
          <w:p w14:paraId="26D0875E" w14:textId="07B6CB2E" w:rsidR="009537BE" w:rsidRPr="000C6DF3" w:rsidRDefault="008437B4" w:rsidP="00A504D1">
            <w:pPr>
              <w:autoSpaceDE w:val="0"/>
              <w:autoSpaceDN w:val="0"/>
              <w:adjustRightInd w:val="0"/>
              <w:rPr>
                <w:color w:val="000000"/>
                <w:szCs w:val="16"/>
              </w:rPr>
            </w:pPr>
            <w:r>
              <w:rPr>
                <w:color w:val="000000"/>
                <w:szCs w:val="16"/>
              </w:rPr>
              <w:t>Very Good</w:t>
            </w:r>
          </w:p>
        </w:tc>
      </w:tr>
      <w:tr w:rsidR="009537BE" w:rsidRPr="00DC1797" w14:paraId="1F66260B" w14:textId="77777777" w:rsidTr="009537BE">
        <w:trPr>
          <w:trHeight w:val="237"/>
        </w:trPr>
        <w:tc>
          <w:tcPr>
            <w:tcW w:w="334" w:type="dxa"/>
            <w:vMerge/>
            <w:tcBorders>
              <w:left w:val="nil"/>
              <w:right w:val="single" w:sz="2" w:space="0" w:color="auto"/>
            </w:tcBorders>
            <w:shd w:val="clear" w:color="auto" w:fill="C5E0B3" w:themeFill="accent6" w:themeFillTint="66"/>
          </w:tcPr>
          <w:p w14:paraId="0CB85A19" w14:textId="77777777" w:rsidR="009537BE" w:rsidRPr="00DC1797" w:rsidRDefault="009537BE" w:rsidP="00A504D1">
            <w:pPr>
              <w:tabs>
                <w:tab w:val="left" w:pos="1600"/>
              </w:tabs>
              <w:rPr>
                <w:rFonts w:cs="Arial"/>
              </w:rPr>
            </w:pPr>
          </w:p>
        </w:tc>
        <w:tc>
          <w:tcPr>
            <w:tcW w:w="7463" w:type="dxa"/>
            <w:tcBorders>
              <w:left w:val="single" w:sz="2" w:space="0" w:color="auto"/>
              <w:right w:val="single" w:sz="2" w:space="0" w:color="auto"/>
            </w:tcBorders>
          </w:tcPr>
          <w:p w14:paraId="7146B1E2" w14:textId="47B23105" w:rsidR="009537BE" w:rsidRPr="000C6DF3" w:rsidRDefault="009537BE" w:rsidP="00A504D1">
            <w:pPr>
              <w:autoSpaceDE w:val="0"/>
              <w:autoSpaceDN w:val="0"/>
              <w:adjustRightInd w:val="0"/>
              <w:rPr>
                <w:color w:val="000000"/>
                <w:szCs w:val="16"/>
              </w:rPr>
            </w:pPr>
            <w:r>
              <w:rPr>
                <w:color w:val="000000"/>
                <w:szCs w:val="16"/>
              </w:rPr>
              <w:t>Learning Teaching and Assessment (</w:t>
            </w:r>
            <w:r w:rsidR="00AD408C">
              <w:rPr>
                <w:color w:val="000000"/>
                <w:szCs w:val="16"/>
              </w:rPr>
              <w:t xml:space="preserve">QI </w:t>
            </w:r>
            <w:r>
              <w:rPr>
                <w:color w:val="000000"/>
                <w:szCs w:val="16"/>
              </w:rPr>
              <w:t>2.3)</w:t>
            </w:r>
          </w:p>
        </w:tc>
        <w:tc>
          <w:tcPr>
            <w:tcW w:w="2299" w:type="dxa"/>
            <w:tcBorders>
              <w:left w:val="single" w:sz="2" w:space="0" w:color="auto"/>
              <w:right w:val="single" w:sz="2" w:space="0" w:color="auto"/>
            </w:tcBorders>
          </w:tcPr>
          <w:p w14:paraId="17652C6E" w14:textId="0ADC37B3" w:rsidR="009537BE" w:rsidRPr="000C6DF3" w:rsidRDefault="008437B4" w:rsidP="00A504D1">
            <w:pPr>
              <w:autoSpaceDE w:val="0"/>
              <w:autoSpaceDN w:val="0"/>
              <w:adjustRightInd w:val="0"/>
              <w:rPr>
                <w:color w:val="000000"/>
                <w:szCs w:val="16"/>
              </w:rPr>
            </w:pPr>
            <w:r>
              <w:rPr>
                <w:color w:val="000000"/>
                <w:szCs w:val="16"/>
              </w:rPr>
              <w:t>Very Good</w:t>
            </w:r>
          </w:p>
        </w:tc>
      </w:tr>
      <w:tr w:rsidR="009537BE" w:rsidRPr="00DC1797" w14:paraId="64F50630" w14:textId="77777777" w:rsidTr="009537BE">
        <w:trPr>
          <w:trHeight w:val="237"/>
        </w:trPr>
        <w:tc>
          <w:tcPr>
            <w:tcW w:w="334" w:type="dxa"/>
            <w:vMerge/>
            <w:tcBorders>
              <w:left w:val="nil"/>
              <w:right w:val="single" w:sz="2" w:space="0" w:color="auto"/>
            </w:tcBorders>
            <w:shd w:val="clear" w:color="auto" w:fill="C5E0B3" w:themeFill="accent6" w:themeFillTint="66"/>
          </w:tcPr>
          <w:p w14:paraId="2CCE42AC" w14:textId="77777777" w:rsidR="009537BE" w:rsidRPr="00DC1797" w:rsidRDefault="009537BE" w:rsidP="00A504D1">
            <w:pPr>
              <w:tabs>
                <w:tab w:val="left" w:pos="1600"/>
              </w:tabs>
              <w:rPr>
                <w:rFonts w:cs="Arial"/>
              </w:rPr>
            </w:pPr>
          </w:p>
        </w:tc>
        <w:tc>
          <w:tcPr>
            <w:tcW w:w="7463" w:type="dxa"/>
            <w:tcBorders>
              <w:left w:val="single" w:sz="2" w:space="0" w:color="auto"/>
              <w:right w:val="single" w:sz="2" w:space="0" w:color="auto"/>
            </w:tcBorders>
          </w:tcPr>
          <w:p w14:paraId="7011D4B2" w14:textId="592BA902" w:rsidR="009537BE" w:rsidRPr="000C6DF3" w:rsidRDefault="005A7E1F" w:rsidP="00A504D1">
            <w:pPr>
              <w:autoSpaceDE w:val="0"/>
              <w:autoSpaceDN w:val="0"/>
              <w:adjustRightInd w:val="0"/>
              <w:rPr>
                <w:color w:val="000000"/>
                <w:szCs w:val="16"/>
              </w:rPr>
            </w:pPr>
            <w:r>
              <w:rPr>
                <w:color w:val="000000"/>
                <w:szCs w:val="16"/>
              </w:rPr>
              <w:t>Ensuring Wellbeing Equality and Inclusion (</w:t>
            </w:r>
            <w:r w:rsidR="00AD408C">
              <w:rPr>
                <w:color w:val="000000"/>
                <w:szCs w:val="16"/>
              </w:rPr>
              <w:t xml:space="preserve">QI </w:t>
            </w:r>
            <w:r>
              <w:rPr>
                <w:color w:val="000000"/>
                <w:szCs w:val="16"/>
              </w:rPr>
              <w:t>3.1)</w:t>
            </w:r>
          </w:p>
        </w:tc>
        <w:tc>
          <w:tcPr>
            <w:tcW w:w="2299" w:type="dxa"/>
            <w:tcBorders>
              <w:left w:val="single" w:sz="2" w:space="0" w:color="auto"/>
              <w:right w:val="single" w:sz="2" w:space="0" w:color="auto"/>
            </w:tcBorders>
          </w:tcPr>
          <w:p w14:paraId="7FE08FAE" w14:textId="149BFC3D" w:rsidR="009537BE" w:rsidRPr="000C6DF3" w:rsidRDefault="008437B4" w:rsidP="00A504D1">
            <w:pPr>
              <w:autoSpaceDE w:val="0"/>
              <w:autoSpaceDN w:val="0"/>
              <w:adjustRightInd w:val="0"/>
              <w:rPr>
                <w:color w:val="000000"/>
                <w:szCs w:val="16"/>
              </w:rPr>
            </w:pPr>
            <w:r>
              <w:rPr>
                <w:color w:val="000000"/>
                <w:szCs w:val="16"/>
              </w:rPr>
              <w:t>Very Good</w:t>
            </w:r>
          </w:p>
        </w:tc>
      </w:tr>
      <w:tr w:rsidR="009537BE" w:rsidRPr="00DC1797" w14:paraId="73723B0F" w14:textId="77777777" w:rsidTr="009537BE">
        <w:trPr>
          <w:trHeight w:val="237"/>
        </w:trPr>
        <w:tc>
          <w:tcPr>
            <w:tcW w:w="334" w:type="dxa"/>
            <w:vMerge/>
            <w:tcBorders>
              <w:left w:val="nil"/>
              <w:right w:val="single" w:sz="2" w:space="0" w:color="auto"/>
            </w:tcBorders>
            <w:shd w:val="clear" w:color="auto" w:fill="C5E0B3" w:themeFill="accent6" w:themeFillTint="66"/>
          </w:tcPr>
          <w:p w14:paraId="26FB4292" w14:textId="77777777" w:rsidR="009537BE" w:rsidRPr="00DC1797" w:rsidRDefault="009537BE" w:rsidP="00A504D1">
            <w:pPr>
              <w:tabs>
                <w:tab w:val="left" w:pos="1600"/>
              </w:tabs>
              <w:rPr>
                <w:rFonts w:cs="Arial"/>
              </w:rPr>
            </w:pPr>
          </w:p>
        </w:tc>
        <w:tc>
          <w:tcPr>
            <w:tcW w:w="7463" w:type="dxa"/>
            <w:tcBorders>
              <w:left w:val="single" w:sz="2" w:space="0" w:color="auto"/>
              <w:right w:val="single" w:sz="2" w:space="0" w:color="auto"/>
            </w:tcBorders>
          </w:tcPr>
          <w:p w14:paraId="3F60DCB6" w14:textId="694B04FE" w:rsidR="009537BE" w:rsidRPr="000C6DF3" w:rsidRDefault="005A7E1F" w:rsidP="00A504D1">
            <w:pPr>
              <w:autoSpaceDE w:val="0"/>
              <w:autoSpaceDN w:val="0"/>
              <w:adjustRightInd w:val="0"/>
              <w:rPr>
                <w:color w:val="000000"/>
                <w:szCs w:val="16"/>
              </w:rPr>
            </w:pPr>
            <w:r>
              <w:rPr>
                <w:color w:val="000000"/>
                <w:szCs w:val="16"/>
              </w:rPr>
              <w:t>Raising Attainment and Achievement (</w:t>
            </w:r>
            <w:r w:rsidR="00AD408C">
              <w:rPr>
                <w:color w:val="000000"/>
                <w:szCs w:val="16"/>
              </w:rPr>
              <w:t xml:space="preserve">QI </w:t>
            </w:r>
            <w:r>
              <w:rPr>
                <w:color w:val="000000"/>
                <w:szCs w:val="16"/>
              </w:rPr>
              <w:t>3.2)</w:t>
            </w:r>
          </w:p>
        </w:tc>
        <w:tc>
          <w:tcPr>
            <w:tcW w:w="2299" w:type="dxa"/>
            <w:tcBorders>
              <w:left w:val="single" w:sz="2" w:space="0" w:color="auto"/>
              <w:right w:val="single" w:sz="2" w:space="0" w:color="auto"/>
            </w:tcBorders>
          </w:tcPr>
          <w:p w14:paraId="10359A6F" w14:textId="05519BC3" w:rsidR="009537BE" w:rsidRPr="000C6DF3" w:rsidRDefault="008437B4" w:rsidP="00A504D1">
            <w:pPr>
              <w:autoSpaceDE w:val="0"/>
              <w:autoSpaceDN w:val="0"/>
              <w:adjustRightInd w:val="0"/>
              <w:rPr>
                <w:color w:val="000000"/>
                <w:szCs w:val="16"/>
              </w:rPr>
            </w:pPr>
            <w:r>
              <w:rPr>
                <w:color w:val="000000"/>
                <w:szCs w:val="16"/>
              </w:rPr>
              <w:t>Good</w:t>
            </w:r>
          </w:p>
        </w:tc>
      </w:tr>
    </w:tbl>
    <w:p w14:paraId="312407EA" w14:textId="77777777" w:rsidR="00312B33" w:rsidRPr="00DC1797" w:rsidRDefault="00312B33">
      <w:pPr>
        <w:tabs>
          <w:tab w:val="left" w:pos="1600"/>
        </w:tabs>
        <w:rPr>
          <w:rFonts w:cs="Arial"/>
        </w:rPr>
      </w:pP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
        <w:gridCol w:w="9762"/>
      </w:tblGrid>
      <w:tr w:rsidR="000C6DF3" w:rsidRPr="00DC1797" w14:paraId="3C1DDCA3" w14:textId="77777777" w:rsidTr="007573D6">
        <w:tc>
          <w:tcPr>
            <w:tcW w:w="334" w:type="dxa"/>
            <w:vMerge w:val="restart"/>
            <w:tcBorders>
              <w:top w:val="nil"/>
              <w:left w:val="nil"/>
              <w:right w:val="single" w:sz="2" w:space="0" w:color="auto"/>
            </w:tcBorders>
            <w:shd w:val="clear" w:color="auto" w:fill="C5E0B3" w:themeFill="accent6" w:themeFillTint="66"/>
          </w:tcPr>
          <w:p w14:paraId="4E5073D3" w14:textId="77777777" w:rsidR="009C256B" w:rsidRPr="00DC1797" w:rsidRDefault="009C256B" w:rsidP="00312B33">
            <w:pPr>
              <w:tabs>
                <w:tab w:val="left" w:pos="1600"/>
              </w:tabs>
              <w:ind w:left="90" w:hanging="180"/>
              <w:rPr>
                <w:rFonts w:cs="Arial"/>
              </w:rPr>
            </w:pPr>
          </w:p>
          <w:p w14:paraId="7F783AFE" w14:textId="34E6FA6A" w:rsidR="009C256B" w:rsidRPr="00DC1797" w:rsidRDefault="009C256B" w:rsidP="004A61F6">
            <w:pPr>
              <w:tabs>
                <w:tab w:val="left" w:pos="1600"/>
              </w:tabs>
              <w:ind w:left="266" w:hanging="357"/>
              <w:jc w:val="center"/>
              <w:rPr>
                <w:rFonts w:ascii="Arial Bold" w:hAnsi="Arial Bold" w:cs="Arial"/>
                <w:b/>
                <w:sz w:val="40"/>
              </w:rPr>
            </w:pPr>
          </w:p>
          <w:p w14:paraId="427C1E34" w14:textId="77777777" w:rsidR="009C256B" w:rsidRPr="00DC1797" w:rsidRDefault="009C256B" w:rsidP="006418CC">
            <w:pPr>
              <w:tabs>
                <w:tab w:val="left" w:pos="1600"/>
              </w:tabs>
              <w:rPr>
                <w:rFonts w:cs="Arial"/>
              </w:rPr>
            </w:pPr>
          </w:p>
        </w:tc>
        <w:tc>
          <w:tcPr>
            <w:tcW w:w="9762" w:type="dxa"/>
            <w:tcBorders>
              <w:left w:val="single" w:sz="2" w:space="0" w:color="auto"/>
              <w:bottom w:val="single" w:sz="2" w:space="0" w:color="auto"/>
              <w:right w:val="single" w:sz="2" w:space="0" w:color="auto"/>
            </w:tcBorders>
            <w:shd w:val="clear" w:color="auto" w:fill="C5E0B3" w:themeFill="accent6" w:themeFillTint="66"/>
          </w:tcPr>
          <w:p w14:paraId="2E9F9B84" w14:textId="6D059511" w:rsidR="009C256B" w:rsidRPr="00DC1797" w:rsidRDefault="00821AA4" w:rsidP="0077595A">
            <w:pPr>
              <w:tabs>
                <w:tab w:val="left" w:pos="1600"/>
              </w:tabs>
              <w:rPr>
                <w:rFonts w:cs="Arial"/>
                <w:b/>
              </w:rPr>
            </w:pPr>
            <w:r>
              <w:rPr>
                <w:rFonts w:cs="Arial"/>
                <w:b/>
              </w:rPr>
              <w:t xml:space="preserve">How </w:t>
            </w:r>
            <w:r w:rsidR="00D92600">
              <w:rPr>
                <w:rFonts w:cs="Arial"/>
                <w:b/>
              </w:rPr>
              <w:t>to find out more about our school</w:t>
            </w:r>
          </w:p>
        </w:tc>
      </w:tr>
      <w:tr w:rsidR="000C6DF3" w:rsidRPr="00DC1797" w14:paraId="6BF1F3B2" w14:textId="77777777" w:rsidTr="000C6DF3">
        <w:tc>
          <w:tcPr>
            <w:tcW w:w="334" w:type="dxa"/>
            <w:vMerge/>
            <w:tcBorders>
              <w:left w:val="nil"/>
              <w:bottom w:val="nil"/>
              <w:right w:val="single" w:sz="2" w:space="0" w:color="auto"/>
            </w:tcBorders>
            <w:shd w:val="clear" w:color="auto" w:fill="C0C0C0"/>
          </w:tcPr>
          <w:p w14:paraId="60A63034" w14:textId="77777777" w:rsidR="009C256B" w:rsidRPr="00DC1797" w:rsidRDefault="009C256B">
            <w:pPr>
              <w:tabs>
                <w:tab w:val="left" w:pos="1600"/>
              </w:tabs>
              <w:rPr>
                <w:rFonts w:cs="Arial"/>
              </w:rPr>
            </w:pPr>
          </w:p>
        </w:tc>
        <w:tc>
          <w:tcPr>
            <w:tcW w:w="9762" w:type="dxa"/>
            <w:tcBorders>
              <w:left w:val="single" w:sz="2" w:space="0" w:color="auto"/>
              <w:bottom w:val="single" w:sz="2" w:space="0" w:color="auto"/>
              <w:right w:val="single" w:sz="2" w:space="0" w:color="auto"/>
            </w:tcBorders>
          </w:tcPr>
          <w:p w14:paraId="19AF5C47" w14:textId="77777777" w:rsidR="00EE0A65" w:rsidRDefault="00EE0A65" w:rsidP="00F16CB4">
            <w:pPr>
              <w:autoSpaceDE w:val="0"/>
              <w:autoSpaceDN w:val="0"/>
              <w:adjustRightInd w:val="0"/>
              <w:rPr>
                <w:color w:val="000000"/>
                <w:szCs w:val="16"/>
              </w:rPr>
            </w:pPr>
          </w:p>
          <w:p w14:paraId="6B024105" w14:textId="54E96AB4" w:rsidR="000B281A" w:rsidRDefault="00D92600" w:rsidP="00F16CB4">
            <w:pPr>
              <w:autoSpaceDE w:val="0"/>
              <w:autoSpaceDN w:val="0"/>
              <w:adjustRightInd w:val="0"/>
              <w:rPr>
                <w:color w:val="000000"/>
                <w:szCs w:val="16"/>
              </w:rPr>
            </w:pPr>
            <w:r>
              <w:rPr>
                <w:color w:val="000000"/>
                <w:szCs w:val="16"/>
              </w:rPr>
              <w:t>C</w:t>
            </w:r>
            <w:r w:rsidR="00533B17">
              <w:rPr>
                <w:color w:val="000000"/>
                <w:szCs w:val="16"/>
              </w:rPr>
              <w:t>ontact us directly if you require furt</w:t>
            </w:r>
            <w:r w:rsidR="000B281A">
              <w:rPr>
                <w:color w:val="000000"/>
                <w:szCs w:val="16"/>
              </w:rPr>
              <w:t>her information</w:t>
            </w:r>
            <w:r>
              <w:rPr>
                <w:color w:val="000000"/>
                <w:szCs w:val="16"/>
              </w:rPr>
              <w:t xml:space="preserve"> about our school </w:t>
            </w:r>
            <w:r w:rsidR="000B281A">
              <w:rPr>
                <w:color w:val="000000"/>
                <w:szCs w:val="16"/>
              </w:rPr>
              <w:t xml:space="preserve">or if you wish </w:t>
            </w:r>
            <w:r w:rsidR="00533B17">
              <w:rPr>
                <w:color w:val="000000"/>
                <w:szCs w:val="16"/>
              </w:rPr>
              <w:t>to comment on th</w:t>
            </w:r>
            <w:r>
              <w:rPr>
                <w:color w:val="000000"/>
                <w:szCs w:val="16"/>
              </w:rPr>
              <w:t>is</w:t>
            </w:r>
            <w:r w:rsidR="00533B17">
              <w:rPr>
                <w:color w:val="000000"/>
                <w:szCs w:val="16"/>
              </w:rPr>
              <w:t xml:space="preserve"> report.</w:t>
            </w:r>
            <w:r w:rsidR="000B281A">
              <w:rPr>
                <w:color w:val="000000"/>
                <w:szCs w:val="16"/>
              </w:rPr>
              <w:t xml:space="preserve"> </w:t>
            </w:r>
          </w:p>
          <w:p w14:paraId="3CBCD49C" w14:textId="77777777" w:rsidR="005A7E1F" w:rsidRDefault="005A7E1F" w:rsidP="00F16CB4">
            <w:pPr>
              <w:autoSpaceDE w:val="0"/>
              <w:autoSpaceDN w:val="0"/>
              <w:adjustRightInd w:val="0"/>
              <w:rPr>
                <w:color w:val="000000"/>
                <w:szCs w:val="16"/>
              </w:rPr>
            </w:pPr>
          </w:p>
          <w:p w14:paraId="78D4E2C6" w14:textId="7D3CFB67" w:rsidR="00FA4B1A" w:rsidRDefault="00D92600" w:rsidP="00F16CB4">
            <w:pPr>
              <w:autoSpaceDE w:val="0"/>
              <w:autoSpaceDN w:val="0"/>
              <w:adjustRightInd w:val="0"/>
              <w:rPr>
                <w:color w:val="000000"/>
                <w:szCs w:val="16"/>
              </w:rPr>
            </w:pPr>
            <w:r>
              <w:rPr>
                <w:color w:val="000000"/>
                <w:szCs w:val="16"/>
              </w:rPr>
              <w:t xml:space="preserve">Our </w:t>
            </w:r>
            <w:r w:rsidR="000B281A">
              <w:rPr>
                <w:color w:val="000000"/>
                <w:szCs w:val="16"/>
              </w:rPr>
              <w:t>contact e-mail address is:</w:t>
            </w:r>
            <w:r w:rsidR="008437B4">
              <w:rPr>
                <w:color w:val="000000"/>
                <w:szCs w:val="16"/>
              </w:rPr>
              <w:t xml:space="preserve"> headteacher@mountflorida-pri.glasgow.sch.uk</w:t>
            </w:r>
          </w:p>
          <w:p w14:paraId="5085432B" w14:textId="1A0CC1F0" w:rsidR="00533B17" w:rsidRDefault="000B281A" w:rsidP="00F16CB4">
            <w:pPr>
              <w:autoSpaceDE w:val="0"/>
              <w:autoSpaceDN w:val="0"/>
              <w:adjustRightInd w:val="0"/>
              <w:rPr>
                <w:color w:val="000000"/>
                <w:szCs w:val="16"/>
              </w:rPr>
            </w:pPr>
            <w:r>
              <w:rPr>
                <w:color w:val="000000"/>
                <w:szCs w:val="16"/>
              </w:rPr>
              <w:t xml:space="preserve"> </w:t>
            </w:r>
          </w:p>
          <w:p w14:paraId="236EA742" w14:textId="0E3D544B" w:rsidR="00821AA4" w:rsidRDefault="00821AA4" w:rsidP="00F16CB4">
            <w:pPr>
              <w:autoSpaceDE w:val="0"/>
              <w:autoSpaceDN w:val="0"/>
              <w:adjustRightInd w:val="0"/>
              <w:rPr>
                <w:color w:val="000000"/>
                <w:szCs w:val="16"/>
              </w:rPr>
            </w:pPr>
            <w:r>
              <w:rPr>
                <w:color w:val="000000"/>
                <w:szCs w:val="16"/>
              </w:rPr>
              <w:t>Our telephone number is:</w:t>
            </w:r>
            <w:r w:rsidR="008437B4">
              <w:rPr>
                <w:color w:val="000000"/>
                <w:szCs w:val="16"/>
              </w:rPr>
              <w:t xml:space="preserve"> 0141 632 4455</w:t>
            </w:r>
          </w:p>
          <w:p w14:paraId="7678DF56" w14:textId="77777777" w:rsidR="00FA4B1A" w:rsidRDefault="00FA4B1A" w:rsidP="00F16CB4">
            <w:pPr>
              <w:autoSpaceDE w:val="0"/>
              <w:autoSpaceDN w:val="0"/>
              <w:adjustRightInd w:val="0"/>
              <w:rPr>
                <w:color w:val="000000"/>
                <w:szCs w:val="16"/>
              </w:rPr>
            </w:pPr>
          </w:p>
          <w:p w14:paraId="67135243" w14:textId="53270B53" w:rsidR="00821AA4" w:rsidRDefault="00821AA4" w:rsidP="00F16CB4">
            <w:pPr>
              <w:autoSpaceDE w:val="0"/>
              <w:autoSpaceDN w:val="0"/>
              <w:adjustRightInd w:val="0"/>
              <w:rPr>
                <w:color w:val="000000"/>
                <w:szCs w:val="16"/>
              </w:rPr>
            </w:pPr>
            <w:r>
              <w:rPr>
                <w:color w:val="000000"/>
                <w:szCs w:val="16"/>
              </w:rPr>
              <w:t>Our school address</w:t>
            </w:r>
            <w:r w:rsidR="0005632B">
              <w:rPr>
                <w:color w:val="000000"/>
                <w:szCs w:val="16"/>
              </w:rPr>
              <w:t xml:space="preserve"> is</w:t>
            </w:r>
            <w:r>
              <w:rPr>
                <w:color w:val="000000"/>
                <w:szCs w:val="16"/>
              </w:rPr>
              <w:t>:</w:t>
            </w:r>
            <w:r w:rsidR="008437B4">
              <w:rPr>
                <w:color w:val="000000"/>
                <w:szCs w:val="16"/>
              </w:rPr>
              <w:t xml:space="preserve"> 1127 Cathcart Road, Glasgow, G42 9HF</w:t>
            </w:r>
          </w:p>
          <w:p w14:paraId="161CED91" w14:textId="77777777" w:rsidR="00FA4B1A" w:rsidRDefault="00FA4B1A" w:rsidP="00F16CB4">
            <w:pPr>
              <w:autoSpaceDE w:val="0"/>
              <w:autoSpaceDN w:val="0"/>
              <w:adjustRightInd w:val="0"/>
              <w:rPr>
                <w:color w:val="000000"/>
                <w:szCs w:val="16"/>
              </w:rPr>
            </w:pPr>
          </w:p>
          <w:p w14:paraId="3ADFCE3B" w14:textId="5E10935E" w:rsidR="0097112B" w:rsidRDefault="00AE1493" w:rsidP="000C6DF3">
            <w:pPr>
              <w:autoSpaceDE w:val="0"/>
              <w:autoSpaceDN w:val="0"/>
              <w:adjustRightInd w:val="0"/>
              <w:rPr>
                <w:color w:val="000000"/>
                <w:szCs w:val="16"/>
              </w:rPr>
            </w:pPr>
            <w:r>
              <w:rPr>
                <w:color w:val="000000"/>
                <w:szCs w:val="16"/>
              </w:rPr>
              <w:t>Further information is also</w:t>
            </w:r>
            <w:r w:rsidR="008437B4">
              <w:rPr>
                <w:color w:val="000000"/>
                <w:szCs w:val="16"/>
              </w:rPr>
              <w:t xml:space="preserve"> available on our school website – </w:t>
            </w:r>
          </w:p>
          <w:p w14:paraId="21FB2D52" w14:textId="149701ED" w:rsidR="008437B4" w:rsidRDefault="008437B4" w:rsidP="000C6DF3">
            <w:pPr>
              <w:autoSpaceDE w:val="0"/>
              <w:autoSpaceDN w:val="0"/>
              <w:adjustRightInd w:val="0"/>
              <w:rPr>
                <w:color w:val="000000"/>
                <w:szCs w:val="16"/>
              </w:rPr>
            </w:pPr>
            <w:hyperlink r:id="rId9" w:history="1">
              <w:r w:rsidRPr="00FD395B">
                <w:rPr>
                  <w:rStyle w:val="Hyperlink"/>
                  <w:szCs w:val="16"/>
                </w:rPr>
                <w:t>https://blogs.glowscotland.org.uk/gc/mountfloridaprimaryschool/</w:t>
              </w:r>
            </w:hyperlink>
          </w:p>
          <w:p w14:paraId="1CA20AEB" w14:textId="77777777" w:rsidR="008437B4" w:rsidRDefault="008437B4" w:rsidP="000C6DF3">
            <w:pPr>
              <w:autoSpaceDE w:val="0"/>
              <w:autoSpaceDN w:val="0"/>
              <w:adjustRightInd w:val="0"/>
              <w:rPr>
                <w:color w:val="000000"/>
                <w:szCs w:val="16"/>
              </w:rPr>
            </w:pPr>
          </w:p>
          <w:p w14:paraId="4B11262A" w14:textId="697D310C" w:rsidR="0097112B" w:rsidRPr="000C6DF3" w:rsidRDefault="0097112B" w:rsidP="000C6DF3">
            <w:pPr>
              <w:autoSpaceDE w:val="0"/>
              <w:autoSpaceDN w:val="0"/>
              <w:adjustRightInd w:val="0"/>
              <w:rPr>
                <w:color w:val="000000"/>
                <w:szCs w:val="16"/>
              </w:rPr>
            </w:pPr>
          </w:p>
        </w:tc>
      </w:tr>
    </w:tbl>
    <w:p w14:paraId="5597C2A7" w14:textId="77777777" w:rsidR="00513DB2" w:rsidRPr="00DC1797" w:rsidRDefault="00513DB2" w:rsidP="007573D6">
      <w:pPr>
        <w:tabs>
          <w:tab w:val="left" w:pos="540"/>
          <w:tab w:val="left" w:pos="5400"/>
        </w:tabs>
        <w:rPr>
          <w:rFonts w:cs="Arial"/>
        </w:rPr>
      </w:pPr>
    </w:p>
    <w:sectPr w:rsidR="00513DB2" w:rsidRPr="00DC1797" w:rsidSect="002B6B42">
      <w:headerReference w:type="default" r:id="rId10"/>
      <w:pgSz w:w="11909" w:h="16834" w:code="9"/>
      <w:pgMar w:top="720" w:right="720" w:bottom="720" w:left="720" w:header="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455E7" w14:textId="77777777" w:rsidR="00012C1F" w:rsidRDefault="00012C1F">
      <w:r>
        <w:separator/>
      </w:r>
    </w:p>
  </w:endnote>
  <w:endnote w:type="continuationSeparator" w:id="0">
    <w:p w14:paraId="52937044" w14:textId="77777777" w:rsidR="00012C1F" w:rsidRDefault="00012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66B61" w14:textId="77777777" w:rsidR="00012C1F" w:rsidRDefault="00012C1F">
      <w:r>
        <w:separator/>
      </w:r>
    </w:p>
  </w:footnote>
  <w:footnote w:type="continuationSeparator" w:id="0">
    <w:p w14:paraId="120D6DC5" w14:textId="77777777" w:rsidR="00012C1F" w:rsidRDefault="00012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0B89A" w14:textId="1693AC4C" w:rsidR="002B6B42" w:rsidRDefault="002B6B42">
    <w:pPr>
      <w:pStyle w:val="Header"/>
    </w:pPr>
    <w:r w:rsidRPr="006F5F7E">
      <w:rPr>
        <w:rFonts w:asciiTheme="majorHAnsi" w:eastAsia="MS Mincho" w:hAnsiTheme="majorHAnsi"/>
        <w:b/>
        <w:bCs/>
        <w:noProof/>
        <w:sz w:val="28"/>
        <w:szCs w:val="28"/>
        <w:lang w:val="en-US"/>
      </w:rPr>
      <w:drawing>
        <wp:anchor distT="0" distB="0" distL="114300" distR="114300" simplePos="0" relativeHeight="251661312" behindDoc="1" locked="0" layoutInCell="1" allowOverlap="1" wp14:anchorId="6B670CCE" wp14:editId="1CEEC1F6">
          <wp:simplePos x="0" y="0"/>
          <wp:positionH relativeFrom="column">
            <wp:posOffset>6092190</wp:posOffset>
          </wp:positionH>
          <wp:positionV relativeFrom="paragraph">
            <wp:posOffset>31750</wp:posOffset>
          </wp:positionV>
          <wp:extent cx="941070" cy="939800"/>
          <wp:effectExtent l="0" t="0" r="0" b="0"/>
          <wp:wrapTight wrapText="bothSides">
            <wp:wrapPolygon edited="0">
              <wp:start x="0" y="0"/>
              <wp:lineTo x="0" y="21016"/>
              <wp:lineTo x="20988" y="21016"/>
              <wp:lineTo x="20988" y="0"/>
              <wp:lineTo x="0" y="0"/>
            </wp:wrapPolygon>
          </wp:wrapTight>
          <wp:docPr id="7" name="Picture 7" descr="A diagram of a diagram of a learning proces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diagram of a diagram of a learning process&#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1070" cy="939800"/>
                  </a:xfrm>
                  <a:prstGeom prst="rect">
                    <a:avLst/>
                  </a:prstGeom>
                </pic:spPr>
              </pic:pic>
            </a:graphicData>
          </a:graphic>
          <wp14:sizeRelH relativeFrom="margin">
            <wp14:pctWidth>0</wp14:pctWidth>
          </wp14:sizeRelH>
          <wp14:sizeRelV relativeFrom="margin">
            <wp14:pctHeight>0</wp14:pctHeight>
          </wp14:sizeRelV>
        </wp:anchor>
      </w:drawing>
    </w:r>
    <w:r w:rsidRPr="006F5F7E">
      <w:rPr>
        <w:b/>
        <w:bCs/>
        <w:noProof/>
        <w:sz w:val="28"/>
        <w:szCs w:val="28"/>
      </w:rPr>
      <w:drawing>
        <wp:anchor distT="0" distB="0" distL="114300" distR="114300" simplePos="0" relativeHeight="251659264" behindDoc="1" locked="0" layoutInCell="1" allowOverlap="1" wp14:anchorId="50A0FA52" wp14:editId="7DA77BAC">
          <wp:simplePos x="0" y="0"/>
          <wp:positionH relativeFrom="page">
            <wp:posOffset>114300</wp:posOffset>
          </wp:positionH>
          <wp:positionV relativeFrom="paragraph">
            <wp:posOffset>114300</wp:posOffset>
          </wp:positionV>
          <wp:extent cx="462915" cy="592455"/>
          <wp:effectExtent l="304800" t="304800" r="318135" b="321945"/>
          <wp:wrapThrough wrapText="bothSides">
            <wp:wrapPolygon edited="0">
              <wp:start x="-889" y="-11113"/>
              <wp:lineTo x="-14222" y="-9723"/>
              <wp:lineTo x="-14222" y="24309"/>
              <wp:lineTo x="-1778" y="31254"/>
              <wp:lineTo x="-889" y="32643"/>
              <wp:lineTo x="16889" y="32643"/>
              <wp:lineTo x="17778" y="31254"/>
              <wp:lineTo x="32889" y="24309"/>
              <wp:lineTo x="35556" y="12502"/>
              <wp:lineTo x="35556" y="1389"/>
              <wp:lineTo x="26667" y="-9029"/>
              <wp:lineTo x="25778" y="-11113"/>
              <wp:lineTo x="-889" y="-11113"/>
            </wp:wrapPolygon>
          </wp:wrapThrough>
          <wp:docPr id="11" name="Picture 10">
            <a:extLst xmlns:a="http://schemas.openxmlformats.org/drawingml/2006/main">
              <a:ext uri="{FF2B5EF4-FFF2-40B4-BE49-F238E27FC236}">
                <a16:creationId xmlns:a16="http://schemas.microsoft.com/office/drawing/2014/main" id="{3E9F9368-89B6-4BBE-B540-121E6C74D6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3E9F9368-89B6-4BBE-B540-121E6C74D6A4}"/>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462915" cy="59245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7077"/>
    <w:multiLevelType w:val="hybridMultilevel"/>
    <w:tmpl w:val="C846AB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D67F06"/>
    <w:multiLevelType w:val="hybridMultilevel"/>
    <w:tmpl w:val="84CC0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32D30"/>
    <w:multiLevelType w:val="hybridMultilevel"/>
    <w:tmpl w:val="6E7E4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A37D2C"/>
    <w:multiLevelType w:val="hybridMultilevel"/>
    <w:tmpl w:val="014AF5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FE42D3"/>
    <w:multiLevelType w:val="hybridMultilevel"/>
    <w:tmpl w:val="982421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536374"/>
    <w:multiLevelType w:val="hybridMultilevel"/>
    <w:tmpl w:val="37AAD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DF4F84"/>
    <w:multiLevelType w:val="hybridMultilevel"/>
    <w:tmpl w:val="764EFC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8C2F43"/>
    <w:multiLevelType w:val="hybridMultilevel"/>
    <w:tmpl w:val="BCCC96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B76293"/>
    <w:multiLevelType w:val="hybridMultilevel"/>
    <w:tmpl w:val="92BCE36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58536BF"/>
    <w:multiLevelType w:val="hybridMultilevel"/>
    <w:tmpl w:val="F6305A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6B7B26"/>
    <w:multiLevelType w:val="hybridMultilevel"/>
    <w:tmpl w:val="4A9E22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2961CF"/>
    <w:multiLevelType w:val="hybridMultilevel"/>
    <w:tmpl w:val="0B8E91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422DAC"/>
    <w:multiLevelType w:val="hybridMultilevel"/>
    <w:tmpl w:val="CB2CF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C67743"/>
    <w:multiLevelType w:val="hybridMultilevel"/>
    <w:tmpl w:val="2A3CC1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C2486E"/>
    <w:multiLevelType w:val="hybridMultilevel"/>
    <w:tmpl w:val="C45CA7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9736DB"/>
    <w:multiLevelType w:val="hybridMultilevel"/>
    <w:tmpl w:val="39D656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54289678">
    <w:abstractNumId w:val="8"/>
  </w:num>
  <w:num w:numId="2" w16cid:durableId="1904099407">
    <w:abstractNumId w:val="3"/>
  </w:num>
  <w:num w:numId="3" w16cid:durableId="1305162122">
    <w:abstractNumId w:val="11"/>
  </w:num>
  <w:num w:numId="4" w16cid:durableId="180290653">
    <w:abstractNumId w:val="6"/>
  </w:num>
  <w:num w:numId="5" w16cid:durableId="1573269589">
    <w:abstractNumId w:val="15"/>
  </w:num>
  <w:num w:numId="6" w16cid:durableId="1543009378">
    <w:abstractNumId w:val="7"/>
  </w:num>
  <w:num w:numId="7" w16cid:durableId="2113822149">
    <w:abstractNumId w:val="14"/>
  </w:num>
  <w:num w:numId="8" w16cid:durableId="1784304844">
    <w:abstractNumId w:val="0"/>
  </w:num>
  <w:num w:numId="9" w16cid:durableId="205337284">
    <w:abstractNumId w:val="10"/>
  </w:num>
  <w:num w:numId="10" w16cid:durableId="1558006231">
    <w:abstractNumId w:val="4"/>
  </w:num>
  <w:num w:numId="11" w16cid:durableId="479808844">
    <w:abstractNumId w:val="13"/>
  </w:num>
  <w:num w:numId="12" w16cid:durableId="1297831256">
    <w:abstractNumId w:val="9"/>
  </w:num>
  <w:num w:numId="13" w16cid:durableId="1161431918">
    <w:abstractNumId w:val="2"/>
  </w:num>
  <w:num w:numId="14" w16cid:durableId="24331923">
    <w:abstractNumId w:val="12"/>
  </w:num>
  <w:num w:numId="15" w16cid:durableId="777025160">
    <w:abstractNumId w:val="5"/>
  </w:num>
  <w:num w:numId="16" w16cid:durableId="1921598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2F3"/>
    <w:rsid w:val="00012C1F"/>
    <w:rsid w:val="000223ED"/>
    <w:rsid w:val="00040B23"/>
    <w:rsid w:val="000420D3"/>
    <w:rsid w:val="0005632B"/>
    <w:rsid w:val="0006006A"/>
    <w:rsid w:val="00073190"/>
    <w:rsid w:val="00080C2A"/>
    <w:rsid w:val="00083EC4"/>
    <w:rsid w:val="0009784E"/>
    <w:rsid w:val="00097858"/>
    <w:rsid w:val="000A1549"/>
    <w:rsid w:val="000B281A"/>
    <w:rsid w:val="000C6DF3"/>
    <w:rsid w:val="00105F08"/>
    <w:rsid w:val="00112BE6"/>
    <w:rsid w:val="00153301"/>
    <w:rsid w:val="001D0768"/>
    <w:rsid w:val="00227391"/>
    <w:rsid w:val="002640F3"/>
    <w:rsid w:val="002B013B"/>
    <w:rsid w:val="002B6B42"/>
    <w:rsid w:val="002C110E"/>
    <w:rsid w:val="002C375E"/>
    <w:rsid w:val="002D1CD7"/>
    <w:rsid w:val="002E7BF1"/>
    <w:rsid w:val="002F7513"/>
    <w:rsid w:val="00304332"/>
    <w:rsid w:val="00312B33"/>
    <w:rsid w:val="00320C74"/>
    <w:rsid w:val="003257CB"/>
    <w:rsid w:val="00326EB2"/>
    <w:rsid w:val="00351D61"/>
    <w:rsid w:val="00377DF2"/>
    <w:rsid w:val="003806D6"/>
    <w:rsid w:val="003810FE"/>
    <w:rsid w:val="003F097A"/>
    <w:rsid w:val="0043211C"/>
    <w:rsid w:val="004532F8"/>
    <w:rsid w:val="004678FF"/>
    <w:rsid w:val="004902CE"/>
    <w:rsid w:val="004A0242"/>
    <w:rsid w:val="004A61F6"/>
    <w:rsid w:val="004B62F3"/>
    <w:rsid w:val="004C387E"/>
    <w:rsid w:val="004F6C7A"/>
    <w:rsid w:val="0051174C"/>
    <w:rsid w:val="00513DB2"/>
    <w:rsid w:val="00515F1F"/>
    <w:rsid w:val="00531D46"/>
    <w:rsid w:val="00533B17"/>
    <w:rsid w:val="00567786"/>
    <w:rsid w:val="005730C9"/>
    <w:rsid w:val="00575FBB"/>
    <w:rsid w:val="005878F4"/>
    <w:rsid w:val="005A5B41"/>
    <w:rsid w:val="005A6CBC"/>
    <w:rsid w:val="005A7E1F"/>
    <w:rsid w:val="005B0BDD"/>
    <w:rsid w:val="005D36D5"/>
    <w:rsid w:val="005E04F0"/>
    <w:rsid w:val="005E64F0"/>
    <w:rsid w:val="005E6C1E"/>
    <w:rsid w:val="005F684C"/>
    <w:rsid w:val="005F7D9A"/>
    <w:rsid w:val="006312A7"/>
    <w:rsid w:val="006418CC"/>
    <w:rsid w:val="006674C4"/>
    <w:rsid w:val="00667956"/>
    <w:rsid w:val="006830F5"/>
    <w:rsid w:val="006951CE"/>
    <w:rsid w:val="006A637C"/>
    <w:rsid w:val="006D7EB3"/>
    <w:rsid w:val="006F28E6"/>
    <w:rsid w:val="006F5F7E"/>
    <w:rsid w:val="00707E7D"/>
    <w:rsid w:val="00714AC2"/>
    <w:rsid w:val="007359F0"/>
    <w:rsid w:val="007573D6"/>
    <w:rsid w:val="0077595A"/>
    <w:rsid w:val="00777B73"/>
    <w:rsid w:val="00780F87"/>
    <w:rsid w:val="007A2F8B"/>
    <w:rsid w:val="007A3158"/>
    <w:rsid w:val="007B413E"/>
    <w:rsid w:val="007C4902"/>
    <w:rsid w:val="00811CCB"/>
    <w:rsid w:val="0081386F"/>
    <w:rsid w:val="00821AA4"/>
    <w:rsid w:val="00827F86"/>
    <w:rsid w:val="00832518"/>
    <w:rsid w:val="008437B4"/>
    <w:rsid w:val="00897D1B"/>
    <w:rsid w:val="008C1689"/>
    <w:rsid w:val="008C2F09"/>
    <w:rsid w:val="008C3AE7"/>
    <w:rsid w:val="008C7468"/>
    <w:rsid w:val="00911B92"/>
    <w:rsid w:val="00914851"/>
    <w:rsid w:val="00914D4C"/>
    <w:rsid w:val="00917B52"/>
    <w:rsid w:val="0092470D"/>
    <w:rsid w:val="00940098"/>
    <w:rsid w:val="00951A19"/>
    <w:rsid w:val="009537BE"/>
    <w:rsid w:val="00963FFD"/>
    <w:rsid w:val="00967084"/>
    <w:rsid w:val="0097112B"/>
    <w:rsid w:val="0097181F"/>
    <w:rsid w:val="009909A4"/>
    <w:rsid w:val="00992110"/>
    <w:rsid w:val="009958F5"/>
    <w:rsid w:val="009C256B"/>
    <w:rsid w:val="009C6C41"/>
    <w:rsid w:val="009F0B92"/>
    <w:rsid w:val="00A745CD"/>
    <w:rsid w:val="00A84C97"/>
    <w:rsid w:val="00A963C4"/>
    <w:rsid w:val="00A966F7"/>
    <w:rsid w:val="00AB5D35"/>
    <w:rsid w:val="00AD408C"/>
    <w:rsid w:val="00AD6C87"/>
    <w:rsid w:val="00AE1493"/>
    <w:rsid w:val="00AE1890"/>
    <w:rsid w:val="00B8505F"/>
    <w:rsid w:val="00BA530F"/>
    <w:rsid w:val="00BC7A2B"/>
    <w:rsid w:val="00C04E02"/>
    <w:rsid w:val="00C651C5"/>
    <w:rsid w:val="00C85E14"/>
    <w:rsid w:val="00CA0329"/>
    <w:rsid w:val="00CA2979"/>
    <w:rsid w:val="00CB48DC"/>
    <w:rsid w:val="00CC697C"/>
    <w:rsid w:val="00CD359B"/>
    <w:rsid w:val="00CD643C"/>
    <w:rsid w:val="00D46FE9"/>
    <w:rsid w:val="00D54E4A"/>
    <w:rsid w:val="00D64238"/>
    <w:rsid w:val="00D647AF"/>
    <w:rsid w:val="00D66782"/>
    <w:rsid w:val="00D837D7"/>
    <w:rsid w:val="00D92600"/>
    <w:rsid w:val="00D94C57"/>
    <w:rsid w:val="00DA4051"/>
    <w:rsid w:val="00DC1797"/>
    <w:rsid w:val="00DC21A3"/>
    <w:rsid w:val="00DC2E99"/>
    <w:rsid w:val="00DF6E6B"/>
    <w:rsid w:val="00E05DF7"/>
    <w:rsid w:val="00E158DD"/>
    <w:rsid w:val="00E1723A"/>
    <w:rsid w:val="00E2125B"/>
    <w:rsid w:val="00E2247C"/>
    <w:rsid w:val="00E25D11"/>
    <w:rsid w:val="00E31275"/>
    <w:rsid w:val="00E92E94"/>
    <w:rsid w:val="00EC2D76"/>
    <w:rsid w:val="00EE0A65"/>
    <w:rsid w:val="00EE5EEE"/>
    <w:rsid w:val="00EE600B"/>
    <w:rsid w:val="00EF4CD5"/>
    <w:rsid w:val="00EF5A37"/>
    <w:rsid w:val="00F04524"/>
    <w:rsid w:val="00F16CB4"/>
    <w:rsid w:val="00F322D9"/>
    <w:rsid w:val="00F3680E"/>
    <w:rsid w:val="00F46804"/>
    <w:rsid w:val="00F62B3F"/>
    <w:rsid w:val="00F77357"/>
    <w:rsid w:val="00FA17C4"/>
    <w:rsid w:val="00FA496D"/>
    <w:rsid w:val="00FA4B1A"/>
    <w:rsid w:val="00FA7774"/>
    <w:rsid w:val="00FD38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EC22E88"/>
  <w15:docId w15:val="{72802260-BECA-43AC-9605-03EEE996E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63C4"/>
    <w:rPr>
      <w:rFonts w:ascii="Arial" w:hAnsi="Arial"/>
      <w:lang w:eastAsia="en-US"/>
    </w:rPr>
  </w:style>
  <w:style w:type="paragraph" w:styleId="Heading1">
    <w:name w:val="heading 1"/>
    <w:basedOn w:val="Normal"/>
    <w:next w:val="Normal"/>
    <w:qFormat/>
    <w:pPr>
      <w:keepNext/>
      <w:spacing w:before="240" w:after="60"/>
      <w:outlineLvl w:val="0"/>
    </w:pPr>
    <w:rPr>
      <w:b/>
      <w:kern w:val="32"/>
      <w:sz w:val="32"/>
      <w:szCs w:val="32"/>
    </w:rPr>
  </w:style>
  <w:style w:type="paragraph" w:styleId="Heading2">
    <w:name w:val="heading 2"/>
    <w:basedOn w:val="Normal"/>
    <w:next w:val="Normal"/>
    <w:qFormat/>
    <w:rsid w:val="008C2F09"/>
    <w:pPr>
      <w:keepNext/>
      <w:spacing w:before="240" w:after="60"/>
      <w:outlineLvl w:val="1"/>
    </w:pPr>
    <w:rPr>
      <w:rFonts w:cs="Arial"/>
      <w:b/>
      <w:bCs/>
      <w:i/>
      <w:iCs/>
      <w:sz w:val="28"/>
      <w:szCs w:val="28"/>
    </w:rPr>
  </w:style>
  <w:style w:type="paragraph" w:styleId="Heading3">
    <w:name w:val="heading 3"/>
    <w:basedOn w:val="Normal"/>
    <w:next w:val="Normal"/>
    <w:qFormat/>
    <w:rsid w:val="008C2F09"/>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600"/>
      </w:tabs>
    </w:pPr>
    <w:rPr>
      <w:color w:val="FF0000"/>
    </w:rPr>
  </w:style>
  <w:style w:type="table" w:styleId="TableGrid">
    <w:name w:val="Table Grid"/>
    <w:basedOn w:val="TableNormal"/>
    <w:rsid w:val="00011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27F86"/>
    <w:rPr>
      <w:rFonts w:ascii="Segoe UI" w:hAnsi="Segoe UI" w:cs="Segoe UI"/>
      <w:sz w:val="18"/>
      <w:szCs w:val="18"/>
    </w:rPr>
  </w:style>
  <w:style w:type="character" w:customStyle="1" w:styleId="BalloonTextChar">
    <w:name w:val="Balloon Text Char"/>
    <w:basedOn w:val="DefaultParagraphFont"/>
    <w:link w:val="BalloonText"/>
    <w:rsid w:val="00827F86"/>
    <w:rPr>
      <w:rFonts w:ascii="Segoe UI" w:hAnsi="Segoe UI" w:cs="Segoe UI"/>
      <w:sz w:val="18"/>
      <w:szCs w:val="18"/>
      <w:lang w:eastAsia="en-US"/>
    </w:rPr>
  </w:style>
  <w:style w:type="character" w:customStyle="1" w:styleId="HeaderChar">
    <w:name w:val="Header Char"/>
    <w:basedOn w:val="DefaultParagraphFont"/>
    <w:link w:val="Header"/>
    <w:uiPriority w:val="99"/>
    <w:rsid w:val="002B6B42"/>
    <w:rPr>
      <w:rFonts w:ascii="Arial" w:hAnsi="Arial"/>
      <w:lang w:eastAsia="en-US"/>
    </w:rPr>
  </w:style>
  <w:style w:type="character" w:styleId="Hyperlink">
    <w:name w:val="Hyperlink"/>
    <w:basedOn w:val="DefaultParagraphFont"/>
    <w:rsid w:val="008437B4"/>
    <w:rPr>
      <w:color w:val="0563C1" w:themeColor="hyperlink"/>
      <w:u w:val="single"/>
    </w:rPr>
  </w:style>
  <w:style w:type="character" w:styleId="UnresolvedMention">
    <w:name w:val="Unresolved Mention"/>
    <w:basedOn w:val="DefaultParagraphFont"/>
    <w:uiPriority w:val="99"/>
    <w:semiHidden/>
    <w:unhideWhenUsed/>
    <w:rsid w:val="008437B4"/>
    <w:rPr>
      <w:color w:val="605E5C"/>
      <w:shd w:val="clear" w:color="auto" w:fill="E1DFDD"/>
    </w:rPr>
  </w:style>
  <w:style w:type="paragraph" w:styleId="NoSpacing">
    <w:name w:val="No Spacing"/>
    <w:uiPriority w:val="1"/>
    <w:qFormat/>
    <w:rsid w:val="00E158D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996041">
      <w:bodyDiv w:val="1"/>
      <w:marLeft w:val="0"/>
      <w:marRight w:val="0"/>
      <w:marTop w:val="0"/>
      <w:marBottom w:val="0"/>
      <w:divBdr>
        <w:top w:val="none" w:sz="0" w:space="0" w:color="auto"/>
        <w:left w:val="none" w:sz="0" w:space="0" w:color="auto"/>
        <w:bottom w:val="none" w:sz="0" w:space="0" w:color="auto"/>
        <w:right w:val="none" w:sz="0" w:space="0" w:color="auto"/>
      </w:divBdr>
    </w:div>
    <w:div w:id="627781804">
      <w:bodyDiv w:val="1"/>
      <w:marLeft w:val="0"/>
      <w:marRight w:val="0"/>
      <w:marTop w:val="0"/>
      <w:marBottom w:val="300"/>
      <w:divBdr>
        <w:top w:val="none" w:sz="0" w:space="0" w:color="auto"/>
        <w:left w:val="none" w:sz="0" w:space="0" w:color="auto"/>
        <w:bottom w:val="none" w:sz="0" w:space="0" w:color="auto"/>
        <w:right w:val="none" w:sz="0" w:space="0" w:color="auto"/>
      </w:divBdr>
      <w:divsChild>
        <w:div w:id="462887915">
          <w:marLeft w:val="0"/>
          <w:marRight w:val="0"/>
          <w:marTop w:val="0"/>
          <w:marBottom w:val="330"/>
          <w:divBdr>
            <w:top w:val="none" w:sz="0" w:space="0" w:color="auto"/>
            <w:left w:val="none" w:sz="0" w:space="0" w:color="auto"/>
            <w:bottom w:val="none" w:sz="0" w:space="0" w:color="auto"/>
            <w:right w:val="none" w:sz="0" w:space="0" w:color="auto"/>
          </w:divBdr>
          <w:divsChild>
            <w:div w:id="1288655975">
              <w:marLeft w:val="0"/>
              <w:marRight w:val="0"/>
              <w:marTop w:val="0"/>
              <w:marBottom w:val="0"/>
              <w:divBdr>
                <w:top w:val="none" w:sz="0" w:space="0" w:color="auto"/>
                <w:left w:val="none" w:sz="0" w:space="0" w:color="auto"/>
                <w:bottom w:val="none" w:sz="0" w:space="0" w:color="auto"/>
                <w:right w:val="none" w:sz="0" w:space="0" w:color="auto"/>
              </w:divBdr>
              <w:divsChild>
                <w:div w:id="125875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blogs.glowscotland.org.uk/gc/mountfloridaprimaryschoo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08955827-aeb1-42de-b749-f604362c41c2" origin="userSelected">
  <element uid="de190743-cbc9-4414-8778-0e0b8638ef61" value=""/>
  <element uid="e3747532-42d1-43b9-8ba8-1bf45779edd5" value=""/>
</sisl>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D3CD525-C2FC-4069-BB37-586ECE172D8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0372858-5CCA-48BE-A6DC-AB40AFFD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1289</Words>
  <Characters>7313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Glasgow City Council</Company>
  <LinksUpToDate>false</LinksUpToDate>
  <CharactersWithSpaces>8585</CharactersWithSpaces>
  <SharedDoc>false</SharedDoc>
  <HLinks>
    <vt:vector size="6" baseType="variant">
      <vt:variant>
        <vt:i4>1048651</vt:i4>
      </vt:variant>
      <vt:variant>
        <vt:i4>2050</vt:i4>
      </vt:variant>
      <vt:variant>
        <vt:i4>1025</vt:i4>
      </vt:variant>
      <vt:variant>
        <vt:i4>1</vt:i4>
      </vt:variant>
      <vt:variant>
        <vt:lpwstr>landscapeA4Cover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French</dc:creator>
  <cp:keywords>[NOT OFFICIAL]</cp:keywords>
  <cp:lastModifiedBy>Miss Gibson</cp:lastModifiedBy>
  <cp:revision>5</cp:revision>
  <cp:lastPrinted>2025-10-02T16:38:00Z</cp:lastPrinted>
  <dcterms:created xsi:type="dcterms:W3CDTF">2025-09-18T10:57:00Z</dcterms:created>
  <dcterms:modified xsi:type="dcterms:W3CDTF">2025-10-02T16:46:00Z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41db8c96-413f-45ed-9831-f48578f16522</vt:lpwstr>
  </property>
  <property fmtid="{D5CDD505-2E9C-101B-9397-08002B2CF9AE}" pid="3" name="bjSaver">
    <vt:lpwstr>Jb3FdfB6ZQt5iv5VR6ECq6QNiq/Vg2XT</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uid="de190743-cbc9-4414-8778-0e0b8638ef61" value="" /&gt;&lt;element uid="e3747532-42d1-43b9-8ba8-1bf45779edd5" value="" /&gt;&lt;/sisl&gt;</vt:lpwstr>
  </property>
  <property fmtid="{D5CDD505-2E9C-101B-9397-08002B2CF9AE}" pid="6" name="bjDocumentSecurityLabel">
    <vt:lpwstr>NOT OFFICIAL</vt:lpwstr>
  </property>
  <property fmtid="{D5CDD505-2E9C-101B-9397-08002B2CF9AE}" pid="7" name="gcc-meta-protectivemarking">
    <vt:lpwstr>[NOT OFFICIAL]</vt:lpwstr>
  </property>
</Properties>
</file>