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9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4"/>
        <w:gridCol w:w="2994"/>
        <w:gridCol w:w="2992"/>
      </w:tblGrid>
      <w:tr w:rsidR="0080669D" w:rsidRPr="008E61BA" w:rsidTr="00D1502F">
        <w:trPr>
          <w:trHeight w:val="468"/>
        </w:trPr>
        <w:tc>
          <w:tcPr>
            <w:tcW w:w="1667" w:type="pct"/>
          </w:tcPr>
          <w:p w:rsidR="0080669D" w:rsidRPr="001F2957" w:rsidRDefault="0080669D" w:rsidP="008E61BA">
            <w:pPr>
              <w:jc w:val="center"/>
              <w:rPr>
                <w:sz w:val="28"/>
                <w:szCs w:val="28"/>
              </w:rPr>
            </w:pPr>
            <w:r w:rsidRPr="001F2957">
              <w:rPr>
                <w:sz w:val="28"/>
                <w:szCs w:val="28"/>
              </w:rPr>
              <w:t>Name of the Game</w:t>
            </w:r>
          </w:p>
        </w:tc>
        <w:tc>
          <w:tcPr>
            <w:tcW w:w="1667" w:type="pct"/>
          </w:tcPr>
          <w:p w:rsidR="0080669D" w:rsidRPr="001F2957" w:rsidRDefault="0080669D" w:rsidP="008E61BA">
            <w:pPr>
              <w:jc w:val="center"/>
              <w:rPr>
                <w:sz w:val="28"/>
                <w:szCs w:val="28"/>
              </w:rPr>
            </w:pPr>
            <w:r w:rsidRPr="001F2957">
              <w:rPr>
                <w:sz w:val="28"/>
                <w:szCs w:val="28"/>
              </w:rPr>
              <w:t>How it Works</w:t>
            </w:r>
          </w:p>
        </w:tc>
        <w:tc>
          <w:tcPr>
            <w:tcW w:w="1666" w:type="pct"/>
          </w:tcPr>
          <w:p w:rsidR="0080669D" w:rsidRPr="001F2957" w:rsidRDefault="0080669D" w:rsidP="008E61BA">
            <w:pPr>
              <w:jc w:val="center"/>
              <w:rPr>
                <w:sz w:val="28"/>
                <w:szCs w:val="28"/>
              </w:rPr>
            </w:pPr>
            <w:r w:rsidRPr="001F2957">
              <w:rPr>
                <w:sz w:val="28"/>
                <w:szCs w:val="28"/>
              </w:rPr>
              <w:t>Language Links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Pictionary and Pictionary Air</w:t>
            </w:r>
          </w:p>
        </w:tc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Pick a card, read it and draw what it says on it for the rest of your team to guess.</w:t>
            </w:r>
          </w:p>
        </w:tc>
        <w:tc>
          <w:tcPr>
            <w:tcW w:w="1666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 xml:space="preserve">Respite from using English, Use Language 1 and </w:t>
            </w:r>
            <w:r w:rsidR="00005F8B" w:rsidRPr="008E61BA">
              <w:rPr>
                <w:sz w:val="20"/>
                <w:szCs w:val="20"/>
              </w:rPr>
              <w:t>nonverbal</w:t>
            </w:r>
            <w:r w:rsidRPr="008E61BA">
              <w:rPr>
                <w:sz w:val="20"/>
                <w:szCs w:val="20"/>
              </w:rPr>
              <w:t xml:space="preserve"> communication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Hedbanz</w:t>
            </w:r>
          </w:p>
        </w:tc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Pick a head band and try to guess what is written on your band by asking questions that your team can answer yes and no</w:t>
            </w:r>
          </w:p>
        </w:tc>
        <w:tc>
          <w:tcPr>
            <w:tcW w:w="1666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 xml:space="preserve">Language is repeated throughout ‘Am I a …?’ </w:t>
            </w:r>
            <w:r w:rsidR="00352A3B" w:rsidRPr="008E61BA">
              <w:rPr>
                <w:sz w:val="20"/>
                <w:szCs w:val="20"/>
              </w:rPr>
              <w:t xml:space="preserve">‘Do I live in …?’ </w:t>
            </w:r>
            <w:r w:rsidRPr="008E61BA">
              <w:rPr>
                <w:sz w:val="20"/>
                <w:szCs w:val="20"/>
              </w:rPr>
              <w:t>Opportunities to tran</w:t>
            </w:r>
            <w:r w:rsidR="00352A3B" w:rsidRPr="008E61BA">
              <w:rPr>
                <w:sz w:val="20"/>
                <w:szCs w:val="20"/>
              </w:rPr>
              <w:t>s</w:t>
            </w:r>
            <w:r w:rsidRPr="008E61BA">
              <w:rPr>
                <w:sz w:val="20"/>
                <w:szCs w:val="20"/>
              </w:rPr>
              <w:t>language by using L</w:t>
            </w:r>
            <w:r w:rsidR="00352A3B" w:rsidRPr="008E61BA">
              <w:rPr>
                <w:sz w:val="20"/>
                <w:szCs w:val="20"/>
              </w:rPr>
              <w:t>ang</w:t>
            </w:r>
            <w:r w:rsidRPr="008E61BA">
              <w:rPr>
                <w:sz w:val="20"/>
                <w:szCs w:val="20"/>
              </w:rPr>
              <w:t xml:space="preserve">uage 1 for the </w:t>
            </w:r>
            <w:r w:rsidR="00352A3B" w:rsidRPr="008E61BA">
              <w:rPr>
                <w:sz w:val="20"/>
                <w:szCs w:val="20"/>
              </w:rPr>
              <w:t>end of the sentence.  Questions could be scripted before play as a prompt.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Articulate, Articulate for Kids and Taboo</w:t>
            </w:r>
          </w:p>
        </w:tc>
        <w:tc>
          <w:tcPr>
            <w:tcW w:w="1667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Try to describe an object without using certain words</w:t>
            </w:r>
          </w:p>
        </w:tc>
        <w:tc>
          <w:tcPr>
            <w:tcW w:w="1666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Builds vocabulary and understanding of word families.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Guess Who</w:t>
            </w:r>
          </w:p>
        </w:tc>
        <w:tc>
          <w:tcPr>
            <w:tcW w:w="1667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Try to guess who the other player has on their board by asking questions.</w:t>
            </w:r>
          </w:p>
        </w:tc>
        <w:tc>
          <w:tcPr>
            <w:tcW w:w="1666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Opportunities to recycle language and to use pre scripted questions. Builds descriptive vocabulary and increases observation skills.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Scrabble and Junior Scrabble</w:t>
            </w:r>
          </w:p>
        </w:tc>
        <w:tc>
          <w:tcPr>
            <w:tcW w:w="1667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Try to make words using individual letter combinations</w:t>
            </w:r>
          </w:p>
        </w:tc>
        <w:tc>
          <w:tcPr>
            <w:tcW w:w="1666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Use word mats and Dictionaries to support word creation and if the script is the same accept words in Language 1.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Pass the Bomb</w:t>
            </w:r>
          </w:p>
        </w:tc>
        <w:tc>
          <w:tcPr>
            <w:tcW w:w="1667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Choose a card and follow the instructions – ‘things that start with P’.  The ticking time bomb is started and passed around the circle as each player must offer a word.  The ticking stops and the player holding the bomb is out.</w:t>
            </w:r>
          </w:p>
        </w:tc>
        <w:tc>
          <w:tcPr>
            <w:tcW w:w="1666" w:type="pct"/>
          </w:tcPr>
          <w:p w:rsidR="0080669D" w:rsidRPr="008E61BA" w:rsidRDefault="00352A3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Vocabulary building, translanguaging opportunit</w:t>
            </w:r>
            <w:r w:rsidR="00F537BB" w:rsidRPr="008E61BA">
              <w:rPr>
                <w:sz w:val="20"/>
                <w:szCs w:val="20"/>
              </w:rPr>
              <w:t>i</w:t>
            </w:r>
            <w:r w:rsidRPr="008E61BA">
              <w:rPr>
                <w:sz w:val="20"/>
                <w:szCs w:val="20"/>
              </w:rPr>
              <w:t>es, memory engaged as no words can be repeated.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Sca</w:t>
            </w:r>
            <w:r w:rsidR="00F537BB" w:rsidRPr="008E61BA">
              <w:rPr>
                <w:sz w:val="20"/>
                <w:szCs w:val="20"/>
              </w:rPr>
              <w:t>t</w:t>
            </w:r>
            <w:r w:rsidRPr="008E61BA">
              <w:rPr>
                <w:sz w:val="20"/>
                <w:szCs w:val="20"/>
              </w:rPr>
              <w:t>tergories</w:t>
            </w:r>
          </w:p>
        </w:tc>
        <w:tc>
          <w:tcPr>
            <w:tcW w:w="1667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 xml:space="preserve">Try to fill in as many different categories with the same letter.  </w:t>
            </w:r>
          </w:p>
        </w:tc>
        <w:tc>
          <w:tcPr>
            <w:tcW w:w="1666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 xml:space="preserve">Increased awareness of initial sounds and vocabulary building.  Increased awareness of word categories and ability to recycle knowledge in </w:t>
            </w:r>
            <w:r w:rsidR="00005F8B" w:rsidRPr="008E61BA">
              <w:rPr>
                <w:sz w:val="20"/>
                <w:szCs w:val="20"/>
              </w:rPr>
              <w:t>Language</w:t>
            </w:r>
            <w:r w:rsidRPr="008E61BA">
              <w:rPr>
                <w:sz w:val="20"/>
                <w:szCs w:val="20"/>
              </w:rPr>
              <w:t xml:space="preserve"> 1.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Rory’s Story Cubes and Action Cubes</w:t>
            </w:r>
          </w:p>
        </w:tc>
        <w:tc>
          <w:tcPr>
            <w:tcW w:w="1667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Roll the dice and make up a story with a character, place, time etc.</w:t>
            </w:r>
          </w:p>
        </w:tc>
        <w:tc>
          <w:tcPr>
            <w:tcW w:w="1666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Stimulates imagination and creative thinking.  Structuring a story with a beginning, middle and end and recycling key language structures.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Cluedo</w:t>
            </w:r>
          </w:p>
        </w:tc>
        <w:tc>
          <w:tcPr>
            <w:tcW w:w="1667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Choose a character and then figure out who has ‘killed’ someone at the party.</w:t>
            </w:r>
          </w:p>
        </w:tc>
        <w:tc>
          <w:tcPr>
            <w:tcW w:w="1666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 xml:space="preserve">Remember the character names, rooms in the house and weapons and try to guess what the other players cards could be by the way they play the game. </w:t>
            </w:r>
            <w:r w:rsidR="00C835F8">
              <w:rPr>
                <w:sz w:val="20"/>
                <w:szCs w:val="20"/>
              </w:rPr>
              <w:t xml:space="preserve"> Recycling language throughout for the questioning of </w:t>
            </w:r>
            <w:bookmarkStart w:id="0" w:name="_GoBack"/>
            <w:bookmarkEnd w:id="0"/>
            <w:r w:rsidR="00C835F8">
              <w:rPr>
                <w:sz w:val="20"/>
                <w:szCs w:val="20"/>
              </w:rPr>
              <w:t>the other players.</w:t>
            </w:r>
            <w:r w:rsidRPr="008E61BA">
              <w:rPr>
                <w:sz w:val="20"/>
                <w:szCs w:val="20"/>
              </w:rPr>
              <w:t xml:space="preserve"> </w:t>
            </w:r>
          </w:p>
        </w:tc>
      </w:tr>
      <w:tr w:rsidR="0080669D" w:rsidRPr="008E61BA" w:rsidTr="00D1502F">
        <w:trPr>
          <w:trHeight w:val="234"/>
        </w:trPr>
        <w:tc>
          <w:tcPr>
            <w:tcW w:w="1667" w:type="pct"/>
          </w:tcPr>
          <w:p w:rsidR="0080669D" w:rsidRPr="008E61BA" w:rsidRDefault="0080669D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Monopoly and Glasgow Version</w:t>
            </w:r>
          </w:p>
        </w:tc>
        <w:tc>
          <w:tcPr>
            <w:tcW w:w="1667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Roll the dice, move round the board and buy property.</w:t>
            </w:r>
          </w:p>
        </w:tc>
        <w:tc>
          <w:tcPr>
            <w:tcW w:w="1666" w:type="pct"/>
          </w:tcPr>
          <w:p w:rsidR="0080669D" w:rsidRPr="008E61BA" w:rsidRDefault="00F537BB" w:rsidP="008E61BA">
            <w:pPr>
              <w:rPr>
                <w:sz w:val="20"/>
                <w:szCs w:val="20"/>
              </w:rPr>
            </w:pPr>
            <w:r w:rsidRPr="008E61BA">
              <w:rPr>
                <w:sz w:val="20"/>
                <w:szCs w:val="20"/>
              </w:rPr>
              <w:t>The Glasgow version is great</w:t>
            </w:r>
            <w:r w:rsidR="002C5046" w:rsidRPr="008E61BA">
              <w:rPr>
                <w:sz w:val="20"/>
                <w:szCs w:val="20"/>
              </w:rPr>
              <w:t xml:space="preserve">, use a real map to locate places in the game and look them up on the </w:t>
            </w:r>
            <w:r w:rsidR="00005F8B" w:rsidRPr="008E61BA">
              <w:rPr>
                <w:sz w:val="20"/>
                <w:szCs w:val="20"/>
              </w:rPr>
              <w:t>iPad</w:t>
            </w:r>
            <w:r w:rsidR="002C5046" w:rsidRPr="008E61BA">
              <w:rPr>
                <w:sz w:val="20"/>
                <w:szCs w:val="20"/>
              </w:rPr>
              <w:t>.  Think about how to get to places and the language of giving directions.</w:t>
            </w:r>
          </w:p>
        </w:tc>
      </w:tr>
    </w:tbl>
    <w:p w:rsidR="00143AE4" w:rsidRPr="008E61BA" w:rsidRDefault="00143AE4">
      <w:pPr>
        <w:rPr>
          <w:sz w:val="20"/>
          <w:szCs w:val="20"/>
        </w:rPr>
      </w:pPr>
    </w:p>
    <w:p w:rsidR="00B01DA6" w:rsidRPr="008E61BA" w:rsidRDefault="00B01DA6" w:rsidP="00B01DA6">
      <w:pPr>
        <w:rPr>
          <w:sz w:val="20"/>
          <w:szCs w:val="20"/>
        </w:rPr>
      </w:pPr>
    </w:p>
    <w:sectPr w:rsidR="00B01DA6" w:rsidRPr="008E61B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9A3" w:rsidRDefault="00EB49A3" w:rsidP="00EB49A3">
      <w:pPr>
        <w:spacing w:after="0" w:line="240" w:lineRule="auto"/>
      </w:pPr>
      <w:r>
        <w:separator/>
      </w:r>
    </w:p>
  </w:endnote>
  <w:endnote w:type="continuationSeparator" w:id="0">
    <w:p w:rsidR="00EB49A3" w:rsidRDefault="00EB49A3" w:rsidP="00EB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26" w:rsidRPr="001F2957" w:rsidRDefault="00170C26" w:rsidP="00170C26">
    <w:pPr>
      <w:pStyle w:val="Footer"/>
      <w:rPr>
        <w:sz w:val="24"/>
        <w:szCs w:val="24"/>
      </w:rPr>
    </w:pPr>
    <w:r w:rsidRPr="001F2957">
      <w:rPr>
        <w:b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EEC06D" wp14:editId="3358D92F">
          <wp:simplePos x="0" y="0"/>
          <wp:positionH relativeFrom="leftMargin">
            <wp:align>right</wp:align>
          </wp:positionH>
          <wp:positionV relativeFrom="paragraph">
            <wp:posOffset>-190500</wp:posOffset>
          </wp:positionV>
          <wp:extent cx="591722" cy="718012"/>
          <wp:effectExtent l="0" t="0" r="0" b="6350"/>
          <wp:wrapThrough wrapText="bothSides">
            <wp:wrapPolygon edited="0">
              <wp:start x="21600" y="21600"/>
              <wp:lineTo x="21600" y="382"/>
              <wp:lineTo x="719" y="382"/>
              <wp:lineTo x="719" y="21600"/>
              <wp:lineTo x="21600" y="2160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_12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591722" cy="718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957">
      <w:rPr>
        <w:b/>
        <w:i/>
        <w:sz w:val="24"/>
        <w:szCs w:val="24"/>
      </w:rPr>
      <w:t>Supporting Communication</w:t>
    </w:r>
    <w:r w:rsidRPr="001F2957">
      <w:rPr>
        <w:sz w:val="24"/>
        <w:szCs w:val="24"/>
      </w:rPr>
      <w:t xml:space="preserve"> </w:t>
    </w:r>
    <w:r w:rsidRPr="001F2957">
      <w:rPr>
        <w:sz w:val="24"/>
        <w:szCs w:val="24"/>
      </w:rPr>
      <w:t>–</w:t>
    </w:r>
    <w:r w:rsidRPr="001F2957">
      <w:rPr>
        <w:sz w:val="24"/>
        <w:szCs w:val="24"/>
      </w:rPr>
      <w:t xml:space="preserve"> </w:t>
    </w:r>
    <w:r w:rsidRPr="001F2957">
      <w:rPr>
        <w:sz w:val="24"/>
        <w:szCs w:val="24"/>
      </w:rPr>
      <w:t>Using Games to Support Language Development</w:t>
    </w:r>
  </w:p>
  <w:p w:rsidR="00170C26" w:rsidRDefault="0017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9A3" w:rsidRDefault="00EB49A3" w:rsidP="00EB49A3">
      <w:pPr>
        <w:spacing w:after="0" w:line="240" w:lineRule="auto"/>
      </w:pPr>
      <w:r>
        <w:separator/>
      </w:r>
    </w:p>
  </w:footnote>
  <w:footnote w:type="continuationSeparator" w:id="0">
    <w:p w:rsidR="00EB49A3" w:rsidRDefault="00EB49A3" w:rsidP="00EB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A6" w:rsidRPr="00B01DA6" w:rsidRDefault="00B01DA6">
    <w:pPr>
      <w:pStyle w:val="Header"/>
      <w:rPr>
        <w:sz w:val="48"/>
        <w:szCs w:val="48"/>
      </w:rPr>
    </w:pPr>
    <w:r w:rsidRPr="00B01DA6">
      <w:rPr>
        <w:sz w:val="48"/>
        <w:szCs w:val="48"/>
      </w:rPr>
      <w:t>Using Games to Support Language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A3"/>
    <w:rsid w:val="00005F8B"/>
    <w:rsid w:val="00143AE4"/>
    <w:rsid w:val="00170C26"/>
    <w:rsid w:val="001F2957"/>
    <w:rsid w:val="002C5046"/>
    <w:rsid w:val="00352A3B"/>
    <w:rsid w:val="00380F4F"/>
    <w:rsid w:val="0080669D"/>
    <w:rsid w:val="008E61BA"/>
    <w:rsid w:val="00A60699"/>
    <w:rsid w:val="00B01DA6"/>
    <w:rsid w:val="00C835F8"/>
    <w:rsid w:val="00D1502F"/>
    <w:rsid w:val="00EB49A3"/>
    <w:rsid w:val="00F25730"/>
    <w:rsid w:val="00F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99D1D"/>
  <w15:chartTrackingRefBased/>
  <w15:docId w15:val="{2A8038B9-53D6-4AA5-A0D9-E5AF372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A3"/>
  </w:style>
  <w:style w:type="paragraph" w:styleId="Footer">
    <w:name w:val="footer"/>
    <w:basedOn w:val="Normal"/>
    <w:link w:val="FooterChar"/>
    <w:uiPriority w:val="99"/>
    <w:unhideWhenUsed/>
    <w:rsid w:val="00EB4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A3"/>
  </w:style>
  <w:style w:type="paragraph" w:styleId="BalloonText">
    <w:name w:val="Balloon Text"/>
    <w:basedOn w:val="Normal"/>
    <w:link w:val="BalloonTextChar"/>
    <w:uiPriority w:val="99"/>
    <w:semiHidden/>
    <w:unhideWhenUsed/>
    <w:rsid w:val="00EB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A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70C26"/>
  </w:style>
  <w:style w:type="character" w:customStyle="1" w:styleId="eop">
    <w:name w:val="eop"/>
    <w:basedOn w:val="DefaultParagraphFont"/>
    <w:rsid w:val="00170C26"/>
  </w:style>
  <w:style w:type="table" w:styleId="TableGrid">
    <w:name w:val="Table Grid"/>
    <w:basedOn w:val="TableNormal"/>
    <w:uiPriority w:val="39"/>
    <w:rsid w:val="00B0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9C0A-B650-40A4-9F16-FF05535B8C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9922B2-F497-4091-B649-2B241C7B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378</Words>
  <Characters>2136</Characters>
  <Application>Microsoft Office Word</Application>
  <DocSecurity>0</DocSecurity>
  <Lines>82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Clare</dc:creator>
  <cp:keywords>[OFFICIAL]</cp:keywords>
  <dc:description/>
  <cp:lastModifiedBy>Coyle, Clare</cp:lastModifiedBy>
  <cp:revision>5</cp:revision>
  <dcterms:created xsi:type="dcterms:W3CDTF">2021-02-26T18:08:00Z</dcterms:created>
  <dcterms:modified xsi:type="dcterms:W3CDTF">2021-02-26T19:55:00Z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15bdf305-7026-4283-8f4d-7d6517c5ac22</vt:lpwstr>
  </property>
  <property fmtid="{D5CDD505-2E9C-101B-9397-08002B2CF9AE}" pid="3" name="bjSaver">
    <vt:lpwstr>v30R9BYEt30q+G9ZeIDY2ok6qRKCk/ES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