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80"/>
      </w:pPr>
      <w:r>
        <w:drawing>
          <wp:inline xmlns:a="http://schemas.openxmlformats.org/drawingml/2006/main" xmlns:pic="http://schemas.openxmlformats.org/drawingml/2006/picture">
            <wp:extent cx="590550" cy="561975"/>
            <wp:docPr id="1" name="Picture 1"/>
            <wp:cNvGraphicFramePr>
              <a:graphicFrameLocks noChangeAspect="1"/>
            </wp:cNvGraphicFramePr>
            <a:graphic>
              <a:graphicData uri="http://schemas.openxmlformats.org/drawingml/2006/picture">
                <pic:pic>
                  <pic:nvPicPr>
                    <pic:cNvPr id="0" name="image.jpg"/>
                    <pic:cNvPicPr/>
                  </pic:nvPicPr>
                  <pic:blipFill>
                    <a:blip r:embed="rId7"/>
                    <a:stretch>
                      <a:fillRect/>
                    </a:stretch>
                  </pic:blipFill>
                  <pic:spPr>
                    <a:xfrm>
                      <a:off x="0" y="0"/>
                      <a:ext cx="590550" cy="561975"/>
                    </a:xfrm>
                    <a:prstGeom prst="rect"/>
                  </pic:spPr>
                </pic:pic>
              </a:graphicData>
            </a:graphic>
          </wp:inline>
        </w:drawing>
      </w:r>
    </w:p>
    <w:p>
      <w:pPr>
        <w:spacing w:after="40"/>
      </w:pPr>
      <w:r>
        <w:rPr>
          <w:b/>
          <w:i w:val="0"/>
          <w:color w:val="0F5376"/>
          <w:sz w:val="19"/>
          <w:spacing w:val="24"/>
        </w:rPr>
        <w:t>ANNETTE STREET PRIMARY SCHOOL</w:t>
      </w:r>
    </w:p>
    <w:p>
      <w:pPr>
        <w:spacing w:after="100"/>
      </w:pPr>
      <w:r>
        <w:rPr>
          <w:b/>
          <w:i w:val="0"/>
          <w:color w:val="0F5376"/>
          <w:sz w:val="44"/>
        </w:rPr>
        <w:t>Uniform Policy</w:t>
      </w:r>
    </w:p>
    <w:p>
      <w:pPr>
        <w:spacing w:after="60"/>
      </w:pPr>
      <w:r>
        <w:rPr>
          <w:b w:val="0"/>
          <w:i w:val="0"/>
          <w:color w:val="5F7381"/>
          <w:sz w:val="21"/>
        </w:rPr>
        <w:t>Every Child, Every Chance, Every Day</w:t>
      </w:r>
    </w:p>
    <w:p>
      <w:pPr>
        <w:spacing w:after="220"/>
        <w:pBdr>
          <w:bottom w:val="single" w:sz="12" w:space="4" w:color="0F5376"/>
        </w:pBdr>
      </w:pPr>
    </w:p>
    <w:tbl>
      <w:tblPr>
        <w:tblW w:type="auto" w:w="0"/>
        <w:tblLayout w:type="fixed"/>
        <w:tblLook w:firstColumn="1" w:firstRow="1" w:lastColumn="0" w:lastRow="0" w:noHBand="0" w:noVBand="1" w:val="04A0"/>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Pr>
      <w:tblGrid>
        <w:gridCol w:w="3213"/>
        <w:gridCol w:w="3213"/>
        <w:gridCol w:w="3213"/>
      </w:tblGrid>
      <w:tr>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OWNER</w:t>
            </w:r>
          </w:p>
          <w:p>
            <w:pPr>
              <w:spacing w:after="0"/>
            </w:pPr>
            <w:r>
              <w:rPr>
                <w:b w:val="0"/>
                <w:i w:val="0"/>
                <w:sz w:val="20"/>
              </w:rPr>
              <w:t>Head Teacher</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UPDATED</w:t>
            </w:r>
          </w:p>
          <w:p>
            <w:pPr>
              <w:spacing w:after="0"/>
            </w:pPr>
            <w:r>
              <w:rPr>
                <w:b w:val="0"/>
                <w:i w:val="0"/>
                <w:sz w:val="20"/>
              </w:rPr>
              <w:t>August 2026</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NEXT REVIEW</w:t>
            </w:r>
          </w:p>
          <w:p>
            <w:pPr>
              <w:spacing w:after="0"/>
            </w:pPr>
            <w:r>
              <w:rPr>
                <w:b w:val="0"/>
                <w:i w:val="0"/>
                <w:sz w:val="20"/>
              </w:rPr>
              <w:t>June 2029</w:t>
            </w:r>
          </w:p>
        </w:tc>
      </w:tr>
    </w:tbl>
    <w:p>
      <w:pPr>
        <w:spacing w:after="260"/>
      </w:pPr>
    </w:p>
    <w:p>
      <w:pPr>
        <w:pStyle w:val="Heading1"/>
      </w:pPr>
      <w:r>
        <w:rPr>
          <w:b/>
          <w:i w:val="0"/>
          <w:color w:val="0F5376"/>
          <w:sz w:val="26"/>
        </w:rPr>
        <w:t>1  Vision</w:t>
      </w:r>
    </w:p>
    <w:p>
      <w:pPr>
        <w:spacing w:after="140"/>
        <w:spacing w:line="276" w:lineRule="auto"/>
      </w:pPr>
      <w:r>
        <w:rPr>
          <w:b w:val="0"/>
          <w:i w:val="0"/>
          <w:sz w:val="20"/>
        </w:rPr>
        <w:t>School uniform at Annette Street exists to give children a shared identity and to reduce, not increase, the visible differences between families. It is affordable, flexible and never a barrier to a child being in school.</w:t>
      </w:r>
    </w:p>
    <w:tbl>
      <w:tblPr>
        <w:tblW w:type="auto" w:w="0"/>
        <w:tblLayout w:type="fixed"/>
        <w:tblLook w:firstColumn="1" w:firstRow="1" w:lastColumn="0" w:lastRow="0" w:noHBand="0" w:noVBand="1" w:val="04A0"/>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Pr>
      <w:tblGrid>
        <w:gridCol w:w="9638"/>
      </w:tblGrid>
      <w:tr>
        <w:tc>
          <w:tcPr>
            <w:tcW w:type="dxa" w:w="9638"/>
            <w:shd w:val="clear" w:color="auto" w:fill="F1F7FA"/>
            <w:tcMar>
              <w:top w:w="140" w:type="dxa"/>
              <w:left w:w="200" w:type="dxa"/>
              <w:bottom w:w="140" w:type="dxa"/>
              <w:right w:w="200" w:type="dxa"/>
            </w:tcMar>
          </w:tcPr>
          <w:p>
            <w:pPr>
              <w:spacing w:before="20" w:after="0"/>
              <w:spacing w:line="264" w:lineRule="auto"/>
            </w:pPr>
            <w:r/>
            <w:r>
              <w:rPr>
                <w:b w:val="0"/>
                <w:i w:val="0"/>
                <w:sz w:val="21"/>
              </w:rPr>
              <w:t>No child is ever sent home, kept out of an activity, spoken to in front of others, or made to feel different because of what they are wearing.</w:t>
            </w:r>
          </w:p>
        </w:tc>
      </w:tr>
    </w:tbl>
    <w:p>
      <w:pPr>
        <w:spacing w:after="200"/>
      </w:pPr>
    </w:p>
    <w:p>
      <w:pPr>
        <w:pStyle w:val="Heading1"/>
      </w:pPr>
      <w:r>
        <w:rPr>
          <w:b/>
          <w:i w:val="0"/>
          <w:color w:val="0F5376"/>
          <w:sz w:val="26"/>
        </w:rPr>
        <w:t>2  What we ask for</w:t>
      </w:r>
    </w:p>
    <w:tbl>
      <w:tblPr>
        <w:tblW w:type="auto" w:w="0"/>
        <w:tblLayout w:type="fixed"/>
        <w:tblLook w:firstColumn="1" w:firstRow="1" w:lastColumn="0" w:lastRow="0" w:noHBand="0" w:noVBand="1" w:val="04A0"/>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Pr>
      <w:tblGrid>
        <w:gridCol w:w="4819"/>
        <w:gridCol w:w="4819"/>
      </w:tblGrid>
      <w:tr>
        <w:trPr>
          <w:cantSplit/>
          <w:tblHeader/>
        </w:trPr>
        <w:tc>
          <w:tcPr>
            <w:tcW w:type="dxa" w:w="1928"/>
            <w:shd w:val="clear" w:color="auto" w:fill="0F5376"/>
            <w:tcMar>
              <w:top w:w="100" w:type="dxa"/>
              <w:left w:w="140" w:type="dxa"/>
              <w:bottom w:w="100" w:type="dxa"/>
              <w:right w:w="140" w:type="dxa"/>
            </w:tcMar>
          </w:tcPr>
          <w:p>
            <w:pPr>
              <w:spacing w:before="20" w:after="0"/>
              <w:spacing w:line="264" w:lineRule="auto"/>
            </w:pPr>
            <w:r/>
            <w:r>
              <w:rPr>
                <w:b/>
                <w:i w:val="0"/>
                <w:color w:val="FFFFFF"/>
                <w:sz w:val="20"/>
              </w:rPr>
              <w:t>Item</w:t>
            </w:r>
          </w:p>
        </w:tc>
        <w:tc>
          <w:tcPr>
            <w:tcW w:type="dxa" w:w="7710"/>
            <w:shd w:val="clear" w:color="auto" w:fill="0F5376"/>
            <w:tcMar>
              <w:top w:w="100" w:type="dxa"/>
              <w:left w:w="140" w:type="dxa"/>
              <w:bottom w:w="100" w:type="dxa"/>
              <w:right w:w="140" w:type="dxa"/>
            </w:tcMar>
          </w:tcPr>
          <w:p>
            <w:pPr>
              <w:spacing w:before="20" w:after="0"/>
              <w:spacing w:line="264" w:lineRule="auto"/>
            </w:pPr>
            <w:r/>
            <w:r>
              <w:rPr>
                <w:b/>
                <w:i w:val="0"/>
                <w:color w:val="FFFFFF"/>
                <w:sz w:val="20"/>
              </w:rPr>
              <w:t>Detail</w:t>
            </w:r>
          </w:p>
        </w:tc>
      </w:tr>
      <w:tr>
        <w:trPr>
          <w:cantSplit/>
        </w:trPr>
        <w:tc>
          <w:tcPr>
            <w:tcW w:type="dxa" w:w="1928"/>
            <w:shd w:val="clear" w:color="auto" w:fill="FFFFFF"/>
            <w:tcMar>
              <w:top w:w="110" w:type="dxa"/>
              <w:left w:w="140" w:type="dxa"/>
              <w:bottom w:w="110" w:type="dxa"/>
              <w:right w:w="140" w:type="dxa"/>
            </w:tcMar>
          </w:tcPr>
          <w:p>
            <w:pPr>
              <w:spacing w:before="20" w:after="0"/>
              <w:spacing w:line="264" w:lineRule="auto"/>
            </w:pPr>
            <w:r/>
            <w:r>
              <w:rPr>
                <w:b w:val="0"/>
                <w:i w:val="0"/>
                <w:sz w:val="20"/>
              </w:rPr>
              <w:t>Top</w:t>
            </w:r>
          </w:p>
        </w:tc>
        <w:tc>
          <w:tcPr>
            <w:tcW w:type="dxa" w:w="7710"/>
            <w:shd w:val="clear" w:color="auto" w:fill="FFFFFF"/>
            <w:tcMar>
              <w:top w:w="110" w:type="dxa"/>
              <w:left w:w="140" w:type="dxa"/>
              <w:bottom w:w="110" w:type="dxa"/>
              <w:right w:w="140" w:type="dxa"/>
            </w:tcMar>
          </w:tcPr>
          <w:p>
            <w:pPr>
              <w:spacing w:before="20" w:after="0"/>
              <w:spacing w:line="264" w:lineRule="auto"/>
            </w:pPr>
            <w:r/>
            <w:r>
              <w:rPr>
                <w:b w:val="0"/>
                <w:i w:val="0"/>
                <w:sz w:val="20"/>
              </w:rPr>
              <w:t>Red or maroon sweatshirt, jumper or cardigan. School-branded items are available but never required — a plain equivalent from any shop is entirely acceptable.</w:t>
            </w:r>
          </w:p>
        </w:tc>
      </w:tr>
      <w:tr>
        <w:trPr>
          <w:cantSplit/>
        </w:trPr>
        <w:tc>
          <w:tcPr>
            <w:tcW w:type="dxa" w:w="1928"/>
            <w:shd w:val="clear" w:color="auto" w:fill="FFFFFF"/>
            <w:tcMar>
              <w:top w:w="110" w:type="dxa"/>
              <w:left w:w="140" w:type="dxa"/>
              <w:bottom w:w="110" w:type="dxa"/>
              <w:right w:w="140" w:type="dxa"/>
            </w:tcMar>
          </w:tcPr>
          <w:p>
            <w:pPr>
              <w:spacing w:before="20" w:after="0"/>
              <w:spacing w:line="264" w:lineRule="auto"/>
            </w:pPr>
            <w:r/>
            <w:r>
              <w:rPr>
                <w:b w:val="0"/>
                <w:i w:val="0"/>
                <w:sz w:val="20"/>
              </w:rPr>
              <w:t>Shirt</w:t>
            </w:r>
          </w:p>
        </w:tc>
        <w:tc>
          <w:tcPr>
            <w:tcW w:type="dxa" w:w="7710"/>
            <w:shd w:val="clear" w:color="auto" w:fill="FFFFFF"/>
            <w:tcMar>
              <w:top w:w="110" w:type="dxa"/>
              <w:left w:w="140" w:type="dxa"/>
              <w:bottom w:w="110" w:type="dxa"/>
              <w:right w:w="140" w:type="dxa"/>
            </w:tcMar>
          </w:tcPr>
          <w:p>
            <w:pPr>
              <w:spacing w:before="20" w:after="0"/>
              <w:spacing w:line="264" w:lineRule="auto"/>
            </w:pPr>
            <w:r/>
            <w:r>
              <w:rPr>
                <w:b w:val="0"/>
                <w:i w:val="0"/>
                <w:sz w:val="20"/>
              </w:rPr>
              <w:t>White or light polo shirt, shirt or blouse.</w:t>
            </w:r>
          </w:p>
        </w:tc>
      </w:tr>
      <w:tr>
        <w:trPr>
          <w:cantSplit/>
        </w:trPr>
        <w:tc>
          <w:tcPr>
            <w:tcW w:type="dxa" w:w="1928"/>
            <w:shd w:val="clear" w:color="auto" w:fill="FFFFFF"/>
            <w:tcMar>
              <w:top w:w="110" w:type="dxa"/>
              <w:left w:w="140" w:type="dxa"/>
              <w:bottom w:w="110" w:type="dxa"/>
              <w:right w:w="140" w:type="dxa"/>
            </w:tcMar>
          </w:tcPr>
          <w:p>
            <w:pPr>
              <w:spacing w:before="20" w:after="0"/>
              <w:spacing w:line="264" w:lineRule="auto"/>
            </w:pPr>
            <w:r/>
            <w:r>
              <w:rPr>
                <w:b w:val="0"/>
                <w:i w:val="0"/>
                <w:sz w:val="20"/>
              </w:rPr>
              <w:t>Bottoms</w:t>
            </w:r>
          </w:p>
        </w:tc>
        <w:tc>
          <w:tcPr>
            <w:tcW w:type="dxa" w:w="7710"/>
            <w:shd w:val="clear" w:color="auto" w:fill="FFFFFF"/>
            <w:tcMar>
              <w:top w:w="110" w:type="dxa"/>
              <w:left w:w="140" w:type="dxa"/>
              <w:bottom w:w="110" w:type="dxa"/>
              <w:right w:w="140" w:type="dxa"/>
            </w:tcMar>
          </w:tcPr>
          <w:p>
            <w:pPr>
              <w:spacing w:before="20" w:after="0"/>
              <w:spacing w:line="264" w:lineRule="auto"/>
            </w:pPr>
            <w:r/>
            <w:r>
              <w:rPr>
                <w:b w:val="0"/>
                <w:i w:val="0"/>
                <w:sz w:val="20"/>
              </w:rPr>
              <w:t>Grey or black trousers, skirt, pinafore or shorts. Any of these, for any child.</w:t>
            </w:r>
          </w:p>
        </w:tc>
      </w:tr>
      <w:tr>
        <w:trPr>
          <w:cantSplit/>
        </w:trPr>
        <w:tc>
          <w:tcPr>
            <w:tcW w:type="dxa" w:w="1928"/>
            <w:shd w:val="clear" w:color="auto" w:fill="FFFFFF"/>
            <w:tcMar>
              <w:top w:w="110" w:type="dxa"/>
              <w:left w:w="140" w:type="dxa"/>
              <w:bottom w:w="110" w:type="dxa"/>
              <w:right w:w="140" w:type="dxa"/>
            </w:tcMar>
          </w:tcPr>
          <w:p>
            <w:pPr>
              <w:spacing w:before="20" w:after="0"/>
              <w:spacing w:line="264" w:lineRule="auto"/>
            </w:pPr>
            <w:r/>
            <w:r>
              <w:rPr>
                <w:b w:val="0"/>
                <w:i w:val="0"/>
                <w:sz w:val="20"/>
              </w:rPr>
              <w:t>Footwear</w:t>
            </w:r>
          </w:p>
        </w:tc>
        <w:tc>
          <w:tcPr>
            <w:tcW w:type="dxa" w:w="7710"/>
            <w:shd w:val="clear" w:color="auto" w:fill="FFFFFF"/>
            <w:tcMar>
              <w:top w:w="110" w:type="dxa"/>
              <w:left w:w="140" w:type="dxa"/>
              <w:bottom w:w="110" w:type="dxa"/>
              <w:right w:w="140" w:type="dxa"/>
            </w:tcMar>
          </w:tcPr>
          <w:p>
            <w:pPr>
              <w:spacing w:before="20" w:after="0"/>
              <w:spacing w:line="264" w:lineRule="auto"/>
            </w:pPr>
            <w:r/>
            <w:r>
              <w:rPr>
                <w:b w:val="0"/>
                <w:i w:val="0"/>
                <w:sz w:val="20"/>
              </w:rPr>
              <w:t>Comfortable, safe shoes suitable for the playground and the stairs.</w:t>
            </w:r>
          </w:p>
        </w:tc>
      </w:tr>
      <w:tr>
        <w:trPr>
          <w:cantSplit/>
        </w:trPr>
        <w:tc>
          <w:tcPr>
            <w:tcW w:type="dxa" w:w="1928"/>
            <w:shd w:val="clear" w:color="auto" w:fill="FFFFFF"/>
            <w:tcMar>
              <w:top w:w="110" w:type="dxa"/>
              <w:left w:w="140" w:type="dxa"/>
              <w:bottom w:w="110" w:type="dxa"/>
              <w:right w:w="140" w:type="dxa"/>
            </w:tcMar>
          </w:tcPr>
          <w:p>
            <w:pPr>
              <w:spacing w:before="20" w:after="0"/>
              <w:spacing w:line="264" w:lineRule="auto"/>
            </w:pPr>
            <w:r/>
            <w:r>
              <w:rPr>
                <w:b w:val="0"/>
                <w:i w:val="0"/>
                <w:sz w:val="20"/>
              </w:rPr>
              <w:t>PE kit</w:t>
            </w:r>
          </w:p>
        </w:tc>
        <w:tc>
          <w:tcPr>
            <w:tcW w:type="dxa" w:w="7710"/>
            <w:shd w:val="clear" w:color="auto" w:fill="FFFFFF"/>
            <w:tcMar>
              <w:top w:w="110" w:type="dxa"/>
              <w:left w:w="140" w:type="dxa"/>
              <w:bottom w:w="110" w:type="dxa"/>
              <w:right w:w="140" w:type="dxa"/>
            </w:tcMar>
          </w:tcPr>
          <w:p>
            <w:pPr>
              <w:spacing w:before="20" w:after="0"/>
              <w:spacing w:line="264" w:lineRule="auto"/>
            </w:pPr>
            <w:r/>
            <w:r>
              <w:rPr>
                <w:b w:val="0"/>
                <w:i w:val="0"/>
                <w:sz w:val="20"/>
              </w:rPr>
              <w:t>Shorts or joggers and a t-shirt, with soft shoes or trainers. Kept in school where families prefer.</w:t>
            </w:r>
          </w:p>
        </w:tc>
      </w:tr>
      <w:tr>
        <w:trPr>
          <w:cantSplit/>
        </w:trPr>
        <w:tc>
          <w:tcPr>
            <w:tcW w:type="dxa" w:w="1928"/>
            <w:shd w:val="clear" w:color="auto" w:fill="FFFFFF"/>
            <w:tcMar>
              <w:top w:w="110" w:type="dxa"/>
              <w:left w:w="140" w:type="dxa"/>
              <w:bottom w:w="110" w:type="dxa"/>
              <w:right w:w="140" w:type="dxa"/>
            </w:tcMar>
          </w:tcPr>
          <w:p>
            <w:pPr>
              <w:spacing w:before="20" w:after="0"/>
              <w:spacing w:line="264" w:lineRule="auto"/>
            </w:pPr>
            <w:r/>
            <w:r>
              <w:rPr>
                <w:b w:val="0"/>
                <w:i w:val="0"/>
                <w:sz w:val="20"/>
              </w:rPr>
              <w:t>Outdoor</w:t>
            </w:r>
          </w:p>
        </w:tc>
        <w:tc>
          <w:tcPr>
            <w:tcW w:type="dxa" w:w="7710"/>
            <w:shd w:val="clear" w:color="auto" w:fill="FFFFFF"/>
            <w:tcMar>
              <w:top w:w="110" w:type="dxa"/>
              <w:left w:w="140" w:type="dxa"/>
              <w:bottom w:w="110" w:type="dxa"/>
              <w:right w:w="140" w:type="dxa"/>
            </w:tcMar>
          </w:tcPr>
          <w:p>
            <w:pPr>
              <w:spacing w:before="20" w:after="0"/>
              <w:spacing w:line="264" w:lineRule="auto"/>
            </w:pPr>
            <w:r/>
            <w:r>
              <w:rPr>
                <w:b w:val="0"/>
                <w:i w:val="0"/>
                <w:sz w:val="20"/>
              </w:rPr>
              <w:t>A warm, waterproof jacket. Children go outside in most weather.</w:t>
            </w:r>
          </w:p>
        </w:tc>
      </w:tr>
    </w:tbl>
    <w:p>
      <w:pPr>
        <w:spacing w:after="200"/>
      </w:pPr>
    </w:p>
    <w:p>
      <w:pPr>
        <w:spacing w:after="140"/>
        <w:spacing w:line="276" w:lineRule="auto"/>
      </w:pPr>
      <w:r>
        <w:rPr>
          <w:b w:val="0"/>
          <w:i w:val="0"/>
          <w:sz w:val="20"/>
        </w:rPr>
        <w:t>Clothing worn for religious or cultural reasons is welcome and is part of the uniform, not an exception to it. This includes head coverings, and modest alternatives to any item above. Uniform is not gendered: any child may wear any item on the list.</w:t>
      </w:r>
    </w:p>
    <w:p>
      <w:pPr>
        <w:pStyle w:val="Heading1"/>
      </w:pPr>
      <w:r>
        <w:rPr>
          <w:b/>
          <w:i w:val="0"/>
          <w:color w:val="0F5376"/>
          <w:sz w:val="26"/>
        </w:rPr>
        <w:t>3  Cost and support</w:t>
      </w:r>
    </w:p>
    <w:p>
      <w:pPr>
        <w:spacing w:after="140"/>
        <w:spacing w:line="276" w:lineRule="auto"/>
      </w:pPr>
      <w:r>
        <w:rPr>
          <w:b w:val="0"/>
          <w:i w:val="0"/>
          <w:sz w:val="20"/>
        </w:rPr>
        <w:t>The school holds a stock of uniform, including new items, available to any family at any time without cost, without a form and without explanation. Families may take what they need from the uniform rail, and staff will put together a bag discreetly for any family who would prefer that. We tell families about the school clothing grant and help them apply, and we replace lost or outgrown items rather than asking families to.</w:t>
      </w:r>
    </w:p>
    <w:p>
      <w:pPr>
        <w:spacing w:after="140"/>
        <w:spacing w:line="276" w:lineRule="auto"/>
      </w:pPr>
      <w:r>
        <w:rPr>
          <w:b w:val="0"/>
          <w:i w:val="0"/>
          <w:sz w:val="20"/>
        </w:rPr>
        <w:t>We keep branded items to a minimum, do not require any item from a single supplier, and do not change the uniform in ways that would require families to buy again.</w:t>
      </w:r>
    </w:p>
    <w:p>
      <w:pPr>
        <w:pStyle w:val="Heading1"/>
      </w:pPr>
      <w:r>
        <w:rPr>
          <w:b/>
          <w:i w:val="0"/>
          <w:color w:val="0F5376"/>
          <w:sz w:val="26"/>
        </w:rPr>
        <w:t>4  Practical points</w:t>
      </w:r>
    </w:p>
    <w:p>
      <w:pPr>
        <w:spacing w:after="140"/>
        <w:spacing w:line="276" w:lineRule="auto"/>
      </w:pPr>
      <w:r>
        <w:rPr>
          <w:b w:val="0"/>
          <w:i w:val="0"/>
          <w:sz w:val="20"/>
        </w:rPr>
        <w:t>Please name items — most of what reaches lost property is unnamed. Jewellery should be limited to what is safe for the playground and PE; earrings must be removed or covered for PE, and staff do not remove them for children. Long hair should be tied back for practical activities. The school does not take responsibility for valuables brought in.</w:t>
      </w:r>
    </w:p>
    <w:p>
      <w:pPr>
        <w:pStyle w:val="Heading1"/>
      </w:pPr>
      <w:r>
        <w:rPr>
          <w:b/>
          <w:i w:val="0"/>
          <w:color w:val="0F5376"/>
          <w:sz w:val="26"/>
        </w:rPr>
        <w:t>5  If a child is not in uniform</w:t>
      </w:r>
    </w:p>
    <w:p>
      <w:pPr>
        <w:spacing w:after="140"/>
        <w:spacing w:line="276" w:lineRule="auto"/>
      </w:pPr>
      <w:r>
        <w:rPr>
          <w:b w:val="0"/>
          <w:i w:val="0"/>
          <w:sz w:val="20"/>
        </w:rPr>
        <w:t>The response is to find out why and to solve it, quietly. Very often the answer is a washing machine, a move, a new baby, a lost bag or money, and the answer to all of those is the uniform stock, not a conversation about standards. A child out of uniform takes part in everything exactly as normal.</w:t>
      </w:r>
    </w:p>
    <w:p>
      <w:pPr>
        <w:pStyle w:val="Heading1"/>
      </w:pPr>
      <w:r>
        <w:rPr>
          <w:b/>
          <w:i w:val="0"/>
          <w:color w:val="0F5376"/>
          <w:sz w:val="26"/>
        </w:rPr>
        <w:t>6  Review</w:t>
      </w:r>
    </w:p>
    <w:p>
      <w:pPr>
        <w:spacing w:after="140"/>
        <w:spacing w:line="276" w:lineRule="auto"/>
      </w:pPr>
      <w:r>
        <w:rPr>
          <w:b w:val="0"/>
          <w:i w:val="0"/>
          <w:sz w:val="20"/>
        </w:rPr>
        <w:t>The uniform is reviewed with families and children, and any change is tested against affordability first. This policy is reviewed by June 2029. Linked policies: Cost of the School Day; Equalities; Lettings, Charging and Remissions; Parent and Carer Communication Strategy; Attendance Procedures.</w:t>
      </w:r>
    </w:p>
    <w:sectPr w:rsidR="00E13C50">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A8DAD" w14:textId="77777777" w:rsidR="00A02BE4" w:rsidRDefault="00A02BE4">
      <w:pPr>
        <w:spacing w:after="0" w:line="240" w:lineRule="auto"/>
      </w:pPr>
      <w:r>
        <w:separator/>
      </w:r>
    </w:p>
  </w:endnote>
  <w:endnote w:type="continuationSeparator" w:id="0">
    <w:p w14:paraId="274C32D1" w14:textId="77777777" w:rsidR="00A02BE4" w:rsidRDefault="00A02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50FB" w14:textId="77777777" w:rsidR="00E13C50" w:rsidRDefault="00A02BE4">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Uniform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D21C90">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D21C90">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3CEA" w14:textId="77777777" w:rsidR="00A02BE4" w:rsidRDefault="00A02BE4">
      <w:pPr>
        <w:spacing w:after="0" w:line="240" w:lineRule="auto"/>
      </w:pPr>
      <w:r>
        <w:separator/>
      </w:r>
    </w:p>
  </w:footnote>
  <w:footnote w:type="continuationSeparator" w:id="0">
    <w:p w14:paraId="4BFF3854" w14:textId="77777777" w:rsidR="00A02BE4" w:rsidRDefault="00A02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471E9"/>
    <w:multiLevelType w:val="hybridMultilevel"/>
    <w:tmpl w:val="8F1EFE6E"/>
    <w:lvl w:ilvl="0" w:tplc="636CA9EE">
      <w:start w:val="1"/>
      <w:numFmt w:val="bullet"/>
      <w:lvlText w:val="●"/>
      <w:lvlJc w:val="left"/>
      <w:pPr>
        <w:ind w:left="720" w:hanging="360"/>
      </w:pPr>
    </w:lvl>
    <w:lvl w:ilvl="1" w:tplc="AE4A0336">
      <w:start w:val="1"/>
      <w:numFmt w:val="bullet"/>
      <w:lvlText w:val="○"/>
      <w:lvlJc w:val="left"/>
      <w:pPr>
        <w:ind w:left="1440" w:hanging="360"/>
      </w:pPr>
    </w:lvl>
    <w:lvl w:ilvl="2" w:tplc="82569B1A">
      <w:start w:val="1"/>
      <w:numFmt w:val="bullet"/>
      <w:lvlText w:val="■"/>
      <w:lvlJc w:val="left"/>
      <w:pPr>
        <w:ind w:left="2160" w:hanging="360"/>
      </w:pPr>
    </w:lvl>
    <w:lvl w:ilvl="3" w:tplc="C0E0D03E">
      <w:start w:val="1"/>
      <w:numFmt w:val="bullet"/>
      <w:lvlText w:val="●"/>
      <w:lvlJc w:val="left"/>
      <w:pPr>
        <w:ind w:left="2880" w:hanging="360"/>
      </w:pPr>
    </w:lvl>
    <w:lvl w:ilvl="4" w:tplc="9528BC20">
      <w:start w:val="1"/>
      <w:numFmt w:val="bullet"/>
      <w:lvlText w:val="○"/>
      <w:lvlJc w:val="left"/>
      <w:pPr>
        <w:ind w:left="3600" w:hanging="360"/>
      </w:pPr>
    </w:lvl>
    <w:lvl w:ilvl="5" w:tplc="AF5AB5BA">
      <w:start w:val="1"/>
      <w:numFmt w:val="bullet"/>
      <w:lvlText w:val="■"/>
      <w:lvlJc w:val="left"/>
      <w:pPr>
        <w:ind w:left="4320" w:hanging="360"/>
      </w:pPr>
    </w:lvl>
    <w:lvl w:ilvl="6" w:tplc="4E2674C6">
      <w:start w:val="1"/>
      <w:numFmt w:val="bullet"/>
      <w:lvlText w:val="●"/>
      <w:lvlJc w:val="left"/>
      <w:pPr>
        <w:ind w:left="5040" w:hanging="360"/>
      </w:pPr>
    </w:lvl>
    <w:lvl w:ilvl="7" w:tplc="51605C7E">
      <w:start w:val="1"/>
      <w:numFmt w:val="bullet"/>
      <w:lvlText w:val="●"/>
      <w:lvlJc w:val="left"/>
      <w:pPr>
        <w:ind w:left="5760" w:hanging="360"/>
      </w:pPr>
    </w:lvl>
    <w:lvl w:ilvl="8" w:tplc="DD745832">
      <w:start w:val="1"/>
      <w:numFmt w:val="bullet"/>
      <w:lvlText w:val="●"/>
      <w:lvlJc w:val="left"/>
      <w:pPr>
        <w:ind w:left="6480" w:hanging="360"/>
      </w:pPr>
    </w:lvl>
  </w:abstractNum>
  <w:abstractNum w:abstractNumId="1" w15:restartNumberingAfterBreak="0">
    <w:nsid w:val="67447A2B"/>
    <w:multiLevelType w:val="hybridMultilevel"/>
    <w:tmpl w:val="4E628842"/>
    <w:lvl w:ilvl="0" w:tplc="BE848864">
      <w:start w:val="1"/>
      <w:numFmt w:val="bullet"/>
      <w:lvlText w:val="•"/>
      <w:lvlJc w:val="left"/>
      <w:pPr>
        <w:ind w:left="360" w:hanging="240"/>
      </w:pPr>
      <w:rPr>
        <w:b/>
        <w:bCs/>
        <w:color w:val="0F5376"/>
      </w:rPr>
    </w:lvl>
    <w:lvl w:ilvl="1" w:tplc="0A84D644">
      <w:numFmt w:val="decimal"/>
      <w:lvlText w:val=""/>
      <w:lvlJc w:val="left"/>
    </w:lvl>
    <w:lvl w:ilvl="2" w:tplc="913C535E">
      <w:numFmt w:val="decimal"/>
      <w:lvlText w:val=""/>
      <w:lvlJc w:val="left"/>
    </w:lvl>
    <w:lvl w:ilvl="3" w:tplc="9F503678">
      <w:numFmt w:val="decimal"/>
      <w:lvlText w:val=""/>
      <w:lvlJc w:val="left"/>
    </w:lvl>
    <w:lvl w:ilvl="4" w:tplc="03B0AF04">
      <w:numFmt w:val="decimal"/>
      <w:lvlText w:val=""/>
      <w:lvlJc w:val="left"/>
    </w:lvl>
    <w:lvl w:ilvl="5" w:tplc="AB020608">
      <w:numFmt w:val="decimal"/>
      <w:lvlText w:val=""/>
      <w:lvlJc w:val="left"/>
    </w:lvl>
    <w:lvl w:ilvl="6" w:tplc="A5D0A25A">
      <w:numFmt w:val="decimal"/>
      <w:lvlText w:val=""/>
      <w:lvlJc w:val="left"/>
    </w:lvl>
    <w:lvl w:ilvl="7" w:tplc="04663EB8">
      <w:numFmt w:val="decimal"/>
      <w:lvlText w:val=""/>
      <w:lvlJc w:val="left"/>
    </w:lvl>
    <w:lvl w:ilvl="8" w:tplc="774631F6">
      <w:numFmt w:val="decimal"/>
      <w:lvlText w:val=""/>
      <w:lvlJc w:val="left"/>
    </w:lvl>
  </w:abstractNum>
  <w:num w:numId="1" w16cid:durableId="708266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C50"/>
    <w:rsid w:val="001A28E9"/>
    <w:rsid w:val="00A02BE4"/>
    <w:rsid w:val="00D21C90"/>
    <w:rsid w:val="00E13C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FB2B"/>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7350</Characters>
  <Application>Microsoft Office Word</Application>
  <DocSecurity>0</DocSecurity>
  <Lines>61</Lines>
  <Paragraphs>17</Paragraphs>
  <ScaleCrop>false</ScaleCrop>
  <Company>Glasgow city Council</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2026-09-06T17:29:00Z</dcterms:created>
  <dcterms:modified xsi:type="dcterms:W3CDTF">2026-09-06T17:29:00Z</dcterms:modified>
</cp:coreProperties>
</file>