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Health and Wellbeing Policy</w:t>
      </w:r>
    </w:p>
    <w:p>
      <w:pPr>
        <w:spacing w:after="60"/>
      </w:pPr>
      <w:r>
        <w:rPr>
          <w:b w:val="0"/>
          <w:i w:val="0"/>
          <w:color w:val="5F7381"/>
          <w:sz w:val="21"/>
        </w:rPr>
        <w:t>The responsibility of all</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Depute 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Rationale</w:t>
      </w:r>
    </w:p>
    <w:p>
      <w:pPr>
        <w:spacing w:after="140"/>
        <w:spacing w:line="276" w:lineRule="auto"/>
      </w:pPr>
      <w:r>
        <w:rPr>
          <w:b w:val="0"/>
          <w:i w:val="0"/>
          <w:sz w:val="20"/>
        </w:rPr>
        <w:t>Health and wellbeing is one of three curricular areas that are the responsibility of every member of staff. It is also the foundation on which everything else in this school rests: a child who does not feel safe, known and well is not available for learning. This policy sets out how health and wellbeing is taught, and how it is lived.</w:t>
      </w:r>
    </w:p>
    <w:p>
      <w:pPr>
        <w:spacing w:after="140"/>
        <w:spacing w:line="276" w:lineRule="auto"/>
      </w:pPr>
      <w:r>
        <w:rPr>
          <w:b w:val="0"/>
          <w:i w:val="0"/>
          <w:sz w:val="20"/>
        </w:rPr>
        <w:t>It reflects Curriculum for Excellence, the health and wellbeing benchmarks, GIRFEC and the wellbeing indicators, the UNCRC (Incorporation) (Scotland) Act 2024, and the National Guidance for Child Protection in Scotland 2021, updated 2023.</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Safe, healthy, achieving, nurtured, active, respected, responsible, included. These eight words are how we describe a child’s wellbeing and how we plan to improve it.</w:t>
            </w:r>
          </w:p>
        </w:tc>
      </w:tr>
    </w:tbl>
    <w:p>
      <w:pPr>
        <w:spacing w:after="200"/>
      </w:pPr>
    </w:p>
    <w:p>
      <w:pPr>
        <w:pStyle w:val="Heading1"/>
      </w:pPr>
      <w:r>
        <w:rPr>
          <w:b/>
          <w:i w:val="0"/>
          <w:color w:val="0F5376"/>
          <w:sz w:val="26"/>
        </w:rPr>
        <w:t>2  What is taught</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2891"/>
            <w:shd w:val="clear" w:color="auto" w:fill="0F5376"/>
            <w:tcMar>
              <w:top w:w="100" w:type="dxa"/>
              <w:left w:w="140" w:type="dxa"/>
              <w:bottom w:w="100" w:type="dxa"/>
              <w:right w:w="140" w:type="dxa"/>
            </w:tcMar>
          </w:tcPr>
          <w:p>
            <w:pPr>
              <w:spacing w:before="20" w:after="0"/>
              <w:spacing w:line="264" w:lineRule="auto"/>
            </w:pPr>
            <w:r/>
            <w:r>
              <w:rPr>
                <w:b/>
                <w:i w:val="0"/>
                <w:color w:val="FFFFFF"/>
                <w:sz w:val="20"/>
              </w:rPr>
              <w:t>Strand</w:t>
            </w:r>
          </w:p>
        </w:tc>
        <w:tc>
          <w:tcPr>
            <w:tcW w:type="dxa" w:w="6747"/>
            <w:shd w:val="clear" w:color="auto" w:fill="0F5376"/>
            <w:tcMar>
              <w:top w:w="100" w:type="dxa"/>
              <w:left w:w="140" w:type="dxa"/>
              <w:bottom w:w="100" w:type="dxa"/>
              <w:right w:w="140" w:type="dxa"/>
            </w:tcMar>
          </w:tcPr>
          <w:p>
            <w:pPr>
              <w:spacing w:before="20" w:after="0"/>
              <w:spacing w:line="264" w:lineRule="auto"/>
            </w:pPr>
            <w:r/>
            <w:r>
              <w:rPr>
                <w:b/>
                <w:i w:val="0"/>
                <w:color w:val="FFFFFF"/>
                <w:sz w:val="20"/>
              </w:rPr>
              <w:t>Coverage</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Mental, emotional, social and physical wellbeing</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Taught weekly. PATHS in P1–P3; a planned programme building on it in P4–P7. Emotional literacy, friendship, resilience, help-seeking and self-regulation.</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Planning for choices and changes</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Transition work at every stage, and the P7 to secondary programme set out in the Transition Policy. Aspirations and the world of work.</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Physical education, activity and sport</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Two hours of quality physical education each week, plus daily activity, active playtimes and the after-school clubs programme.</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Food and health</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Cooking and food education across the stages, linked to the Food and Health Policy and the school meals programme.</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Substance misuse</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Age-appropriate teaching on medicines, tobacco, vaping, alcohol and their effects, principally in P6 and P7.</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Relationships, sexual health and parenthood</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Taught under the RSHP Education Policy, using the national RSHP resource, with families informed in advance.</w:t>
            </w:r>
          </w:p>
        </w:tc>
      </w:tr>
    </w:tbl>
    <w:p>
      <w:pPr>
        <w:spacing w:after="200"/>
      </w:pPr>
    </w:p>
    <w:p>
      <w:pPr>
        <w:pStyle w:val="Heading1"/>
      </w:pPr>
      <w:r>
        <w:rPr>
          <w:b/>
          <w:i w:val="0"/>
          <w:color w:val="0F5376"/>
          <w:sz w:val="26"/>
        </w:rPr>
        <w:t>3  Wellbeing in practice</w:t>
      </w:r>
    </w:p>
    <w:p>
      <w:pPr>
        <w:spacing w:after="140"/>
        <w:spacing w:line="276" w:lineRule="auto"/>
      </w:pPr>
      <w:r>
        <w:rPr>
          <w:b w:val="0"/>
          <w:i w:val="0"/>
          <w:sz w:val="20"/>
        </w:rPr>
        <w:t>The taught programme is only part of it. Wellbeing is built through the universal supports in the Behaviour and Relationships Policy, nurture-informed practice, the CIRCLE framework, the quality of adult relationships, and the everyday experience of being noticed. Every child should have at least one adult in this building who knows them well, and identifying the children for whom that is not true is a standing task of the Senior Leadership Team.</w:t>
      </w:r>
    </w:p>
    <w:p>
      <w:pPr>
        <w:spacing w:after="140"/>
        <w:spacing w:line="276" w:lineRule="auto"/>
      </w:pPr>
      <w:r>
        <w:rPr>
          <w:b w:val="0"/>
          <w:i w:val="0"/>
          <w:sz w:val="20"/>
        </w:rPr>
        <w:t>We are alert to the wellbeing consequences of poverty, mobility, migration and separation from family, which are part of many of our children’s lives. Our response is practical as well as emotional: the Cost of the School Day Policy removes barriers, and no child is made visible by need.</w:t>
      </w:r>
    </w:p>
    <w:p>
      <w:pPr>
        <w:pStyle w:val="Heading1"/>
      </w:pPr>
      <w:r>
        <w:rPr>
          <w:b/>
          <w:i w:val="0"/>
          <w:color w:val="0F5376"/>
          <w:sz w:val="26"/>
        </w:rPr>
        <w:t>4  Identifying and responding to concern</w:t>
      </w:r>
    </w:p>
    <w:p>
      <w:pPr>
        <w:spacing w:after="140"/>
        <w:spacing w:line="276" w:lineRule="auto"/>
      </w:pPr>
      <w:r>
        <w:rPr>
          <w:b w:val="0"/>
          <w:i w:val="0"/>
          <w:sz w:val="20"/>
        </w:rPr>
        <w:t>Staff who are concerned about a child’s wellbeing record it and pass it to the Depute Head Teacher for the stage the same day. Wellbeing concerns are considered against the wellbeing indicators, and where support is needed we use the staged intervention process in the Additional Support for Learning Policy and, where appropriate, a Child’s Plan with the family and partners.</w:t>
      </w:r>
    </w:p>
    <w:p>
      <w:pPr>
        <w:spacing w:after="140"/>
        <w:spacing w:line="276" w:lineRule="auto"/>
      </w:pPr>
      <w:r>
        <w:rPr>
          <w:b w:val="0"/>
          <w:i w:val="0"/>
          <w:sz w:val="20"/>
        </w:rPr>
        <w:t>Where a concern is about a child’s safety it is a child protection matter and follows the Child Protection and Safeguarding Policy immediately, without waiting.</w:t>
      </w:r>
    </w:p>
    <w:p>
      <w:pPr>
        <w:pStyle w:val="Heading1"/>
      </w:pPr>
      <w:r>
        <w:rPr>
          <w:b/>
          <w:i w:val="0"/>
          <w:color w:val="0F5376"/>
          <w:sz w:val="26"/>
        </w:rPr>
        <w:t>5  Children’s voice</w:t>
      </w:r>
    </w:p>
    <w:p>
      <w:pPr>
        <w:spacing w:after="140"/>
        <w:spacing w:line="276" w:lineRule="auto"/>
      </w:pPr>
      <w:r>
        <w:rPr>
          <w:b w:val="0"/>
          <w:i w:val="0"/>
          <w:sz w:val="20"/>
        </w:rPr>
        <w:t>Children are asked about their own wellbeing directly and regularly, using age-appropriate tools, and their answers shape what we do. We ask about friendship, feeling safe, being listened to and enjoying school, and we act on what the answers show rather than filing them.</w:t>
      </w:r>
    </w:p>
    <w:p>
      <w:pPr>
        <w:pStyle w:val="Heading1"/>
      </w:pPr>
      <w:r>
        <w:rPr>
          <w:b/>
          <w:i w:val="0"/>
          <w:color w:val="0F5376"/>
          <w:sz w:val="26"/>
        </w:rPr>
        <w:t>6  Staff wellbeing</w:t>
      </w:r>
    </w:p>
    <w:p>
      <w:pPr>
        <w:spacing w:after="140"/>
        <w:spacing w:line="276" w:lineRule="auto"/>
      </w:pPr>
      <w:r>
        <w:rPr>
          <w:b w:val="0"/>
          <w:i w:val="0"/>
          <w:sz w:val="20"/>
        </w:rPr>
        <w:t>Adults cannot regulate children if they are not regulated themselves. Staff wellbeing is addressed in its own policy, and it is treated here as a health and wellbeing issue for the school rather than a private matter for individuals.</w:t>
      </w:r>
    </w:p>
    <w:p>
      <w:pPr>
        <w:pStyle w:val="Heading1"/>
      </w:pPr>
      <w:r>
        <w:rPr>
          <w:b/>
          <w:i w:val="0"/>
          <w:color w:val="0F5376"/>
          <w:sz w:val="26"/>
        </w:rPr>
        <w:t>7  Roles and review</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3084"/>
            <w:shd w:val="clear" w:color="auto" w:fill="0F5376"/>
            <w:tcMar>
              <w:top w:w="100" w:type="dxa"/>
              <w:left w:w="140" w:type="dxa"/>
              <w:bottom w:w="100" w:type="dxa"/>
              <w:right w:w="140" w:type="dxa"/>
            </w:tcMar>
          </w:tcPr>
          <w:p>
            <w:pPr>
              <w:spacing w:before="20" w:after="0"/>
              <w:spacing w:line="264" w:lineRule="auto"/>
            </w:pPr>
            <w:r/>
            <w:r>
              <w:rPr>
                <w:b/>
                <w:i w:val="0"/>
                <w:color w:val="FFFFFF"/>
                <w:sz w:val="20"/>
              </w:rPr>
              <w:t>Who</w:t>
            </w:r>
          </w:p>
        </w:tc>
        <w:tc>
          <w:tcPr>
            <w:tcW w:type="dxa" w:w="6554"/>
            <w:shd w:val="clear" w:color="auto" w:fill="0F5376"/>
            <w:tcMar>
              <w:top w:w="100" w:type="dxa"/>
              <w:left w:w="140" w:type="dxa"/>
              <w:bottom w:w="100" w:type="dxa"/>
              <w:right w:w="140" w:type="dxa"/>
            </w:tcMar>
          </w:tcPr>
          <w:p>
            <w:pPr>
              <w:spacing w:before="20" w:after="0"/>
              <w:spacing w:line="264" w:lineRule="auto"/>
            </w:pPr>
            <w:r/>
            <w:r>
              <w:rPr>
                <w:b/>
                <w:i w:val="0"/>
                <w:color w:val="FFFFFF"/>
                <w:sz w:val="20"/>
              </w:rPr>
              <w:t>Responsibility</w:t>
            </w:r>
          </w:p>
        </w:tc>
      </w:tr>
      <w:tr>
        <w:trPr>
          <w:cantSplit/>
        </w:trPr>
        <w:tc>
          <w:tcPr>
            <w:tcW w:type="dxa" w:w="3084"/>
            <w:shd w:val="clear" w:color="auto" w:fill="FFFFFF"/>
            <w:tcMar>
              <w:top w:w="110" w:type="dxa"/>
              <w:left w:w="140" w:type="dxa"/>
              <w:bottom w:w="110" w:type="dxa"/>
              <w:right w:w="140" w:type="dxa"/>
            </w:tcMar>
          </w:tcPr>
          <w:p>
            <w:pPr>
              <w:spacing w:before="20" w:after="0"/>
              <w:spacing w:line="264" w:lineRule="auto"/>
            </w:pPr>
            <w:r/>
            <w:r>
              <w:rPr>
                <w:b w:val="0"/>
                <w:i w:val="0"/>
                <w:sz w:val="20"/>
              </w:rPr>
              <w:t>Depute Head Teacher (health and wellbeing)</w:t>
            </w:r>
          </w:p>
        </w:tc>
        <w:tc>
          <w:tcPr>
            <w:tcW w:type="dxa" w:w="6554"/>
            <w:shd w:val="clear" w:color="auto" w:fill="FFFFFF"/>
            <w:tcMar>
              <w:top w:w="110" w:type="dxa"/>
              <w:left w:w="140" w:type="dxa"/>
              <w:bottom w:w="110" w:type="dxa"/>
              <w:right w:w="140" w:type="dxa"/>
            </w:tcMar>
          </w:tcPr>
          <w:p>
            <w:pPr>
              <w:spacing w:before="20" w:after="0"/>
              <w:spacing w:line="264" w:lineRule="auto"/>
            </w:pPr>
            <w:r/>
            <w:r>
              <w:rPr>
                <w:b w:val="0"/>
                <w:i w:val="0"/>
                <w:sz w:val="20"/>
              </w:rPr>
              <w:t>Leads the programme, monitors coverage, collects and acts on pupil wellbeing data.</w:t>
            </w:r>
          </w:p>
        </w:tc>
      </w:tr>
      <w:tr>
        <w:trPr>
          <w:cantSplit/>
        </w:trPr>
        <w:tc>
          <w:tcPr>
            <w:tcW w:type="dxa" w:w="3084"/>
            <w:shd w:val="clear" w:color="auto" w:fill="FFFFFF"/>
            <w:tcMar>
              <w:top w:w="110" w:type="dxa"/>
              <w:left w:w="140" w:type="dxa"/>
              <w:bottom w:w="110" w:type="dxa"/>
              <w:right w:w="140" w:type="dxa"/>
            </w:tcMar>
          </w:tcPr>
          <w:p>
            <w:pPr>
              <w:spacing w:before="20" w:after="0"/>
              <w:spacing w:line="264" w:lineRule="auto"/>
            </w:pPr>
            <w:r/>
            <w:r>
              <w:rPr>
                <w:b w:val="0"/>
                <w:i w:val="0"/>
                <w:sz w:val="20"/>
              </w:rPr>
              <w:t>Class teachers</w:t>
            </w:r>
          </w:p>
        </w:tc>
        <w:tc>
          <w:tcPr>
            <w:tcW w:type="dxa" w:w="6554"/>
            <w:shd w:val="clear" w:color="auto" w:fill="FFFFFF"/>
            <w:tcMar>
              <w:top w:w="110" w:type="dxa"/>
              <w:left w:w="140" w:type="dxa"/>
              <w:bottom w:w="110" w:type="dxa"/>
              <w:right w:w="140" w:type="dxa"/>
            </w:tcMar>
          </w:tcPr>
          <w:p>
            <w:pPr>
              <w:spacing w:before="20" w:after="0"/>
              <w:spacing w:line="264" w:lineRule="auto"/>
            </w:pPr>
            <w:r/>
            <w:r>
              <w:rPr>
                <w:b w:val="0"/>
                <w:i w:val="0"/>
                <w:sz w:val="20"/>
              </w:rPr>
              <w:t>Teach the programme, know their children, notice change, and record and pass on concerns.</w:t>
            </w:r>
          </w:p>
        </w:tc>
      </w:tr>
      <w:tr>
        <w:trPr>
          <w:cantSplit/>
        </w:trPr>
        <w:tc>
          <w:tcPr>
            <w:tcW w:type="dxa" w:w="3084"/>
            <w:shd w:val="clear" w:color="auto" w:fill="FFFFFF"/>
            <w:tcMar>
              <w:top w:w="110" w:type="dxa"/>
              <w:left w:w="140" w:type="dxa"/>
              <w:bottom w:w="110" w:type="dxa"/>
              <w:right w:w="140" w:type="dxa"/>
            </w:tcMar>
          </w:tcPr>
          <w:p>
            <w:pPr>
              <w:spacing w:before="20" w:after="0"/>
              <w:spacing w:line="264" w:lineRule="auto"/>
            </w:pPr>
            <w:r/>
            <w:r>
              <w:rPr>
                <w:b w:val="0"/>
                <w:i w:val="0"/>
                <w:sz w:val="20"/>
              </w:rPr>
              <w:t>All staff</w:t>
            </w:r>
          </w:p>
        </w:tc>
        <w:tc>
          <w:tcPr>
            <w:tcW w:type="dxa" w:w="6554"/>
            <w:shd w:val="clear" w:color="auto" w:fill="FFFFFF"/>
            <w:tcMar>
              <w:top w:w="110" w:type="dxa"/>
              <w:left w:w="140" w:type="dxa"/>
              <w:bottom w:w="110" w:type="dxa"/>
              <w:right w:w="140" w:type="dxa"/>
            </w:tcMar>
          </w:tcPr>
          <w:p>
            <w:pPr>
              <w:spacing w:before="20" w:after="0"/>
              <w:spacing w:line="264" w:lineRule="auto"/>
            </w:pPr>
            <w:r/>
            <w:r>
              <w:rPr>
                <w:b w:val="0"/>
                <w:i w:val="0"/>
                <w:sz w:val="20"/>
              </w:rPr>
              <w:t>Health and wellbeing is the responsibility of all. Every adult contributes to how safe and known a child feels.</w:t>
            </w:r>
          </w:p>
        </w:tc>
      </w:tr>
      <w:tr>
        <w:trPr>
          <w:cantSplit/>
        </w:trPr>
        <w:tc>
          <w:tcPr>
            <w:tcW w:type="dxa" w:w="3084"/>
            <w:shd w:val="clear" w:color="auto" w:fill="FFFFFF"/>
            <w:tcMar>
              <w:top w:w="110" w:type="dxa"/>
              <w:left w:w="140" w:type="dxa"/>
              <w:bottom w:w="110" w:type="dxa"/>
              <w:right w:w="140" w:type="dxa"/>
            </w:tcMar>
          </w:tcPr>
          <w:p>
            <w:pPr>
              <w:spacing w:before="20" w:after="0"/>
              <w:spacing w:line="264" w:lineRule="auto"/>
            </w:pPr>
            <w:r/>
            <w:r>
              <w:rPr>
                <w:b w:val="0"/>
                <w:i w:val="0"/>
                <w:sz w:val="20"/>
              </w:rPr>
              <w:t>Partners</w:t>
            </w:r>
          </w:p>
        </w:tc>
        <w:tc>
          <w:tcPr>
            <w:tcW w:type="dxa" w:w="6554"/>
            <w:shd w:val="clear" w:color="auto" w:fill="FFFFFF"/>
            <w:tcMar>
              <w:top w:w="110" w:type="dxa"/>
              <w:left w:w="140" w:type="dxa"/>
              <w:bottom w:w="110" w:type="dxa"/>
              <w:right w:w="140" w:type="dxa"/>
            </w:tcMar>
          </w:tcPr>
          <w:p>
            <w:pPr>
              <w:spacing w:before="20" w:after="0"/>
              <w:spacing w:line="264" w:lineRule="auto"/>
            </w:pPr>
            <w:r/>
            <w:r>
              <w:rPr>
                <w:b w:val="0"/>
                <w:i w:val="0"/>
                <w:sz w:val="20"/>
              </w:rPr>
              <w:t>School nursing, educational psychology, third sector and community partners contribute through the Child’s Plan and the Partnership Agreement.</w:t>
            </w:r>
          </w:p>
        </w:tc>
      </w:tr>
    </w:tbl>
    <w:p>
      <w:pPr>
        <w:spacing w:after="200"/>
      </w:pPr>
    </w:p>
    <w:p>
      <w:pPr>
        <w:spacing w:after="140"/>
        <w:spacing w:line="276" w:lineRule="auto"/>
      </w:pPr>
      <w:r>
        <w:rPr>
          <w:b w:val="0"/>
          <w:i w:val="0"/>
          <w:sz w:val="20"/>
        </w:rPr>
        <w:t>This policy is reviewed by June 2029. Linked policies: Behaviour and Relationships; RSHP Education; Anti-Bullying; Additional Support for Learning; Care Experienced Pupils; Bereavement and Loss; Cost of the School Day; Food and Health; Pupil Voice and Children’s Rights; Staff Wellbeing; Child Protection and Safeguarding.</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Health and Wellbeing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